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ascii="Times New Roman" w:hAnsi="Times New Roman" w:eastAsia="宋体"/>
          <w:color w:val="000000" w:themeColor="text1"/>
          <w:sz w:val="36"/>
          <w:highlight w:val="none"/>
        </w:rPr>
      </w:pPr>
      <w:r>
        <w:rPr>
          <w:rFonts w:ascii="Times New Roman" w:hAnsi="Times New Roman" w:eastAsia="宋体"/>
          <w:color w:val="000000" w:themeColor="text1"/>
          <w:sz w:val="36"/>
          <w:highlight w:val="none"/>
        </w:rPr>
      </w:r>
      <w:r>
        <w:rPr>
          <w:color w:val="000000" w:themeColor="text1"/>
        </w:rPr>
      </w:r>
      <w:r/>
    </w:p>
    <w:p>
      <w:pPr>
        <w:jc w:val="right"/>
        <w:pageBreakBefore w:val="0"/>
        <w:spacing w:line="360" w:lineRule="auto"/>
        <w:rPr>
          <w:rFonts w:ascii="Times New Roman" w:hAnsi="Times New Roman" w:eastAsia="宋体"/>
          <w:b/>
          <w:bCs/>
          <w:color w:val="000000" w:themeColor="text1"/>
          <w:sz w:val="36"/>
          <w:highlight w:val="none"/>
        </w:rPr>
      </w:pPr>
      <w:r>
        <w:rPr>
          <w:rFonts w:hint="eastAsia" w:ascii="Times New Roman" w:hAnsi="Times New Roman" w:eastAsia="宋体"/>
          <w:b/>
          <w:bCs/>
          <w:color w:val="000000" w:themeColor="text1"/>
          <w:sz w:val="36"/>
          <w:highlight w:val="none"/>
        </w:rPr>
        <w:t xml:space="preserve">编号：</w:t>
      </w:r>
      <w:r>
        <w:rPr>
          <w:rFonts w:hint="eastAsia" w:ascii="Times New Roman" w:hAnsi="Times New Roman" w:eastAsia="宋体"/>
          <w:b/>
          <w:bCs/>
          <w:color w:val="000000" w:themeColor="text1"/>
          <w:sz w:val="36"/>
          <w:highlight w:val="none"/>
          <w:lang w:eastAsia="zh-CN"/>
        </w:rPr>
        <w:t xml:space="preserve">JSZC-321092-SWGC-G2026-0069号</w:t>
      </w:r>
      <w:r>
        <w:rPr>
          <w:color w:val="000000" w:themeColor="text1"/>
        </w:rPr>
      </w:r>
      <w:r/>
    </w:p>
    <w:p>
      <w:pPr>
        <w:jc w:val="center"/>
        <w:pageBreakBefore w:val="0"/>
        <w:spacing w:line="360" w:lineRule="auto"/>
        <w:rPr>
          <w:rFonts w:ascii="Times New Roman" w:hAnsi="Times New Roman" w:eastAsia="宋体"/>
          <w:color w:val="000000" w:themeColor="text1"/>
          <w:sz w:val="36"/>
          <w:highlight w:val="none"/>
        </w:rPr>
      </w:pPr>
      <w:r>
        <w:rPr>
          <w:rFonts w:ascii="Times New Roman" w:hAnsi="Times New Roman" w:eastAsia="宋体"/>
          <w:color w:val="000000" w:themeColor="text1"/>
          <w:sz w:val="36"/>
          <w:highlight w:val="none"/>
        </w:rPr>
      </w:r>
      <w:r>
        <w:rPr>
          <w:color w:val="000000" w:themeColor="text1"/>
        </w:rPr>
      </w:r>
      <w:r/>
    </w:p>
    <w:p>
      <w:pPr>
        <w:jc w:val="center"/>
        <w:pageBreakBefore w:val="0"/>
        <w:spacing w:line="360" w:lineRule="auto"/>
        <w:rPr>
          <w:rFonts w:ascii="Times New Roman" w:hAnsi="Times New Roman" w:eastAsia="宋体"/>
          <w:b/>
          <w:bCs/>
          <w:color w:val="000000" w:themeColor="text1"/>
          <w:sz w:val="36"/>
          <w:highlight w:val="none"/>
        </w:rPr>
      </w:pPr>
      <w:r>
        <w:rPr>
          <w:rFonts w:hint="eastAsia" w:ascii="Times New Roman" w:hAnsi="Times New Roman" w:eastAsia="宋体"/>
          <w:b/>
          <w:bCs/>
          <w:color w:val="000000" w:themeColor="text1"/>
          <w:sz w:val="36"/>
          <w:highlight w:val="none"/>
          <w:lang w:eastAsia="zh-CN"/>
        </w:rPr>
        <w:t xml:space="preserve">扬州市瘦西湖风景区管理处瘦西湖景区绿化养护项目</w:t>
      </w:r>
      <w:r>
        <w:rPr>
          <w:rFonts w:hint="eastAsia" w:ascii="Times New Roman" w:hAnsi="Times New Roman" w:eastAsia="宋体"/>
          <w:b/>
          <w:bCs/>
          <w:color w:val="000000" w:themeColor="text1"/>
          <w:sz w:val="36"/>
          <w:highlight w:val="none"/>
        </w:rPr>
        <w:t xml:space="preserve">公开招标文件</w:t>
      </w:r>
      <w:r>
        <w:rPr>
          <w:color w:val="000000" w:themeColor="text1"/>
        </w:rPr>
      </w:r>
      <w:r/>
    </w:p>
    <w:p>
      <w:pPr>
        <w:jc w:val="center"/>
        <w:pageBreakBefore w:val="0"/>
        <w:spacing w:line="360" w:lineRule="auto"/>
        <w:rPr>
          <w:rFonts w:ascii="Times New Roman" w:hAnsi="Times New Roman" w:eastAsia="宋体"/>
          <w:color w:val="000000" w:themeColor="text1"/>
          <w:sz w:val="36"/>
          <w:highlight w:val="none"/>
        </w:rPr>
      </w:pPr>
      <w:r>
        <w:rPr>
          <w:rFonts w:ascii="Times New Roman" w:hAnsi="Times New Roman" w:eastAsia="宋体"/>
          <w:color w:val="000000" w:themeColor="text1"/>
          <w:sz w:val="36"/>
          <w:highlight w:val="none"/>
        </w:rPr>
      </w:r>
      <w:r>
        <w:rPr>
          <w:color w:val="000000" w:themeColor="text1"/>
        </w:rPr>
      </w:r>
      <w:r/>
    </w:p>
    <w:p>
      <w:pPr>
        <w:jc w:val="center"/>
        <w:pageBreakBefore w:val="0"/>
        <w:spacing w:line="360" w:lineRule="auto"/>
        <w:rPr>
          <w:rFonts w:ascii="Times New Roman" w:hAnsi="Times New Roman" w:eastAsia="宋体"/>
          <w:color w:val="000000" w:themeColor="text1"/>
          <w:sz w:val="36"/>
          <w:highlight w:val="none"/>
        </w:rPr>
      </w:pPr>
      <w:r>
        <w:rPr>
          <w:rFonts w:hint="eastAsia" w:ascii="Times New Roman" w:hAnsi="Times New Roman" w:eastAsia="宋体"/>
          <w:color w:val="000000" w:themeColor="text1"/>
          <w:sz w:val="36"/>
          <w:highlight w:val="none"/>
        </w:rPr>
        <mc:AlternateContent>
          <mc:Choice Requires="wpg">
            <w:drawing>
              <wp:inline xmlns:wp="http://schemas.openxmlformats.org/drawingml/2006/wordprocessingDrawing" distT="0" distB="0" distL="0" distR="0">
                <wp:extent cx="5266690" cy="3241040"/>
                <wp:effectExtent l="0" t="0" r="10160" b="16510"/>
                <wp:docPr id="2"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8d66b1963638fca2576092b27cd9f9"/>
                        <pic:cNvPicPr>
                          <a:picLocks noChangeAspect="1"/>
                        </pic:cNvPicPr>
                        <pic:nvPr/>
                      </pic:nvPicPr>
                      <pic:blipFill>
                        <a:blip r:embed="rId15"/>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alse">
                <v:path textboxrect="0,0,0,0"/>
                <v:imagedata r:id="rId15" o:title=""/>
              </v:shape>
            </w:pict>
          </mc:Fallback>
        </mc:AlternateContent>
      </w:r>
      <w:r>
        <w:rPr>
          <w:color w:val="000000" w:themeColor="text1"/>
        </w:rPr>
      </w:r>
      <w:r/>
    </w:p>
    <w:p>
      <w:pPr>
        <w:jc w:val="center"/>
        <w:pageBreakBefore w:val="0"/>
        <w:spacing w:line="360" w:lineRule="auto"/>
        <w:rPr>
          <w:rFonts w:ascii="Times New Roman" w:hAnsi="Times New Roman" w:eastAsia="宋体"/>
          <w:color w:val="000000" w:themeColor="text1"/>
          <w:sz w:val="36"/>
          <w:highlight w:val="none"/>
        </w:rPr>
      </w:pPr>
      <w:r>
        <w:rPr>
          <w:rFonts w:ascii="Times New Roman" w:hAnsi="Times New Roman" w:eastAsia="宋体"/>
          <w:color w:val="000000" w:themeColor="text1"/>
          <w:sz w:val="36"/>
          <w:highlight w:val="none"/>
        </w:rPr>
      </w:r>
      <w:r>
        <w:rPr>
          <w:color w:val="000000" w:themeColor="text1"/>
        </w:rPr>
      </w:r>
      <w:r/>
    </w:p>
    <w:p>
      <w:pPr>
        <w:jc w:val="center"/>
        <w:pageBreakBefore w:val="0"/>
        <w:spacing w:line="360" w:lineRule="auto"/>
        <w:rPr>
          <w:rFonts w:ascii="Times New Roman" w:hAnsi="Times New Roman" w:eastAsia="宋体"/>
          <w:color w:val="000000" w:themeColor="text1"/>
          <w:sz w:val="36"/>
          <w:highlight w:val="none"/>
        </w:rPr>
      </w:pPr>
      <w:r>
        <w:rPr>
          <w:rFonts w:ascii="Times New Roman" w:hAnsi="Times New Roman" w:eastAsia="宋体"/>
          <w:color w:val="000000" w:themeColor="text1"/>
          <w:sz w:val="36"/>
          <w:highlight w:val="none"/>
        </w:rPr>
      </w:r>
      <w:r>
        <w:rPr>
          <w:color w:val="000000" w:themeColor="text1"/>
        </w:rPr>
      </w:r>
      <w:r/>
    </w:p>
    <w:p>
      <w:pPr>
        <w:jc w:val="center"/>
        <w:pageBreakBefore w:val="0"/>
        <w:spacing w:line="360" w:lineRule="auto"/>
        <w:rPr>
          <w:rFonts w:ascii="Times New Roman" w:hAnsi="Times New Roman" w:eastAsia="宋体"/>
          <w:b/>
          <w:bCs/>
          <w:color w:val="000000" w:themeColor="text1"/>
          <w:sz w:val="36"/>
          <w:highlight w:val="none"/>
        </w:rPr>
      </w:pPr>
      <w:r>
        <w:rPr>
          <w:rFonts w:hint="eastAsia" w:ascii="Times New Roman" w:hAnsi="Times New Roman" w:eastAsia="宋体"/>
          <w:b/>
          <w:bCs/>
          <w:color w:val="000000" w:themeColor="text1"/>
          <w:sz w:val="36"/>
          <w:highlight w:val="none"/>
        </w:rPr>
        <w:t xml:space="preserve">江苏苏维工程管理有限公司</w:t>
      </w:r>
      <w:r>
        <w:rPr>
          <w:color w:val="000000" w:themeColor="text1"/>
        </w:rPr>
      </w:r>
      <w:r/>
    </w:p>
    <w:p>
      <w:pPr>
        <w:jc w:val="center"/>
        <w:pageBreakBefore w:val="0"/>
        <w:spacing w:line="360" w:lineRule="auto"/>
        <w:rPr>
          <w:rFonts w:ascii="Times New Roman" w:hAnsi="Times New Roman" w:eastAsia="宋体"/>
          <w:b/>
          <w:bCs/>
          <w:color w:val="000000" w:themeColor="text1"/>
          <w:sz w:val="36"/>
          <w:highlight w:val="none"/>
        </w:rPr>
      </w:pPr>
      <w:r>
        <w:rPr>
          <w:rFonts w:hint="eastAsia" w:ascii="Times New Roman" w:hAnsi="Times New Roman" w:eastAsia="宋体"/>
          <w:b/>
          <w:bCs/>
          <w:color w:val="000000" w:themeColor="text1"/>
          <w:sz w:val="36"/>
          <w:highlight w:val="none"/>
        </w:rPr>
        <w:t xml:space="preserve">2026年</w:t>
      </w:r>
      <w:r>
        <w:rPr>
          <w:rFonts w:hint="eastAsia" w:ascii="Times New Roman" w:hAnsi="Times New Roman" w:eastAsia="宋体"/>
          <w:b/>
          <w:bCs/>
          <w:color w:val="000000" w:themeColor="text1"/>
          <w:sz w:val="36"/>
          <w:highlight w:val="none"/>
          <w:lang w:val="en-US" w:eastAsia="zh-CN"/>
        </w:rPr>
        <w:t xml:space="preserve">0</w:t>
      </w:r>
      <w:r>
        <w:rPr>
          <w:rFonts w:hint="eastAsia" w:ascii="Times New Roman" w:hAnsi="Times New Roman" w:eastAsia="宋体"/>
          <w:b/>
          <w:bCs/>
          <w:color w:val="000000" w:themeColor="text1"/>
          <w:sz w:val="36"/>
          <w:highlight w:val="none"/>
          <w:lang w:val="en-US" w:eastAsia="zh-CN"/>
        </w:rPr>
        <w:t xml:space="preserve">6</w:t>
      </w:r>
      <w:r>
        <w:rPr>
          <w:rFonts w:hint="eastAsia" w:ascii="Times New Roman" w:hAnsi="Times New Roman" w:eastAsia="宋体"/>
          <w:b/>
          <w:bCs/>
          <w:color w:val="000000" w:themeColor="text1"/>
          <w:sz w:val="36"/>
          <w:highlight w:val="none"/>
        </w:rPr>
        <w:t xml:space="preserve">月</w:t>
      </w:r>
      <w:r>
        <w:rPr>
          <w:rFonts w:hint="eastAsia" w:ascii="Times New Roman" w:hAnsi="Times New Roman" w:eastAsia="宋体"/>
          <w:b/>
          <w:bCs/>
          <w:color w:val="000000" w:themeColor="text1"/>
          <w:sz w:val="36"/>
          <w:highlight w:val="none"/>
          <w:lang w:val="en-US" w:eastAsia="zh-CN"/>
        </w:rPr>
        <w:t xml:space="preserve">03</w:t>
      </w:r>
      <w:r>
        <w:rPr>
          <w:rFonts w:hint="eastAsia" w:ascii="Times New Roman" w:hAnsi="Times New Roman" w:eastAsia="宋体"/>
          <w:b/>
          <w:bCs/>
          <w:color w:val="000000" w:themeColor="text1"/>
          <w:sz w:val="36"/>
          <w:highlight w:val="none"/>
        </w:rPr>
        <w:t xml:space="preserve">日</w:t>
      </w:r>
      <w:r>
        <w:rPr>
          <w:color w:val="000000" w:themeColor="text1"/>
        </w:rPr>
      </w:r>
      <w:r/>
    </w:p>
    <w:p>
      <w:pPr>
        <w:jc w:val="center"/>
        <w:pageBreakBefore w:val="0"/>
        <w:spacing w:line="360" w:lineRule="auto"/>
        <w:rPr>
          <w:rFonts w:ascii="Times New Roman" w:hAnsi="Times New Roman" w:eastAsia="宋体"/>
          <w:color w:val="000000" w:themeColor="text1"/>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000000" w:themeColor="text1"/>
          <w:sz w:val="32"/>
          <w:highlight w:val="none"/>
        </w:rPr>
      </w:r>
      <w:r>
        <w:rPr>
          <w:color w:val="000000" w:themeColor="text1"/>
        </w:rPr>
      </w:r>
      <w:r/>
    </w:p>
    <w:p>
      <w:pPr>
        <w:pStyle w:val="90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r/>
    </w:p>
    <w:p>
      <w:pPr>
        <w:jc w:val="center"/>
        <w:pageBreakBefore w:val="0"/>
        <w:spacing w:line="360" w:lineRule="auto"/>
        <w:rPr>
          <w:rFonts w:ascii="Times New Roman" w:hAnsi="Times New Roman" w:eastAsia="宋体"/>
          <w:color w:val="000000" w:themeColor="text1"/>
          <w:sz w:val="32"/>
          <w:highlight w:val="none"/>
        </w:rPr>
      </w:pPr>
      <w:r>
        <w:rPr>
          <w:rFonts w:ascii="Times New Roman" w:hAnsi="Times New Roman" w:eastAsia="宋体"/>
          <w:color w:val="000000" w:themeColor="text1"/>
          <w:sz w:val="32"/>
          <w:highlight w:val="none"/>
        </w:rPr>
      </w:r>
      <w:r>
        <w:rPr>
          <w:color w:val="000000" w:themeColor="text1"/>
        </w:rPr>
      </w:r>
      <w:r/>
    </w:p>
    <w:p>
      <w:pPr>
        <w:jc w:val="center"/>
        <w:keepLines w:val="0"/>
        <w:keepNext w:val="0"/>
        <w:pageBreakBefore w:val="0"/>
        <w:spacing w:line="360" w:lineRule="auto"/>
        <w:widowControl w:val="off"/>
        <w:rPr>
          <w:rFonts w:ascii="Times New Roman" w:hAnsi="Times New Roman" w:eastAsia="宋体"/>
          <w:color w:val="000000" w:themeColor="text1"/>
          <w:sz w:val="28"/>
          <w:szCs w:val="28"/>
          <w:highlight w:val="none"/>
        </w:rPr>
      </w:pPr>
      <w:r>
        <w:rPr>
          <w:rFonts w:hint="eastAsia" w:ascii="Times New Roman" w:hAnsi="Times New Roman" w:eastAsia="宋体"/>
          <w:color w:val="000000" w:themeColor="text1"/>
          <w:sz w:val="28"/>
          <w:szCs w:val="28"/>
          <w:highlight w:val="none"/>
        </w:rPr>
        <w:t xml:space="preserve">目录</w:t>
      </w:r>
      <w:r>
        <w:rPr>
          <w:color w:val="000000" w:themeColor="text1"/>
        </w:rPr>
      </w:r>
      <w:r/>
    </w:p>
    <w:p>
      <w:pPr>
        <w:pStyle w:val="902"/>
        <w:keepLines w:val="0"/>
        <w:keepNext w:val="0"/>
        <w:pageBreakBefore w:val="0"/>
        <w:spacing w:line="360" w:lineRule="auto"/>
        <w:widowControl w:val="off"/>
        <w:tabs>
          <w:tab w:val="right" w:pos="8306" w:leader="dot"/>
        </w:tabs>
        <w:rPr>
          <w:rFonts w:ascii="Times New Roman" w:hAnsi="Times New Roman" w:eastAsia="宋体"/>
          <w:color w:val="000000" w:themeColor="text1"/>
          <w:sz w:val="28"/>
          <w:szCs w:val="28"/>
          <w:highlight w:val="none"/>
        </w:rPr>
      </w:pPr>
      <w:r>
        <w:rPr>
          <w:rFonts w:hint="eastAsia" w:ascii="Times New Roman" w:hAnsi="Times New Roman" w:eastAsia="宋体"/>
          <w:color w:val="000000" w:themeColor="text1"/>
          <w:sz w:val="28"/>
          <w:szCs w:val="28"/>
          <w:highlight w:val="none"/>
        </w:rPr>
        <w:fldChar w:fldCharType="begin"/>
      </w:r>
      <w:r>
        <w:rPr>
          <w:rFonts w:hint="eastAsia" w:ascii="Times New Roman" w:hAnsi="Times New Roman" w:eastAsia="宋体"/>
          <w:color w:val="000000" w:themeColor="text1"/>
          <w:sz w:val="28"/>
          <w:szCs w:val="28"/>
          <w:highlight w:val="none"/>
        </w:rPr>
        <w:instrText xml:space="preserve"> TOC \o "1-3" \f </w:instrText>
      </w:r>
      <w:r>
        <w:rPr>
          <w:rFonts w:hint="eastAsia" w:ascii="Times New Roman" w:hAnsi="Times New Roman" w:eastAsia="宋体"/>
          <w:color w:val="000000" w:themeColor="text1"/>
          <w:sz w:val="28"/>
          <w:szCs w:val="28"/>
          <w:highlight w:val="none"/>
        </w:rPr>
        <w:fldChar w:fldCharType="separate"/>
      </w:r>
      <w:r>
        <w:rPr>
          <w:rFonts w:hint="eastAsia" w:ascii="Times New Roman" w:hAnsi="Times New Roman" w:eastAsia="宋体"/>
          <w:color w:val="000000" w:themeColor="text1"/>
          <w:sz w:val="28"/>
          <w:szCs w:val="28"/>
          <w:highlight w:val="none"/>
        </w:rPr>
        <w:t xml:space="preserve">第一章</w:t>
      </w:r>
      <w:r>
        <w:rPr>
          <w:rFonts w:hint="eastAsia" w:ascii="Times New Roman" w:hAnsi="Times New Roman" w:eastAsia="宋体"/>
          <w:color w:val="000000" w:themeColor="text1"/>
          <w:sz w:val="28"/>
          <w:szCs w:val="28"/>
          <w:highlight w:val="none"/>
          <w:lang w:val="en-US" w:eastAsia="zh-CN"/>
        </w:rPr>
        <w:t xml:space="preserve"> </w:t>
      </w:r>
      <w:r>
        <w:rPr>
          <w:rFonts w:hint="eastAsia" w:ascii="Times New Roman" w:hAnsi="Times New Roman" w:eastAsia="宋体"/>
          <w:color w:val="000000" w:themeColor="text1"/>
          <w:sz w:val="28"/>
          <w:szCs w:val="28"/>
          <w:highlight w:val="none"/>
        </w:rPr>
        <w:t xml:space="preserve">投标邀请</w:t>
      </w:r>
      <w:r>
        <w:rPr>
          <w:rFonts w:ascii="Times New Roman" w:hAnsi="Times New Roman" w:eastAsia="宋体"/>
          <w:color w:val="000000" w:themeColor="text1"/>
          <w:sz w:val="28"/>
          <w:szCs w:val="28"/>
          <w:highlight w:val="none"/>
        </w:rPr>
        <w:tab/>
      </w:r>
      <w:r>
        <w:rPr>
          <w:rFonts w:ascii="Times New Roman" w:hAnsi="Times New Roman" w:eastAsia="宋体"/>
          <w:color w:val="000000" w:themeColor="text1"/>
          <w:sz w:val="28"/>
          <w:szCs w:val="28"/>
          <w:highlight w:val="none"/>
        </w:rPr>
        <w:fldChar w:fldCharType="begin"/>
      </w:r>
      <w:r>
        <w:rPr>
          <w:rFonts w:ascii="Times New Roman" w:hAnsi="Times New Roman" w:eastAsia="宋体"/>
          <w:color w:val="000000" w:themeColor="text1"/>
          <w:sz w:val="28"/>
          <w:szCs w:val="28"/>
          <w:highlight w:val="none"/>
        </w:rPr>
        <w:instrText xml:space="preserve"> PAGEREF _Toc11664 \h </w:instrText>
      </w:r>
      <w:r>
        <w:rPr>
          <w:rFonts w:ascii="Times New Roman" w:hAnsi="Times New Roman" w:eastAsia="宋体"/>
          <w:color w:val="000000" w:themeColor="text1"/>
          <w:sz w:val="28"/>
          <w:szCs w:val="28"/>
          <w:highlight w:val="none"/>
        </w:rPr>
        <w:fldChar w:fldCharType="separate"/>
      </w:r>
      <w:r>
        <w:rPr>
          <w:rFonts w:ascii="Times New Roman" w:hAnsi="Times New Roman" w:eastAsia="宋体"/>
          <w:color w:val="000000" w:themeColor="text1"/>
          <w:sz w:val="28"/>
          <w:szCs w:val="28"/>
          <w:highlight w:val="none"/>
        </w:rPr>
        <w:t xml:space="preserve">1</w:t>
      </w:r>
      <w:r>
        <w:rPr>
          <w:rFonts w:ascii="Times New Roman" w:hAnsi="Times New Roman" w:eastAsia="宋体"/>
          <w:color w:val="000000" w:themeColor="text1"/>
          <w:sz w:val="28"/>
          <w:szCs w:val="28"/>
          <w:highlight w:val="none"/>
        </w:rPr>
        <w:fldChar w:fldCharType="end"/>
      </w:r>
      <w:r>
        <w:rPr>
          <w:color w:val="000000" w:themeColor="text1"/>
        </w:rPr>
      </w:r>
      <w:r/>
    </w:p>
    <w:p>
      <w:pPr>
        <w:pStyle w:val="902"/>
        <w:keepLines w:val="0"/>
        <w:keepNext w:val="0"/>
        <w:pageBreakBefore w:val="0"/>
        <w:spacing w:line="360" w:lineRule="auto"/>
        <w:widowControl w:val="off"/>
        <w:tabs>
          <w:tab w:val="right" w:pos="8306" w:leader="dot"/>
        </w:tabs>
        <w:rPr>
          <w:rFonts w:ascii="Times New Roman" w:hAnsi="Times New Roman" w:eastAsia="宋体"/>
          <w:color w:val="000000" w:themeColor="text1"/>
          <w:sz w:val="28"/>
          <w:szCs w:val="28"/>
          <w:highlight w:val="none"/>
        </w:rPr>
      </w:pPr>
      <w:r>
        <w:rPr>
          <w:rFonts w:hint="eastAsia" w:ascii="Times New Roman" w:hAnsi="Times New Roman" w:eastAsia="宋体"/>
          <w:color w:val="000000" w:themeColor="text1"/>
          <w:sz w:val="28"/>
          <w:szCs w:val="28"/>
          <w:highlight w:val="none"/>
        </w:rPr>
        <w:t xml:space="preserve">第二章</w:t>
      </w:r>
      <w:r>
        <w:rPr>
          <w:rFonts w:hint="eastAsia" w:ascii="Times New Roman" w:hAnsi="Times New Roman" w:eastAsia="宋体"/>
          <w:color w:val="000000" w:themeColor="text1"/>
          <w:sz w:val="28"/>
          <w:szCs w:val="28"/>
          <w:highlight w:val="none"/>
          <w:lang w:val="en-US" w:eastAsia="zh-CN"/>
        </w:rPr>
        <w:t xml:space="preserve"> </w:t>
      </w:r>
      <w:r>
        <w:rPr>
          <w:rFonts w:hint="eastAsia" w:ascii="Times New Roman" w:hAnsi="Times New Roman" w:eastAsia="宋体"/>
          <w:color w:val="000000" w:themeColor="text1"/>
          <w:sz w:val="28"/>
          <w:szCs w:val="28"/>
          <w:highlight w:val="none"/>
        </w:rPr>
        <w:t xml:space="preserve">投标人须知</w:t>
      </w:r>
      <w:r>
        <w:rPr>
          <w:rFonts w:ascii="Times New Roman" w:hAnsi="Times New Roman" w:eastAsia="宋体"/>
          <w:color w:val="000000" w:themeColor="text1"/>
          <w:sz w:val="28"/>
          <w:szCs w:val="28"/>
          <w:highlight w:val="none"/>
        </w:rPr>
        <w:tab/>
      </w:r>
      <w:r>
        <w:rPr>
          <w:rFonts w:ascii="Times New Roman" w:hAnsi="Times New Roman" w:eastAsia="宋体"/>
          <w:color w:val="000000" w:themeColor="text1"/>
          <w:sz w:val="28"/>
          <w:szCs w:val="28"/>
          <w:highlight w:val="none"/>
        </w:rPr>
        <w:fldChar w:fldCharType="begin"/>
      </w:r>
      <w:r>
        <w:rPr>
          <w:rFonts w:ascii="Times New Roman" w:hAnsi="Times New Roman" w:eastAsia="宋体"/>
          <w:color w:val="000000" w:themeColor="text1"/>
          <w:sz w:val="28"/>
          <w:szCs w:val="28"/>
          <w:highlight w:val="none"/>
        </w:rPr>
        <w:instrText xml:space="preserve"> PAGEREF _Toc19363 \h </w:instrText>
      </w:r>
      <w:r>
        <w:rPr>
          <w:rFonts w:ascii="Times New Roman" w:hAnsi="Times New Roman" w:eastAsia="宋体"/>
          <w:color w:val="000000" w:themeColor="text1"/>
          <w:sz w:val="28"/>
          <w:szCs w:val="28"/>
          <w:highlight w:val="none"/>
        </w:rPr>
        <w:fldChar w:fldCharType="separate"/>
      </w:r>
      <w:r>
        <w:rPr>
          <w:rFonts w:ascii="Times New Roman" w:hAnsi="Times New Roman" w:eastAsia="宋体"/>
          <w:color w:val="000000" w:themeColor="text1"/>
          <w:sz w:val="28"/>
          <w:szCs w:val="28"/>
          <w:highlight w:val="none"/>
        </w:rPr>
        <w:t xml:space="preserve">5</w:t>
      </w:r>
      <w:r>
        <w:rPr>
          <w:rFonts w:ascii="Times New Roman" w:hAnsi="Times New Roman" w:eastAsia="宋体"/>
          <w:color w:val="000000" w:themeColor="text1"/>
          <w:sz w:val="28"/>
          <w:szCs w:val="28"/>
          <w:highlight w:val="none"/>
        </w:rPr>
        <w:fldChar w:fldCharType="end"/>
      </w:r>
      <w:r>
        <w:rPr>
          <w:color w:val="000000" w:themeColor="text1"/>
        </w:rPr>
      </w:r>
      <w:r/>
    </w:p>
    <w:p>
      <w:pPr>
        <w:pStyle w:val="902"/>
        <w:keepLines w:val="0"/>
        <w:keepNext w:val="0"/>
        <w:pageBreakBefore w:val="0"/>
        <w:spacing w:line="360" w:lineRule="auto"/>
        <w:widowControl w:val="off"/>
        <w:tabs>
          <w:tab w:val="right" w:pos="8306" w:leader="dot"/>
        </w:tabs>
        <w:rPr>
          <w:rFonts w:ascii="Times New Roman" w:hAnsi="Times New Roman" w:eastAsia="宋体"/>
          <w:color w:val="000000" w:themeColor="text1"/>
          <w:sz w:val="28"/>
          <w:szCs w:val="28"/>
          <w:highlight w:val="none"/>
        </w:rPr>
      </w:pPr>
      <w:r>
        <w:rPr>
          <w:rFonts w:hint="eastAsia" w:ascii="Times New Roman" w:hAnsi="Times New Roman" w:eastAsia="宋体"/>
          <w:color w:val="000000" w:themeColor="text1"/>
          <w:sz w:val="28"/>
          <w:szCs w:val="28"/>
          <w:highlight w:val="none"/>
        </w:rPr>
        <w:t xml:space="preserve">第三章</w:t>
      </w:r>
      <w:r>
        <w:rPr>
          <w:rFonts w:hint="eastAsia" w:ascii="Times New Roman" w:hAnsi="Times New Roman" w:eastAsia="宋体"/>
          <w:color w:val="000000" w:themeColor="text1"/>
          <w:sz w:val="28"/>
          <w:szCs w:val="28"/>
          <w:highlight w:val="none"/>
          <w:lang w:val="en-US" w:eastAsia="zh-CN"/>
        </w:rPr>
        <w:t xml:space="preserve"> </w:t>
      </w:r>
      <w:r>
        <w:rPr>
          <w:rFonts w:hint="eastAsia" w:ascii="Times New Roman" w:hAnsi="Times New Roman" w:eastAsia="宋体"/>
          <w:color w:val="000000" w:themeColor="text1"/>
          <w:sz w:val="28"/>
          <w:szCs w:val="28"/>
          <w:highlight w:val="none"/>
        </w:rPr>
        <w:t xml:space="preserve">合同条款及格式</w:t>
      </w:r>
      <w:r>
        <w:rPr>
          <w:rFonts w:ascii="Times New Roman" w:hAnsi="Times New Roman" w:eastAsia="宋体"/>
          <w:color w:val="000000" w:themeColor="text1"/>
          <w:sz w:val="28"/>
          <w:szCs w:val="28"/>
          <w:highlight w:val="none"/>
        </w:rPr>
        <w:tab/>
      </w:r>
      <w:r>
        <w:rPr>
          <w:rFonts w:ascii="Times New Roman" w:hAnsi="Times New Roman" w:eastAsia="宋体"/>
          <w:color w:val="000000" w:themeColor="text1"/>
          <w:sz w:val="28"/>
          <w:szCs w:val="28"/>
          <w:highlight w:val="none"/>
        </w:rPr>
        <w:fldChar w:fldCharType="begin"/>
      </w:r>
      <w:r>
        <w:rPr>
          <w:rFonts w:ascii="Times New Roman" w:hAnsi="Times New Roman" w:eastAsia="宋体"/>
          <w:color w:val="000000" w:themeColor="text1"/>
          <w:sz w:val="28"/>
          <w:szCs w:val="28"/>
          <w:highlight w:val="none"/>
        </w:rPr>
        <w:instrText xml:space="preserve"> PAGEREF _Toc21800 \h </w:instrText>
      </w:r>
      <w:r>
        <w:rPr>
          <w:rFonts w:ascii="Times New Roman" w:hAnsi="Times New Roman" w:eastAsia="宋体"/>
          <w:color w:val="000000" w:themeColor="text1"/>
          <w:sz w:val="28"/>
          <w:szCs w:val="28"/>
          <w:highlight w:val="none"/>
        </w:rPr>
        <w:fldChar w:fldCharType="separate"/>
      </w:r>
      <w:r>
        <w:rPr>
          <w:rFonts w:ascii="Times New Roman" w:hAnsi="Times New Roman" w:eastAsia="宋体"/>
          <w:color w:val="000000" w:themeColor="text1"/>
          <w:sz w:val="28"/>
          <w:szCs w:val="28"/>
          <w:highlight w:val="none"/>
        </w:rPr>
        <w:t xml:space="preserve">18</w:t>
      </w:r>
      <w:r>
        <w:rPr>
          <w:rFonts w:ascii="Times New Roman" w:hAnsi="Times New Roman" w:eastAsia="宋体"/>
          <w:color w:val="000000" w:themeColor="text1"/>
          <w:sz w:val="28"/>
          <w:szCs w:val="28"/>
          <w:highlight w:val="none"/>
        </w:rPr>
        <w:fldChar w:fldCharType="end"/>
      </w:r>
      <w:r>
        <w:rPr>
          <w:color w:val="000000" w:themeColor="text1"/>
        </w:rPr>
      </w:r>
      <w:r/>
    </w:p>
    <w:p>
      <w:pPr>
        <w:pStyle w:val="902"/>
        <w:keepLines w:val="0"/>
        <w:keepNext w:val="0"/>
        <w:pageBreakBefore w:val="0"/>
        <w:spacing w:line="360" w:lineRule="auto"/>
        <w:widowControl w:val="off"/>
        <w:tabs>
          <w:tab w:val="right" w:pos="8306" w:leader="dot"/>
        </w:tabs>
        <w:rPr>
          <w:rFonts w:ascii="Times New Roman" w:hAnsi="Times New Roman" w:eastAsia="宋体"/>
          <w:color w:val="000000" w:themeColor="text1"/>
          <w:sz w:val="28"/>
          <w:szCs w:val="28"/>
          <w:highlight w:val="none"/>
        </w:rPr>
      </w:pPr>
      <w:r>
        <w:rPr>
          <w:rFonts w:hint="eastAsia" w:ascii="Times New Roman" w:hAnsi="Times New Roman" w:eastAsia="宋体"/>
          <w:color w:val="000000" w:themeColor="text1"/>
          <w:sz w:val="28"/>
          <w:szCs w:val="28"/>
          <w:highlight w:val="none"/>
        </w:rPr>
        <w:t xml:space="preserve">第四章</w:t>
      </w:r>
      <w:r>
        <w:rPr>
          <w:rFonts w:hint="eastAsia" w:ascii="Times New Roman" w:hAnsi="Times New Roman" w:eastAsia="宋体"/>
          <w:color w:val="000000" w:themeColor="text1"/>
          <w:sz w:val="28"/>
          <w:szCs w:val="28"/>
          <w:highlight w:val="none"/>
          <w:lang w:val="en-US" w:eastAsia="zh-CN"/>
        </w:rPr>
        <w:t xml:space="preserve"> </w:t>
      </w:r>
      <w:r>
        <w:rPr>
          <w:rFonts w:hint="eastAsia" w:ascii="Times New Roman" w:hAnsi="Times New Roman" w:eastAsia="宋体"/>
          <w:color w:val="000000" w:themeColor="text1"/>
          <w:sz w:val="28"/>
          <w:szCs w:val="28"/>
          <w:highlight w:val="none"/>
        </w:rPr>
        <w:t xml:space="preserve">项目需求</w:t>
      </w:r>
      <w:r>
        <w:rPr>
          <w:rFonts w:ascii="Times New Roman" w:hAnsi="Times New Roman" w:eastAsia="宋体"/>
          <w:color w:val="000000" w:themeColor="text1"/>
          <w:sz w:val="28"/>
          <w:szCs w:val="28"/>
          <w:highlight w:val="none"/>
        </w:rPr>
        <w:tab/>
      </w:r>
      <w:r>
        <w:rPr>
          <w:rFonts w:ascii="Times New Roman" w:hAnsi="Times New Roman" w:eastAsia="宋体"/>
          <w:color w:val="000000" w:themeColor="text1"/>
          <w:sz w:val="28"/>
          <w:szCs w:val="28"/>
          <w:highlight w:val="none"/>
        </w:rPr>
        <w:fldChar w:fldCharType="begin"/>
      </w:r>
      <w:r>
        <w:rPr>
          <w:rFonts w:ascii="Times New Roman" w:hAnsi="Times New Roman" w:eastAsia="宋体"/>
          <w:color w:val="000000" w:themeColor="text1"/>
          <w:sz w:val="28"/>
          <w:szCs w:val="28"/>
          <w:highlight w:val="none"/>
        </w:rPr>
        <w:instrText xml:space="preserve"> PAGEREF _Toc8078 \h </w:instrText>
      </w:r>
      <w:r>
        <w:rPr>
          <w:rFonts w:ascii="Times New Roman" w:hAnsi="Times New Roman" w:eastAsia="宋体"/>
          <w:color w:val="000000" w:themeColor="text1"/>
          <w:sz w:val="28"/>
          <w:szCs w:val="28"/>
          <w:highlight w:val="none"/>
        </w:rPr>
        <w:fldChar w:fldCharType="separate"/>
      </w:r>
      <w:r>
        <w:rPr>
          <w:rFonts w:ascii="Times New Roman" w:hAnsi="Times New Roman" w:eastAsia="宋体"/>
          <w:color w:val="000000" w:themeColor="text1"/>
          <w:sz w:val="28"/>
          <w:szCs w:val="28"/>
          <w:highlight w:val="none"/>
        </w:rPr>
        <w:t xml:space="preserve">22</w:t>
      </w:r>
      <w:r>
        <w:rPr>
          <w:rFonts w:ascii="Times New Roman" w:hAnsi="Times New Roman" w:eastAsia="宋体"/>
          <w:color w:val="000000" w:themeColor="text1"/>
          <w:sz w:val="28"/>
          <w:szCs w:val="28"/>
          <w:highlight w:val="none"/>
        </w:rPr>
        <w:fldChar w:fldCharType="end"/>
      </w:r>
      <w:r>
        <w:rPr>
          <w:color w:val="000000" w:themeColor="text1"/>
        </w:rPr>
      </w:r>
      <w:r/>
    </w:p>
    <w:p>
      <w:pPr>
        <w:pStyle w:val="902"/>
        <w:keepLines w:val="0"/>
        <w:keepNext w:val="0"/>
        <w:pageBreakBefore w:val="0"/>
        <w:spacing w:line="360" w:lineRule="auto"/>
        <w:widowControl w:val="off"/>
        <w:tabs>
          <w:tab w:val="right" w:pos="8306" w:leader="dot"/>
        </w:tabs>
        <w:rPr>
          <w:rFonts w:ascii="Times New Roman" w:hAnsi="Times New Roman" w:eastAsia="宋体"/>
          <w:color w:val="000000" w:themeColor="text1"/>
          <w:sz w:val="28"/>
          <w:szCs w:val="28"/>
          <w:highlight w:val="none"/>
        </w:rPr>
      </w:pPr>
      <w:r>
        <w:rPr>
          <w:rFonts w:hint="eastAsia" w:ascii="Times New Roman" w:hAnsi="Times New Roman" w:eastAsia="宋体"/>
          <w:color w:val="000000" w:themeColor="text1"/>
          <w:sz w:val="28"/>
          <w:szCs w:val="28"/>
          <w:highlight w:val="none"/>
        </w:rPr>
        <w:t xml:space="preserve">第五章</w:t>
      </w:r>
      <w:r>
        <w:rPr>
          <w:rFonts w:hint="eastAsia" w:ascii="Times New Roman" w:hAnsi="Times New Roman" w:eastAsia="宋体"/>
          <w:color w:val="000000" w:themeColor="text1"/>
          <w:sz w:val="28"/>
          <w:szCs w:val="28"/>
          <w:highlight w:val="none"/>
          <w:lang w:val="en-US" w:eastAsia="zh-CN"/>
        </w:rPr>
        <w:t xml:space="preserve"> </w:t>
      </w:r>
      <w:r>
        <w:rPr>
          <w:rFonts w:hint="eastAsia" w:ascii="Times New Roman" w:hAnsi="Times New Roman" w:eastAsia="宋体"/>
          <w:color w:val="000000" w:themeColor="text1"/>
          <w:sz w:val="28"/>
          <w:szCs w:val="28"/>
          <w:highlight w:val="none"/>
        </w:rPr>
        <w:t xml:space="preserve">评标方法及评标标准</w:t>
      </w:r>
      <w:r>
        <w:rPr>
          <w:rFonts w:ascii="Times New Roman" w:hAnsi="Times New Roman" w:eastAsia="宋体"/>
          <w:color w:val="000000" w:themeColor="text1"/>
          <w:sz w:val="28"/>
          <w:szCs w:val="28"/>
          <w:highlight w:val="none"/>
        </w:rPr>
        <w:tab/>
      </w:r>
      <w:r>
        <w:rPr>
          <w:rFonts w:ascii="Times New Roman" w:hAnsi="Times New Roman" w:eastAsia="宋体"/>
          <w:color w:val="000000" w:themeColor="text1"/>
          <w:sz w:val="28"/>
          <w:szCs w:val="28"/>
          <w:highlight w:val="none"/>
        </w:rPr>
        <w:fldChar w:fldCharType="begin"/>
      </w:r>
      <w:r>
        <w:rPr>
          <w:rFonts w:ascii="Times New Roman" w:hAnsi="Times New Roman" w:eastAsia="宋体"/>
          <w:color w:val="000000" w:themeColor="text1"/>
          <w:sz w:val="28"/>
          <w:szCs w:val="28"/>
          <w:highlight w:val="none"/>
        </w:rPr>
        <w:instrText xml:space="preserve"> PAGEREF _Toc5361 \h </w:instrText>
      </w:r>
      <w:r>
        <w:rPr>
          <w:rFonts w:ascii="Times New Roman" w:hAnsi="Times New Roman" w:eastAsia="宋体"/>
          <w:color w:val="000000" w:themeColor="text1"/>
          <w:sz w:val="28"/>
          <w:szCs w:val="28"/>
          <w:highlight w:val="none"/>
        </w:rPr>
        <w:fldChar w:fldCharType="separate"/>
      </w:r>
      <w:r>
        <w:rPr>
          <w:rFonts w:ascii="Times New Roman" w:hAnsi="Times New Roman" w:eastAsia="宋体"/>
          <w:color w:val="000000" w:themeColor="text1"/>
          <w:sz w:val="28"/>
          <w:szCs w:val="28"/>
          <w:highlight w:val="none"/>
        </w:rPr>
        <w:t xml:space="preserve">41</w:t>
      </w:r>
      <w:r>
        <w:rPr>
          <w:rFonts w:ascii="Times New Roman" w:hAnsi="Times New Roman" w:eastAsia="宋体"/>
          <w:color w:val="000000" w:themeColor="text1"/>
          <w:sz w:val="28"/>
          <w:szCs w:val="28"/>
          <w:highlight w:val="none"/>
        </w:rPr>
        <w:fldChar w:fldCharType="end"/>
      </w:r>
      <w:r>
        <w:rPr>
          <w:color w:val="000000" w:themeColor="text1"/>
        </w:rPr>
      </w:r>
      <w:r/>
    </w:p>
    <w:p>
      <w:pPr>
        <w:pStyle w:val="902"/>
        <w:keepLines w:val="0"/>
        <w:keepNext w:val="0"/>
        <w:pageBreakBefore w:val="0"/>
        <w:spacing w:line="360" w:lineRule="auto"/>
        <w:widowControl w:val="off"/>
        <w:tabs>
          <w:tab w:val="right" w:pos="8306" w:leader="dot"/>
        </w:tabs>
        <w:rPr>
          <w:rFonts w:ascii="Times New Roman" w:hAnsi="Times New Roman" w:eastAsia="宋体"/>
          <w:color w:val="000000" w:themeColor="text1"/>
          <w:sz w:val="28"/>
          <w:szCs w:val="28"/>
          <w:highlight w:val="none"/>
        </w:rPr>
      </w:pPr>
      <w:r>
        <w:rPr>
          <w:rFonts w:hint="eastAsia" w:ascii="Times New Roman" w:hAnsi="Times New Roman" w:eastAsia="宋体"/>
          <w:color w:val="000000" w:themeColor="text1"/>
          <w:sz w:val="28"/>
          <w:szCs w:val="28"/>
          <w:highlight w:val="none"/>
        </w:rPr>
        <w:t xml:space="preserve">第六章</w:t>
      </w:r>
      <w:r>
        <w:rPr>
          <w:rFonts w:hint="eastAsia" w:ascii="Times New Roman" w:hAnsi="Times New Roman" w:eastAsia="宋体"/>
          <w:color w:val="000000" w:themeColor="text1"/>
          <w:sz w:val="28"/>
          <w:szCs w:val="28"/>
          <w:highlight w:val="none"/>
          <w:lang w:val="en-US" w:eastAsia="zh-CN"/>
        </w:rPr>
        <w:t xml:space="preserve"> </w:t>
      </w:r>
      <w:r>
        <w:rPr>
          <w:rFonts w:hint="eastAsia" w:ascii="Times New Roman" w:hAnsi="Times New Roman" w:eastAsia="宋体"/>
          <w:color w:val="000000" w:themeColor="text1"/>
          <w:sz w:val="28"/>
          <w:szCs w:val="28"/>
          <w:highlight w:val="none"/>
        </w:rPr>
        <w:t xml:space="preserve">投标文件格式</w:t>
      </w:r>
      <w:r>
        <w:rPr>
          <w:rFonts w:ascii="Times New Roman" w:hAnsi="Times New Roman" w:eastAsia="宋体"/>
          <w:color w:val="000000" w:themeColor="text1"/>
          <w:sz w:val="28"/>
          <w:szCs w:val="28"/>
          <w:highlight w:val="none"/>
        </w:rPr>
        <w:tab/>
      </w:r>
      <w:r>
        <w:rPr>
          <w:rFonts w:ascii="Times New Roman" w:hAnsi="Times New Roman" w:eastAsia="宋体"/>
          <w:color w:val="000000" w:themeColor="text1"/>
          <w:sz w:val="28"/>
          <w:szCs w:val="28"/>
          <w:highlight w:val="none"/>
        </w:rPr>
        <w:fldChar w:fldCharType="begin"/>
      </w:r>
      <w:r>
        <w:rPr>
          <w:rFonts w:ascii="Times New Roman" w:hAnsi="Times New Roman" w:eastAsia="宋体"/>
          <w:color w:val="000000" w:themeColor="text1"/>
          <w:sz w:val="28"/>
          <w:szCs w:val="28"/>
          <w:highlight w:val="none"/>
        </w:rPr>
        <w:instrText xml:space="preserve"> PAGEREF _Toc23223 \h </w:instrText>
      </w:r>
      <w:r>
        <w:rPr>
          <w:rFonts w:ascii="Times New Roman" w:hAnsi="Times New Roman" w:eastAsia="宋体"/>
          <w:color w:val="000000" w:themeColor="text1"/>
          <w:sz w:val="28"/>
          <w:szCs w:val="28"/>
          <w:highlight w:val="none"/>
        </w:rPr>
        <w:fldChar w:fldCharType="separate"/>
      </w:r>
      <w:r>
        <w:rPr>
          <w:rFonts w:ascii="Times New Roman" w:hAnsi="Times New Roman" w:eastAsia="宋体"/>
          <w:color w:val="000000" w:themeColor="text1"/>
          <w:sz w:val="28"/>
          <w:szCs w:val="28"/>
          <w:highlight w:val="none"/>
        </w:rPr>
        <w:t xml:space="preserve">47</w:t>
      </w:r>
      <w:r>
        <w:rPr>
          <w:rFonts w:ascii="Times New Roman" w:hAnsi="Times New Roman" w:eastAsia="宋体"/>
          <w:color w:val="000000" w:themeColor="text1"/>
          <w:sz w:val="28"/>
          <w:szCs w:val="28"/>
          <w:highlight w:val="none"/>
        </w:rPr>
        <w:fldChar w:fldCharType="end"/>
      </w:r>
      <w:r>
        <w:rPr>
          <w:color w:val="000000" w:themeColor="text1"/>
        </w:rPr>
      </w:r>
      <w:r/>
    </w:p>
    <w:p>
      <w:pPr>
        <w:pStyle w:val="903"/>
        <w:keepLines w:val="0"/>
        <w:keepNext w:val="0"/>
        <w:pageBreakBefore w:val="0"/>
        <w:spacing w:line="360" w:lineRule="auto"/>
        <w:widowControl w:val="off"/>
        <w:tabs>
          <w:tab w:val="right" w:pos="8306" w:leader="dot"/>
        </w:tabs>
        <w:rPr>
          <w:rFonts w:ascii="Times New Roman" w:hAnsi="Times New Roman" w:eastAsia="宋体"/>
          <w:color w:val="000000" w:themeColor="text1"/>
          <w:sz w:val="28"/>
          <w:szCs w:val="28"/>
          <w:highlight w:val="none"/>
        </w:rPr>
      </w:pPr>
      <w:r>
        <w:rPr>
          <w:rFonts w:ascii="Times New Roman" w:hAnsi="Times New Roman" w:eastAsia="宋体"/>
          <w:color w:val="000000" w:themeColor="text1"/>
          <w:sz w:val="28"/>
          <w:szCs w:val="28"/>
          <w:highlight w:val="none"/>
        </w:rPr>
      </w:r>
      <w:r>
        <w:rPr>
          <w:color w:val="000000" w:themeColor="text1"/>
        </w:rPr>
      </w:r>
      <w:r/>
    </w:p>
    <w:p>
      <w:pPr>
        <w:keepLines w:val="0"/>
        <w:keepNext w:val="0"/>
        <w:pageBreakBefore w:val="0"/>
        <w:spacing w:line="360" w:lineRule="auto"/>
        <w:widowControl w:val="off"/>
        <w:rPr>
          <w:rFonts w:ascii="Times New Roman" w:hAnsi="Times New Roman" w:eastAsia="宋体"/>
          <w:color w:val="000000" w:themeColor="text1"/>
          <w:sz w:val="28"/>
          <w:highlight w:val="none"/>
        </w:rPr>
      </w:pPr>
      <w:r>
        <w:rPr>
          <w:rFonts w:hint="eastAsia" w:ascii="Times New Roman" w:hAnsi="Times New Roman" w:eastAsia="宋体"/>
          <w:color w:val="000000" w:themeColor="text1"/>
          <w:sz w:val="28"/>
          <w:szCs w:val="28"/>
          <w:highlight w:val="none"/>
        </w:rPr>
        <w:fldChar w:fldCharType="end"/>
      </w:r>
      <w:r>
        <w:rPr>
          <w:color w:val="000000" w:themeColor="text1"/>
        </w:rPr>
      </w:r>
      <w:r/>
    </w:p>
    <w:p>
      <w:pPr>
        <w:pStyle w:val="886"/>
        <w:jc w:val="center"/>
        <w:pageBreakBefore w:val="0"/>
        <w:spacing w:before="0" w:after="0" w:line="360" w:lineRule="auto"/>
        <w:rPr>
          <w:rFonts w:ascii="Times New Roman" w:hAnsi="Times New Roman" w:eastAsia="宋体"/>
          <w:color w:val="000000" w:themeColor="text1"/>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rPr>
          <w:color w:val="000000" w:themeColor="text1"/>
        </w:rPr>
      </w:r>
      <w:bookmarkStart w:id="0" w:name="_Toc55204177"/>
      <w:r>
        <w:rPr>
          <w:color w:val="000000" w:themeColor="text1"/>
        </w:rPr>
      </w:r>
      <w:r/>
    </w:p>
    <w:p>
      <w:pPr>
        <w:pStyle w:val="886"/>
        <w:jc w:val="center"/>
        <w:pageBreakBefore w:val="0"/>
        <w:spacing w:before="0" w:after="0" w:line="360" w:lineRule="auto"/>
        <w:rPr>
          <w:rFonts w:ascii="Times New Roman" w:hAnsi="Times New Roman" w:eastAsia="宋体"/>
          <w:color w:val="000000" w:themeColor="text1"/>
          <w:sz w:val="36"/>
          <w:szCs w:val="36"/>
          <w:highlight w:val="none"/>
        </w:rPr>
      </w:pPr>
      <w:r>
        <w:rPr>
          <w:color w:val="000000" w:themeColor="text1"/>
        </w:rPr>
      </w:r>
      <w:bookmarkStart w:id="1" w:name="_Toc11664"/>
      <w:r>
        <w:rPr>
          <w:rFonts w:hint="eastAsia" w:ascii="Times New Roman" w:hAnsi="Times New Roman" w:eastAsia="宋体"/>
          <w:color w:val="000000" w:themeColor="text1"/>
          <w:sz w:val="36"/>
          <w:szCs w:val="36"/>
          <w:highlight w:val="none"/>
        </w:rPr>
        <w:t xml:space="preserve">第一章</w:t>
      </w:r>
      <w:bookmarkEnd w:id="0"/>
      <w:r>
        <w:rPr>
          <w:rFonts w:hint="eastAsia" w:ascii="Times New Roman" w:hAnsi="Times New Roman" w:eastAsia="宋体"/>
          <w:color w:val="000000" w:themeColor="text1"/>
          <w:sz w:val="36"/>
          <w:szCs w:val="36"/>
          <w:highlight w:val="none"/>
          <w:lang w:val="en-US" w:eastAsia="zh-CN"/>
        </w:rPr>
        <w:t xml:space="preserve"> </w:t>
      </w:r>
      <w:r>
        <w:rPr>
          <w:rFonts w:hint="eastAsia" w:ascii="Times New Roman" w:hAnsi="Times New Roman" w:eastAsia="宋体"/>
          <w:color w:val="000000" w:themeColor="text1"/>
          <w:sz w:val="36"/>
          <w:szCs w:val="36"/>
          <w:highlight w:val="none"/>
        </w:rPr>
        <w:t xml:space="preserve">投标邀请</w:t>
      </w:r>
      <w:bookmarkEnd w:id="1"/>
      <w:r>
        <w:rPr>
          <w:color w:val="000000" w:themeColor="text1"/>
        </w:rPr>
      </w:r>
      <w:r/>
    </w:p>
    <w:p>
      <w:pPr>
        <w:ind w:firstLine="420"/>
        <w:jc w:val="left"/>
        <w:pageBreakBefore w:val="0"/>
        <w:spacing w:line="360" w:lineRule="auto"/>
        <w:tabs>
          <w:tab w:val="left" w:pos="266" w:leader="none"/>
        </w:tabs>
        <w:rPr>
          <w:rFonts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highlight w:val="none"/>
        </w:rPr>
        <w:t xml:space="preserve">受</w:t>
      </w:r>
      <w:r>
        <w:rPr>
          <w:rFonts w:hint="eastAsia" w:ascii="Times New Roman" w:hAnsi="Times New Roman" w:eastAsia="宋体" w:cs="宋体"/>
          <w:color w:val="000000" w:themeColor="text1"/>
          <w:highlight w:val="none"/>
          <w:lang w:eastAsia="zh-CN"/>
        </w:rPr>
        <w:t xml:space="preserve">扬州市瘦西湖风景区管理处</w:t>
      </w:r>
      <w:r>
        <w:rPr>
          <w:rFonts w:hint="eastAsia" w:ascii="Times New Roman" w:hAnsi="Times New Roman" w:eastAsia="宋体" w:cs="宋体"/>
          <w:color w:val="000000" w:themeColor="text1"/>
          <w:highlight w:val="none"/>
        </w:rPr>
        <w:t xml:space="preserve">的委托，江苏苏维工程管理有限公司就</w:t>
      </w:r>
      <w:r>
        <w:rPr>
          <w:rFonts w:hint="eastAsia" w:ascii="Times New Roman" w:hAnsi="Times New Roman" w:eastAsia="宋体"/>
          <w:color w:val="000000" w:themeColor="text1"/>
          <w:highlight w:val="none"/>
          <w:lang w:eastAsia="zh-CN"/>
        </w:rPr>
        <w:t xml:space="preserve">扬州市瘦西湖风景区管理处瘦西湖景区绿化养护项目</w:t>
      </w:r>
      <w:r>
        <w:rPr>
          <w:rFonts w:hint="eastAsia" w:ascii="Times New Roman" w:hAnsi="Times New Roman" w:eastAsia="宋体" w:cs="宋体"/>
          <w:color w:val="000000" w:themeColor="text1"/>
          <w:highlight w:val="none"/>
        </w:rPr>
        <w:t xml:space="preserve">（</w:t>
      </w:r>
      <w:r>
        <w:rPr>
          <w:rFonts w:hint="eastAsia" w:ascii="Times New Roman" w:hAnsi="Times New Roman" w:eastAsia="宋体"/>
          <w:color w:val="000000" w:themeColor="text1"/>
          <w:szCs w:val="21"/>
          <w:highlight w:val="none"/>
          <w:lang w:eastAsia="zh-CN"/>
        </w:rPr>
        <w:t xml:space="preserve">JSZC-321092-SWGC-G2026-0069号</w:t>
      </w:r>
      <w:r>
        <w:rPr>
          <w:rFonts w:hint="eastAsia" w:ascii="Times New Roman" w:hAnsi="Times New Roman" w:eastAsia="宋体" w:cs="宋体"/>
          <w:color w:val="000000" w:themeColor="text1"/>
          <w:highlight w:val="none"/>
        </w:rPr>
        <w:t xml:space="preserve">）进行公开招标采购，欢迎符合条件的供应商投标。</w:t>
      </w:r>
      <w:r>
        <w:rPr>
          <w:color w:val="000000" w:themeColor="text1"/>
        </w:rPr>
      </w:r>
      <w:r/>
    </w:p>
    <w:p>
      <w:pPr>
        <w:ind w:firstLine="422"/>
        <w:pageBreakBefore w:val="0"/>
        <w:spacing w:line="360" w:lineRule="auto"/>
        <w:rPr>
          <w:rFonts w:ascii="Times New Roman" w:hAnsi="Times New Roman" w:eastAsia="宋体" w:cs="宋体"/>
          <w:b/>
          <w:bCs/>
          <w:color w:val="000000" w:themeColor="text1"/>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宋体"/>
          <w:b/>
          <w:bCs/>
          <w:color w:val="000000" w:themeColor="text1"/>
          <w:highlight w:val="none"/>
        </w:rPr>
        <w:t xml:space="preserve">项目概况</w:t>
      </w:r>
      <w:r>
        <w:rPr>
          <w:color w:val="000000" w:themeColor="text1"/>
        </w:rPr>
      </w:r>
      <w:r/>
    </w:p>
    <w:p>
      <w:pPr>
        <w:ind w:firstLine="420"/>
        <w:pageBreakBefore w:val="0"/>
        <w:spacing w:line="360" w:lineRule="auto"/>
        <w:rPr>
          <w:rFonts w:ascii="Times New Roman" w:hAnsi="Times New Roman" w:eastAsia="宋体" w:cs="宋体"/>
          <w:color w:val="000000" w:themeColor="text1"/>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olor w:val="000000" w:themeColor="text1"/>
          <w:highlight w:val="none"/>
          <w:u w:val="single"/>
          <w:lang w:eastAsia="zh-CN"/>
        </w:rPr>
        <w:t xml:space="preserve">扬州市瘦西湖风景区管理处瘦西湖景区绿化养护项目</w:t>
      </w:r>
      <w:r>
        <w:rPr>
          <w:rFonts w:hint="eastAsia" w:ascii="Times New Roman" w:hAnsi="Times New Roman" w:eastAsia="宋体" w:cs="宋体"/>
          <w:color w:val="000000" w:themeColor="text1"/>
          <w:highlight w:val="none"/>
        </w:rPr>
        <w:t xml:space="preserve">的潜在投标人可在</w:t>
      </w:r>
      <w:r>
        <w:rPr>
          <w:rFonts w:hint="eastAsia" w:ascii="Times New Roman" w:hAnsi="Times New Roman" w:eastAsia="宋体" w:cs="宋体"/>
          <w:color w:val="000000" w:themeColor="text1"/>
          <w:highlight w:val="none"/>
          <w:u w:val="single"/>
        </w:rPr>
        <w:t xml:space="preserve">“扬州市政府采购网”、“江苏省政府采购网”和“中国政府采购网”自行免费下载</w:t>
      </w:r>
      <w:r>
        <w:rPr>
          <w:rFonts w:hint="eastAsia" w:ascii="Times New Roman" w:hAnsi="Times New Roman" w:eastAsia="宋体" w:cs="宋体"/>
          <w:color w:val="000000" w:themeColor="text1"/>
          <w:highlight w:val="none"/>
        </w:rPr>
        <w:t xml:space="preserve">招标文件，并于</w:t>
      </w:r>
      <w:r>
        <w:rPr>
          <w:rFonts w:hint="eastAsia" w:ascii="Times New Roman" w:hAnsi="Times New Roman" w:eastAsia="宋体" w:cs="宋体"/>
          <w:bCs/>
          <w:color w:val="000000" w:themeColor="text1"/>
          <w:highlight w:val="none"/>
          <w:u w:val="single"/>
        </w:rPr>
        <w:t xml:space="preserve">2026年</w:t>
      </w:r>
      <w:r>
        <w:rPr>
          <w:rFonts w:hint="eastAsia" w:ascii="Times New Roman" w:hAnsi="Times New Roman" w:eastAsia="宋体" w:cs="宋体"/>
          <w:bCs/>
          <w:color w:val="000000" w:themeColor="text1"/>
          <w:highlight w:val="none"/>
          <w:u w:val="single"/>
          <w:lang w:val="en-US" w:eastAsia="zh-CN"/>
        </w:rPr>
        <w:t xml:space="preserve">0</w:t>
      </w:r>
      <w:r>
        <w:rPr>
          <w:rFonts w:hint="eastAsia" w:ascii="Times New Roman" w:hAnsi="Times New Roman" w:eastAsia="宋体" w:cs="宋体"/>
          <w:bCs/>
          <w:color w:val="000000" w:themeColor="text1"/>
          <w:highlight w:val="none"/>
          <w:u w:val="single"/>
          <w:lang w:val="en-US" w:eastAsia="zh-CN"/>
        </w:rPr>
        <w:t xml:space="preserve">6</w:t>
      </w:r>
      <w:r>
        <w:rPr>
          <w:rFonts w:hint="eastAsia" w:ascii="Times New Roman" w:hAnsi="Times New Roman" w:eastAsia="宋体" w:cs="宋体"/>
          <w:bCs/>
          <w:color w:val="000000" w:themeColor="text1"/>
          <w:highlight w:val="none"/>
          <w:u w:val="single"/>
        </w:rPr>
        <w:t xml:space="preserve">月</w:t>
      </w:r>
      <w:r>
        <w:rPr>
          <w:rFonts w:hint="eastAsia" w:ascii="Times New Roman" w:hAnsi="Times New Roman" w:eastAsia="宋体" w:cs="宋体"/>
          <w:bCs/>
          <w:color w:val="000000" w:themeColor="text1"/>
          <w:highlight w:val="none"/>
          <w:u w:val="single"/>
          <w:lang w:val="en-US" w:eastAsia="zh-CN"/>
        </w:rPr>
        <w:t xml:space="preserve">24</w:t>
      </w:r>
      <w:r>
        <w:rPr>
          <w:rFonts w:hint="eastAsia" w:ascii="Times New Roman" w:hAnsi="Times New Roman" w:eastAsia="宋体" w:cs="宋体"/>
          <w:bCs/>
          <w:color w:val="000000" w:themeColor="text1"/>
          <w:highlight w:val="none"/>
          <w:u w:val="single"/>
        </w:rPr>
        <w:t xml:space="preserve">日上午09：30</w:t>
      </w:r>
      <w:r>
        <w:rPr>
          <w:rFonts w:hint="eastAsia" w:ascii="Times New Roman" w:hAnsi="Times New Roman" w:eastAsia="宋体" w:cs="宋体"/>
          <w:bCs/>
          <w:color w:val="000000" w:themeColor="text1"/>
          <w:highlight w:val="none"/>
        </w:rPr>
        <w:t xml:space="preserve">（北京时间）前递交投标文件</w:t>
      </w:r>
      <w:r>
        <w:rPr>
          <w:rFonts w:hint="eastAsia" w:ascii="Times New Roman" w:hAnsi="Times New Roman" w:eastAsia="宋体" w:cs="宋体"/>
          <w:color w:val="000000" w:themeColor="text1"/>
          <w:highlight w:val="none"/>
        </w:rPr>
        <w:t xml:space="preserve">。</w:t>
      </w:r>
      <w:r>
        <w:rPr>
          <w:color w:val="000000" w:themeColor="text1"/>
        </w:rPr>
      </w:r>
      <w:r/>
    </w:p>
    <w:p>
      <w:pPr>
        <w:pageBreakBefore w:val="0"/>
        <w:spacing w:line="360" w:lineRule="auto"/>
        <w:tabs>
          <w:tab w:val="left" w:pos="266" w:leader="none"/>
        </w:tabs>
        <w:rPr>
          <w:rFonts w:ascii="Times New Roman" w:hAnsi="Times New Roman" w:eastAsia="宋体" w:cs="宋体"/>
          <w:b/>
          <w:bCs/>
          <w:color w:val="000000" w:themeColor="text1"/>
          <w:highlight w:val="none"/>
        </w:rPr>
      </w:pPr>
      <w:r>
        <w:rPr>
          <w:color w:val="000000" w:themeColor="text1"/>
        </w:rPr>
      </w:r>
      <w:bookmarkStart w:id="2" w:name="_Toc28359079"/>
      <w:r>
        <w:rPr>
          <w:color w:val="000000" w:themeColor="text1"/>
        </w:rPr>
      </w:r>
      <w:bookmarkStart w:id="3" w:name="_Toc38985263"/>
      <w:r>
        <w:rPr>
          <w:color w:val="000000" w:themeColor="text1"/>
        </w:rPr>
      </w:r>
      <w:bookmarkStart w:id="4" w:name="_Toc35393621"/>
      <w:r>
        <w:rPr>
          <w:color w:val="000000" w:themeColor="text1"/>
        </w:rPr>
      </w:r>
      <w:bookmarkStart w:id="5" w:name="_Toc35393790"/>
      <w:r>
        <w:rPr>
          <w:color w:val="000000" w:themeColor="text1"/>
        </w:rPr>
      </w:r>
      <w:bookmarkStart w:id="6" w:name="_Toc28359002"/>
      <w:r>
        <w:rPr>
          <w:color w:val="000000" w:themeColor="text1"/>
        </w:rPr>
      </w:r>
      <w:bookmarkStart w:id="7" w:name="_Hlk24379207"/>
      <w:r>
        <w:rPr>
          <w:rFonts w:hint="eastAsia" w:ascii="Times New Roman" w:hAnsi="Times New Roman" w:eastAsia="宋体" w:cs="宋体"/>
          <w:b/>
          <w:bCs/>
          <w:color w:val="000000" w:themeColor="text1"/>
          <w:highlight w:val="none"/>
        </w:rPr>
        <w:t xml:space="preserve">一、项目基本情况</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6"/>
      <w:r>
        <w:rPr>
          <w:color w:val="000000" w:themeColor="text1"/>
        </w:rPr>
      </w:r>
      <w:r/>
    </w:p>
    <w:p>
      <w:pPr>
        <w:ind w:firstLine="420"/>
        <w:pageBreakBefore w:val="0"/>
        <w:spacing w:line="360" w:lineRule="auto"/>
        <w:rPr>
          <w:rFonts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highlight w:val="none"/>
        </w:rPr>
        <w:t xml:space="preserve">1.项目编号：</w:t>
      </w:r>
      <w:r>
        <w:rPr>
          <w:rFonts w:hint="eastAsia" w:ascii="Times New Roman" w:hAnsi="Times New Roman" w:eastAsia="宋体"/>
          <w:color w:val="000000" w:themeColor="text1"/>
          <w:szCs w:val="21"/>
          <w:highlight w:val="none"/>
          <w:lang w:eastAsia="zh-CN"/>
        </w:rPr>
        <w:t xml:space="preserve">JSZC-321092-SWGC-G2026-0069号</w:t>
      </w:r>
      <w:r>
        <w:rPr>
          <w:color w:val="000000" w:themeColor="text1"/>
        </w:rPr>
      </w:r>
      <w:r/>
    </w:p>
    <w:p>
      <w:pPr>
        <w:ind w:firstLine="420"/>
        <w:pageBreakBefore w:val="0"/>
        <w:spacing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2.项目名称：</w:t>
      </w:r>
      <w:r>
        <w:rPr>
          <w:rFonts w:hint="eastAsia" w:ascii="Times New Roman" w:hAnsi="Times New Roman" w:eastAsia="宋体"/>
          <w:color w:val="000000" w:themeColor="text1"/>
          <w:highlight w:val="none"/>
          <w:lang w:eastAsia="zh-CN"/>
        </w:rPr>
        <w:t xml:space="preserve">扬州市瘦西湖风景区管理处瘦西湖景区绿化养护项目</w:t>
      </w:r>
      <w:bookmarkEnd w:id="7"/>
      <w:r>
        <w:rPr>
          <w:color w:val="000000" w:themeColor="text1"/>
        </w:rPr>
      </w:r>
      <w:r/>
    </w:p>
    <w:p>
      <w:pPr>
        <w:ind w:firstLine="420"/>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3.预算金额</w:t>
      </w:r>
      <w:r>
        <w:rPr>
          <w:rFonts w:hint="eastAsia" w:ascii="Times New Roman" w:hAnsi="Times New Roman" w:eastAsia="宋体" w:cs="宋体"/>
          <w:color w:val="000000" w:themeColor="text1"/>
          <w:highlight w:val="none"/>
          <w:lang w:eastAsia="zh-CN"/>
        </w:rPr>
        <w:t xml:space="preserve">：</w:t>
      </w:r>
      <w:r>
        <w:rPr>
          <w:rFonts w:hint="eastAsia" w:ascii="Times New Roman" w:hAnsi="Times New Roman" w:eastAsia="宋体" w:cs="宋体"/>
          <w:color w:val="000000" w:themeColor="text1"/>
          <w:highlight w:val="none"/>
        </w:rPr>
        <w:t xml:space="preserve">1年预算300万元；3年预算900万元。</w:t>
      </w:r>
      <w:r>
        <w:rPr>
          <w:color w:val="000000" w:themeColor="text1"/>
        </w:rPr>
      </w:r>
      <w:r/>
    </w:p>
    <w:p>
      <w:pPr>
        <w:ind w:firstLine="420"/>
        <w:pageBreakBefore w:val="0"/>
        <w:spacing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4.本项目设置</w:t>
      </w:r>
      <w:r>
        <w:rPr>
          <w:rFonts w:hint="eastAsia" w:ascii="Times New Roman" w:hAnsi="Times New Roman" w:eastAsia="宋体" w:cs="宋体"/>
          <w:color w:val="000000" w:themeColor="text1"/>
          <w:highlight w:val="none"/>
          <w:lang w:val="en-US" w:eastAsia="zh-CN"/>
        </w:rPr>
        <w:t xml:space="preserve">最高限价：</w:t>
      </w:r>
      <w:r>
        <w:rPr>
          <w:rFonts w:hint="eastAsia" w:ascii="Times New Roman" w:hAnsi="Times New Roman" w:eastAsia="宋体" w:cs="宋体"/>
          <w:color w:val="000000" w:themeColor="text1"/>
          <w:highlight w:val="none"/>
        </w:rPr>
        <w:t xml:space="preserve">1年最高限价</w:t>
      </w:r>
      <w:r>
        <w:rPr>
          <w:rFonts w:hint="eastAsia" w:ascii="Times New Roman" w:hAnsi="Times New Roman" w:eastAsia="宋体" w:cs="宋体"/>
          <w:color w:val="000000" w:themeColor="text1"/>
          <w:highlight w:val="none"/>
          <w:lang w:val="en-US" w:eastAsia="zh-CN"/>
        </w:rPr>
        <w:t xml:space="preserve">294.63万元</w:t>
      </w:r>
      <w:r>
        <w:rPr>
          <w:rFonts w:hint="eastAsia" w:ascii="Times New Roman" w:hAnsi="Times New Roman" w:eastAsia="宋体" w:cs="宋体"/>
          <w:color w:val="000000" w:themeColor="text1"/>
          <w:highlight w:val="none"/>
        </w:rPr>
        <w:t xml:space="preserve">，3年最高限价</w:t>
      </w:r>
      <w:r>
        <w:rPr>
          <w:rFonts w:hint="eastAsia" w:ascii="Times New Roman" w:hAnsi="Times New Roman" w:eastAsia="宋体" w:cs="宋体"/>
          <w:color w:val="000000" w:themeColor="text1"/>
          <w:highlight w:val="none"/>
          <w:lang w:val="en-US" w:eastAsia="zh-CN"/>
        </w:rPr>
        <w:t xml:space="preserve">883.89</w:t>
      </w:r>
      <w:r>
        <w:rPr>
          <w:rFonts w:hint="eastAsia" w:ascii="Times New Roman" w:hAnsi="Times New Roman" w:eastAsia="宋体" w:cs="宋体"/>
          <w:color w:val="000000" w:themeColor="text1"/>
          <w:highlight w:val="none"/>
        </w:rPr>
        <w:t xml:space="preserve">万元。</w:t>
      </w:r>
      <w:r>
        <w:rPr>
          <w:rFonts w:hint="eastAsia" w:ascii="Times New Roman" w:hAnsi="Times New Roman" w:eastAsia="宋体" w:cs="宋体"/>
          <w:color w:val="000000" w:themeColor="text1"/>
          <w:highlight w:val="none"/>
        </w:rPr>
        <w:t xml:space="preserve">投标按</w:t>
      </w:r>
      <w:r>
        <w:rPr>
          <w:rFonts w:hint="eastAsia" w:ascii="Times New Roman" w:hAnsi="Times New Roman" w:eastAsia="宋体" w:cs="宋体"/>
          <w:color w:val="000000" w:themeColor="text1"/>
          <w:highlight w:val="none"/>
          <w:lang w:val="en-US" w:eastAsia="zh-CN"/>
        </w:rPr>
        <w:t xml:space="preserve">1</w:t>
      </w:r>
      <w:r>
        <w:rPr>
          <w:rFonts w:hint="eastAsia" w:ascii="Times New Roman" w:hAnsi="Times New Roman" w:eastAsia="宋体" w:cs="宋体"/>
          <w:color w:val="000000" w:themeColor="text1"/>
          <w:highlight w:val="none"/>
        </w:rPr>
        <w:t xml:space="preserve">年期报价，超过最高限价为无效报价，做无效</w:t>
      </w:r>
      <w:r>
        <w:rPr>
          <w:rFonts w:hint="eastAsia" w:ascii="Times New Roman" w:hAnsi="Times New Roman" w:eastAsia="宋体" w:cs="宋体"/>
          <w:color w:val="000000" w:themeColor="text1"/>
          <w:highlight w:val="none"/>
          <w:lang w:val="en-US" w:eastAsia="zh-CN"/>
        </w:rPr>
        <w:t xml:space="preserve">投标</w:t>
      </w:r>
      <w:r>
        <w:rPr>
          <w:rFonts w:hint="eastAsia" w:ascii="Times New Roman" w:hAnsi="Times New Roman" w:eastAsia="宋体" w:cs="宋体"/>
          <w:color w:val="000000" w:themeColor="text1"/>
          <w:highlight w:val="none"/>
        </w:rPr>
        <w:t xml:space="preserve">处理。</w:t>
      </w:r>
      <w:r>
        <w:rPr>
          <w:color w:val="000000" w:themeColor="text1"/>
        </w:rPr>
      </w:r>
      <w:r/>
    </w:p>
    <w:p>
      <w:pPr>
        <w:ind w:firstLine="420"/>
        <w:pageBreakBefore w:val="0"/>
        <w:spacing w:line="360" w:lineRule="auto"/>
        <w:rPr>
          <w:rFonts w:ascii="Times New Roman" w:hAnsi="Times New Roman" w:eastAsia="宋体" w:cs="宋体"/>
          <w:color w:val="000000" w:themeColor="text1"/>
          <w:highlight w:val="none"/>
          <w:u w:val="single"/>
        </w:rPr>
      </w:pPr>
      <w:r>
        <w:rPr>
          <w:rFonts w:hint="eastAsia" w:ascii="Times New Roman" w:hAnsi="Times New Roman" w:eastAsia="宋体" w:cs="宋体"/>
          <w:color w:val="000000" w:themeColor="text1"/>
          <w:highlight w:val="none"/>
        </w:rPr>
        <w:t xml:space="preserve">5.采购需求：见招标文件第四章。</w:t>
      </w:r>
      <w:r>
        <w:rPr>
          <w:color w:val="000000" w:themeColor="text1"/>
        </w:rPr>
      </w:r>
      <w:r/>
    </w:p>
    <w:p>
      <w:pPr>
        <w:ind w:firstLine="420"/>
        <w:jc w:val="left"/>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6.合同履行期限：</w:t>
      </w:r>
      <w:r>
        <w:rPr>
          <w:rFonts w:hint="eastAsia" w:ascii="Times New Roman" w:hAnsi="Times New Roman" w:eastAsia="宋体"/>
          <w:color w:val="000000" w:themeColor="text1"/>
          <w:szCs w:val="21"/>
          <w:highlight w:val="none"/>
        </w:rPr>
        <w:t xml:space="preserve">本项目服务期限3年，合同一年一签。考核合格且合同条件不变的情况下，采购人与中标人可签订下一年合同。</w:t>
      </w:r>
      <w:r>
        <w:rPr>
          <w:rFonts w:ascii="Times New Roman" w:hAnsi="Times New Roman" w:eastAsia="宋体"/>
          <w:color w:val="000000" w:themeColor="text1"/>
          <w:szCs w:val="21"/>
          <w:highlight w:val="none"/>
        </w:rPr>
        <w:t xml:space="preserve"> </w:t>
      </w:r>
      <w:r>
        <w:rPr>
          <w:color w:val="000000" w:themeColor="text1"/>
        </w:rPr>
      </w:r>
      <w:r/>
    </w:p>
    <w:p>
      <w:pPr>
        <w:ind w:firstLine="420"/>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7.本项目</w:t>
      </w:r>
      <w:r>
        <w:rPr>
          <w:rFonts w:hint="eastAsia" w:ascii="Times New Roman" w:hAnsi="Times New Roman" w:eastAsia="宋体" w:cs="宋体"/>
          <w:i/>
          <w:iCs/>
          <w:color w:val="000000" w:themeColor="text1"/>
          <w:highlight w:val="none"/>
          <w:u w:val="single"/>
        </w:rPr>
        <w:t xml:space="preserve">不接受</w:t>
      </w:r>
      <w:r>
        <w:rPr>
          <w:rFonts w:hint="eastAsia" w:ascii="Times New Roman" w:hAnsi="Times New Roman" w:eastAsia="宋体" w:cs="宋体"/>
          <w:color w:val="000000" w:themeColor="text1"/>
          <w:highlight w:val="none"/>
        </w:rPr>
        <w:t xml:space="preserve">联合体投标。</w:t>
      </w:r>
      <w:r>
        <w:rPr>
          <w:color w:val="000000" w:themeColor="text1"/>
        </w:rPr>
      </w:r>
      <w:r/>
    </w:p>
    <w:p>
      <w:pPr>
        <w:ind w:firstLine="420"/>
        <w:pageBreakBefore w:val="0"/>
        <w:spacing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8.本项目</w:t>
      </w:r>
      <w:r>
        <w:rPr>
          <w:rFonts w:hint="eastAsia" w:ascii="Times New Roman" w:hAnsi="Times New Roman" w:eastAsia="宋体" w:cs="宋体"/>
          <w:i/>
          <w:iCs/>
          <w:color w:val="000000" w:themeColor="text1"/>
          <w:highlight w:val="none"/>
          <w:u w:val="single"/>
        </w:rPr>
        <w:t xml:space="preserve">不接受</w:t>
      </w:r>
      <w:r>
        <w:rPr>
          <w:rFonts w:hint="eastAsia" w:ascii="Times New Roman" w:hAnsi="Times New Roman" w:eastAsia="宋体" w:cs="宋体"/>
          <w:color w:val="000000" w:themeColor="text1"/>
          <w:highlight w:val="none"/>
        </w:rPr>
        <w:t xml:space="preserve">进口产品投标。</w:t>
      </w:r>
      <w:r>
        <w:rPr>
          <w:color w:val="000000" w:themeColor="text1"/>
        </w:rPr>
      </w:r>
      <w:r/>
    </w:p>
    <w:p>
      <w:pPr>
        <w:pageBreakBefore w:val="0"/>
        <w:spacing w:line="360" w:lineRule="auto"/>
        <w:tabs>
          <w:tab w:val="left" w:pos="266" w:leader="none"/>
        </w:tabs>
        <w:rPr>
          <w:rFonts w:ascii="Times New Roman" w:hAnsi="Times New Roman" w:eastAsia="宋体" w:cs="宋体"/>
          <w:b/>
          <w:bCs/>
          <w:color w:val="000000" w:themeColor="text1"/>
          <w:highlight w:val="none"/>
        </w:rPr>
      </w:pPr>
      <w:r>
        <w:rPr>
          <w:color w:val="000000" w:themeColor="text1"/>
        </w:rPr>
      </w:r>
      <w:bookmarkStart w:id="8" w:name="_Toc28359080"/>
      <w:r>
        <w:rPr>
          <w:color w:val="000000" w:themeColor="text1"/>
        </w:rPr>
      </w:r>
      <w:bookmarkStart w:id="9" w:name="_Toc35393622"/>
      <w:r>
        <w:rPr>
          <w:color w:val="000000" w:themeColor="text1"/>
        </w:rPr>
      </w:r>
      <w:bookmarkStart w:id="10" w:name="_Toc38985264"/>
      <w:r>
        <w:rPr>
          <w:color w:val="000000" w:themeColor="text1"/>
        </w:rPr>
      </w:r>
      <w:bookmarkStart w:id="11" w:name="_Toc35393791"/>
      <w:r>
        <w:rPr>
          <w:color w:val="000000" w:themeColor="text1"/>
        </w:rPr>
      </w:r>
      <w:bookmarkStart w:id="12" w:name="_Toc28359003"/>
      <w:r>
        <w:rPr>
          <w:rFonts w:hint="eastAsia" w:ascii="Times New Roman" w:hAnsi="Times New Roman" w:eastAsia="宋体" w:cs="宋体"/>
          <w:b/>
          <w:bCs/>
          <w:color w:val="000000" w:themeColor="text1"/>
          <w:highlight w:val="none"/>
        </w:rPr>
        <w:t xml:space="preserve">二、申请人的资格要求：</w:t>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bookmarkEnd w:id="12"/>
      <w:r>
        <w:rPr>
          <w:color w:val="000000" w:themeColor="text1"/>
        </w:rPr>
      </w:r>
      <w:r/>
    </w:p>
    <w:p>
      <w:pPr>
        <w:ind w:firstLine="420"/>
        <w:pageBreakBefore w:val="0"/>
        <w:spacing w:line="360" w:lineRule="auto"/>
        <w:rPr>
          <w:rFonts w:ascii="Times New Roman" w:hAnsi="Times New Roman" w:eastAsia="宋体" w:cs="宋体"/>
          <w:color w:val="000000" w:themeColor="text1"/>
          <w:szCs w:val="21"/>
          <w:highlight w:val="none"/>
        </w:rPr>
      </w:pPr>
      <w:r>
        <w:rPr>
          <w:color w:val="000000" w:themeColor="text1"/>
        </w:rPr>
      </w:r>
      <w:bookmarkStart w:id="13" w:name="_Toc28359004"/>
      <w:r>
        <w:rPr>
          <w:color w:val="000000" w:themeColor="text1"/>
        </w:rPr>
      </w:r>
      <w:bookmarkStart w:id="14" w:name="_Toc28359081"/>
      <w:r>
        <w:rPr>
          <w:color w:val="000000" w:themeColor="text1"/>
        </w:rPr>
      </w:r>
      <w:bookmarkStart w:id="15" w:name="_Toc38985265"/>
      <w:r>
        <w:rPr>
          <w:color w:val="000000" w:themeColor="text1"/>
        </w:rPr>
      </w:r>
      <w:bookmarkStart w:id="16" w:name="_Toc35393792"/>
      <w:r>
        <w:rPr>
          <w:color w:val="000000" w:themeColor="text1"/>
        </w:rPr>
      </w:r>
      <w:bookmarkStart w:id="17" w:name="_Toc35393623"/>
      <w:r>
        <w:rPr>
          <w:rFonts w:hint="eastAsia" w:ascii="Times New Roman" w:hAnsi="Times New Roman" w:eastAsia="宋体" w:cs="宋体"/>
          <w:color w:val="000000" w:themeColor="text1"/>
          <w:szCs w:val="21"/>
          <w:highlight w:val="none"/>
        </w:rPr>
        <w:t xml:space="preserve">1.满足《中华人民共和国政府采购法》第二十二条规定：</w:t>
      </w:r>
      <w:r>
        <w:rPr>
          <w:color w:val="000000" w:themeColor="text1"/>
        </w:rPr>
      </w:r>
      <w:r/>
    </w:p>
    <w:p>
      <w:pPr>
        <w:ind w:firstLine="420"/>
        <w:pageBreakBefore w:val="0"/>
        <w:spacing w:line="360" w:lineRule="auto"/>
        <w:rPr>
          <w:rFonts w:ascii="Times New Roman" w:hAnsi="Times New Roman" w:eastAsia="宋体" w:cs="宋体"/>
          <w:i/>
          <w:iCs/>
          <w:color w:val="000000" w:themeColor="text1"/>
          <w:szCs w:val="21"/>
          <w:highlight w:val="none"/>
          <w:u w:val="single"/>
        </w:rPr>
      </w:pPr>
      <w:r>
        <w:rPr>
          <w:rFonts w:hint="eastAsia" w:ascii="Times New Roman" w:hAnsi="Times New Roman" w:eastAsia="宋体" w:cs="宋体"/>
          <w:i/>
          <w:iCs/>
          <w:color w:val="000000" w:themeColor="text1"/>
          <w:szCs w:val="21"/>
          <w:highlight w:val="none"/>
          <w:u w:val="single"/>
        </w:rPr>
        <w:t xml:space="preserve">1.1法人或者其他组织的营业执照等证明文件，自然人的身份证明</w:t>
      </w:r>
      <w:r>
        <w:rPr>
          <w:color w:val="000000" w:themeColor="text1"/>
        </w:rPr>
      </w:r>
      <w:r/>
    </w:p>
    <w:p>
      <w:pPr>
        <w:ind w:firstLine="420"/>
        <w:pageBreakBefore w:val="0"/>
        <w:spacing w:line="360" w:lineRule="auto"/>
        <w:rPr>
          <w:rFonts w:ascii="Times New Roman" w:hAnsi="Times New Roman" w:eastAsia="宋体" w:cs="宋体"/>
          <w:i/>
          <w:iCs/>
          <w:color w:val="000000" w:themeColor="text1"/>
          <w:szCs w:val="21"/>
          <w:highlight w:val="none"/>
          <w:u w:val="single"/>
        </w:rPr>
      </w:pPr>
      <w:r>
        <w:rPr>
          <w:rFonts w:hint="eastAsia" w:ascii="Times New Roman" w:hAnsi="Times New Roman" w:eastAsia="宋体" w:cs="宋体"/>
          <w:i/>
          <w:iCs/>
          <w:color w:val="000000" w:themeColor="text1"/>
          <w:szCs w:val="21"/>
          <w:highlight w:val="none"/>
          <w:u w:val="single"/>
        </w:rPr>
        <w:t xml:space="preserve">1.2依法缴纳税收和社会保障资金的相关材料</w:t>
      </w:r>
      <w:r>
        <w:rPr>
          <w:rFonts w:hint="eastAsia" w:ascii="Times New Roman" w:hAnsi="Times New Roman" w:eastAsia="宋体" w:cs="宋体"/>
          <w:b/>
          <w:bCs/>
          <w:i/>
          <w:iCs/>
          <w:color w:val="000000" w:themeColor="text1"/>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color w:val="000000" w:themeColor="text1"/>
        </w:rPr>
      </w:r>
      <w:r/>
    </w:p>
    <w:p>
      <w:pPr>
        <w:ind w:firstLine="420"/>
        <w:pageBreakBefore w:val="0"/>
        <w:spacing w:line="360" w:lineRule="auto"/>
        <w:rPr>
          <w:rFonts w:ascii="Times New Roman" w:hAnsi="Times New Roman" w:eastAsia="宋体" w:cs="宋体"/>
          <w:b/>
          <w:bCs/>
          <w:i/>
          <w:iCs/>
          <w:color w:val="000000" w:themeColor="text1"/>
          <w:szCs w:val="21"/>
          <w:highlight w:val="none"/>
          <w:u w:val="single"/>
        </w:rPr>
      </w:pPr>
      <w:r>
        <w:rPr>
          <w:rFonts w:hint="eastAsia" w:ascii="Times New Roman" w:hAnsi="Times New Roman" w:eastAsia="宋体" w:cs="宋体"/>
          <w:i/>
          <w:iCs/>
          <w:color w:val="000000" w:themeColor="text1"/>
          <w:szCs w:val="21"/>
          <w:highlight w:val="none"/>
          <w:u w:val="single"/>
        </w:rPr>
        <w:t xml:space="preserve">1.3</w:t>
      </w:r>
      <w:r>
        <w:rPr>
          <w:rFonts w:hint="eastAsia" w:ascii="Times New Roman" w:hAnsi="Times New Roman" w:eastAsia="宋体" w:cs="宋体"/>
          <w:i/>
          <w:iCs/>
          <w:color w:val="000000" w:themeColor="text1"/>
          <w:szCs w:val="21"/>
          <w:highlight w:val="none"/>
          <w:u w:val="single"/>
          <w:lang w:val="en-US" w:eastAsia="zh-CN"/>
        </w:rPr>
        <w:t xml:space="preserve"> </w:t>
      </w:r>
      <w:r>
        <w:rPr>
          <w:rFonts w:hint="eastAsia" w:ascii="Times New Roman" w:hAnsi="Times New Roman" w:eastAsia="宋体" w:cs="宋体"/>
          <w:i/>
          <w:iCs/>
          <w:color w:val="000000" w:themeColor="text1"/>
          <w:szCs w:val="21"/>
          <w:highlight w:val="none"/>
          <w:u w:val="single"/>
          <w:lang w:eastAsia="zh-CN"/>
        </w:rPr>
        <w:t xml:space="preserve">上一年度</w:t>
      </w:r>
      <w:r>
        <w:rPr>
          <w:rFonts w:hint="eastAsia" w:ascii="Times New Roman" w:hAnsi="Times New Roman" w:eastAsia="宋体" w:cs="宋体"/>
          <w:i/>
          <w:iCs/>
          <w:color w:val="000000" w:themeColor="text1"/>
          <w:szCs w:val="21"/>
          <w:highlight w:val="none"/>
          <w:u w:val="single"/>
        </w:rPr>
        <w:t xml:space="preserve">的财务报告情况（</w:t>
      </w:r>
      <w:r>
        <w:rPr>
          <w:rFonts w:hint="eastAsia" w:ascii="Times New Roman" w:hAnsi="Times New Roman" w:eastAsia="宋体" w:cs="宋体"/>
          <w:b/>
          <w:bCs/>
          <w:i/>
          <w:iCs/>
          <w:color w:val="000000" w:themeColor="text1"/>
          <w:szCs w:val="21"/>
          <w:highlight w:val="none"/>
          <w:u w:val="single"/>
        </w:rPr>
        <w:t xml:space="preserve">成立不满一年不需提供）</w:t>
      </w:r>
      <w:r>
        <w:rPr>
          <w:color w:val="000000" w:themeColor="text1"/>
        </w:rPr>
      </w:r>
      <w:r/>
    </w:p>
    <w:p>
      <w:pPr>
        <w:ind w:firstLine="420"/>
        <w:pageBreakBefore w:val="0"/>
        <w:spacing w:line="360" w:lineRule="auto"/>
        <w:rPr>
          <w:rFonts w:ascii="Times New Roman" w:hAnsi="Times New Roman" w:eastAsia="宋体" w:cs="宋体"/>
          <w:i/>
          <w:iCs/>
          <w:color w:val="000000" w:themeColor="text1"/>
          <w:szCs w:val="21"/>
          <w:highlight w:val="none"/>
          <w:u w:val="single"/>
        </w:rPr>
      </w:pPr>
      <w:r>
        <w:rPr>
          <w:rFonts w:hint="eastAsia" w:ascii="Times New Roman" w:hAnsi="Times New Roman" w:eastAsia="宋体" w:cs="宋体"/>
          <w:i/>
          <w:iCs/>
          <w:color w:val="000000" w:themeColor="text1"/>
          <w:szCs w:val="21"/>
          <w:highlight w:val="none"/>
          <w:u w:val="single"/>
        </w:rPr>
        <w:t xml:space="preserve">1.4具备履行合同所必需的设备和专业技术能力的证明材料</w:t>
      </w:r>
      <w:r>
        <w:rPr>
          <w:color w:val="000000" w:themeColor="text1"/>
        </w:rPr>
      </w:r>
      <w:r/>
    </w:p>
    <w:p>
      <w:pPr>
        <w:ind w:firstLine="420"/>
        <w:pageBreakBefore w:val="0"/>
        <w:spacing w:line="360" w:lineRule="auto"/>
        <w:rPr>
          <w:rFonts w:ascii="Times New Roman" w:hAnsi="Times New Roman" w:eastAsia="宋体" w:cs="宋体"/>
          <w:i/>
          <w:iCs/>
          <w:color w:val="000000" w:themeColor="text1"/>
          <w:szCs w:val="21"/>
          <w:highlight w:val="none"/>
          <w:u w:val="single"/>
        </w:rPr>
      </w:pPr>
      <w:r>
        <w:rPr>
          <w:rFonts w:hint="eastAsia" w:ascii="Times New Roman" w:hAnsi="Times New Roman" w:eastAsia="宋体" w:cs="宋体"/>
          <w:i/>
          <w:iCs/>
          <w:color w:val="000000" w:themeColor="text1"/>
          <w:szCs w:val="21"/>
          <w:highlight w:val="none"/>
          <w:u w:val="single"/>
        </w:rPr>
        <w:t xml:space="preserve">1.5参加本次政府采购活动前3年内在经营活动中没有重大违法记录的书面声明</w:t>
      </w:r>
      <w:r>
        <w:rPr>
          <w:color w:val="000000" w:themeColor="text1"/>
        </w:rPr>
      </w:r>
      <w:r/>
    </w:p>
    <w:p>
      <w:pPr>
        <w:ind w:firstLine="420"/>
        <w:pageBreakBefore w:val="0"/>
        <w:spacing w:line="360" w:lineRule="auto"/>
        <w:rPr>
          <w:rFonts w:ascii="Times New Roman" w:hAnsi="Times New Roman" w:eastAsia="宋体" w:cs="宋体"/>
          <w:b/>
          <w:bCs/>
          <w:i/>
          <w:iCs/>
          <w:color w:val="000000" w:themeColor="text1"/>
          <w:szCs w:val="21"/>
          <w:highlight w:val="none"/>
          <w:u w:val="single"/>
        </w:rPr>
      </w:pPr>
      <w:r>
        <w:rPr>
          <w:rFonts w:hint="eastAsia" w:ascii="Times New Roman" w:hAnsi="Times New Roman" w:eastAsia="宋体" w:cs="宋体"/>
          <w:i/>
          <w:iCs/>
          <w:color w:val="000000" w:themeColor="text1"/>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Times New Roman" w:hAnsi="Times New Roman" w:eastAsia="宋体" w:cs="宋体"/>
          <w:b/>
          <w:bCs/>
          <w:i/>
          <w:iCs/>
          <w:color w:val="000000" w:themeColor="text1"/>
          <w:szCs w:val="21"/>
          <w:highlight w:val="none"/>
          <w:u w:val="single"/>
        </w:rPr>
        <w:t xml:space="preserve">（投标文件中无需提供证明材料）</w:t>
      </w:r>
      <w:r>
        <w:rPr>
          <w:color w:val="000000" w:themeColor="text1"/>
        </w:rPr>
      </w:r>
      <w:r/>
    </w:p>
    <w:p>
      <w:pPr>
        <w:ind w:firstLine="420"/>
        <w:pageBreakBefore w:val="0"/>
        <w:spacing w:line="360" w:lineRule="auto"/>
        <w:rPr>
          <w:rFonts w:ascii="Times New Roman" w:hAnsi="Times New Roman" w:eastAsia="宋体" w:cs="宋体"/>
          <w:i/>
          <w:iCs/>
          <w:color w:val="000000" w:themeColor="text1"/>
          <w:szCs w:val="21"/>
          <w:highlight w:val="none"/>
          <w:u w:val="single"/>
        </w:rPr>
      </w:pPr>
      <w:r>
        <w:rPr>
          <w:rFonts w:hint="eastAsia" w:ascii="Times New Roman" w:hAnsi="Times New Roman" w:eastAsia="宋体" w:cs="宋体"/>
          <w:i/>
          <w:iCs/>
          <w:color w:val="000000" w:themeColor="text1"/>
          <w:szCs w:val="21"/>
          <w:highlight w:val="none"/>
          <w:u w:val="single"/>
        </w:rPr>
        <w:t xml:space="preserve">1.7供应商信用承诺函</w:t>
      </w:r>
      <w:r>
        <w:rPr>
          <w:color w:val="000000" w:themeColor="text1"/>
        </w:rPr>
      </w:r>
      <w:r/>
    </w:p>
    <w:p>
      <w:pPr>
        <w:ind w:firstLine="420"/>
        <w:pageBreakBefore w:val="0"/>
        <w:spacing w:line="360" w:lineRule="auto"/>
        <w:rPr>
          <w:rFonts w:hint="default"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2.落实政府采购政策需满足的资格要求：</w:t>
      </w:r>
      <w:r>
        <w:rPr>
          <w:rFonts w:hint="eastAsia" w:ascii="Times New Roman" w:hAnsi="Times New Roman" w:eastAsia="宋体"/>
          <w:i/>
          <w:iCs/>
          <w:color w:val="000000" w:themeColor="text1"/>
          <w:szCs w:val="21"/>
          <w:highlight w:val="none"/>
          <w:u w:val="singl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color w:val="000000" w:themeColor="text1"/>
        </w:rPr>
      </w:r>
      <w:r/>
    </w:p>
    <w:p>
      <w:pPr>
        <w:ind w:firstLine="420"/>
        <w:pageBreakBefore w:val="0"/>
        <w:spacing w:line="360" w:lineRule="auto"/>
        <w:rPr>
          <w:rFonts w:hint="eastAsia" w:ascii="Times New Roman" w:hAnsi="Times New Roman" w:eastAsia="宋体" w:cs="宋体"/>
          <w:i/>
          <w:iCs/>
          <w:color w:val="000000" w:themeColor="text1"/>
          <w:szCs w:val="21"/>
          <w:highlight w:val="none"/>
          <w:u w:val="single"/>
        </w:rPr>
      </w:pPr>
      <w:r>
        <w:rPr>
          <w:rFonts w:hint="eastAsia" w:ascii="Times New Roman" w:hAnsi="Times New Roman" w:eastAsia="宋体" w:cs="宋体"/>
          <w:color w:val="000000" w:themeColor="text1"/>
          <w:szCs w:val="21"/>
          <w:highlight w:val="none"/>
        </w:rPr>
        <w:t xml:space="preserve">3.本项目的特定资格要求：</w:t>
      </w:r>
      <w:r>
        <w:rPr>
          <w:rFonts w:hint="eastAsia" w:ascii="Times New Roman" w:hAnsi="Times New Roman" w:eastAsia="宋体" w:cs="宋体"/>
          <w:i/>
          <w:iCs/>
          <w:color w:val="000000" w:themeColor="text1"/>
          <w:szCs w:val="21"/>
          <w:highlight w:val="none"/>
          <w:u w:val="single"/>
          <w:lang w:val="en-US" w:eastAsia="zh-CN"/>
        </w:rPr>
        <w:t xml:space="preserve">无</w:t>
      </w:r>
      <w:r>
        <w:rPr>
          <w:color w:val="000000" w:themeColor="text1"/>
        </w:rPr>
      </w:r>
      <w:r/>
    </w:p>
    <w:p>
      <w:pPr>
        <w:ind w:firstLine="422"/>
        <w:pageBreakBefore w:val="0"/>
        <w:spacing w:line="360" w:lineRule="auto"/>
        <w:rPr>
          <w:rFonts w:ascii="Times New Roman" w:hAnsi="Times New Roman" w:eastAsia="宋体" w:cs="宋体"/>
          <w:b/>
          <w:bCs/>
          <w:color w:val="000000" w:themeColor="text1"/>
          <w:highlight w:val="none"/>
        </w:rPr>
      </w:pPr>
      <w:r>
        <w:rPr>
          <w:rFonts w:hint="eastAsia" w:ascii="Times New Roman" w:hAnsi="Times New Roman" w:eastAsia="宋体" w:cs="宋体"/>
          <w:b/>
          <w:bCs/>
          <w:color w:val="000000" w:themeColor="text1"/>
          <w:highlight w:val="none"/>
        </w:rPr>
        <w:t xml:space="preserve">三、获取招标文件</w:t>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bookmarkEnd w:id="17"/>
      <w:r>
        <w:rPr>
          <w:color w:val="000000" w:themeColor="text1"/>
        </w:rPr>
      </w:r>
      <w:r/>
    </w:p>
    <w:p>
      <w:pPr>
        <w:ind w:firstLine="540"/>
        <w:pageBreakBefore w:val="0"/>
        <w:spacing w:line="360" w:lineRule="auto"/>
        <w:rPr>
          <w:rFonts w:ascii="Times New Roman" w:hAnsi="Times New Roman" w:eastAsia="宋体" w:cs="宋体"/>
          <w:color w:val="000000" w:themeColor="text1"/>
          <w:highlight w:val="none"/>
        </w:rPr>
      </w:pPr>
      <w:r>
        <w:rPr>
          <w:color w:val="000000" w:themeColor="text1"/>
        </w:rPr>
      </w:r>
      <w:bookmarkStart w:id="18" w:name="_Toc28359005"/>
      <w:r>
        <w:rPr>
          <w:color w:val="000000" w:themeColor="text1"/>
        </w:rPr>
      </w:r>
      <w:bookmarkStart w:id="19" w:name="_Toc28359082"/>
      <w:r>
        <w:rPr>
          <w:color w:val="000000" w:themeColor="text1"/>
        </w:rPr>
      </w:r>
      <w:bookmarkStart w:id="20" w:name="_Toc35393624"/>
      <w:r>
        <w:rPr>
          <w:color w:val="000000" w:themeColor="text1"/>
        </w:rPr>
      </w:r>
      <w:bookmarkStart w:id="21" w:name="_Toc38985266"/>
      <w:r>
        <w:rPr>
          <w:color w:val="000000" w:themeColor="text1"/>
        </w:rPr>
      </w:r>
      <w:bookmarkStart w:id="22" w:name="_Toc35393793"/>
      <w:r>
        <w:rPr>
          <w:rFonts w:hint="eastAsia" w:ascii="Times New Roman" w:hAnsi="Times New Roman" w:eastAsia="宋体" w:cs="宋体"/>
          <w:color w:val="000000" w:themeColor="text1"/>
          <w:highlight w:val="none"/>
        </w:rPr>
        <w:t xml:space="preserve">1.时间：自招标文件公告发布之日起5个工作日。5个工作日后仍可下载招标文件，但不作为供应商权益受到损害的证明材料和依据。</w:t>
      </w:r>
      <w:r>
        <w:rPr>
          <w:color w:val="000000" w:themeColor="text1"/>
        </w:rPr>
      </w:r>
      <w:r/>
    </w:p>
    <w:p>
      <w:pPr>
        <w:ind w:firstLine="540"/>
        <w:pageBreakBefore w:val="0"/>
        <w:spacing w:line="360" w:lineRule="auto"/>
        <w:rPr>
          <w:rFonts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2.获取方式：本项目采用网上注册登记方式。</w:t>
      </w:r>
      <w:r>
        <w:rPr>
          <w:color w:val="000000" w:themeColor="text1"/>
        </w:rPr>
      </w:r>
      <w:r/>
    </w:p>
    <w:p>
      <w:pPr>
        <w:ind w:firstLine="540"/>
        <w:pageBreakBefore w:val="0"/>
        <w:spacing w:line="360" w:lineRule="auto"/>
        <w:rPr>
          <w:rFonts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3.潜在供应商访问政府采购管理交易系统（苏采云）的网络地址和方法：</w:t>
      </w:r>
      <w:r>
        <w:rPr>
          <w:color w:val="000000" w:themeColor="text1"/>
        </w:rPr>
      </w:r>
      <w:r/>
    </w:p>
    <w:p>
      <w:pPr>
        <w:ind w:firstLine="540"/>
        <w:pageBreakBefore w:val="0"/>
        <w:spacing w:line="360" w:lineRule="auto"/>
        <w:rPr>
          <w:rFonts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color w:val="000000" w:themeColor="text1"/>
        </w:rPr>
      </w:r>
      <w:r/>
    </w:p>
    <w:p>
      <w:pPr>
        <w:ind w:firstLine="540"/>
        <w:pageBreakBefore w:val="0"/>
        <w:spacing w:line="360" w:lineRule="auto"/>
        <w:rPr>
          <w:rFonts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（2）“CA数字证书”的获取：供应商需办理CA锁，“苏采云”系统目前仅支持“苏采云”系统下的政务CA，省内各地区办理的“苏采云”系统下的政务CA全省通用。</w:t>
      </w:r>
      <w:r>
        <w:rPr>
          <w:color w:val="000000" w:themeColor="text1"/>
        </w:rPr>
      </w:r>
      <w:r/>
    </w:p>
    <w:p>
      <w:pPr>
        <w:ind w:firstLine="540"/>
        <w:pageBreakBefore w:val="0"/>
        <w:spacing w:line="360" w:lineRule="auto"/>
        <w:rPr>
          <w:rFonts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（3）“CA数字证书”的办理材料以及供应商操作手册详见：http：//zfcg.yangzhou.gov.cn/xzzx/art/2023/art_4d7de1f7865f4a2894fc22bc452f94d8.html。</w:t>
      </w:r>
      <w:r>
        <w:rPr>
          <w:color w:val="000000" w:themeColor="text1"/>
        </w:rPr>
      </w:r>
      <w:r/>
    </w:p>
    <w:p>
      <w:pPr>
        <w:ind w:firstLine="540"/>
        <w:pageBreakBefore w:val="0"/>
        <w:spacing w:line="360" w:lineRule="auto"/>
        <w:rPr>
          <w:rFonts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（4）潜在供应商访问“苏采云”系统的网络地址和方法：“苏采云”系统的网址：http：//jszfcg.jsczt.cn/。</w:t>
      </w:r>
      <w:r>
        <w:rPr>
          <w:color w:val="000000" w:themeColor="text1"/>
        </w:rPr>
      </w:r>
      <w:r/>
    </w:p>
    <w:p>
      <w:pPr>
        <w:ind w:firstLine="540"/>
        <w:pageBreakBefore w:val="0"/>
        <w:spacing w:line="360" w:lineRule="auto"/>
        <w:rPr>
          <w:rFonts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（5）采购文件（后缀名为“.kedt”）、供应商操作手册及政府采购客户端工具也可通过“苏采云”系统--已报名项目--报名详情页面内相应链接进行下载。</w:t>
      </w:r>
      <w:r>
        <w:rPr>
          <w:color w:val="000000" w:themeColor="text1"/>
        </w:rPr>
      </w:r>
      <w:r/>
    </w:p>
    <w:p>
      <w:pPr>
        <w:ind w:firstLine="540"/>
        <w:pageBreakBefore w:val="0"/>
        <w:spacing w:line="360" w:lineRule="auto"/>
        <w:rPr>
          <w:rFonts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（6）招标代理机构（采购代理机构）将数据电文形式的采购文件加载至“苏采云”系统，供潜在供应商下载或者查阅。</w:t>
      </w:r>
      <w:r>
        <w:rPr>
          <w:color w:val="000000" w:themeColor="text1"/>
        </w:rPr>
      </w:r>
      <w:r/>
    </w:p>
    <w:p>
      <w:pPr>
        <w:ind w:firstLine="540"/>
        <w:pageBreakBefore w:val="0"/>
        <w:spacing w:line="360" w:lineRule="auto"/>
        <w:rPr>
          <w:rFonts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（7）苏采云系统使用谷歌浏览器参与不见面开标。</w:t>
      </w:r>
      <w:r>
        <w:rPr>
          <w:color w:val="000000" w:themeColor="text1"/>
        </w:rPr>
      </w:r>
      <w:r/>
    </w:p>
    <w:p>
      <w:pPr>
        <w:pageBreakBefore w:val="0"/>
        <w:spacing w:line="360" w:lineRule="auto"/>
        <w:tabs>
          <w:tab w:val="left" w:pos="266" w:leader="none"/>
        </w:tabs>
        <w:rPr>
          <w:rFonts w:ascii="Times New Roman" w:hAnsi="Times New Roman" w:eastAsia="宋体" w:cs="宋体"/>
          <w:b/>
          <w:bCs/>
          <w:color w:val="000000" w:themeColor="text1"/>
          <w:highlight w:val="none"/>
        </w:rPr>
      </w:pPr>
      <w:r>
        <w:rPr>
          <w:rFonts w:hint="eastAsia" w:ascii="Times New Roman" w:hAnsi="Times New Roman" w:eastAsia="宋体" w:cs="宋体"/>
          <w:b/>
          <w:bCs/>
          <w:color w:val="000000" w:themeColor="text1"/>
          <w:highlight w:val="none"/>
        </w:rPr>
        <w:t xml:space="preserve">四、提交投标文件</w:t>
      </w:r>
      <w:bookmarkEnd w:id="18"/>
      <w:r>
        <w:rPr>
          <w:color w:val="000000" w:themeColor="text1"/>
        </w:rPr>
      </w:r>
      <w:bookmarkEnd w:id="19"/>
      <w:r>
        <w:rPr>
          <w:rFonts w:hint="eastAsia" w:ascii="Times New Roman" w:hAnsi="Times New Roman" w:eastAsia="宋体" w:cs="宋体"/>
          <w:b/>
          <w:bCs/>
          <w:color w:val="000000" w:themeColor="text1"/>
          <w:highlight w:val="none"/>
        </w:rPr>
        <w:t xml:space="preserve">截止时间、开标时间和地点</w:t>
      </w:r>
      <w:bookmarkEnd w:id="20"/>
      <w:r>
        <w:rPr>
          <w:color w:val="000000" w:themeColor="text1"/>
        </w:rPr>
      </w:r>
      <w:bookmarkEnd w:id="21"/>
      <w:r>
        <w:rPr>
          <w:color w:val="000000" w:themeColor="text1"/>
        </w:rPr>
      </w:r>
      <w:bookmarkEnd w:id="22"/>
      <w:r>
        <w:rPr>
          <w:color w:val="000000" w:themeColor="text1"/>
        </w:rPr>
      </w:r>
      <w:r/>
    </w:p>
    <w:p>
      <w:pPr>
        <w:ind w:firstLine="420"/>
        <w:pageBreakBefore w:val="0"/>
        <w:spacing w:line="360" w:lineRule="auto"/>
        <w:rPr>
          <w:rFonts w:ascii="Times New Roman" w:hAnsi="Times New Roman" w:eastAsia="宋体" w:cs="宋体"/>
          <w:bCs/>
          <w:color w:val="000000" w:themeColor="text1"/>
          <w:szCs w:val="21"/>
          <w:highlight w:val="none"/>
          <w:u w:val="single"/>
        </w:rPr>
      </w:pPr>
      <w:r>
        <w:rPr>
          <w:rFonts w:hint="eastAsia" w:ascii="Times New Roman" w:hAnsi="Times New Roman" w:eastAsia="宋体" w:cs="宋体"/>
          <w:color w:val="000000" w:themeColor="text1"/>
          <w:highlight w:val="none"/>
        </w:rPr>
        <w:t xml:space="preserve">1.时间：</w:t>
      </w:r>
      <w:r>
        <w:rPr>
          <w:rFonts w:hint="eastAsia" w:ascii="Times New Roman" w:hAnsi="Times New Roman" w:eastAsia="宋体" w:cs="宋体"/>
          <w:bCs/>
          <w:color w:val="000000" w:themeColor="text1"/>
          <w:highlight w:val="none"/>
          <w:u w:val="single"/>
        </w:rPr>
        <w:t xml:space="preserve">2026年</w:t>
      </w:r>
      <w:r>
        <w:rPr>
          <w:rFonts w:hint="eastAsia" w:ascii="Times New Roman" w:hAnsi="Times New Roman" w:eastAsia="宋体" w:cs="宋体"/>
          <w:bCs/>
          <w:color w:val="000000" w:themeColor="text1"/>
          <w:highlight w:val="none"/>
          <w:u w:val="single"/>
          <w:lang w:val="en-US" w:eastAsia="zh-CN"/>
        </w:rPr>
        <w:t xml:space="preserve">06</w:t>
      </w:r>
      <w:r>
        <w:rPr>
          <w:rFonts w:hint="eastAsia" w:ascii="Times New Roman" w:hAnsi="Times New Roman" w:eastAsia="宋体" w:cs="宋体"/>
          <w:bCs/>
          <w:color w:val="000000" w:themeColor="text1"/>
          <w:highlight w:val="none"/>
          <w:u w:val="single"/>
        </w:rPr>
        <w:t xml:space="preserve">月</w:t>
      </w:r>
      <w:r>
        <w:rPr>
          <w:rFonts w:hint="eastAsia" w:ascii="Times New Roman" w:hAnsi="Times New Roman" w:eastAsia="宋体" w:cs="宋体"/>
          <w:bCs/>
          <w:color w:val="000000" w:themeColor="text1"/>
          <w:highlight w:val="none"/>
          <w:u w:val="single"/>
          <w:lang w:val="en-US" w:eastAsia="zh-CN"/>
        </w:rPr>
        <w:t xml:space="preserve">24</w:t>
      </w:r>
      <w:r>
        <w:rPr>
          <w:rFonts w:hint="eastAsia" w:ascii="Times New Roman" w:hAnsi="Times New Roman" w:eastAsia="宋体" w:cs="宋体"/>
          <w:bCs/>
          <w:color w:val="000000" w:themeColor="text1"/>
          <w:highlight w:val="none"/>
          <w:u w:val="single"/>
        </w:rPr>
        <w:t xml:space="preserve">日上午09：30</w:t>
      </w:r>
      <w:r>
        <w:rPr>
          <w:rFonts w:hint="eastAsia" w:ascii="Times New Roman" w:hAnsi="Times New Roman" w:eastAsia="宋体" w:cs="宋体"/>
          <w:bCs/>
          <w:color w:val="000000" w:themeColor="text1"/>
          <w:highlight w:val="none"/>
        </w:rPr>
        <w:t xml:space="preserve">（北京时间）</w:t>
      </w:r>
      <w:r>
        <w:rPr>
          <w:color w:val="000000" w:themeColor="text1"/>
        </w:rPr>
      </w:r>
      <w:r/>
    </w:p>
    <w:p>
      <w:pPr>
        <w:ind w:firstLine="420"/>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cs="宋体"/>
          <w:color w:val="000000" w:themeColor="text1"/>
          <w:highlight w:val="none"/>
        </w:rPr>
        <w:t xml:space="preserve">2.开标地点：</w:t>
      </w:r>
      <w:r>
        <w:rPr>
          <w:rFonts w:hint="eastAsia" w:ascii="Times New Roman" w:hAnsi="Times New Roman" w:eastAsia="宋体" w:cs="宋体"/>
          <w:color w:val="000000" w:themeColor="text1"/>
          <w:szCs w:val="21"/>
          <w:highlight w:val="none"/>
        </w:rPr>
        <w:t xml:space="preserve">“苏采云”系统（网址：http：//jszfcg.jsczt.cn/）</w:t>
      </w:r>
      <w:r>
        <w:rPr>
          <w:color w:val="000000" w:themeColor="text1"/>
        </w:rPr>
      </w:r>
      <w:r/>
    </w:p>
    <w:p>
      <w:pPr>
        <w:pageBreakBefore w:val="0"/>
        <w:spacing w:line="360" w:lineRule="auto"/>
        <w:tabs>
          <w:tab w:val="left" w:pos="266" w:leader="none"/>
        </w:tabs>
        <w:rPr>
          <w:rFonts w:ascii="Times New Roman" w:hAnsi="Times New Roman" w:eastAsia="宋体" w:cs="宋体"/>
          <w:b/>
          <w:bCs/>
          <w:color w:val="000000" w:themeColor="text1"/>
          <w:highlight w:val="none"/>
        </w:rPr>
      </w:pPr>
      <w:r>
        <w:rPr>
          <w:color w:val="000000" w:themeColor="text1"/>
        </w:rPr>
      </w:r>
      <w:bookmarkStart w:id="23" w:name="_Toc38985267"/>
      <w:r>
        <w:rPr>
          <w:color w:val="000000" w:themeColor="text1"/>
        </w:rPr>
      </w:r>
      <w:bookmarkStart w:id="24" w:name="_Toc28359007"/>
      <w:r>
        <w:rPr>
          <w:color w:val="000000" w:themeColor="text1"/>
        </w:rPr>
      </w:r>
      <w:bookmarkStart w:id="25" w:name="_Toc35393794"/>
      <w:r>
        <w:rPr>
          <w:color w:val="000000" w:themeColor="text1"/>
        </w:rPr>
      </w:r>
      <w:bookmarkStart w:id="26" w:name="_Toc28359084"/>
      <w:r>
        <w:rPr>
          <w:color w:val="000000" w:themeColor="text1"/>
        </w:rPr>
      </w:r>
      <w:bookmarkStart w:id="27" w:name="_Toc35393625"/>
      <w:r>
        <w:rPr>
          <w:rFonts w:hint="eastAsia" w:ascii="Times New Roman" w:hAnsi="Times New Roman" w:eastAsia="宋体" w:cs="宋体"/>
          <w:b/>
          <w:bCs/>
          <w:color w:val="000000" w:themeColor="text1"/>
          <w:highlight w:val="none"/>
        </w:rPr>
        <w:t xml:space="preserve">五、公告期限</w:t>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r/>
    </w:p>
    <w:p>
      <w:pPr>
        <w:ind w:firstLine="420"/>
        <w:pageBreakBefore w:val="0"/>
        <w:spacing w:line="360" w:lineRule="auto"/>
        <w:rPr>
          <w:rFonts w:ascii="Times New Roman" w:hAnsi="Times New Roman" w:eastAsia="宋体" w:cs="宋体"/>
          <w:color w:val="000000" w:themeColor="text1"/>
          <w:highlight w:val="none"/>
        </w:rPr>
      </w:pPr>
      <w:r>
        <w:rPr>
          <w:color w:val="000000" w:themeColor="text1"/>
        </w:rPr>
      </w:r>
      <w:bookmarkStart w:id="28" w:name="_Toc35393795"/>
      <w:r>
        <w:rPr>
          <w:color w:val="000000" w:themeColor="text1"/>
        </w:rPr>
      </w:r>
      <w:bookmarkStart w:id="29" w:name="_Toc38985268"/>
      <w:r>
        <w:rPr>
          <w:color w:val="000000" w:themeColor="text1"/>
        </w:rPr>
      </w:r>
      <w:bookmarkStart w:id="30" w:name="_Toc35393626"/>
      <w:r>
        <w:rPr>
          <w:rFonts w:hint="eastAsia" w:ascii="Times New Roman" w:hAnsi="Times New Roman" w:eastAsia="宋体" w:cs="宋体"/>
          <w:color w:val="000000" w:themeColor="text1"/>
          <w:highlight w:val="none"/>
        </w:rPr>
        <w:t xml:space="preserve">招标公告及招标文件公告期限为自本公告发布之日起5个工作日。</w:t>
      </w:r>
      <w:r>
        <w:rPr>
          <w:color w:val="000000" w:themeColor="text1"/>
        </w:rPr>
      </w:r>
      <w:r/>
    </w:p>
    <w:p>
      <w:pPr>
        <w:pageBreakBefore w:val="0"/>
        <w:spacing w:line="360" w:lineRule="auto"/>
        <w:tabs>
          <w:tab w:val="left" w:pos="266" w:leader="none"/>
        </w:tabs>
        <w:rPr>
          <w:rFonts w:ascii="Times New Roman" w:hAnsi="Times New Roman" w:eastAsia="宋体" w:cs="宋体"/>
          <w:b/>
          <w:bCs/>
          <w:color w:val="000000" w:themeColor="text1"/>
          <w:highlight w:val="none"/>
        </w:rPr>
      </w:pPr>
      <w:r>
        <w:rPr>
          <w:rFonts w:hint="eastAsia" w:ascii="Times New Roman" w:hAnsi="Times New Roman" w:eastAsia="宋体" w:cs="宋体"/>
          <w:b/>
          <w:bCs/>
          <w:color w:val="000000" w:themeColor="text1"/>
          <w:highlight w:val="none"/>
        </w:rPr>
        <w:t xml:space="preserve">六、其他补充事宜</w:t>
      </w:r>
      <w:bookmarkEnd w:id="28"/>
      <w:r>
        <w:rPr>
          <w:color w:val="000000" w:themeColor="text1"/>
        </w:rPr>
      </w:r>
      <w:bookmarkEnd w:id="29"/>
      <w:r>
        <w:rPr>
          <w:color w:val="000000" w:themeColor="text1"/>
        </w:rPr>
      </w:r>
      <w:bookmarkEnd w:id="30"/>
      <w:r>
        <w:rPr>
          <w:color w:val="000000" w:themeColor="text1"/>
        </w:rPr>
      </w:r>
      <w:r/>
    </w:p>
    <w:p>
      <w:pPr>
        <w:ind w:firstLine="422"/>
        <w:pageBreakBefore w:val="0"/>
        <w:spacing w:line="360" w:lineRule="auto"/>
        <w:rPr>
          <w:rFonts w:ascii="Times New Roman" w:hAnsi="Times New Roman" w:eastAsia="宋体"/>
          <w:b/>
          <w:bCs/>
          <w:color w:val="000000" w:themeColor="text1"/>
          <w:highlight w:val="none"/>
        </w:rPr>
      </w:pPr>
      <w:r>
        <w:rPr>
          <w:color w:val="000000" w:themeColor="text1"/>
        </w:rPr>
      </w:r>
      <w:bookmarkStart w:id="31" w:name="_Toc35393627"/>
      <w:r>
        <w:rPr>
          <w:color w:val="000000" w:themeColor="text1"/>
        </w:rPr>
      </w:r>
      <w:bookmarkStart w:id="32" w:name="_Toc35393796"/>
      <w:r>
        <w:rPr>
          <w:color w:val="000000" w:themeColor="text1"/>
        </w:rPr>
      </w:r>
      <w:bookmarkStart w:id="33" w:name="_Toc38985269"/>
      <w:r>
        <w:rPr>
          <w:color w:val="000000" w:themeColor="text1"/>
        </w:rPr>
      </w:r>
      <w:bookmarkStart w:id="34" w:name="_Toc28359085"/>
      <w:r>
        <w:rPr>
          <w:color w:val="000000" w:themeColor="text1"/>
        </w:rPr>
      </w:r>
      <w:bookmarkStart w:id="35" w:name="_Toc28359008"/>
      <w:r>
        <w:rPr>
          <w:rFonts w:hint="eastAsia" w:ascii="Times New Roman" w:hAnsi="Times New Roman" w:eastAsia="宋体"/>
          <w:b/>
          <w:bCs/>
          <w:color w:val="000000" w:themeColor="text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color w:val="000000" w:themeColor="text1"/>
        </w:rPr>
      </w:r>
      <w:r/>
    </w:p>
    <w:p>
      <w:pPr>
        <w:ind w:firstLine="422"/>
        <w:pageBreakBefore w:val="0"/>
        <w:spacing w:line="360" w:lineRule="auto"/>
        <w:rPr>
          <w:rFonts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highlight w:val="none"/>
        </w:rPr>
        <w:t xml:space="preserve">2.供应商如确定参加投标，可自行下载采购文件及有关资料，按照《操作手册》进行注册，领取CA和办理电子签章，并按《操作手册》要求制作、上传电子投标文件，技术支持联系方式：13813140731。</w:t>
      </w:r>
      <w:r>
        <w:rPr>
          <w:color w:val="000000" w:themeColor="text1"/>
        </w:rPr>
      </w:r>
      <w:r/>
    </w:p>
    <w:p>
      <w:pPr>
        <w:ind w:firstLine="420"/>
        <w:pageBreakBefore w:val="0"/>
        <w:spacing w:line="360" w:lineRule="auto"/>
        <w:rPr>
          <w:rFonts w:ascii="Times New Roman" w:hAnsi="Times New Roman" w:eastAsia="宋体" w:cs="宋体"/>
          <w:bCs/>
          <w:color w:val="000000" w:themeColor="text1"/>
          <w:highlight w:val="none"/>
        </w:rPr>
      </w:pPr>
      <w:r>
        <w:rPr>
          <w:rFonts w:hint="eastAsia" w:ascii="Times New Roman" w:hAnsi="Times New Roman" w:eastAsia="宋体" w:cs="宋体"/>
          <w:bCs/>
          <w:color w:val="000000" w:themeColor="text1"/>
          <w:szCs w:val="21"/>
          <w:highlight w:val="none"/>
        </w:rPr>
        <w:t xml:space="preserve">3.</w:t>
      </w:r>
      <w:r>
        <w:rPr>
          <w:rFonts w:hint="eastAsia" w:ascii="Times New Roman" w:hAnsi="Times New Roman" w:eastAsia="宋体"/>
          <w:color w:val="000000" w:themeColor="text1"/>
          <w:highlight w:val="none"/>
        </w:rPr>
        <w:t xml:space="preserve">本次招标不收取投标保证金。</w:t>
      </w:r>
      <w:r>
        <w:rPr>
          <w:color w:val="000000" w:themeColor="text1"/>
        </w:rPr>
      </w:r>
      <w:r/>
    </w:p>
    <w:p>
      <w:pPr>
        <w:ind w:firstLine="420"/>
        <w:pageBreakBefore w:val="0"/>
        <w:spacing w:line="360" w:lineRule="auto"/>
        <w:rPr>
          <w:rFonts w:ascii="Times New Roman" w:hAnsi="Times New Roman" w:eastAsia="宋体" w:cs="宋体"/>
          <w:bCs/>
          <w:color w:val="000000" w:themeColor="text1"/>
          <w:highlight w:val="none"/>
        </w:rPr>
      </w:pPr>
      <w:r>
        <w:rPr>
          <w:rFonts w:hint="eastAsia" w:ascii="Times New Roman" w:hAnsi="Times New Roman" w:eastAsia="宋体"/>
          <w:color w:val="000000" w:themeColor="text1"/>
          <w:szCs w:val="21"/>
          <w:highlight w:val="none"/>
        </w:rPr>
        <w:t xml:space="preserve">4.</w:t>
      </w:r>
      <w:r>
        <w:rPr>
          <w:rFonts w:hint="eastAsia" w:ascii="Times New Roman" w:hAnsi="Times New Roman" w:eastAsia="宋体" w:cs="宋体"/>
          <w:bCs/>
          <w:color w:val="000000" w:themeColor="text1"/>
          <w:highlight w:val="none"/>
        </w:rPr>
        <w:t xml:space="preserve">有关本次招标的事项若存在变动或修改，敬请及时关注</w:t>
      </w:r>
      <w:r>
        <w:rPr>
          <w:rFonts w:hint="eastAsia" w:ascii="Times New Roman" w:hAnsi="Times New Roman" w:eastAsia="宋体"/>
          <w:bCs/>
          <w:color w:val="000000" w:themeColor="text1"/>
          <w:szCs w:val="21"/>
          <w:highlight w:val="none"/>
        </w:rPr>
        <w:t xml:space="preserve">“扬州市政府采购网”、“江苏省政府采购网”和“中国政府采购网”</w:t>
      </w:r>
      <w:r>
        <w:rPr>
          <w:rFonts w:hint="eastAsia" w:ascii="Times New Roman" w:hAnsi="Times New Roman" w:eastAsia="宋体" w:cs="宋体"/>
          <w:bCs/>
          <w:color w:val="000000" w:themeColor="text1"/>
          <w:highlight w:val="none"/>
        </w:rPr>
        <w:t xml:space="preserve">发布的信息。</w:t>
      </w:r>
      <w:r>
        <w:rPr>
          <w:color w:val="000000" w:themeColor="text1"/>
        </w:rPr>
      </w:r>
      <w:r/>
    </w:p>
    <w:p>
      <w:pPr>
        <w:ind w:firstLine="422"/>
        <w:pageBreakBefore w:val="0"/>
        <w:spacing w:line="360" w:lineRule="auto"/>
        <w:tabs>
          <w:tab w:val="left" w:pos="266" w:leader="none"/>
        </w:tabs>
        <w:rPr>
          <w:rFonts w:ascii="Times New Roman" w:hAnsi="Times New Roman" w:eastAsia="宋体" w:cs="宋体"/>
          <w:b/>
          <w:i/>
          <w:iCs/>
          <w:color w:val="000000" w:themeColor="text1"/>
          <w:highlight w:val="none"/>
          <w:u w:val="single"/>
        </w:rPr>
      </w:pPr>
      <w:r>
        <w:rPr>
          <w:rFonts w:hint="eastAsia" w:ascii="Times New Roman" w:hAnsi="Times New Roman" w:eastAsia="宋体" w:cs="宋体"/>
          <w:b/>
          <w:i/>
          <w:iCs/>
          <w:color w:val="000000" w:themeColor="text1"/>
          <w:highlight w:val="none"/>
          <w:u w:val="single"/>
        </w:rPr>
        <w:t xml:space="preserve">5.本项目招标文件中所有斜体下划线部分为实质性条款，如不满足，则为无效投标。</w:t>
      </w:r>
      <w:r>
        <w:rPr>
          <w:color w:val="000000" w:themeColor="text1"/>
        </w:rPr>
      </w:r>
      <w:r/>
    </w:p>
    <w:p>
      <w:pPr>
        <w:ind w:firstLine="420"/>
        <w:pageBreakBefore w:val="0"/>
        <w:spacing w:line="360" w:lineRule="auto"/>
        <w:tabs>
          <w:tab w:val="left" w:pos="266" w:leader="none"/>
        </w:tabs>
        <w:rPr>
          <w:rFonts w:ascii="Times New Roman" w:hAnsi="Times New Roman" w:eastAsia="宋体" w:cs="宋体"/>
          <w:bCs/>
          <w:color w:val="000000" w:themeColor="text1"/>
          <w:highlight w:val="none"/>
        </w:rPr>
      </w:pPr>
      <w:r>
        <w:rPr>
          <w:rFonts w:hint="eastAsia" w:ascii="Times New Roman" w:hAnsi="Times New Roman" w:eastAsia="宋体" w:cs="宋体"/>
          <w:bCs/>
          <w:color w:val="000000" w:themeColor="text1"/>
          <w:highlight w:val="none"/>
        </w:rPr>
        <w:t xml:space="preserve">6.如在开标时间发生系统崩溃等不可预见的情况，造成开评标活动无法正常进行的，将延迟开评标，具体开评标时间另行通知。</w:t>
      </w:r>
      <w:r>
        <w:rPr>
          <w:color w:val="000000" w:themeColor="text1"/>
        </w:rPr>
      </w:r>
      <w:r/>
    </w:p>
    <w:p>
      <w:pPr>
        <w:ind w:firstLine="420"/>
        <w:pageBreakBefore w:val="0"/>
        <w:spacing w:line="360" w:lineRule="auto"/>
        <w:tabs>
          <w:tab w:val="left" w:pos="266" w:leader="none"/>
        </w:tabs>
        <w:rPr>
          <w:rFonts w:ascii="Times New Roman" w:hAnsi="Times New Roman" w:eastAsia="宋体" w:cs="宋体"/>
          <w:bCs/>
          <w:color w:val="000000" w:themeColor="text1"/>
          <w:highlight w:val="none"/>
        </w:rPr>
      </w:pPr>
      <w:r>
        <w:rPr>
          <w:rFonts w:hint="eastAsia" w:ascii="Times New Roman" w:hAnsi="Times New Roman" w:eastAsia="宋体" w:cs="宋体"/>
          <w:bCs/>
          <w:color w:val="000000" w:themeColor="text1"/>
          <w:highlight w:val="none"/>
        </w:rPr>
        <w:t xml:space="preserve">7.为落实好政府采购履约资金扶持政策，中标/成交供应商可凭政府采购合同办理融资贷款，详见江苏政府采购网“政采贷”专栏。</w:t>
      </w:r>
      <w:r>
        <w:rPr>
          <w:color w:val="000000" w:themeColor="text1"/>
        </w:rPr>
      </w:r>
      <w:r/>
    </w:p>
    <w:p>
      <w:pPr>
        <w:ind w:firstLine="420"/>
        <w:pageBreakBefore w:val="0"/>
        <w:spacing w:line="360" w:lineRule="auto"/>
        <w:tabs>
          <w:tab w:val="left" w:pos="266" w:leader="none"/>
        </w:tabs>
        <w:rPr>
          <w:rFonts w:ascii="Times New Roman" w:hAnsi="Times New Roman" w:eastAsia="宋体" w:cs="宋体"/>
          <w:bCs/>
          <w:color w:val="000000" w:themeColor="text1"/>
          <w:highlight w:val="none"/>
        </w:rPr>
      </w:pPr>
      <w:r>
        <w:rPr>
          <w:rFonts w:hint="eastAsia" w:ascii="Times New Roman" w:hAnsi="Times New Roman" w:eastAsia="宋体" w:cs="宋体"/>
          <w:bCs/>
          <w:color w:val="000000" w:themeColor="text1"/>
          <w:highlight w:val="none"/>
        </w:rPr>
        <w:t xml:space="preserve">8.本项目严格执行政府采购关于支持节能产品</w:t>
      </w:r>
      <w:r>
        <w:rPr>
          <w:rFonts w:hint="eastAsia" w:ascii="Times New Roman" w:hAnsi="Times New Roman" w:eastAsia="宋体" w:cs="宋体"/>
          <w:bCs/>
          <w:color w:val="000000" w:themeColor="text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color w:val="000000" w:themeColor="text1"/>
        </w:rPr>
      </w:r>
      <w:r/>
    </w:p>
    <w:p>
      <w:pPr>
        <w:ind w:firstLine="420"/>
        <w:pageBreakBefore w:val="0"/>
        <w:spacing w:line="360" w:lineRule="auto"/>
        <w:tabs>
          <w:tab w:val="left" w:pos="266" w:leader="none"/>
        </w:tabs>
        <w:rPr>
          <w:rFonts w:ascii="Times New Roman" w:hAnsi="Times New Roman" w:eastAsia="宋体" w:cs="宋体"/>
          <w:b/>
          <w:i/>
          <w:iCs/>
          <w:color w:val="000000" w:themeColor="text1"/>
          <w:highlight w:val="none"/>
          <w:u w:val="single"/>
        </w:rPr>
      </w:pPr>
      <w:r>
        <w:rPr>
          <w:rFonts w:hint="eastAsia" w:ascii="Times New Roman" w:hAnsi="Times New Roman" w:eastAsia="宋体" w:cs="宋体"/>
          <w:bCs/>
          <w:color w:val="000000" w:themeColor="text1"/>
          <w:highlight w:val="none"/>
        </w:rPr>
        <w:t xml:space="preserve">9.供应商对于所投产品的包装应按照“财办库〔2020〕123号《关于印发《商品包装政府采购需求标准（试行）》、《快递包装政府采购需求标准（试行）》的通知》”执行。</w:t>
      </w:r>
      <w:r>
        <w:rPr>
          <w:color w:val="000000" w:themeColor="text1"/>
        </w:rPr>
      </w:r>
      <w:r/>
    </w:p>
    <w:p>
      <w:pPr>
        <w:pageBreakBefore w:val="0"/>
        <w:spacing w:line="360" w:lineRule="auto"/>
        <w:tabs>
          <w:tab w:val="left" w:pos="266" w:leader="none"/>
        </w:tabs>
        <w:rPr>
          <w:rFonts w:ascii="Times New Roman" w:hAnsi="Times New Roman" w:eastAsia="宋体" w:cs="宋体"/>
          <w:b/>
          <w:bCs/>
          <w:color w:val="000000" w:themeColor="text1"/>
          <w:highlight w:val="none"/>
        </w:rPr>
      </w:pPr>
      <w:r>
        <w:rPr>
          <w:rFonts w:hint="eastAsia" w:ascii="Times New Roman" w:hAnsi="Times New Roman" w:eastAsia="宋体" w:cs="宋体"/>
          <w:b/>
          <w:bCs/>
          <w:color w:val="000000" w:themeColor="text1"/>
          <w:highlight w:val="none"/>
        </w:rPr>
        <w:t xml:space="preserve">七、本次招标联系方式</w:t>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r/>
    </w:p>
    <w:p>
      <w:pPr>
        <w:ind w:firstLine="420"/>
        <w:jc w:val="left"/>
        <w:pageBreakBefore w:val="0"/>
        <w:spacing w:line="360" w:lineRule="auto"/>
        <w:widowControl/>
        <w:rPr>
          <w:rFonts w:ascii="Times New Roman" w:hAnsi="Times New Roman" w:eastAsia="宋体" w:cs="宋体"/>
          <w:color w:val="000000" w:themeColor="text1"/>
          <w:szCs w:val="21"/>
          <w:highlight w:val="none"/>
        </w:rPr>
      </w:pPr>
      <w:r>
        <w:rPr>
          <w:color w:val="000000" w:themeColor="text1"/>
        </w:rPr>
      </w:r>
      <w:bookmarkStart w:id="36" w:name="_Toc28359010"/>
      <w:r>
        <w:rPr>
          <w:color w:val="000000" w:themeColor="text1"/>
        </w:rPr>
      </w:r>
      <w:bookmarkStart w:id="37" w:name="_Toc28359087"/>
      <w:r>
        <w:rPr>
          <w:rFonts w:hint="eastAsia" w:ascii="Times New Roman" w:hAnsi="Times New Roman" w:eastAsia="宋体" w:cs="宋体"/>
          <w:color w:val="000000" w:themeColor="text1"/>
          <w:highlight w:val="none"/>
        </w:rPr>
        <w:t xml:space="preserve">1.采购人信息</w:t>
      </w:r>
      <w:r>
        <w:rPr>
          <w:color w:val="000000" w:themeColor="text1"/>
        </w:rPr>
      </w:r>
      <w:r/>
    </w:p>
    <w:p>
      <w:pPr>
        <w:ind w:firstLine="420"/>
        <w:jc w:val="left"/>
        <w:pageBreakBefore w:val="0"/>
        <w:spacing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名称：</w:t>
      </w:r>
      <w:r>
        <w:rPr>
          <w:rFonts w:hint="eastAsia" w:ascii="Times New Roman" w:hAnsi="Times New Roman" w:eastAsia="宋体"/>
          <w:color w:val="000000" w:themeColor="text1"/>
          <w:szCs w:val="21"/>
          <w:highlight w:val="none"/>
          <w:lang w:eastAsia="zh-CN"/>
        </w:rPr>
        <w:t xml:space="preserve">扬州市瘦西湖风景区管理处</w:t>
      </w:r>
      <w:r>
        <w:rPr>
          <w:color w:val="000000" w:themeColor="text1"/>
        </w:rPr>
      </w:r>
      <w:r/>
    </w:p>
    <w:p>
      <w:pPr>
        <w:ind w:firstLine="420"/>
        <w:jc w:val="left"/>
        <w:pageBreakBefore w:val="0"/>
        <w:spacing w:line="360" w:lineRule="auto"/>
        <w:rPr>
          <w:rFonts w:hint="default" w:ascii="Times New Roman" w:hAnsi="Times New Roman" w:eastAsia="宋体"/>
          <w:color w:val="000000" w:themeColor="text1"/>
          <w:szCs w:val="21"/>
          <w:highlight w:val="none"/>
        </w:rPr>
      </w:pPr>
      <w:r>
        <w:rPr>
          <w:color w:val="000000" w:themeColor="text1"/>
        </w:rPr>
      </w:r>
      <w:bookmarkStart w:id="38" w:name="_Toc28359086"/>
      <w:r>
        <w:rPr>
          <w:color w:val="000000" w:themeColor="text1"/>
        </w:rPr>
      </w:r>
      <w:bookmarkStart w:id="39" w:name="_Toc28359009"/>
      <w:r>
        <w:rPr>
          <w:rFonts w:hint="eastAsia" w:ascii="Times New Roman" w:hAnsi="Times New Roman" w:eastAsia="宋体" w:cs="宋体"/>
          <w:color w:val="000000" w:themeColor="text1"/>
          <w:highlight w:val="none"/>
        </w:rPr>
        <w:t xml:space="preserve">地址：</w:t>
      </w:r>
      <w:r>
        <w:rPr>
          <w:rFonts w:hint="eastAsia" w:ascii="Times New Roman" w:hAnsi="Times New Roman" w:eastAsia="宋体"/>
          <w:color w:val="000000" w:themeColor="text1"/>
          <w:szCs w:val="21"/>
          <w:highlight w:val="none"/>
        </w:rPr>
        <w:t xml:space="preserve">扬州市大虹桥路28号</w:t>
      </w:r>
      <w:r>
        <w:rPr>
          <w:color w:val="000000" w:themeColor="text1"/>
        </w:rPr>
      </w:r>
      <w:r/>
    </w:p>
    <w:p>
      <w:pPr>
        <w:ind w:firstLine="420"/>
        <w:jc w:val="left"/>
        <w:pageBreakBefore w:val="0"/>
        <w:spacing w:line="360" w:lineRule="auto"/>
        <w:rPr>
          <w:rFonts w:hint="eastAsia"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联系人：张</w:t>
      </w:r>
      <w:r>
        <w:rPr>
          <w:rFonts w:hint="eastAsia" w:ascii="Times New Roman" w:hAnsi="Times New Roman" w:eastAsia="宋体"/>
          <w:color w:val="000000" w:themeColor="text1"/>
          <w:szCs w:val="21"/>
          <w:highlight w:val="none"/>
          <w:lang w:val="en-US" w:eastAsia="zh-CN"/>
        </w:rPr>
        <w:t xml:space="preserve">洁</w:t>
      </w:r>
      <w:r>
        <w:rPr>
          <w:color w:val="000000" w:themeColor="text1"/>
        </w:rPr>
      </w:r>
      <w:r/>
    </w:p>
    <w:p>
      <w:pPr>
        <w:ind w:firstLine="420"/>
        <w:jc w:val="left"/>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联系方式：0514-87370060</w:t>
      </w:r>
      <w:r>
        <w:rPr>
          <w:color w:val="000000" w:themeColor="text1"/>
        </w:rPr>
      </w:r>
      <w:r/>
    </w:p>
    <w:p>
      <w:pPr>
        <w:ind w:firstLine="420"/>
        <w:jc w:val="left"/>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2.采购代理机构信息</w:t>
      </w:r>
      <w:bookmarkEnd w:id="38"/>
      <w:r>
        <w:rPr>
          <w:color w:val="000000" w:themeColor="text1"/>
        </w:rPr>
      </w:r>
      <w:bookmarkEnd w:id="39"/>
      <w:r>
        <w:rPr>
          <w:color w:val="000000" w:themeColor="text1"/>
        </w:rPr>
      </w:r>
      <w:r/>
    </w:p>
    <w:p>
      <w:pPr>
        <w:ind w:firstLine="420"/>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名称：</w:t>
      </w:r>
      <w:r>
        <w:rPr>
          <w:rFonts w:hint="eastAsia" w:ascii="Times New Roman" w:hAnsi="Times New Roman" w:eastAsia="宋体"/>
          <w:color w:val="000000" w:themeColor="text1"/>
          <w:szCs w:val="21"/>
          <w:highlight w:val="none"/>
        </w:rPr>
        <w:t xml:space="preserve">江苏苏维工程管理有限公司</w:t>
      </w:r>
      <w:r>
        <w:rPr>
          <w:color w:val="000000" w:themeColor="text1"/>
        </w:rPr>
      </w:r>
      <w:r/>
    </w:p>
    <w:p>
      <w:pPr>
        <w:ind w:firstLine="420"/>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地址：</w:t>
      </w:r>
      <w:r>
        <w:rPr>
          <w:rFonts w:hint="eastAsia" w:ascii="Times New Roman" w:hAnsi="Times New Roman" w:eastAsia="宋体"/>
          <w:color w:val="000000" w:themeColor="text1"/>
          <w:szCs w:val="21"/>
          <w:highlight w:val="none"/>
        </w:rPr>
        <w:t xml:space="preserve">扬州市</w:t>
      </w:r>
      <w:r>
        <w:rPr>
          <w:rFonts w:hint="eastAsia" w:ascii="Times New Roman" w:hAnsi="Times New Roman" w:eastAsia="宋体"/>
          <w:color w:val="000000" w:themeColor="text1"/>
          <w:szCs w:val="21"/>
          <w:highlight w:val="none"/>
          <w:lang w:val="en-US" w:eastAsia="zh-CN"/>
        </w:rPr>
        <w:t xml:space="preserve">邗江区</w:t>
      </w:r>
      <w:r>
        <w:rPr>
          <w:rFonts w:hint="eastAsia" w:ascii="Times New Roman" w:hAnsi="Times New Roman" w:eastAsia="宋体"/>
          <w:color w:val="000000" w:themeColor="text1"/>
          <w:szCs w:val="21"/>
          <w:highlight w:val="none"/>
        </w:rPr>
        <w:t xml:space="preserve">翠岗路48号</w:t>
      </w:r>
      <w:r>
        <w:rPr>
          <w:color w:val="000000" w:themeColor="text1"/>
        </w:rPr>
      </w:r>
      <w:r/>
    </w:p>
    <w:p>
      <w:pPr>
        <w:ind w:firstLine="420"/>
        <w:pageBreakBefore w:val="0"/>
        <w:spacing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联系人：</w:t>
      </w:r>
      <w:r>
        <w:rPr>
          <w:rFonts w:hint="eastAsia" w:ascii="Times New Roman" w:hAnsi="Times New Roman" w:eastAsia="宋体" w:cs="宋体"/>
          <w:color w:val="000000" w:themeColor="text1"/>
          <w:highlight w:val="none"/>
          <w:lang w:val="en-US" w:eastAsia="zh-CN"/>
        </w:rPr>
        <w:t xml:space="preserve">缪晓庆、李韦林</w:t>
      </w:r>
      <w:r>
        <w:rPr>
          <w:color w:val="000000" w:themeColor="text1"/>
        </w:rPr>
      </w:r>
      <w:r/>
    </w:p>
    <w:p>
      <w:pPr>
        <w:ind w:firstLine="420"/>
        <w:pageBreakBefore w:val="0"/>
        <w:spacing w:line="360" w:lineRule="auto"/>
        <w:rPr>
          <w:rFonts w:hint="eastAsia" w:ascii="Times New Roman" w:hAnsi="Times New Roman" w:eastAsia="宋体" w:cs="宋体"/>
          <w:color w:val="000000" w:themeColor="text1"/>
          <w:highlight w:val="none"/>
          <w:u w:val="single"/>
        </w:rPr>
      </w:pPr>
      <w:r>
        <w:rPr>
          <w:rFonts w:hint="eastAsia" w:ascii="Times New Roman" w:hAnsi="Times New Roman" w:eastAsia="宋体" w:cs="宋体"/>
          <w:color w:val="000000" w:themeColor="text1"/>
          <w:highlight w:val="none"/>
        </w:rPr>
        <w:t xml:space="preserve">联系方式：</w:t>
      </w:r>
      <w:r>
        <w:rPr>
          <w:rFonts w:hint="eastAsia" w:ascii="Times New Roman" w:hAnsi="Times New Roman" w:eastAsia="宋体"/>
          <w:color w:val="000000" w:themeColor="text1"/>
          <w:szCs w:val="21"/>
          <w:highlight w:val="none"/>
          <w:lang w:eastAsia="zh-CN"/>
        </w:rPr>
        <w:t xml:space="preserve">0514-87982240</w:t>
      </w:r>
      <w:bookmarkEnd w:id="36"/>
      <w:r/>
      <w:bookmarkEnd w:id="37"/>
      <w:r>
        <w:rPr>
          <w:color w:val="000000" w:themeColor="text1"/>
        </w:rPr>
      </w:r>
      <w:r/>
    </w:p>
    <w:p>
      <w:pPr>
        <w:jc w:val="right"/>
        <w:pageBreakBefore w:val="0"/>
        <w:spacing w:line="360" w:lineRule="auto"/>
        <w:rPr>
          <w:rFonts w:ascii="Times New Roman" w:hAnsi="Times New Roman" w:eastAsia="宋体"/>
          <w:color w:val="000000" w:themeColor="text1"/>
          <w:szCs w:val="21"/>
          <w:highlight w:val="none"/>
        </w:rPr>
      </w:pPr>
      <w:r>
        <w:rPr>
          <w:color w:val="000000" w:themeColor="text1"/>
        </w:rPr>
      </w:r>
      <w:bookmarkStart w:id="109" w:name="_GoBack"/>
      <w:r>
        <w:rPr>
          <w:color w:val="000000" w:themeColor="text1"/>
        </w:rPr>
      </w:r>
      <w:bookmarkEnd w:id="109"/>
      <w:r>
        <w:rPr>
          <w:color w:val="000000" w:themeColor="text1"/>
        </w:rPr>
      </w:r>
      <w:r/>
    </w:p>
    <w:p>
      <w:pPr>
        <w:jc w:val="right"/>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江苏苏维工程管理有限公司</w:t>
      </w:r>
      <w:r>
        <w:rPr>
          <w:color w:val="000000" w:themeColor="text1"/>
        </w:rPr>
      </w:r>
      <w:r/>
    </w:p>
    <w:p>
      <w:pPr>
        <w:jc w:val="right"/>
        <w:pageBreakBefore w:val="0"/>
        <w:spacing w:line="360" w:lineRule="auto"/>
        <w:rPr>
          <w:rFonts w:ascii="Times New Roman" w:hAnsi="Times New Roman" w:eastAsia="宋体"/>
          <w:color w:val="000000" w:themeColor="text1"/>
          <w:highlight w:val="none"/>
        </w:rPr>
      </w:pPr>
      <w:r>
        <w:rPr>
          <w:rFonts w:hint="eastAsia" w:ascii="Times New Roman" w:hAnsi="Times New Roman" w:eastAsia="宋体"/>
          <w:color w:val="000000" w:themeColor="text1"/>
          <w:szCs w:val="21"/>
          <w:highlight w:val="none"/>
        </w:rPr>
        <w:t xml:space="preserve">2026年</w:t>
      </w:r>
      <w:r>
        <w:rPr>
          <w:rFonts w:hint="eastAsia" w:ascii="Times New Roman" w:hAnsi="Times New Roman" w:eastAsia="宋体"/>
          <w:color w:val="000000" w:themeColor="text1"/>
          <w:szCs w:val="21"/>
          <w:highlight w:val="none"/>
          <w:lang w:val="en-US" w:eastAsia="zh-CN"/>
        </w:rPr>
        <w:t xml:space="preserve">0</w:t>
      </w:r>
      <w:r>
        <w:rPr>
          <w:rFonts w:hint="eastAsia" w:ascii="Times New Roman" w:hAnsi="Times New Roman" w:eastAsia="宋体"/>
          <w:color w:val="000000" w:themeColor="text1"/>
          <w:szCs w:val="21"/>
          <w:highlight w:val="none"/>
          <w:lang w:val="en-US" w:eastAsia="zh-CN"/>
        </w:rPr>
        <w:t xml:space="preserve">6</w:t>
      </w:r>
      <w:r>
        <w:rPr>
          <w:rFonts w:hint="eastAsia" w:ascii="Times New Roman" w:hAnsi="Times New Roman" w:eastAsia="宋体"/>
          <w:color w:val="000000" w:themeColor="text1"/>
          <w:szCs w:val="21"/>
          <w:highlight w:val="none"/>
        </w:rPr>
        <w:t xml:space="preserve">月</w:t>
      </w:r>
      <w:r>
        <w:rPr>
          <w:rFonts w:hint="eastAsia" w:ascii="Times New Roman" w:hAnsi="Times New Roman" w:eastAsia="宋体"/>
          <w:color w:val="000000" w:themeColor="text1"/>
          <w:szCs w:val="21"/>
          <w:highlight w:val="none"/>
          <w:lang w:val="en-US" w:eastAsia="zh-CN"/>
        </w:rPr>
        <w:t xml:space="preserve">03</w:t>
      </w:r>
      <w:r>
        <w:rPr>
          <w:rFonts w:hint="eastAsia" w:ascii="Times New Roman" w:hAnsi="Times New Roman" w:eastAsia="宋体"/>
          <w:color w:val="000000" w:themeColor="text1"/>
          <w:szCs w:val="21"/>
          <w:highlight w:val="none"/>
        </w:rPr>
        <w:t xml:space="preserve">日</w:t>
      </w:r>
      <w:r>
        <w:rPr>
          <w:color w:val="000000" w:themeColor="text1"/>
        </w:rPr>
      </w:r>
      <w:r/>
    </w:p>
    <w:p>
      <w:pPr>
        <w:pStyle w:val="886"/>
        <w:jc w:val="center"/>
        <w:pageBreakBefore w:val="0"/>
        <w:spacing w:before="0" w:after="0" w:line="360" w:lineRule="auto"/>
        <w:rPr>
          <w:rFonts w:ascii="Times New Roman" w:hAnsi="Times New Roman" w:eastAsia="宋体"/>
          <w:color w:val="000000" w:themeColor="text1"/>
          <w:sz w:val="36"/>
          <w:szCs w:val="36"/>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color w:val="000000" w:themeColor="text1"/>
        </w:rPr>
      </w:r>
      <w:bookmarkStart w:id="40" w:name="_Toc55204178"/>
      <w:r>
        <w:rPr>
          <w:color w:val="000000" w:themeColor="text1"/>
        </w:rPr>
      </w:r>
      <w:r/>
    </w:p>
    <w:p>
      <w:pPr>
        <w:pStyle w:val="886"/>
        <w:jc w:val="center"/>
        <w:pageBreakBefore w:val="0"/>
        <w:spacing w:before="0" w:after="0" w:line="360" w:lineRule="auto"/>
        <w:rPr>
          <w:rFonts w:ascii="Times New Roman" w:hAnsi="Times New Roman" w:eastAsia="宋体"/>
          <w:color w:val="000000" w:themeColor="text1"/>
          <w:sz w:val="36"/>
          <w:szCs w:val="36"/>
          <w:highlight w:val="none"/>
        </w:rPr>
      </w:pPr>
      <w:r>
        <w:rPr>
          <w:color w:val="000000" w:themeColor="text1"/>
        </w:rPr>
      </w:r>
      <w:bookmarkStart w:id="41" w:name="_Toc19363"/>
      <w:r>
        <w:rPr>
          <w:rFonts w:hint="eastAsia" w:ascii="Times New Roman" w:hAnsi="Times New Roman" w:eastAsia="宋体"/>
          <w:color w:val="000000" w:themeColor="text1"/>
          <w:sz w:val="36"/>
          <w:szCs w:val="36"/>
          <w:highlight w:val="none"/>
        </w:rPr>
        <w:t xml:space="preserve">第二章</w:t>
      </w:r>
      <w:r>
        <w:rPr>
          <w:rFonts w:hint="eastAsia" w:ascii="Times New Roman" w:hAnsi="Times New Roman" w:eastAsia="宋体"/>
          <w:color w:val="000000" w:themeColor="text1"/>
          <w:sz w:val="36"/>
          <w:szCs w:val="36"/>
          <w:highlight w:val="none"/>
          <w:lang w:val="en-US" w:eastAsia="zh-CN"/>
        </w:rPr>
        <w:t xml:space="preserve"> </w:t>
      </w:r>
      <w:r>
        <w:rPr>
          <w:rFonts w:hint="eastAsia" w:ascii="Times New Roman" w:hAnsi="Times New Roman" w:eastAsia="宋体"/>
          <w:color w:val="000000" w:themeColor="text1"/>
          <w:sz w:val="36"/>
          <w:szCs w:val="36"/>
          <w:highlight w:val="none"/>
        </w:rPr>
        <w:t xml:space="preserve">投标人须知</w:t>
      </w:r>
      <w:bookmarkEnd w:id="40"/>
      <w:r>
        <w:rPr>
          <w:color w:val="000000" w:themeColor="text1"/>
        </w:rPr>
      </w:r>
      <w:bookmarkEnd w:id="41"/>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1、招标方式</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1.1本次招标采取公开招标方式，本招标文件仅适用于</w:t>
      </w:r>
      <w:r>
        <w:rPr>
          <w:rFonts w:hint="eastAsia" w:ascii="Times New Roman" w:hAnsi="Times New Roman" w:eastAsia="宋体"/>
          <w:bCs/>
          <w:color w:val="000000" w:themeColor="text1"/>
          <w:szCs w:val="21"/>
          <w:highlight w:val="none"/>
          <w:lang w:eastAsia="zh-CN"/>
        </w:rPr>
        <w:t xml:space="preserve">JSZC-321092-SWGC-G2026-0069号</w:t>
      </w:r>
      <w:r>
        <w:rPr>
          <w:rFonts w:hint="eastAsia" w:ascii="Times New Roman" w:hAnsi="Times New Roman" w:eastAsia="宋体"/>
          <w:bCs/>
          <w:color w:val="000000" w:themeColor="text1"/>
          <w:szCs w:val="21"/>
          <w:highlight w:val="none"/>
        </w:rPr>
        <w:t xml:space="preserve">项目。</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2、投标人</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2.1本招标文件中“供应商”，即“投标人”，是指参加投标竞争，并符合招标文件规定资格条件的法人、其他组织或者自然人。</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2.2合格的投标人</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2.2.1满足招标公告中供应商的资格条件要求的规定。</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2.2.2满足本文件实质性条款的规定。</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3、适用法律</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3.1本次招标及由此产生的合同受中华人民共和国有关的法律法规制约和保护。</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3.2在本项目政府采购活动过程中，如果所执行的标准有更新的，按照最新标准执行。</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4、投标费用</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4.1投标人应自行承担所有与参加投标有关的费用，无论投标过程中的做法和结果如何，代理机构在任何情况下均无义务和责任承担这些费用。</w:t>
      </w:r>
      <w:r>
        <w:rPr>
          <w:color w:val="000000" w:themeColor="text1"/>
        </w:rPr>
      </w:r>
      <w:r/>
    </w:p>
    <w:p>
      <w:pPr>
        <w:ind w:firstLine="422"/>
        <w:pageBreakBefore w:val="0"/>
        <w:spacing w:line="360" w:lineRule="auto"/>
        <w:rPr>
          <w:rFonts w:hint="eastAsia"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4.</w:t>
      </w:r>
      <w:r>
        <w:rPr>
          <w:rFonts w:hint="eastAsia" w:ascii="Times New Roman" w:hAnsi="Times New Roman" w:eastAsia="宋体"/>
          <w:b/>
          <w:bCs/>
          <w:color w:val="000000" w:themeColor="text1"/>
          <w:szCs w:val="21"/>
          <w:highlight w:val="none"/>
          <w:lang w:val="en-US" w:eastAsia="zh-CN"/>
        </w:rPr>
        <w:t xml:space="preserve">2</w:t>
      </w:r>
      <w:r>
        <w:rPr>
          <w:rFonts w:hint="eastAsia" w:ascii="Times New Roman" w:hAnsi="Times New Roman" w:eastAsia="宋体"/>
          <w:b/>
          <w:bCs/>
          <w:color w:val="000000" w:themeColor="text1"/>
          <w:szCs w:val="21"/>
          <w:highlight w:val="none"/>
        </w:rPr>
        <w:t xml:space="preserve">本次采购由</w:t>
      </w:r>
      <w:r>
        <w:rPr>
          <w:rFonts w:hint="eastAsia" w:ascii="Times New Roman" w:hAnsi="Times New Roman" w:eastAsia="宋体"/>
          <w:b/>
          <w:bCs/>
          <w:color w:val="000000" w:themeColor="text1"/>
          <w:szCs w:val="21"/>
          <w:highlight w:val="none"/>
          <w:lang w:val="en-US" w:eastAsia="zh-CN"/>
        </w:rPr>
        <w:t xml:space="preserve">中标人</w:t>
      </w:r>
      <w:r>
        <w:rPr>
          <w:rFonts w:hint="eastAsia" w:ascii="Times New Roman" w:hAnsi="Times New Roman" w:eastAsia="宋体"/>
          <w:b/>
          <w:bCs/>
          <w:color w:val="000000" w:themeColor="text1"/>
          <w:szCs w:val="21"/>
          <w:highlight w:val="none"/>
        </w:rPr>
        <w:t xml:space="preserve">在领取</w:t>
      </w:r>
      <w:r>
        <w:rPr>
          <w:rFonts w:hint="eastAsia" w:ascii="Times New Roman" w:hAnsi="Times New Roman" w:eastAsia="宋体"/>
          <w:b/>
          <w:bCs/>
          <w:color w:val="000000" w:themeColor="text1"/>
          <w:szCs w:val="21"/>
          <w:highlight w:val="none"/>
          <w:lang w:val="en-US" w:eastAsia="zh-CN"/>
        </w:rPr>
        <w:t xml:space="preserve">中标</w:t>
      </w:r>
      <w:r>
        <w:rPr>
          <w:rFonts w:hint="eastAsia" w:ascii="Times New Roman" w:hAnsi="Times New Roman" w:eastAsia="宋体"/>
          <w:b/>
          <w:bCs/>
          <w:color w:val="000000" w:themeColor="text1"/>
          <w:szCs w:val="21"/>
          <w:highlight w:val="none"/>
        </w:rPr>
        <w:t xml:space="preserve">通知书前按照国家计委印发的《招标代理服务收费管理暂行办法》（计价格〔2002〕1980号文）服务类标准</w:t>
      </w:r>
      <w:r>
        <w:rPr>
          <w:rFonts w:hint="eastAsia" w:ascii="Times New Roman" w:hAnsi="Times New Roman" w:eastAsia="宋体"/>
          <w:b/>
          <w:bCs/>
          <w:color w:val="000000" w:themeColor="text1"/>
          <w:szCs w:val="21"/>
          <w:highlight w:val="none"/>
          <w:u w:val="none"/>
        </w:rPr>
        <w:t xml:space="preserve">的</w:t>
      </w:r>
      <w:r>
        <w:rPr>
          <w:rFonts w:hint="eastAsia" w:ascii="Times New Roman" w:hAnsi="Times New Roman" w:eastAsia="宋体"/>
          <w:b/>
          <w:bCs/>
          <w:color w:val="000000" w:themeColor="text1"/>
          <w:szCs w:val="21"/>
          <w:highlight w:val="none"/>
          <w:u w:val="none"/>
          <w:lang w:val="en-US" w:eastAsia="zh-CN"/>
        </w:rPr>
        <w:t xml:space="preserve">64</w:t>
      </w:r>
      <w:r>
        <w:rPr>
          <w:rFonts w:ascii="Times New Roman" w:hAnsi="Times New Roman" w:eastAsia="宋体"/>
          <w:b/>
          <w:bCs/>
          <w:color w:val="000000" w:themeColor="text1"/>
          <w:szCs w:val="21"/>
          <w:highlight w:val="none"/>
          <w:u w:val="none"/>
        </w:rPr>
        <w:t xml:space="preserve"> </w:t>
      </w:r>
      <w:r>
        <w:rPr>
          <w:rFonts w:hint="eastAsia" w:ascii="Times New Roman" w:hAnsi="Times New Roman" w:eastAsia="宋体"/>
          <w:b/>
          <w:bCs/>
          <w:color w:val="000000" w:themeColor="text1"/>
          <w:szCs w:val="21"/>
          <w:highlight w:val="none"/>
          <w:u w:val="none"/>
        </w:rPr>
        <w:t xml:space="preserve">%一</w:t>
      </w:r>
      <w:r>
        <w:rPr>
          <w:rFonts w:hint="eastAsia" w:ascii="Times New Roman" w:hAnsi="Times New Roman" w:eastAsia="宋体"/>
          <w:b/>
          <w:bCs/>
          <w:color w:val="000000" w:themeColor="text1"/>
          <w:szCs w:val="21"/>
          <w:highlight w:val="none"/>
        </w:rPr>
        <w:t xml:space="preserve">次性支付给招标代理机构代理服务费。</w:t>
      </w:r>
      <w:r>
        <w:rPr>
          <w:color w:val="000000" w:themeColor="text1"/>
        </w:rPr>
      </w:r>
      <w:r/>
    </w:p>
    <w:p>
      <w:pPr>
        <w:ind w:firstLine="422"/>
        <w:pageBreakBefore w:val="0"/>
        <w:spacing w:line="360" w:lineRule="auto"/>
        <w:rPr>
          <w:rFonts w:hint="eastAsia"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（1）代理服务费以人民币支付；</w:t>
      </w:r>
      <w:r>
        <w:rPr>
          <w:color w:val="000000" w:themeColor="text1"/>
        </w:rPr>
      </w:r>
      <w:r/>
    </w:p>
    <w:p>
      <w:pPr>
        <w:ind w:firstLine="422"/>
        <w:pageBreakBefore w:val="0"/>
        <w:spacing w:line="360" w:lineRule="auto"/>
        <w:rPr>
          <w:rFonts w:hint="eastAsia"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（2）代理服务费一次性以电汇或转账等非现金形式支付。</w:t>
      </w:r>
      <w:r>
        <w:rPr>
          <w:color w:val="000000" w:themeColor="text1"/>
        </w:rPr>
      </w:r>
      <w:r/>
    </w:p>
    <w:p>
      <w:pPr>
        <w:ind w:firstLine="422"/>
        <w:pageBreakBefore w:val="0"/>
        <w:spacing w:line="360" w:lineRule="auto"/>
        <w:rPr>
          <w:rFonts w:hint="eastAsia"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代理服务费开户银行：中国工商银行扬州雍华府支行</w:t>
      </w:r>
      <w:r>
        <w:rPr>
          <w:color w:val="000000" w:themeColor="text1"/>
        </w:rPr>
      </w:r>
      <w:r/>
    </w:p>
    <w:p>
      <w:pPr>
        <w:ind w:firstLine="422"/>
        <w:pageBreakBefore w:val="0"/>
        <w:spacing w:line="360" w:lineRule="auto"/>
        <w:rPr>
          <w:rFonts w:hint="eastAsia"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               开户名称：江苏苏维工程管理有限公司</w:t>
      </w:r>
      <w:r>
        <w:rPr>
          <w:color w:val="000000" w:themeColor="text1"/>
        </w:rPr>
      </w:r>
      <w:r/>
    </w:p>
    <w:p>
      <w:pPr>
        <w:ind w:firstLine="422"/>
        <w:pageBreakBefore w:val="0"/>
        <w:spacing w:line="360" w:lineRule="auto"/>
        <w:rPr>
          <w:rFonts w:hint="eastAsia" w:ascii="Times New Roman" w:hAnsi="Times New Roman" w:eastAsia="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               开户账号：1108020819100000612</w:t>
      </w:r>
      <w:r>
        <w:rPr>
          <w:color w:val="000000" w:themeColor="text1"/>
        </w:rPr>
      </w:r>
      <w:r/>
    </w:p>
    <w:p>
      <w:pPr>
        <w:ind w:firstLine="422"/>
        <w:pageBreakBefore w:val="0"/>
        <w:spacing w:line="360" w:lineRule="auto"/>
        <w:rPr>
          <w:rFonts w:ascii="Times New Roman" w:hAnsi="Times New Roman" w:eastAsia="宋体" w:cs="宋体"/>
          <w:b/>
          <w:bCs/>
          <w:color w:val="000000" w:themeColor="text1"/>
          <w:szCs w:val="21"/>
          <w:highlight w:val="none"/>
        </w:rPr>
      </w:pPr>
      <w:r>
        <w:rPr>
          <w:rFonts w:hint="eastAsia" w:ascii="Times New Roman" w:hAnsi="Times New Roman" w:eastAsia="宋体"/>
          <w:b/>
          <w:bCs/>
          <w:color w:val="000000" w:themeColor="text1"/>
          <w:szCs w:val="21"/>
          <w:highlight w:val="none"/>
        </w:rPr>
        <w:t xml:space="preserve">4.</w:t>
      </w:r>
      <w:r>
        <w:rPr>
          <w:rFonts w:hint="eastAsia" w:ascii="Times New Roman" w:hAnsi="Times New Roman" w:eastAsia="宋体"/>
          <w:b/>
          <w:bCs/>
          <w:color w:val="000000" w:themeColor="text1"/>
          <w:szCs w:val="21"/>
          <w:highlight w:val="none"/>
          <w:lang w:val="en-US" w:eastAsia="zh-CN"/>
        </w:rPr>
        <w:t xml:space="preserve">3</w:t>
      </w:r>
      <w:r>
        <w:rPr>
          <w:rFonts w:hint="eastAsia" w:ascii="Times New Roman" w:hAnsi="Times New Roman" w:eastAsia="宋体"/>
          <w:b/>
          <w:bCs/>
          <w:color w:val="000000" w:themeColor="text1"/>
          <w:szCs w:val="21"/>
          <w:highlight w:val="none"/>
        </w:rPr>
        <w:t xml:space="preserve">专家评审费按《扬州市财政局关于进一步规范扬州市政府采购专家评审费标准的通知》（扬财购〔2020〕40号）执行，由采购人支付。</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5、招标文件的约束力</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5.1投标人一旦参加本项目采购活动，即被认为接受了本招标文件的规定和约束。</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6、招标文件构成</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6.1招标文件由以下部分组成：</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（1）招标公告</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（2）投标人须知</w:t>
      </w:r>
      <w:r>
        <w:rPr>
          <w:rFonts w:hint="eastAsia" w:ascii="Times New Roman" w:hAnsi="Times New Roman" w:eastAsia="宋体"/>
          <w:bCs/>
          <w:color w:val="000000" w:themeColor="text1"/>
          <w:szCs w:val="21"/>
          <w:highlight w:val="none"/>
        </w:rPr>
        <w:tab/>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（3）合同条款及格式</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（4）项目需求</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（5）评标方法与评标标准</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（6）投标文件格式</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请仔细检查招标文件是否齐全，如有缺漏请立即与代理机构联系解决。</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6.2招标的最小单位是包。招标服务数量及技术要求中未分包的，供应商对要求提供的服务不得部分投标；招标服务数量及技术要求中已经分包的，应当以包为单位投标。</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6.3招标文件如果要求供应商提交备选投标方案的，供应商可以提交备选方案；否则，备选方案将被拒绝。</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7、招标文件的澄清</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7.1任何要求对招标文件进行澄清的投标人，应在投标截止日期的十日前按招标公告中的通讯地址，以书面形式通知代理机构。</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8、招标文件的修改</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8.1在投标截止时间前，代理机构可以对招标文件进行修改。</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8.2代理机构在招标文件要求提交投标文件截止时间前，有权按照法定要求推迟投标截止时间和开标时间。</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8.3招标文件的修改将在“扬州市政府采购网”、“江苏省政府采购网”和“中国政府采购网”公布，补充文件将作为招标文件的组成部分，并对投标人具有约束力。</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9、投标文件的语言、度量衡单位、货币</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9.1投标人提交的投标文件以及投标人与代理机构就有关投标的所有来往通知、函件和文件均应使用简体中文。</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9.2除技术性能另有规定外，投标文件所使用的度量衡单位，均须采用国家法定计量单位。</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9.3投标人应使用人民币报价。</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10、投标文件构成</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10.1投标文件由以下部分组成</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（1）资格审查响应对照表</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（2）符合性审查响应对照表</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（3）非实质性响应对照表</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（4）开标一览表</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（5）分项报价表</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（6）技术参数响应及偏离表</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（7）商务条款响应及偏离表</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（8）其他（投标人认为有必要提供的声明和文件，如有自拟并自行添加）</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10.2投标人应当根据招标文件要求编制投标文件，投标文件应对招标文件提出的要求和条件作出响应，并在相应的投标文件中逐条标明满足与否。</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11、证明投标人资格及符合招标文件规定的文件</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11.1投标人应按要求提交资格证明文件及符合招标文件规定的文件。</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11.2投标人应提交证明其有资格参加投标和中标后有能力独立履行合同的文件。</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11.3投标人除必须具有履行合同所需提供的产品或服务的能力外，还必须具备相应的财务、技术方面的能力。</w:t>
      </w:r>
      <w:r>
        <w:rPr>
          <w:color w:val="000000" w:themeColor="text1"/>
        </w:rPr>
      </w:r>
      <w:r/>
    </w:p>
    <w:p>
      <w:pPr>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11.4投标人应提交根据合同要求提供的证明服务质量合格以及符合招标文件规定的证明文件。</w:t>
      </w:r>
      <w:r>
        <w:rPr>
          <w:color w:val="000000" w:themeColor="text1"/>
        </w:rPr>
      </w:r>
      <w:r/>
    </w:p>
    <w:p>
      <w:pPr>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11.5证明投标人所提供服务与招标文件的要求相一致的文件可以是手册、图纸、文字资料和数据。</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12、分项报价表</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12.1投标人应按照招标文件规定格式填报分项报价表</w:t>
      </w:r>
      <w:r>
        <w:rPr>
          <w:rFonts w:hint="eastAsia" w:ascii="Times New Roman" w:hAnsi="Times New Roman" w:eastAsia="宋体"/>
          <w:bCs/>
          <w:color w:val="000000" w:themeColor="text1"/>
          <w:szCs w:val="21"/>
          <w:highlight w:val="none"/>
          <w:lang w:eastAsia="zh-CN"/>
        </w:rPr>
        <w:t xml:space="preserve">，</w:t>
      </w:r>
      <w:r>
        <w:rPr>
          <w:rFonts w:hint="eastAsia" w:ascii="Times New Roman" w:hAnsi="Times New Roman" w:eastAsia="宋体"/>
          <w:bCs/>
          <w:color w:val="000000" w:themeColor="text1"/>
          <w:szCs w:val="21"/>
          <w:highlight w:val="none"/>
        </w:rPr>
        <w:t xml:space="preserve">每项货物和服务等只允许有一个报价，任何有选择的报价将不予接受。</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12.2标的物</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采购人需求的服务供应、安装，调试及有关技术服务等。</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12.3有关费用处理</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招标报价采用总承包方式，投标人的报价应包括为完成本项目发生的所有费用，招标文件中另有规定的除外。</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12.4其它费用处理</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招标文件未列明，而投标人认为必需的费用也需列入报价。</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12.5投标货币</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投标文件中的服务单价和总价无特殊规定的采用人民币报价，以元为单位标注。招标文件中另有规定的按规定执行。</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13、技术参数响应及偏离表、商务条款响应及偏离表及说明</w:t>
      </w:r>
      <w:r>
        <w:rPr>
          <w:color w:val="000000" w:themeColor="text1"/>
        </w:rPr>
      </w:r>
      <w:r/>
    </w:p>
    <w:p>
      <w:pPr>
        <w:ind w:firstLine="420"/>
        <w:pageBreakBefore w:val="0"/>
        <w:spacing w:line="360" w:lineRule="auto"/>
        <w:rPr>
          <w:rFonts w:hint="eastAsia"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13.1 对招标文件中的技术与商务条款要求逐项作出响应或偏离，并说明原因；</w:t>
      </w:r>
      <w:r>
        <w:rPr>
          <w:color w:val="000000" w:themeColor="text1"/>
        </w:rPr>
      </w:r>
      <w:r/>
    </w:p>
    <w:p>
      <w:pPr>
        <w:ind w:firstLine="420"/>
        <w:pageBreakBefore w:val="0"/>
        <w:spacing w:line="360" w:lineRule="auto"/>
        <w:rPr>
          <w:rFonts w:hint="eastAsia"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13.2 提供参加本项目类似案例简介；</w:t>
      </w:r>
      <w:r>
        <w:rPr>
          <w:color w:val="000000" w:themeColor="text1"/>
        </w:rPr>
      </w:r>
      <w:r/>
    </w:p>
    <w:p>
      <w:pPr>
        <w:ind w:firstLine="420"/>
        <w:pageBreakBefore w:val="0"/>
        <w:spacing w:line="360" w:lineRule="auto"/>
        <w:rPr>
          <w:rFonts w:hint="eastAsia"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13.3 培训计划；</w:t>
      </w:r>
      <w:r>
        <w:rPr>
          <w:color w:val="000000" w:themeColor="text1"/>
        </w:rPr>
      </w:r>
      <w:r/>
    </w:p>
    <w:p>
      <w:pPr>
        <w:ind w:firstLine="420"/>
        <w:pageBreakBefore w:val="0"/>
        <w:spacing w:line="360" w:lineRule="auto"/>
        <w:rPr>
          <w:rFonts w:hint="eastAsia"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13.4 投标人认为需要的其他技术文件或说明。</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14、服务承诺及售后服务机构、人员的情况介绍</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14.1投标人的服务承诺应按不低于招标文件中商务要求的标准。</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14.2提供投标人有关售后服务的管理制度、售后服务机构的分布情况、售后服务人员的数量、素质、技术水平及售后服务的反应能力。</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15、投标函和开标一览表</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15.1投标人应按照招标文件中提供的格式完整、正确填写投标函、开标一览表。</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15.2开标一览表中的价格应与投标文件中分项报价表中的价格一致，如不一致，不作为无效投标处理，但评标时按开标一览表中价格为准。</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16、投标有效期</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16.1投标有效期为开标之日起六十（60）天。投标有效期比规定短的将被视为非响应性投标而予以拒绝。</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color w:val="000000" w:themeColor="text1"/>
        </w:rPr>
      </w:r>
      <w:bookmarkStart w:id="42" w:name="_Toc16938541"/>
      <w:r>
        <w:rPr>
          <w:color w:val="000000" w:themeColor="text1"/>
        </w:rPr>
      </w:r>
      <w:bookmarkStart w:id="43" w:name="_Toc462564084"/>
      <w:r>
        <w:rPr>
          <w:color w:val="000000" w:themeColor="text1"/>
        </w:rPr>
      </w:r>
      <w:bookmarkStart w:id="44" w:name="_Toc20823297"/>
      <w:r>
        <w:rPr>
          <w:color w:val="000000" w:themeColor="text1"/>
        </w:rPr>
      </w:r>
      <w:bookmarkStart w:id="45" w:name="_Toc513029225"/>
      <w:r>
        <w:rPr>
          <w:rFonts w:hint="eastAsia" w:ascii="Times New Roman" w:hAnsi="Times New Roman" w:eastAsia="宋体"/>
          <w:b/>
          <w:color w:val="000000" w:themeColor="text1"/>
          <w:szCs w:val="21"/>
          <w:highlight w:val="none"/>
        </w:rPr>
        <w:t xml:space="preserve">17、投标文件</w:t>
      </w:r>
      <w:bookmarkEnd w:id="42"/>
      <w:r>
        <w:rPr>
          <w:color w:val="000000" w:themeColor="text1"/>
        </w:rPr>
      </w:r>
      <w:bookmarkEnd w:id="43"/>
      <w:r>
        <w:rPr>
          <w:color w:val="000000" w:themeColor="text1"/>
        </w:rPr>
      </w:r>
      <w:bookmarkEnd w:id="44"/>
      <w:r>
        <w:rPr>
          <w:color w:val="000000" w:themeColor="text1"/>
        </w:rPr>
      </w:r>
      <w:bookmarkEnd w:id="45"/>
      <w:r>
        <w:rPr>
          <w:rFonts w:hint="eastAsia" w:ascii="Times New Roman" w:hAnsi="Times New Roman" w:eastAsia="宋体"/>
          <w:b/>
          <w:color w:val="000000" w:themeColor="text1"/>
          <w:szCs w:val="21"/>
          <w:highlight w:val="none"/>
        </w:rPr>
        <w:t xml:space="preserve">的递交</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17.1电子投标文件的递交投标人应当按照《操作手册》规定，在投标截止时间前制作并上传电子投标文件。</w:t>
      </w:r>
      <w:bookmarkStart w:id="46" w:name="_Toc20823298"/>
      <w:r>
        <w:rPr>
          <w:color w:val="000000" w:themeColor="text1"/>
        </w:rPr>
      </w:r>
      <w:bookmarkStart w:id="47" w:name="_Toc16938542"/>
      <w:r>
        <w:rPr>
          <w:color w:val="000000" w:themeColor="text1"/>
        </w:rPr>
      </w:r>
      <w:bookmarkStart w:id="48" w:name="_Toc513029226"/>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17.2</w:t>
      </w:r>
      <w:r>
        <w:rPr>
          <w:rFonts w:hint="eastAsia" w:ascii="Times New Roman" w:hAnsi="Times New Roman" w:eastAsia="宋体"/>
          <w:b/>
          <w:bCs/>
          <w:color w:val="000000" w:themeColor="text1"/>
          <w:szCs w:val="21"/>
          <w:highlight w:val="none"/>
        </w:rPr>
        <w:t xml:space="preserve">政府采购管理交易系统（苏采云）</w:t>
      </w:r>
      <w:r>
        <w:rPr>
          <w:rFonts w:hint="eastAsia" w:ascii="Times New Roman" w:hAnsi="Times New Roman" w:eastAsia="宋体"/>
          <w:b/>
          <w:color w:val="000000" w:themeColor="text1"/>
          <w:szCs w:val="21"/>
          <w:highlight w:val="none"/>
        </w:rPr>
        <w:t xml:space="preserve">相关要求是本招标文件的组成部分。</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17.3投标人应对CA证书妥善保管，如被他人盗用投标，因此带来的结果均由投标人自行承担。</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17.4投标人应当对招标文件提出的要求和条件作出实质性响应，并在电子投标系统逐条应答。</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17.5投标人应对要求提供的资格证明文件（如资质证书、资格证书）、技术资料（如白皮书、彩页、手册、检测报告等）扫描上传至投标系统。</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17.6投标人应当在招标文件要求提交投标文件的截止时间前，将投标文件提交至“苏采云”系统，逾期提交的投标文件，“苏采云”系统将自动拒收。</w:t>
      </w:r>
      <w:r>
        <w:rPr>
          <w:color w:val="000000" w:themeColor="text1"/>
        </w:rPr>
      </w:r>
      <w:r/>
    </w:p>
    <w:p>
      <w:pPr>
        <w:ind w:firstLine="422"/>
        <w:pageBreakBefore w:val="0"/>
        <w:spacing w:line="360" w:lineRule="auto"/>
        <w:rPr>
          <w:rFonts w:ascii="Times New Roman" w:hAnsi="Times New Roman" w:eastAsia="宋体"/>
          <w:color w:val="000000" w:themeColor="text1"/>
          <w:highlight w:val="none"/>
        </w:rPr>
      </w:pPr>
      <w:r>
        <w:rPr>
          <w:rFonts w:hint="eastAsia" w:ascii="Times New Roman" w:hAnsi="Times New Roman" w:eastAsia="宋体"/>
          <w:b/>
          <w:color w:val="000000" w:themeColor="text1"/>
          <w:szCs w:val="21"/>
          <w:highlight w:val="none"/>
        </w:rPr>
        <w:t xml:space="preserve">17.7各投标人应在规定时间内凭CA证书进行网上解密。</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18、投标截止日期</w:t>
      </w:r>
      <w:bookmarkEnd w:id="46"/>
      <w:r>
        <w:rPr>
          <w:color w:val="000000" w:themeColor="text1"/>
        </w:rPr>
      </w:r>
      <w:bookmarkEnd w:id="47"/>
      <w:r>
        <w:rPr>
          <w:color w:val="000000" w:themeColor="text1"/>
        </w:rPr>
      </w:r>
      <w:bookmarkEnd w:id="48"/>
      <w:r>
        <w:rPr>
          <w:color w:val="000000" w:themeColor="text1"/>
        </w:rPr>
      </w:r>
      <w:r/>
    </w:p>
    <w:p>
      <w:pPr>
        <w:ind w:firstLine="420"/>
        <w:pageBreakBefore w:val="0"/>
        <w:spacing w:line="360" w:lineRule="auto"/>
        <w:rPr>
          <w:rFonts w:ascii="Times New Roman" w:hAnsi="Times New Roman" w:eastAsia="宋体"/>
          <w:bCs/>
          <w:i/>
          <w:iCs/>
          <w:color w:val="000000" w:themeColor="text1"/>
          <w:szCs w:val="21"/>
          <w:highlight w:val="none"/>
          <w:u w:val="single"/>
        </w:rPr>
      </w:pPr>
      <w:r>
        <w:rPr>
          <w:rFonts w:hint="eastAsia" w:ascii="Times New Roman" w:hAnsi="Times New Roman" w:eastAsia="宋体"/>
          <w:bCs/>
          <w:i/>
          <w:iCs/>
          <w:color w:val="000000" w:themeColor="text1"/>
          <w:szCs w:val="21"/>
          <w:highlight w:val="none"/>
          <w:u w:val="single"/>
        </w:rPr>
        <w:t xml:space="preserve">18.1投标人上传电子投标文件的时间不得迟于招标公告中规定的投标截止时间。</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投标人应充分考虑到网络环境、网络带宽等风险因素，如因投标人自身原因造成的电子投标文件上传不成功由投标人自行承担全部责任。</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18.2代理机构可以按照规定，通过修改招标文件延长投标截止日期，在此情况下，投标人的所有权利和义务以及投标人受制的截止日期均应以延长后新的截止日期为准。</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color w:val="000000" w:themeColor="text1"/>
        </w:rPr>
      </w:r>
      <w:bookmarkStart w:id="49" w:name="_Toc20823299"/>
      <w:r>
        <w:rPr>
          <w:color w:val="000000" w:themeColor="text1"/>
        </w:rPr>
      </w:r>
      <w:bookmarkStart w:id="50" w:name="_Toc513029227"/>
      <w:r>
        <w:rPr>
          <w:color w:val="000000" w:themeColor="text1"/>
        </w:rPr>
      </w:r>
      <w:bookmarkStart w:id="51" w:name="_Toc16938543"/>
      <w:r>
        <w:rPr>
          <w:rFonts w:hint="eastAsia" w:ascii="Times New Roman" w:hAnsi="Times New Roman" w:eastAsia="宋体"/>
          <w:b/>
          <w:color w:val="000000" w:themeColor="text1"/>
          <w:szCs w:val="21"/>
          <w:highlight w:val="none"/>
        </w:rPr>
        <w:t xml:space="preserve">19、投标文件</w:t>
      </w:r>
      <w:bookmarkEnd w:id="49"/>
      <w:r>
        <w:rPr>
          <w:color w:val="000000" w:themeColor="text1"/>
        </w:rPr>
      </w:r>
      <w:bookmarkEnd w:id="50"/>
      <w:r>
        <w:rPr>
          <w:color w:val="000000" w:themeColor="text1"/>
        </w:rPr>
      </w:r>
      <w:bookmarkEnd w:id="51"/>
      <w:r>
        <w:rPr>
          <w:rFonts w:hint="eastAsia" w:ascii="Times New Roman" w:hAnsi="Times New Roman" w:eastAsia="宋体"/>
          <w:b/>
          <w:color w:val="000000" w:themeColor="text1"/>
          <w:szCs w:val="21"/>
          <w:highlight w:val="none"/>
        </w:rPr>
        <w:t xml:space="preserve">的拒收</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19.1代理机构拒绝接收在其规定的投标截止时间后上传的任何投标文件。</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color w:val="000000" w:themeColor="text1"/>
        </w:rPr>
      </w:r>
      <w:bookmarkStart w:id="52" w:name="_Toc513029228"/>
      <w:r>
        <w:rPr>
          <w:color w:val="000000" w:themeColor="text1"/>
        </w:rPr>
      </w:r>
      <w:bookmarkStart w:id="53" w:name="_Toc16938544"/>
      <w:r>
        <w:rPr>
          <w:color w:val="000000" w:themeColor="text1"/>
        </w:rPr>
      </w:r>
      <w:bookmarkStart w:id="54" w:name="_Toc20823300"/>
      <w:r>
        <w:rPr>
          <w:rFonts w:hint="eastAsia" w:ascii="Times New Roman" w:hAnsi="Times New Roman" w:eastAsia="宋体"/>
          <w:b/>
          <w:color w:val="000000" w:themeColor="text1"/>
          <w:szCs w:val="21"/>
          <w:highlight w:val="none"/>
        </w:rPr>
        <w:t xml:space="preserve">20、投标文件的撤回和修改</w:t>
      </w:r>
      <w:bookmarkEnd w:id="52"/>
      <w:r>
        <w:rPr>
          <w:color w:val="000000" w:themeColor="text1"/>
        </w:rPr>
      </w:r>
      <w:bookmarkEnd w:id="53"/>
      <w:r>
        <w:rPr>
          <w:color w:val="000000" w:themeColor="text1"/>
        </w:rPr>
      </w:r>
      <w:bookmarkEnd w:id="54"/>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20.1投标文件的撤回</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20.1.1电子投标文件的撤回</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投标人可在投标截止时间前，撤回其电子投标文件，具体操作方法见《操作手册》。</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20.1.2投标人撤回电子投标文件，则认为其不再参与本项目投标活动。</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20.2投标文件的修改</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投标人可在投标截止时间前，对其电子投标文件进行修改，具体操作方法见《操作手册》。</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20.3在投标截止时间之后，投标人不得对其电子投标文件作任何修改。</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20.4在投标截止时间至招标文件中规定的投标有效期满之间的这段时间内，投标人不得撤回其投标。</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21、开标</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21.1代理机构将在招标公告中规定的时间和地点组织公开开标。投标人应当按照《操作手册》规定，参加开标活动。投标人未参加开标的，视同认可开标结果。</w:t>
      </w:r>
      <w:r>
        <w:rPr>
          <w:color w:val="000000" w:themeColor="text1"/>
        </w:rPr>
      </w:r>
      <w:r/>
    </w:p>
    <w:p>
      <w:pPr>
        <w:ind w:firstLine="422"/>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
          <w:color w:val="000000" w:themeColor="text1"/>
          <w:szCs w:val="21"/>
          <w:highlight w:val="none"/>
        </w:rPr>
        <w:t xml:space="preserve">21.2开标仪式由代理机构组织。“政府采购管理交易系统（苏采云）”将自动对项目进行开标，并宣读各投标人的《开标一览表》。</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21.3投标人在开标过程中涉及到的投标文件解密、开标结果确认等工作，应按照《操作手册》规定执行。</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22、评标委员会</w:t>
      </w:r>
      <w:r>
        <w:rPr>
          <w:color w:val="000000" w:themeColor="text1"/>
        </w:rPr>
      </w:r>
      <w:r/>
    </w:p>
    <w:p>
      <w:pPr>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22.1开标后，代理机构将立即组织评标委员会（以下简称评委会）进行评标。</w:t>
      </w:r>
      <w:r>
        <w:rPr>
          <w:color w:val="000000" w:themeColor="text1"/>
        </w:rPr>
      </w:r>
      <w:r/>
    </w:p>
    <w:p>
      <w:pPr>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22.2评委会由采购人代表和有关技术、经济等方面的专家组成，且人员构成符合政府采购有关规定。</w:t>
      </w:r>
      <w:r>
        <w:rPr>
          <w:color w:val="000000" w:themeColor="text1"/>
        </w:rPr>
      </w:r>
      <w:r/>
    </w:p>
    <w:p>
      <w:pPr>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22.3评委会独立工作，负责评审所有投标文件并确定中标候选人。</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23、评标过程的保密与公正</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23.2在评标过程中，投标人不得以任何行为影响评标过程，否则其投标文件将被作为无效投标文件。</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23.3在评标期间，代理机构将设专门工作人员与投标人联系。</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23.4代理机构和评委会不向未中标的投标人解释未中标原因，也不公布评标过程中的相关细节。</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23.5采用综合评分法的项目，未中标的投标人可于中标结果公告期限届满之日起通过“政府采购管理交易系统（苏采云）”查看自己的评审得分及排序情况。</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24、投标的澄清</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24.1评标期间，为有助于对投标文件的审查、评价和比较，评委会有权以电子函件形式要求投标人对其投标文件进行澄清，但并非对每个投标人都作澄清要求。</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color w:val="000000" w:themeColor="text1"/>
        </w:rPr>
      </w:r>
      <w:r/>
    </w:p>
    <w:p>
      <w:pPr>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24.3接到评委会澄清要求的投标人如未按规定做出澄清，其风险由投标人自行承担。</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25、对投标文件的初审</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25.1投标文件初审分为资格审查和符合性审查。</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25.1.1资格审查：依据法律法规和招标文件的规定，由采购人对投标文件中的资格证明文件进行审查。并将审查结论以书面形式向评委会反馈。</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25.1.2符合性检查：依据招标文件的规定，由评委会从投标文件的有效性、完整性和对招标文件的响应程度进行审查，以确定是否对招标文件的实质性要求作出响应。</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25.3如果投标文件实质上没有响应招标文件的要求，评委会将予以拒绝，投标人不得通过修改或撤销不合要求的偏离或保留而使其投标成为实质性响应的投标。</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25.4评委会将对确定为实质性响应的投标进行进一步审核，看其是否有计算上或累加上的算术错误，修正错误的原则如下：</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（1）投标文件中开标一览表内容与投标文件中相应内容不一致的，以开标一览表为准。</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（2）大写金额与小写金额不一致的，以大写金额为准。</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（3）单价金额小数点或者百分比有明显错位的，以开标一览表的总价为准，并修改单价。</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（4）总价金额与按单价汇总金额不一致的，以单价金额计算结果为准。</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同时出现两种以上错误的，按照前款规定的顺序修正。</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25.6评委会将允许修正投标文件中不构成重大偏离的、微小的、非正规的、不一致的或不规则的地方，但这些修改不能影响任何投标人相应的名次排列。</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非单一产品采购项目，招标文件中将载明其中的核心产品。多家投标人提供的核心产品品牌相同的，按前两款规定处理。</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25.8投标人在开、评标全过程中应保持通信畅通，并安排专人与代理机构及评委会联系。</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25.9异常低价投标审查</w:t>
      </w:r>
      <w:r>
        <w:rPr>
          <w:color w:val="000000" w:themeColor="text1"/>
        </w:rPr>
      </w:r>
      <w:r/>
    </w:p>
    <w:p>
      <w:pPr>
        <w:ind w:firstLine="420"/>
        <w:pageBreakBefore w:val="0"/>
        <w:spacing w:line="360" w:lineRule="auto"/>
        <w:rPr>
          <w:rFonts w:hint="eastAsia"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25.</w:t>
      </w:r>
      <w:r>
        <w:rPr>
          <w:rFonts w:hint="eastAsia" w:ascii="Times New Roman" w:hAnsi="Times New Roman" w:eastAsia="宋体"/>
          <w:bCs/>
          <w:color w:val="000000" w:themeColor="text1"/>
          <w:szCs w:val="21"/>
          <w:highlight w:val="none"/>
          <w:lang w:val="en-US" w:eastAsia="zh-CN"/>
        </w:rPr>
        <w:t xml:space="preserve">9</w:t>
      </w:r>
      <w:r>
        <w:rPr>
          <w:rFonts w:hint="eastAsia" w:ascii="Times New Roman" w:hAnsi="Times New Roman" w:eastAsia="宋体"/>
          <w:bCs/>
          <w:color w:val="000000" w:themeColor="text1"/>
          <w:szCs w:val="21"/>
          <w:highlight w:val="none"/>
        </w:rPr>
        <w:t xml:space="preserve">.1评标过程中出现下列情形之一的，评标委员会应当启动异常低价投标审查程</w:t>
      </w:r>
      <w:r>
        <w:rPr>
          <w:rFonts w:hint="eastAsia" w:ascii="Times New Roman" w:hAnsi="Times New Roman" w:eastAsia="宋体" w:cs="宋体"/>
          <w:bCs/>
          <w:color w:val="000000" w:themeColor="text1"/>
          <w:szCs w:val="21"/>
          <w:highlight w:val="none"/>
        </w:rPr>
        <w:t xml:space="preserve">序:</w:t>
      </w:r>
      <w:r>
        <w:rPr>
          <w:color w:val="000000" w:themeColor="text1"/>
        </w:rPr>
      </w:r>
      <w:r/>
    </w:p>
    <w:p>
      <w:pPr>
        <w:ind w:firstLine="420"/>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w:t>
      </w:r>
      <w:r>
        <w:rPr>
          <w:rFonts w:hint="eastAsia" w:ascii="Times New Roman" w:hAnsi="Times New Roman" w:eastAsia="宋体" w:cs="宋体"/>
          <w:bCs/>
          <w:color w:val="000000" w:themeColor="text1"/>
          <w:szCs w:val="21"/>
          <w:highlight w:val="none"/>
          <w:lang w:val="en-US" w:eastAsia="zh-CN"/>
        </w:rPr>
        <w:t xml:space="preserve">.</w:t>
      </w:r>
      <w:r>
        <w:rPr>
          <w:rFonts w:hint="eastAsia" w:ascii="Times New Roman" w:hAnsi="Times New Roman" w:eastAsia="宋体" w:cs="宋体"/>
          <w:bCs/>
          <w:color w:val="000000" w:themeColor="text1"/>
          <w:szCs w:val="21"/>
          <w:highlight w:val="none"/>
        </w:rPr>
        <w:t xml:space="preserve">投标</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响应</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报价低于全部通过符合性审查供应商投标</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响应</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报价平均值50%的，即投标</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响应</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报价〈全部通过符合性审查供应商投标</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响应</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报价平均值X50%</w:t>
      </w:r>
      <w:r>
        <w:rPr>
          <w:rFonts w:hint="eastAsia" w:ascii="Times New Roman" w:hAnsi="Times New Roman" w:eastAsia="宋体" w:cs="宋体"/>
          <w:bCs/>
          <w:color w:val="000000" w:themeColor="text1"/>
          <w:szCs w:val="21"/>
          <w:highlight w:val="none"/>
          <w:lang w:eastAsia="zh-CN"/>
        </w:rPr>
        <w:t xml:space="preserve">；</w:t>
      </w:r>
      <w:r>
        <w:rPr>
          <w:color w:val="000000" w:themeColor="text1"/>
        </w:rPr>
      </w:r>
      <w:r/>
    </w:p>
    <w:p>
      <w:pPr>
        <w:ind w:firstLine="420"/>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2.投标</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响应</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报价低于通过符合性审查的次低报价供应商投标</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响应</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报价50%的，即投标</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响应</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报价〈通过符合性审查的次低报价供应商投标</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响应</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报价X50%</w:t>
      </w:r>
      <w:r>
        <w:rPr>
          <w:rFonts w:hint="eastAsia" w:ascii="Times New Roman" w:hAnsi="Times New Roman" w:eastAsia="宋体" w:cs="宋体"/>
          <w:bCs/>
          <w:color w:val="000000" w:themeColor="text1"/>
          <w:szCs w:val="21"/>
          <w:highlight w:val="none"/>
          <w:lang w:eastAsia="zh-CN"/>
        </w:rPr>
        <w:t xml:space="preserve">；</w:t>
      </w:r>
      <w:r>
        <w:rPr>
          <w:color w:val="000000" w:themeColor="text1"/>
        </w:rPr>
      </w:r>
      <w:r/>
    </w:p>
    <w:p>
      <w:pPr>
        <w:ind w:firstLine="420"/>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3.投标</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响应</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报价低于采购项目最高限价45%的，即投标</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响应</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报价&lt;采购项目最高限价X45%;</w:t>
      </w:r>
      <w:r>
        <w:rPr>
          <w:color w:val="000000" w:themeColor="text1"/>
        </w:rPr>
      </w:r>
      <w:r/>
    </w:p>
    <w:p>
      <w:pPr>
        <w:ind w:firstLine="420"/>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4.评审委员会基于专业判断，认为供应商报价过低，有可能影响产品质量或者不能诚信履约的其他情形。</w:t>
      </w:r>
      <w:r>
        <w:rPr>
          <w:color w:val="000000" w:themeColor="text1"/>
        </w:rPr>
      </w:r>
      <w:r/>
    </w:p>
    <w:p>
      <w:pPr>
        <w:ind w:firstLine="420"/>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25.</w:t>
      </w:r>
      <w:r>
        <w:rPr>
          <w:rFonts w:hint="eastAsia" w:ascii="Times New Roman" w:hAnsi="Times New Roman" w:eastAsia="宋体" w:cs="宋体"/>
          <w:bCs/>
          <w:color w:val="000000" w:themeColor="text1"/>
          <w:szCs w:val="21"/>
          <w:highlight w:val="none"/>
          <w:lang w:val="en-US" w:eastAsia="zh-CN"/>
        </w:rPr>
        <w:t xml:space="preserve">9</w:t>
      </w:r>
      <w:r>
        <w:rPr>
          <w:rFonts w:hint="eastAsia" w:ascii="Times New Roman" w:hAnsi="Times New Roman" w:eastAsia="宋体" w:cs="宋体"/>
          <w:bCs/>
          <w:color w:val="000000" w:themeColor="text1"/>
          <w:szCs w:val="21"/>
          <w:highlight w:val="none"/>
        </w:rPr>
        <w:t xml:space="preserve">.2评审委员会启动异常低价投标</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响应</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审查后，属于前述第1项至第4项情形的，应当要求相关供应商在评审现场合理的时间内对投标</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响应</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响应</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文件一并提交相关书面说明及必要的证明材料的，在评审现场可不再重复提交。</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25.</w:t>
      </w:r>
      <w:r>
        <w:rPr>
          <w:rFonts w:hint="eastAsia" w:ascii="Times New Roman" w:hAnsi="Times New Roman" w:eastAsia="宋体" w:cs="宋体"/>
          <w:bCs/>
          <w:color w:val="000000" w:themeColor="text1"/>
          <w:szCs w:val="21"/>
          <w:highlight w:val="none"/>
          <w:lang w:val="en-US" w:eastAsia="zh-CN"/>
        </w:rPr>
        <w:t xml:space="preserve">9</w:t>
      </w:r>
      <w:r>
        <w:rPr>
          <w:rFonts w:hint="eastAsia" w:ascii="Times New Roman" w:hAnsi="Times New Roman" w:eastAsia="宋体" w:cs="宋体"/>
          <w:bCs/>
          <w:color w:val="000000" w:themeColor="text1"/>
          <w:szCs w:val="21"/>
          <w:highlight w:val="none"/>
        </w:rPr>
        <w:t xml:space="preserve">.3评审委员会依据专业经验，参考同类项目中标</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成交</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价格、类似产品市场价格水平、行业人工费用标准、国家有关部门指导行业协会发布的行业平均成本等情况，对报价合理性进行判断。投标</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响应</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供应商不能提供书面说明、证明材料，或者提供的书面说明、证明材料不能证明其报价合理性的，评审委员会应当将其作为无效投标</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响应</w:t>
      </w:r>
      <w:r>
        <w:rPr>
          <w:rFonts w:hint="eastAsia" w:ascii="Times New Roman" w:hAnsi="Times New Roman" w:eastAsia="宋体" w:cs="宋体"/>
          <w:bCs/>
          <w:color w:val="000000" w:themeColor="text1"/>
          <w:szCs w:val="21"/>
          <w:highlight w:val="none"/>
          <w:lang w:eastAsia="zh-CN"/>
        </w:rPr>
        <w:t xml:space="preserve">）</w:t>
      </w:r>
      <w:r>
        <w:rPr>
          <w:rFonts w:hint="eastAsia" w:ascii="Times New Roman" w:hAnsi="Times New Roman" w:eastAsia="宋体" w:cs="宋体"/>
          <w:bCs/>
          <w:color w:val="000000" w:themeColor="text1"/>
          <w:szCs w:val="21"/>
          <w:highlight w:val="none"/>
        </w:rPr>
        <w:t xml:space="preserve">处理。</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26、无效投标、废标及投标人不足三家的处理</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26.1无效投标条款</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26.1.1投标人未成功解密电子投标文件的。</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26.1.2投标人未按照招标文件要求上传电子投标文件的。</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26.1.3投标人在报价时采用选择性报价的。</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26.1.4投标人不具备招标文件中规定资格要求的。</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26.1.5投标人的报价超过了采购预算或最高限价的。</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26.1.6未通过符合性审查的。</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26.1.7不符合招标文件中规定的其他实质性要求和条件的（</w:t>
      </w:r>
      <w:r>
        <w:rPr>
          <w:rFonts w:hint="eastAsia" w:ascii="Times New Roman" w:hAnsi="Times New Roman" w:eastAsia="宋体"/>
          <w:bCs/>
          <w:i/>
          <w:iCs/>
          <w:color w:val="000000" w:themeColor="text1"/>
          <w:szCs w:val="21"/>
          <w:highlight w:val="none"/>
          <w:u w:val="single"/>
        </w:rPr>
        <w:t xml:space="preserve">本招标文件中斜体且有下划线部分为实质性要求和条件</w:t>
      </w:r>
      <w:r>
        <w:rPr>
          <w:rFonts w:hint="eastAsia" w:ascii="Times New Roman" w:hAnsi="Times New Roman" w:eastAsia="宋体"/>
          <w:bCs/>
          <w:color w:val="000000" w:themeColor="text1"/>
          <w:szCs w:val="21"/>
          <w:highlight w:val="none"/>
        </w:rPr>
        <w:t xml:space="preserve">）。</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26.1.9投标文件含有采购人不能接受的附加条件的。</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26.1.10评标委员会按照本招标文件规定对投标人进行异常低价投标审查后，认为投标人不能证明其报价合理性的。</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26.1.12投标文件未按照招标文件要求加盖电子签章。</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26.1.13投标人所投标产品不符合招标文件中所列国家强制性标准的。</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26.2废标条款：</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26.2.1符合专业条件的供应商或者对招标文件作实质响应的供应商不足三家的。</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26.2.2出现影响采购公正的违法、违规行为的。</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26.2.3因重大变故，采购任务取消的。</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26.2.4评委会认定招标文件存在歧义、重大缺陷导致评审工作无法进行。</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26.3投标截止时间结束后参加投标的供应商不足三家的处理：</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26.3.1如出现投标截止时间结束后参加投标的供应商或者在评标期间对招标文件做出实质性响应的供应商不足三家情况，按政府采购相关规定执行。</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27、确定中标单位</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27.1评委会根据本招标文件规定评标方法与评标标准向采购人推荐出中标候选人。</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27.2采购人应根据评委会推荐的中标候选人确定中标人。</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27.3代理机构将在“扬州市政府采购网”、“江苏省政府采购网”和“中国政府采购网”发布中标公告，公告期限为1个工作日。</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27.4若有充分证据证明，中标人出现下列情况之一的，一经查实，将被取消中标资格：</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27.4.1提供虚假材料谋取中标的；</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27.4.2向采购人、代理机构行贿或者提供其他不正当利益的；</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27.4.3恶意竞争，投标总报价明显低于其自身合理成本且又无法提供证明的；</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27.4.4属于本文件规定的无效条件，但在评标过程中又未被评委会发现的；</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27.4.5与采购人或者其他投标人恶意串通的；</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27.4.6采取不正当手段诋毁、排挤其他供应商的；</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27.4.7不符合法律、法规的规定的。</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27.5.有下列情形之一的，视为投标人串通投标，投标无效：</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27.5.2不同投标人委托同一单位或者个人办理投标事宜。</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27.5.3不同投标人的投标文件载明的项目管理成员或者联系人员为同一人。</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27.5.4不同投标人的投标文件异常一致或者投标报价呈规律性差异。</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27.5.5不同投标人的投标文件相互混装。</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28、质疑处理</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28.1提出质疑的供应商应当是参与所质疑项目采购活动的供应商。潜在供应商依法获取其可质疑的采购文件的，可以对采购文件提出质疑。</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对项目需求部分的质疑，潜在供应商应向采购人提出，由采购人负责答复。</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28.2.1对采购文件提出质疑的，应当在获取采购文件之日或者采购文件公告期限届满之日起7个工作日内提出。</w:t>
      </w:r>
      <w:r>
        <w:rPr>
          <w:rFonts w:hint="eastAsia" w:ascii="Times New Roman" w:hAnsi="Times New Roman" w:eastAsia="宋体"/>
          <w:bCs/>
          <w:color w:val="000000" w:themeColor="text1"/>
          <w:szCs w:val="21"/>
          <w:highlight w:val="none"/>
        </w:rPr>
        <w:br/>
      </w:r>
      <w:r>
        <w:rPr>
          <w:rFonts w:hint="eastAsia" w:ascii="Times New Roman" w:hAnsi="Times New Roman" w:eastAsia="宋体"/>
          <w:bCs/>
          <w:color w:val="000000" w:themeColor="text1"/>
          <w:szCs w:val="21"/>
          <w:highlight w:val="none"/>
        </w:rPr>
        <w:t xml:space="preserve">28.2.2对采购过程提出质疑的，为各采购程序环节结束之日起7个工作日内提出。</w:t>
      </w:r>
      <w:r>
        <w:rPr>
          <w:rFonts w:hint="eastAsia" w:ascii="Times New Roman" w:hAnsi="Times New Roman" w:eastAsia="宋体"/>
          <w:bCs/>
          <w:color w:val="000000" w:themeColor="text1"/>
          <w:szCs w:val="21"/>
          <w:highlight w:val="none"/>
        </w:rPr>
        <w:br/>
      </w:r>
      <w:r>
        <w:rPr>
          <w:rFonts w:hint="eastAsia" w:ascii="Times New Roman" w:hAnsi="Times New Roman" w:eastAsia="宋体"/>
          <w:bCs/>
          <w:color w:val="000000" w:themeColor="text1"/>
          <w:szCs w:val="21"/>
          <w:highlight w:val="none"/>
        </w:rPr>
        <w:t xml:space="preserve">28.2.3对中标结果提出质疑的，为中标结果公告期限届满之日起7个工作日内提出。</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28.5代理机构及采购人只接收以纸质原件形式送达的质疑，同时需与采购代理机构经办人确认是否收到《质疑函》，如供应商未按上述要求去做，将自行承担所产生的风险。（代理机构及采购人不接受无快递运单号的快递。）</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采购人质疑接收人及联系方式见招标文件第一章。</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28.6代理机构收到质疑申请后，将对质疑的形式和内容进行审查，如质疑内容、格式不符合规定，代理机构将告知质疑人进行补正。</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28.7质疑人应当在法定质疑期限内进行补正并重新提交质疑函。</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28.8以下情形的质疑不予受理</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28.8.1内容不符合《政府采购质疑和投诉办法》第十二条规定的质疑。</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28.8.2超出政府采购法定期限的质疑。</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28.8.3以传真、电子邮件等方式递交的非原件形式的质疑。</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28.8.4未参加投标活动的供应商或在投标活动中自身权益未受到损害的供应商所提出的质疑。</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28.8.5供应商组成联合体参加投标，联合体中任何一方或多方未按要求签字、盖章、加盖公章的质疑。</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28.10代理机构应当在收到供应商的书面质疑后7个工作日内作出答复，并以书面形式通知质疑供应商和其他有关供应商，但答复的内容不得涉及商业秘密。</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29、中标通知书</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29.l中标结果确定后，代理机构将向中标人发出中标通知书。</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29.2中标人可在“政府采购管理交易系统（苏采云）”中标通知书下载模块中自行下载中标通知书。</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30、签订合同</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30.l中标人应在中标通知书发出之日起</w:t>
      </w:r>
      <w:r>
        <w:rPr>
          <w:rFonts w:hint="eastAsia" w:ascii="Times New Roman" w:hAnsi="Times New Roman" w:eastAsia="宋体"/>
          <w:bCs/>
          <w:color w:val="000000" w:themeColor="text1"/>
          <w:szCs w:val="21"/>
          <w:highlight w:val="none"/>
          <w:lang w:val="en-US" w:eastAsia="zh-CN"/>
        </w:rPr>
        <w:t xml:space="preserve">三十</w:t>
      </w:r>
      <w:r>
        <w:rPr>
          <w:rFonts w:hint="eastAsia" w:ascii="Times New Roman" w:hAnsi="Times New Roman" w:eastAsia="宋体"/>
          <w:bCs/>
          <w:color w:val="000000" w:themeColor="text1"/>
          <w:szCs w:val="21"/>
          <w:highlight w:val="none"/>
        </w:rPr>
        <w:t xml:space="preserve">日内，按照招标文件确定的事项与采购人签订政府采购合同。</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30.2招标文件、中标人的投标文件及招标过程中有关澄清、承诺文件均应作为合同附件。</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30.3合同在“政府采购管理交易系统（苏采云）”中签订，签订合同后，</w:t>
      </w:r>
      <w:r>
        <w:rPr>
          <w:rFonts w:hint="eastAsia" w:ascii="Times New Roman" w:hAnsi="Times New Roman" w:eastAsia="宋体"/>
          <w:bCs/>
          <w:i/>
          <w:iCs/>
          <w:color w:val="000000" w:themeColor="text1"/>
          <w:szCs w:val="21"/>
          <w:highlight w:val="none"/>
          <w:u w:val="single"/>
        </w:rPr>
        <w:t xml:space="preserve">中标人不得将货物或服务及其他服务进行转包</w:t>
      </w:r>
      <w:r>
        <w:rPr>
          <w:rFonts w:hint="eastAsia" w:ascii="Times New Roman" w:hAnsi="Times New Roman" w:eastAsia="宋体"/>
          <w:bCs/>
          <w:color w:val="000000" w:themeColor="text1"/>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rPr>
          <w:color w:val="000000" w:themeColor="text1"/>
        </w:rPr>
      </w:r>
      <w:r/>
    </w:p>
    <w:p>
      <w:pPr>
        <w:ind w:firstLine="420"/>
        <w:pageBreakBefore w:val="0"/>
        <w:spacing w:line="360" w:lineRule="auto"/>
        <w:rPr>
          <w:rFonts w:ascii="Times New Roman" w:hAnsi="Times New Roman" w:eastAsia="宋体"/>
          <w:b w:val="0"/>
          <w:bCs/>
          <w:color w:val="000000" w:themeColor="text1"/>
          <w:szCs w:val="21"/>
          <w:highlight w:val="none"/>
        </w:rPr>
      </w:pPr>
      <w:r>
        <w:rPr>
          <w:rFonts w:hint="eastAsia" w:ascii="Times New Roman" w:hAnsi="Times New Roman" w:eastAsia="宋体"/>
          <w:bCs/>
          <w:color w:val="000000" w:themeColor="text1"/>
          <w:szCs w:val="21"/>
          <w:highlight w:val="none"/>
        </w:rPr>
        <w:t xml:space="preserve">30.4采购人不得向中标人提出任何不合理的要求作为签订合同的条件，不得与中标人私下</w:t>
      </w:r>
      <w:r>
        <w:rPr>
          <w:rFonts w:hint="eastAsia" w:ascii="Times New Roman" w:hAnsi="Times New Roman" w:eastAsia="宋体"/>
          <w:b w:val="0"/>
          <w:bCs/>
          <w:color w:val="000000" w:themeColor="text1"/>
          <w:szCs w:val="21"/>
          <w:highlight w:val="none"/>
        </w:rPr>
        <w:t xml:space="preserve">订立背离合同实质性内容的协议。所签订的合同不得对招标文件确定事项和中标人投标文件作实质性修改。</w:t>
      </w:r>
      <w:r>
        <w:rPr>
          <w:color w:val="000000" w:themeColor="text1"/>
        </w:rPr>
      </w:r>
      <w:r/>
    </w:p>
    <w:p>
      <w:pPr>
        <w:ind w:firstLine="420"/>
        <w:pageBreakBefore w:val="0"/>
        <w:spacing w:line="360" w:lineRule="auto"/>
        <w:rPr>
          <w:rFonts w:ascii="Times New Roman" w:hAnsi="Times New Roman" w:eastAsia="宋体"/>
          <w:b w:val="0"/>
          <w:bCs/>
          <w:color w:val="000000" w:themeColor="text1"/>
          <w:szCs w:val="21"/>
          <w:highlight w:val="none"/>
        </w:rPr>
      </w:pPr>
      <w:r>
        <w:rPr>
          <w:rFonts w:hint="eastAsia" w:ascii="Times New Roman" w:hAnsi="Times New Roman" w:eastAsia="宋体"/>
          <w:b w:val="0"/>
          <w:bCs/>
          <w:color w:val="000000" w:themeColor="text1"/>
          <w:szCs w:val="21"/>
          <w:highlight w:val="none"/>
        </w:rPr>
        <w:t xml:space="preserve">31、电子投标文件要求</w:t>
      </w:r>
      <w:r>
        <w:rPr>
          <w:color w:val="000000" w:themeColor="text1"/>
        </w:rPr>
      </w:r>
      <w:r/>
    </w:p>
    <w:p>
      <w:pPr>
        <w:ind w:firstLine="420"/>
        <w:pageBreakBefore w:val="0"/>
        <w:spacing w:line="360" w:lineRule="auto"/>
        <w:rPr>
          <w:rFonts w:ascii="Times New Roman" w:hAnsi="Times New Roman" w:eastAsia="宋体"/>
          <w:b w:val="0"/>
          <w:bCs/>
          <w:color w:val="000000" w:themeColor="text1"/>
          <w:szCs w:val="21"/>
          <w:highlight w:val="none"/>
        </w:rPr>
      </w:pPr>
      <w:r>
        <w:rPr>
          <w:rFonts w:hint="eastAsia" w:ascii="Times New Roman" w:hAnsi="Times New Roman" w:eastAsia="宋体"/>
          <w:b w:val="0"/>
          <w:bCs/>
          <w:color w:val="000000" w:themeColor="text1"/>
          <w:szCs w:val="21"/>
          <w:highlight w:val="none"/>
        </w:rPr>
        <w:t xml:space="preserve">31.1政府采购管理交易系统（苏采云）相关要求是本招标文件的组成部分。</w:t>
      </w:r>
      <w:r>
        <w:rPr>
          <w:color w:val="000000" w:themeColor="text1"/>
        </w:rPr>
      </w:r>
      <w:r/>
    </w:p>
    <w:p>
      <w:pPr>
        <w:ind w:firstLine="420"/>
        <w:pageBreakBefore w:val="0"/>
        <w:spacing w:line="360" w:lineRule="auto"/>
        <w:rPr>
          <w:rFonts w:ascii="Times New Roman" w:hAnsi="Times New Roman" w:eastAsia="宋体"/>
          <w:b w:val="0"/>
          <w:bCs/>
          <w:color w:val="000000" w:themeColor="text1"/>
          <w:szCs w:val="21"/>
          <w:highlight w:val="none"/>
        </w:rPr>
      </w:pPr>
      <w:r>
        <w:rPr>
          <w:rFonts w:hint="eastAsia" w:ascii="Times New Roman" w:hAnsi="Times New Roman" w:eastAsia="宋体"/>
          <w:b w:val="0"/>
          <w:bCs/>
          <w:color w:val="000000" w:themeColor="text1"/>
          <w:szCs w:val="21"/>
          <w:highlight w:val="none"/>
        </w:rPr>
        <w:t xml:space="preserve">31.2投标人应对CA证书妥善保管，如被他人盗用投标，因此带来的结果均由投标人自行承担。</w:t>
      </w:r>
      <w:r>
        <w:rPr>
          <w:color w:val="000000" w:themeColor="text1"/>
        </w:rPr>
      </w:r>
      <w:r/>
    </w:p>
    <w:p>
      <w:pPr>
        <w:ind w:firstLine="420"/>
        <w:pageBreakBefore w:val="0"/>
        <w:spacing w:line="360" w:lineRule="auto"/>
        <w:rPr>
          <w:rFonts w:ascii="Times New Roman" w:hAnsi="Times New Roman" w:eastAsia="宋体"/>
          <w:b w:val="0"/>
          <w:bCs/>
          <w:color w:val="000000" w:themeColor="text1"/>
          <w:szCs w:val="21"/>
          <w:highlight w:val="none"/>
        </w:rPr>
      </w:pPr>
      <w:r>
        <w:rPr>
          <w:rFonts w:hint="eastAsia" w:ascii="Times New Roman" w:hAnsi="Times New Roman" w:eastAsia="宋体"/>
          <w:b w:val="0"/>
          <w:bCs/>
          <w:color w:val="000000" w:themeColor="text1"/>
          <w:szCs w:val="21"/>
          <w:highlight w:val="none"/>
        </w:rPr>
        <w:t xml:space="preserve">31.3投标人应当对招标文件提出的要求和条件作出实质性响应，并在电子投标系统逐条应答。</w:t>
      </w:r>
      <w:r>
        <w:rPr>
          <w:color w:val="000000" w:themeColor="text1"/>
        </w:rPr>
      </w:r>
      <w:r/>
    </w:p>
    <w:p>
      <w:pPr>
        <w:ind w:firstLine="420"/>
        <w:pageBreakBefore w:val="0"/>
        <w:spacing w:line="360" w:lineRule="auto"/>
        <w:rPr>
          <w:rFonts w:ascii="Times New Roman" w:hAnsi="Times New Roman" w:eastAsia="宋体"/>
          <w:b w:val="0"/>
          <w:bCs/>
          <w:color w:val="000000" w:themeColor="text1"/>
          <w:szCs w:val="21"/>
          <w:highlight w:val="none"/>
        </w:rPr>
      </w:pPr>
      <w:r>
        <w:rPr>
          <w:rFonts w:hint="eastAsia" w:ascii="Times New Roman" w:hAnsi="Times New Roman" w:eastAsia="宋体"/>
          <w:b w:val="0"/>
          <w:bCs/>
          <w:color w:val="000000" w:themeColor="text1"/>
          <w:szCs w:val="21"/>
          <w:highlight w:val="none"/>
        </w:rPr>
        <w:t xml:space="preserve">31.4投标人应对要求提供的证明文件扫描上传至投标系统。</w:t>
      </w:r>
      <w:r>
        <w:rPr>
          <w:color w:val="000000" w:themeColor="text1"/>
        </w:rPr>
      </w:r>
      <w:r/>
    </w:p>
    <w:p>
      <w:pPr>
        <w:numPr>
          <w:ilvl w:val="0"/>
          <w:numId w:val="5"/>
        </w:numPr>
        <w:ind w:firstLine="420"/>
        <w:pageBreakBefore w:val="0"/>
        <w:spacing w:line="360" w:lineRule="auto"/>
        <w:rPr>
          <w:rFonts w:ascii="Times New Roman" w:hAnsi="Times New Roman" w:eastAsia="宋体"/>
          <w:b w:val="0"/>
          <w:bCs/>
          <w:color w:val="000000" w:themeColor="text1"/>
          <w:szCs w:val="21"/>
          <w:highlight w:val="none"/>
        </w:rPr>
      </w:pPr>
      <w:r>
        <w:rPr>
          <w:rFonts w:hint="eastAsia" w:ascii="Times New Roman" w:hAnsi="Times New Roman" w:eastAsia="宋体"/>
          <w:b w:val="0"/>
          <w:bCs/>
          <w:color w:val="000000" w:themeColor="text1"/>
          <w:szCs w:val="21"/>
          <w:highlight w:val="none"/>
        </w:rPr>
        <w:t xml:space="preserve">提交投标文件的截止时间（投标截止时间）</w:t>
      </w:r>
      <w:r>
        <w:rPr>
          <w:color w:val="000000" w:themeColor="text1"/>
        </w:rPr>
      </w:r>
      <w:r/>
    </w:p>
    <w:p>
      <w:pPr>
        <w:ind w:firstLine="420"/>
        <w:pageBreakBefore w:val="0"/>
        <w:spacing w:line="360" w:lineRule="auto"/>
        <w:rPr>
          <w:rFonts w:ascii="Times New Roman" w:hAnsi="Times New Roman" w:eastAsia="宋体"/>
          <w:b w:val="0"/>
          <w:bCs/>
          <w:color w:val="000000" w:themeColor="text1"/>
          <w:szCs w:val="21"/>
          <w:highlight w:val="none"/>
        </w:rPr>
      </w:pPr>
      <w:r>
        <w:rPr>
          <w:rFonts w:hint="eastAsia" w:ascii="Times New Roman" w:hAnsi="Times New Roman" w:eastAsia="宋体"/>
          <w:b w:val="0"/>
          <w:bCs/>
          <w:color w:val="000000" w:themeColor="text1"/>
          <w:szCs w:val="21"/>
          <w:highlight w:val="none"/>
        </w:rPr>
        <w:t xml:space="preserve">32.1投标人应当在招标文件要求提交投标文件的截止时间前，将投标文件提交至“苏采云”系统，逾期提交的投标文件，“苏采云”系统将自动拒收。</w:t>
      </w:r>
      <w:r>
        <w:rPr>
          <w:color w:val="000000" w:themeColor="text1"/>
        </w:rPr>
      </w:r>
      <w:r/>
    </w:p>
    <w:p>
      <w:pPr>
        <w:ind w:firstLine="420"/>
        <w:pageBreakBefore w:val="0"/>
        <w:spacing w:line="360" w:lineRule="auto"/>
        <w:rPr>
          <w:rFonts w:ascii="Times New Roman" w:hAnsi="Times New Roman" w:eastAsia="宋体"/>
          <w:b w:val="0"/>
          <w:bCs/>
          <w:color w:val="000000" w:themeColor="text1"/>
          <w:highlight w:val="none"/>
        </w:rPr>
      </w:pPr>
      <w:r>
        <w:rPr>
          <w:rFonts w:hint="eastAsia" w:ascii="Times New Roman" w:hAnsi="Times New Roman" w:eastAsia="宋体"/>
          <w:b w:val="0"/>
          <w:bCs/>
          <w:color w:val="000000" w:themeColor="text1"/>
          <w:szCs w:val="21"/>
          <w:highlight w:val="none"/>
        </w:rPr>
        <w:t xml:space="preserve">32.2各投标人应在规定时间内凭CA证书进行网上解密。</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cs="宋体"/>
          <w:b w:val="0"/>
          <w:bCs/>
          <w:color w:val="000000" w:themeColor="text1"/>
          <w:highlight w:val="none"/>
        </w:rPr>
        <w:t xml:space="preserve">33、其他</w:t>
      </w:r>
      <w:r>
        <w:rPr>
          <w:rFonts w:hint="eastAsia" w:ascii="Times New Roman" w:hAnsi="Times New Roman" w:eastAsia="宋体" w:cs="宋体"/>
          <w:color w:val="000000" w:themeColor="text1"/>
          <w:highlight w:val="none"/>
        </w:rPr>
        <w:br/>
      </w:r>
      <w:r>
        <w:rPr>
          <w:rFonts w:hint="eastAsia" w:ascii="Times New Roman" w:hAnsi="Times New Roman" w:eastAsia="宋体" w:cs="宋体"/>
          <w:color w:val="000000" w:themeColor="text1"/>
          <w:highlight w:val="none"/>
        </w:rPr>
        <w:t xml:space="preserve">33.1</w:t>
      </w:r>
      <w:r>
        <w:rPr>
          <w:rFonts w:hint="eastAsia" w:ascii="Times New Roman" w:hAnsi="Times New Roman" w:eastAsia="宋体"/>
          <w:color w:val="000000" w:themeColor="text1"/>
          <w:highlight w:val="none"/>
        </w:rPr>
        <w:t xml:space="preserve">依据《政府采购促进中小企业发展管理办法》享受扶持政策获得政府采购合同的，小微企业不得将合同分包给大中型企业，中型企业不得将合同分包给大型企业。</w:t>
      </w:r>
      <w:r>
        <w:rPr>
          <w:color w:val="000000" w:themeColor="text1"/>
        </w:rPr>
      </w:r>
      <w:r/>
    </w:p>
    <w:p>
      <w:pPr>
        <w:ind w:firstLine="420"/>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br w:type="page" w:clear="all"/>
      </w:r>
      <w:r>
        <w:rPr>
          <w:color w:val="000000" w:themeColor="text1"/>
        </w:rPr>
      </w:r>
      <w:r/>
    </w:p>
    <w:p>
      <w:pPr>
        <w:pStyle w:val="886"/>
        <w:jc w:val="center"/>
        <w:pageBreakBefore w:val="0"/>
        <w:spacing w:before="0" w:after="0" w:line="360" w:lineRule="auto"/>
        <w:rPr>
          <w:rFonts w:ascii="Times New Roman" w:hAnsi="Times New Roman" w:eastAsia="宋体"/>
          <w:color w:val="000000" w:themeColor="text1"/>
          <w:sz w:val="36"/>
          <w:szCs w:val="36"/>
          <w:highlight w:val="none"/>
        </w:rPr>
      </w:pPr>
      <w:r>
        <w:rPr>
          <w:color w:val="000000" w:themeColor="text1"/>
        </w:rPr>
      </w:r>
      <w:bookmarkStart w:id="55" w:name="_Toc55204179"/>
      <w:r>
        <w:rPr>
          <w:color w:val="000000" w:themeColor="text1"/>
        </w:rPr>
      </w:r>
      <w:bookmarkStart w:id="56" w:name="_Toc21800"/>
      <w:r>
        <w:rPr>
          <w:color w:val="000000" w:themeColor="text1"/>
        </w:rPr>
      </w:r>
      <w:bookmarkStart w:id="57" w:name="_Hlk69392822"/>
      <w:r>
        <w:rPr>
          <w:rFonts w:hint="eastAsia" w:ascii="Times New Roman" w:hAnsi="Times New Roman" w:eastAsia="宋体"/>
          <w:color w:val="000000" w:themeColor="text1"/>
          <w:sz w:val="36"/>
          <w:szCs w:val="36"/>
          <w:highlight w:val="none"/>
        </w:rPr>
        <w:t xml:space="preserve">第三章</w:t>
      </w:r>
      <w:r>
        <w:rPr>
          <w:rFonts w:hint="eastAsia" w:ascii="Times New Roman" w:hAnsi="Times New Roman" w:eastAsia="宋体"/>
          <w:color w:val="000000" w:themeColor="text1"/>
          <w:sz w:val="36"/>
          <w:szCs w:val="36"/>
          <w:highlight w:val="none"/>
          <w:lang w:val="en-US" w:eastAsia="zh-CN"/>
        </w:rPr>
        <w:t xml:space="preserve"> </w:t>
      </w:r>
      <w:r>
        <w:rPr>
          <w:rFonts w:hint="eastAsia" w:ascii="Times New Roman" w:hAnsi="Times New Roman" w:eastAsia="宋体"/>
          <w:color w:val="000000" w:themeColor="text1"/>
          <w:sz w:val="36"/>
          <w:szCs w:val="36"/>
          <w:highlight w:val="none"/>
        </w:rPr>
        <w:t xml:space="preserve">合同条款及格式</w:t>
      </w:r>
      <w:bookmarkEnd w:id="55"/>
      <w:r>
        <w:rPr>
          <w:color w:val="000000" w:themeColor="text1"/>
        </w:rPr>
      </w:r>
      <w:bookmarkEnd w:id="56"/>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以下为中标后签定本项目合同的通用条款，中标人不得提出实质性的修改，关于专用条款将由采购人与中标人结合本项目具体情况协商后签订。</w:t>
      </w:r>
      <w:r>
        <w:rPr>
          <w:color w:val="000000" w:themeColor="text1"/>
        </w:rPr>
      </w:r>
      <w:r/>
    </w:p>
    <w:p>
      <w:pPr>
        <w:pStyle w:val="897"/>
        <w:ind w:firstLine="422"/>
        <w:jc w:val="center"/>
        <w:pageBreakBefore w:val="0"/>
        <w:spacing w:line="360" w:lineRule="auto"/>
        <w:rPr>
          <w:rFonts w:ascii="Times New Roman" w:hAnsi="Times New Roman" w:eastAsia="宋体"/>
          <w:b/>
          <w:bCs/>
          <w:color w:val="000000" w:themeColor="text1"/>
          <w:sz w:val="21"/>
          <w:highlight w:val="none"/>
        </w:rPr>
      </w:pPr>
      <w:r>
        <w:rPr>
          <w:rFonts w:hint="eastAsia" w:ascii="Times New Roman" w:hAnsi="Times New Roman" w:eastAsia="宋体"/>
          <w:b/>
          <w:bCs/>
          <w:color w:val="000000" w:themeColor="text1"/>
          <w:sz w:val="21"/>
          <w:highlight w:val="none"/>
        </w:rPr>
        <w:t xml:space="preserve">扬州市政府采购合同（服务）（合同编号）</w:t>
      </w:r>
      <w:r>
        <w:rPr>
          <w:color w:val="000000" w:themeColor="text1"/>
        </w:rPr>
      </w:r>
      <w:r/>
    </w:p>
    <w:p>
      <w:pPr>
        <w:pStyle w:val="897"/>
        <w:ind w:firstLine="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项目名称：</w:t>
      </w:r>
      <w:r>
        <w:rPr>
          <w:rFonts w:hint="eastAsia" w:ascii="Times New Roman" w:hAnsi="Times New Roman" w:eastAsia="宋体"/>
          <w:color w:val="000000" w:themeColor="text1"/>
          <w:sz w:val="21"/>
          <w:highlight w:val="none"/>
          <w:lang w:eastAsia="zh-CN"/>
        </w:rPr>
        <w:t xml:space="preserve">扬州市瘦西湖风景区管理处瘦西湖景区绿化养护项目</w:t>
      </w:r>
      <w:r>
        <w:rPr>
          <w:rFonts w:hint="eastAsia" w:ascii="Times New Roman" w:hAnsi="Times New Roman" w:eastAsia="宋体"/>
          <w:color w:val="000000" w:themeColor="text1"/>
          <w:sz w:val="21"/>
          <w:highlight w:val="none"/>
        </w:rPr>
        <w:t xml:space="preserve">               </w:t>
      </w:r>
      <w:r>
        <w:rPr>
          <w:color w:val="000000" w:themeColor="text1"/>
        </w:rPr>
      </w:r>
      <w:r/>
    </w:p>
    <w:p>
      <w:pPr>
        <w:pStyle w:val="897"/>
        <w:ind w:firstLine="0"/>
        <w:pageBreakBefore w:val="0"/>
        <w:spacing w:line="360" w:lineRule="auto"/>
        <w:rPr>
          <w:rFonts w:hint="eastAsia"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项目编号：</w:t>
      </w:r>
      <w:r>
        <w:rPr>
          <w:rFonts w:hint="eastAsia" w:ascii="Times New Roman" w:hAnsi="Times New Roman" w:eastAsia="宋体"/>
          <w:color w:val="000000" w:themeColor="text1"/>
          <w:sz w:val="21"/>
          <w:highlight w:val="none"/>
          <w:lang w:eastAsia="zh-CN"/>
        </w:rPr>
        <w:t xml:space="preserve">JSZC-321092-SWGC-G2026-0069号</w:t>
      </w:r>
      <w:r>
        <w:rPr>
          <w:color w:val="000000" w:themeColor="text1"/>
        </w:rPr>
      </w:r>
      <w:r/>
    </w:p>
    <w:p>
      <w:pPr>
        <w:pStyle w:val="897"/>
        <w:ind w:firstLine="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包号：</w:t>
      </w:r>
      <w:r>
        <w:rPr>
          <w:color w:val="000000" w:themeColor="text1"/>
        </w:rPr>
      </w:r>
      <w:r/>
    </w:p>
    <w:p>
      <w:pPr>
        <w:pStyle w:val="897"/>
        <w:ind w:firstLine="0"/>
        <w:pageBreakBefore w:val="0"/>
        <w:spacing w:line="360" w:lineRule="auto"/>
        <w:rPr>
          <w:rFonts w:hint="eastAsia"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甲方：（买方）</w:t>
      </w:r>
      <w:r>
        <w:rPr>
          <w:rFonts w:hint="eastAsia" w:ascii="Times New Roman" w:hAnsi="Times New Roman" w:eastAsia="宋体"/>
          <w:color w:val="000000" w:themeColor="text1"/>
          <w:sz w:val="21"/>
          <w:highlight w:val="none"/>
          <w:lang w:eastAsia="zh-CN"/>
        </w:rPr>
        <w:t xml:space="preserve">扬州市瘦西湖风景区管理处</w:t>
      </w:r>
      <w:r>
        <w:rPr>
          <w:color w:val="000000" w:themeColor="text1"/>
        </w:rPr>
      </w:r>
      <w:r/>
    </w:p>
    <w:p>
      <w:pPr>
        <w:pStyle w:val="897"/>
        <w:ind w:firstLine="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乙方：（卖方）_________</w:t>
      </w:r>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甲、乙双方根据江苏苏维工程管理有限公司</w:t>
      </w:r>
      <w:r>
        <w:rPr>
          <w:rFonts w:hint="eastAsia" w:ascii="Times New Roman" w:hAnsi="Times New Roman" w:eastAsia="宋体"/>
          <w:color w:val="000000" w:themeColor="text1"/>
          <w:sz w:val="21"/>
          <w:highlight w:val="none"/>
          <w:u w:val="single"/>
        </w:rPr>
        <w:t xml:space="preserve">         </w:t>
      </w:r>
      <w:r>
        <w:rPr>
          <w:rFonts w:hint="eastAsia" w:ascii="Times New Roman" w:hAnsi="Times New Roman" w:eastAsia="宋体"/>
          <w:color w:val="000000" w:themeColor="text1"/>
          <w:sz w:val="21"/>
          <w:highlight w:val="none"/>
        </w:rPr>
        <w:t xml:space="preserve">项目公开招标的结果，签署本合同。</w:t>
      </w:r>
      <w:r>
        <w:rPr>
          <w:color w:val="000000" w:themeColor="text1"/>
        </w:rPr>
      </w:r>
      <w:r/>
    </w:p>
    <w:p>
      <w:pPr>
        <w:pStyle w:val="897"/>
        <w:ind w:firstLine="422"/>
        <w:pageBreakBefore w:val="0"/>
        <w:spacing w:line="360" w:lineRule="auto"/>
        <w:rPr>
          <w:rFonts w:ascii="Times New Roman" w:hAnsi="Times New Roman" w:eastAsia="宋体"/>
          <w:b/>
          <w:bCs/>
          <w:color w:val="000000" w:themeColor="text1"/>
          <w:sz w:val="21"/>
          <w:highlight w:val="none"/>
        </w:rPr>
      </w:pPr>
      <w:r>
        <w:rPr>
          <w:rFonts w:hint="eastAsia" w:ascii="Times New Roman" w:hAnsi="Times New Roman" w:eastAsia="宋体"/>
          <w:b/>
          <w:bCs/>
          <w:color w:val="000000" w:themeColor="text1"/>
          <w:sz w:val="21"/>
          <w:highlight w:val="none"/>
        </w:rPr>
        <w:t xml:space="preserve">一、服务及货物</w:t>
      </w:r>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1.1 标的名称：</w:t>
      </w:r>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1.2标的质量：</w:t>
      </w:r>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1.3 标的数量（规模）：</w:t>
      </w:r>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1.4 履行时间（期限）：</w:t>
      </w:r>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1.5 履行地点：</w:t>
      </w:r>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1.6履行方式</w:t>
      </w:r>
      <w:r>
        <w:rPr>
          <w:color w:val="000000" w:themeColor="text1"/>
        </w:rPr>
      </w:r>
      <w:r/>
    </w:p>
    <w:p>
      <w:pPr>
        <w:pStyle w:val="897"/>
        <w:ind w:firstLine="422"/>
        <w:pageBreakBefore w:val="0"/>
        <w:spacing w:line="360" w:lineRule="auto"/>
        <w:rPr>
          <w:rFonts w:ascii="Times New Roman" w:hAnsi="Times New Roman" w:eastAsia="宋体"/>
          <w:b/>
          <w:bCs/>
          <w:color w:val="000000" w:themeColor="text1"/>
          <w:sz w:val="21"/>
          <w:highlight w:val="none"/>
        </w:rPr>
      </w:pPr>
      <w:r>
        <w:rPr>
          <w:rFonts w:hint="eastAsia" w:ascii="Times New Roman" w:hAnsi="Times New Roman" w:eastAsia="宋体"/>
          <w:b/>
          <w:bCs/>
          <w:color w:val="000000" w:themeColor="text1"/>
          <w:sz w:val="21"/>
          <w:highlight w:val="none"/>
        </w:rPr>
        <w:t xml:space="preserve">二、合同金额</w:t>
      </w:r>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2.1 合同单价</w:t>
      </w:r>
      <w:r>
        <w:rPr>
          <w:rFonts w:hint="eastAsia" w:ascii="Times New Roman" w:hAnsi="Times New Roman" w:eastAsia="宋体"/>
          <w:color w:val="000000" w:themeColor="text1"/>
          <w:sz w:val="21"/>
          <w:highlight w:val="none"/>
          <w:lang w:val="en-US" w:eastAsia="zh-CN"/>
        </w:rPr>
        <w:t xml:space="preserve">另附</w:t>
      </w:r>
      <w:r>
        <w:rPr>
          <w:rFonts w:hint="eastAsia" w:ascii="Times New Roman" w:hAnsi="Times New Roman" w:eastAsia="宋体"/>
          <w:color w:val="000000" w:themeColor="text1"/>
          <w:sz w:val="21"/>
          <w:highlight w:val="none"/>
        </w:rPr>
        <w:t xml:space="preserve">，最终结算总价不得超过预算总价。</w:t>
      </w:r>
      <w:r>
        <w:rPr>
          <w:color w:val="000000" w:themeColor="text1"/>
        </w:rPr>
      </w:r>
      <w:r/>
    </w:p>
    <w:p>
      <w:pPr>
        <w:pStyle w:val="897"/>
        <w:ind w:firstLine="422"/>
        <w:pageBreakBefore w:val="0"/>
        <w:spacing w:line="360" w:lineRule="auto"/>
        <w:rPr>
          <w:rFonts w:ascii="Times New Roman" w:hAnsi="Times New Roman" w:eastAsia="宋体"/>
          <w:b/>
          <w:bCs/>
          <w:color w:val="000000" w:themeColor="text1"/>
          <w:sz w:val="21"/>
          <w:highlight w:val="none"/>
        </w:rPr>
      </w:pPr>
      <w:r>
        <w:rPr>
          <w:rFonts w:hint="eastAsia" w:ascii="Times New Roman" w:hAnsi="Times New Roman" w:eastAsia="宋体"/>
          <w:b/>
          <w:bCs/>
          <w:color w:val="000000" w:themeColor="text1"/>
          <w:sz w:val="21"/>
          <w:highlight w:val="none"/>
        </w:rPr>
        <w:t xml:space="preserve">三、技术资料</w:t>
      </w:r>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3.1乙方应按采购文件规定的时间向甲方提供使用货物及服务的有关技术资料。</w:t>
      </w:r>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rPr>
      </w:r>
      <w:r/>
    </w:p>
    <w:p>
      <w:pPr>
        <w:pStyle w:val="897"/>
        <w:ind w:firstLine="422"/>
        <w:pageBreakBefore w:val="0"/>
        <w:spacing w:line="360" w:lineRule="auto"/>
        <w:rPr>
          <w:rFonts w:ascii="Times New Roman" w:hAnsi="Times New Roman" w:eastAsia="宋体"/>
          <w:b/>
          <w:bCs/>
          <w:color w:val="000000" w:themeColor="text1"/>
          <w:sz w:val="21"/>
          <w:highlight w:val="none"/>
        </w:rPr>
      </w:pPr>
      <w:r>
        <w:rPr>
          <w:rFonts w:hint="eastAsia" w:ascii="Times New Roman" w:hAnsi="Times New Roman" w:eastAsia="宋体"/>
          <w:b/>
          <w:bCs/>
          <w:color w:val="000000" w:themeColor="text1"/>
          <w:sz w:val="21"/>
          <w:highlight w:val="none"/>
        </w:rPr>
        <w:t xml:space="preserve">四、知识产权</w:t>
      </w:r>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rPr>
          <w:color w:val="000000" w:themeColor="text1"/>
        </w:rPr>
      </w:r>
      <w:r/>
    </w:p>
    <w:p>
      <w:pPr>
        <w:pStyle w:val="897"/>
        <w:ind w:firstLine="422"/>
        <w:pageBreakBefore w:val="0"/>
        <w:spacing w:line="360" w:lineRule="auto"/>
        <w:rPr>
          <w:rFonts w:ascii="Times New Roman" w:hAnsi="Times New Roman" w:eastAsia="宋体"/>
          <w:b/>
          <w:bCs/>
          <w:color w:val="000000" w:themeColor="text1"/>
          <w:sz w:val="21"/>
          <w:highlight w:val="none"/>
        </w:rPr>
      </w:pPr>
      <w:r>
        <w:rPr>
          <w:rFonts w:hint="eastAsia" w:ascii="Times New Roman" w:hAnsi="Times New Roman" w:eastAsia="宋体"/>
          <w:b/>
          <w:bCs/>
          <w:color w:val="000000" w:themeColor="text1"/>
          <w:sz w:val="21"/>
          <w:highlight w:val="none"/>
        </w:rPr>
        <w:t xml:space="preserve">五、产权担保</w:t>
      </w:r>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5.1 乙方保证所交付的货物及服务的所有权完全属于乙方且无任何抵押、查封等产权瑕疵。</w:t>
      </w:r>
      <w:r>
        <w:rPr>
          <w:color w:val="000000" w:themeColor="text1"/>
        </w:rPr>
      </w:r>
      <w:r/>
    </w:p>
    <w:p>
      <w:pPr>
        <w:pStyle w:val="897"/>
        <w:ind w:firstLine="422"/>
        <w:pageBreakBefore w:val="0"/>
        <w:spacing w:line="360" w:lineRule="auto"/>
        <w:rPr>
          <w:rFonts w:ascii="Times New Roman" w:hAnsi="Times New Roman" w:eastAsia="宋体"/>
          <w:b/>
          <w:bCs/>
          <w:color w:val="000000" w:themeColor="text1"/>
          <w:sz w:val="21"/>
          <w:highlight w:val="none"/>
        </w:rPr>
      </w:pPr>
      <w:r>
        <w:rPr>
          <w:rFonts w:hint="eastAsia" w:ascii="Times New Roman" w:hAnsi="Times New Roman" w:eastAsia="宋体"/>
          <w:b/>
          <w:bCs/>
          <w:color w:val="000000" w:themeColor="text1"/>
          <w:sz w:val="21"/>
          <w:highlight w:val="none"/>
        </w:rPr>
        <w:t xml:space="preserve">六、履约保证金</w:t>
      </w:r>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6.1 乙方交纳人民币</w:t>
      </w:r>
      <w:r>
        <w:rPr>
          <w:rFonts w:hint="eastAsia" w:ascii="Times New Roman" w:hAnsi="Times New Roman" w:eastAsia="宋体"/>
          <w:color w:val="000000" w:themeColor="text1"/>
          <w:sz w:val="21"/>
          <w:highlight w:val="none"/>
          <w:u w:val="single"/>
        </w:rPr>
        <w:t xml:space="preserve"> 零  </w:t>
      </w:r>
      <w:r>
        <w:rPr>
          <w:rFonts w:hint="eastAsia" w:ascii="Times New Roman" w:hAnsi="Times New Roman" w:eastAsia="宋体"/>
          <w:color w:val="000000" w:themeColor="text1"/>
          <w:sz w:val="21"/>
          <w:highlight w:val="none"/>
        </w:rPr>
        <w:t xml:space="preserve">元作为本合同的履约保证金。（不得超过合同金额的10%）</w:t>
      </w:r>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6.2合同履行结束后，甲方应及时退还交纳的履约保证金。</w:t>
      </w:r>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6.2.1履约保证金退还方式：无</w:t>
      </w:r>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6.2.2履约保证金退还时间：无</w:t>
      </w:r>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6.2.3履约保证金退还条件：无</w:t>
      </w:r>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6.2.4履约保证金不予退还的情形：无</w:t>
      </w:r>
      <w:r>
        <w:rPr>
          <w:color w:val="000000" w:themeColor="text1"/>
        </w:rPr>
      </w:r>
      <w:r/>
    </w:p>
    <w:p>
      <w:pPr>
        <w:pStyle w:val="897"/>
        <w:ind w:firstLine="422"/>
        <w:pageBreakBefore w:val="0"/>
        <w:spacing w:line="360" w:lineRule="auto"/>
        <w:rPr>
          <w:rFonts w:ascii="Times New Roman" w:hAnsi="Times New Roman" w:eastAsia="宋体"/>
          <w:b/>
          <w:bCs/>
          <w:color w:val="000000" w:themeColor="text1"/>
          <w:sz w:val="21"/>
          <w:highlight w:val="none"/>
        </w:rPr>
      </w:pPr>
      <w:r>
        <w:rPr>
          <w:rFonts w:hint="eastAsia" w:ascii="Times New Roman" w:hAnsi="Times New Roman" w:eastAsia="宋体"/>
          <w:b/>
          <w:bCs/>
          <w:color w:val="000000" w:themeColor="text1"/>
          <w:sz w:val="21"/>
          <w:highlight w:val="none"/>
        </w:rPr>
        <w:t xml:space="preserve">七、转包或分包</w:t>
      </w:r>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7.1乙方不得将合同标的转包给他人履行。</w:t>
      </w:r>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7.2乙方不得将合同标的分包给他人履行。</w:t>
      </w:r>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7.3乙方如有转包或未经甲方同意的分包行为，甲方有权解除合同。</w:t>
      </w:r>
      <w:r>
        <w:rPr>
          <w:color w:val="000000" w:themeColor="text1"/>
        </w:rPr>
      </w:r>
      <w:r/>
    </w:p>
    <w:p>
      <w:pPr>
        <w:pStyle w:val="897"/>
        <w:ind w:firstLine="422"/>
        <w:pageBreakBefore w:val="0"/>
        <w:spacing w:line="360" w:lineRule="auto"/>
        <w:rPr>
          <w:rFonts w:ascii="Times New Roman" w:hAnsi="Times New Roman" w:eastAsia="宋体"/>
          <w:b/>
          <w:bCs/>
          <w:color w:val="000000" w:themeColor="text1"/>
          <w:sz w:val="21"/>
          <w:highlight w:val="none"/>
        </w:rPr>
      </w:pPr>
      <w:r>
        <w:rPr>
          <w:rFonts w:hint="eastAsia" w:ascii="Times New Roman" w:hAnsi="Times New Roman" w:eastAsia="宋体"/>
          <w:b/>
          <w:bCs/>
          <w:color w:val="000000" w:themeColor="text1"/>
          <w:sz w:val="21"/>
          <w:highlight w:val="none"/>
        </w:rPr>
        <w:t xml:space="preserve">八、合同款项支付</w:t>
      </w:r>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8.1 合同款项的支付方式及进度安排</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lang w:eastAsia="zh-CN"/>
        </w:rPr>
        <w:t xml:space="preserve">（</w:t>
      </w:r>
      <w:r>
        <w:rPr>
          <w:rFonts w:hint="eastAsia" w:ascii="Times New Roman" w:hAnsi="Times New Roman" w:eastAsia="宋体" w:cs="宋体"/>
          <w:color w:val="000000" w:themeColor="text1"/>
          <w:szCs w:val="21"/>
          <w:highlight w:val="none"/>
          <w:lang w:val="en-US" w:eastAsia="zh-CN"/>
        </w:rPr>
        <w:t xml:space="preserve">1</w:t>
      </w:r>
      <w:r>
        <w:rPr>
          <w:rFonts w:hint="eastAsia" w:ascii="Times New Roman" w:hAnsi="Times New Roman" w:eastAsia="宋体" w:cs="宋体"/>
          <w:color w:val="000000" w:themeColor="text1"/>
          <w:szCs w:val="21"/>
          <w:highlight w:val="none"/>
          <w:lang w:eastAsia="zh-CN"/>
        </w:rPr>
        <w:t xml:space="preserve">）合同签订后，乙方向甲方开具发票，甲方自收到发票之日起</w:t>
      </w:r>
      <w:r>
        <w:rPr>
          <w:rFonts w:hint="eastAsia" w:ascii="Times New Roman" w:hAnsi="Times New Roman" w:eastAsia="宋体" w:cs="宋体"/>
          <w:color w:val="000000" w:themeColor="text1"/>
          <w:szCs w:val="21"/>
          <w:highlight w:val="none"/>
          <w:lang w:val="en-US" w:eastAsia="zh-CN"/>
        </w:rPr>
        <w:t xml:space="preserve">10</w:t>
      </w:r>
      <w:r>
        <w:rPr>
          <w:rFonts w:hint="eastAsia" w:ascii="Times New Roman" w:hAnsi="Times New Roman" w:eastAsia="宋体" w:cs="宋体"/>
          <w:color w:val="000000" w:themeColor="text1"/>
          <w:szCs w:val="21"/>
          <w:highlight w:val="none"/>
          <w:lang w:eastAsia="zh-CN"/>
        </w:rPr>
        <w:t xml:space="preserve">个</w:t>
      </w:r>
      <w:r>
        <w:rPr>
          <w:rFonts w:hint="eastAsia" w:ascii="Times New Roman" w:hAnsi="Times New Roman" w:eastAsia="宋体" w:cs="宋体"/>
          <w:color w:val="000000" w:themeColor="text1"/>
          <w:szCs w:val="21"/>
          <w:highlight w:val="none"/>
          <w:lang w:val="en-US" w:eastAsia="zh-CN"/>
        </w:rPr>
        <w:t xml:space="preserve">工作日</w:t>
      </w:r>
      <w:r>
        <w:rPr>
          <w:rFonts w:hint="eastAsia" w:ascii="Times New Roman" w:hAnsi="Times New Roman" w:eastAsia="宋体" w:cs="宋体"/>
          <w:color w:val="000000" w:themeColor="text1"/>
          <w:szCs w:val="21"/>
          <w:highlight w:val="none"/>
          <w:lang w:eastAsia="zh-CN"/>
        </w:rPr>
        <w:t xml:space="preserve">内支付合同金额30%的预付款。</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lang w:eastAsia="zh-CN"/>
        </w:rPr>
        <w:t xml:space="preserve">（</w:t>
      </w:r>
      <w:r>
        <w:rPr>
          <w:rFonts w:hint="eastAsia" w:ascii="Times New Roman" w:hAnsi="Times New Roman" w:eastAsia="宋体" w:cs="宋体"/>
          <w:color w:val="000000" w:themeColor="text1"/>
          <w:szCs w:val="21"/>
          <w:highlight w:val="none"/>
          <w:lang w:val="en-US" w:eastAsia="zh-CN"/>
        </w:rPr>
        <w:t xml:space="preserve">2</w:t>
      </w:r>
      <w:r>
        <w:rPr>
          <w:rFonts w:hint="eastAsia" w:ascii="Times New Roman" w:hAnsi="Times New Roman" w:eastAsia="宋体" w:cs="宋体"/>
          <w:color w:val="000000" w:themeColor="text1"/>
          <w:szCs w:val="21"/>
          <w:highlight w:val="none"/>
          <w:lang w:eastAsia="zh-CN"/>
        </w:rPr>
        <w:t xml:space="preserve">）服务开始后每半年结算一次，甲方自收到发票后</w:t>
      </w:r>
      <w:r>
        <w:rPr>
          <w:rFonts w:hint="eastAsia" w:ascii="Times New Roman" w:hAnsi="Times New Roman" w:eastAsia="宋体" w:cs="宋体"/>
          <w:color w:val="000000" w:themeColor="text1"/>
          <w:szCs w:val="21"/>
          <w:highlight w:val="none"/>
          <w:lang w:val="en-US" w:eastAsia="zh-CN"/>
        </w:rPr>
        <w:t xml:space="preserve">10</w:t>
      </w:r>
      <w:r>
        <w:rPr>
          <w:rFonts w:hint="eastAsia" w:ascii="Times New Roman" w:hAnsi="Times New Roman" w:eastAsia="宋体" w:cs="宋体"/>
          <w:color w:val="000000" w:themeColor="text1"/>
          <w:szCs w:val="21"/>
          <w:highlight w:val="none"/>
          <w:lang w:eastAsia="zh-CN"/>
        </w:rPr>
        <w:t xml:space="preserve">个</w:t>
      </w:r>
      <w:r>
        <w:rPr>
          <w:rFonts w:hint="eastAsia" w:ascii="Times New Roman" w:hAnsi="Times New Roman" w:eastAsia="宋体" w:cs="宋体"/>
          <w:color w:val="000000" w:themeColor="text1"/>
          <w:szCs w:val="21"/>
          <w:highlight w:val="none"/>
          <w:lang w:val="en-US" w:eastAsia="zh-CN"/>
        </w:rPr>
        <w:t xml:space="preserve">工作日</w:t>
      </w:r>
      <w:r>
        <w:rPr>
          <w:rFonts w:hint="eastAsia" w:ascii="Times New Roman" w:hAnsi="Times New Roman" w:eastAsia="宋体" w:cs="宋体"/>
          <w:color w:val="000000" w:themeColor="text1"/>
          <w:szCs w:val="21"/>
          <w:highlight w:val="none"/>
          <w:lang w:eastAsia="zh-CN"/>
        </w:rPr>
        <w:t xml:space="preserve">内支付（首次支付半年期结算款时扣除预付款）</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lang w:eastAsia="zh-CN"/>
        </w:rPr>
        <w:t xml:space="preserve">半年支付金额=半年绿化养护人工机械费+药剂费（按实结算）。</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lang w:eastAsia="zh-CN"/>
        </w:rPr>
        <w:t xml:space="preserve">半年绿化养护人工机械费=（中标价-中标药剂费）/2；</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lang w:eastAsia="zh-CN"/>
        </w:rPr>
        <w:t xml:space="preserve">药剂费=实际使用数量*中标单价</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lang w:eastAsia="zh-CN"/>
        </w:rPr>
        <w:t xml:space="preserve">（</w:t>
      </w:r>
      <w:r>
        <w:rPr>
          <w:rFonts w:hint="eastAsia" w:ascii="Times New Roman" w:hAnsi="Times New Roman" w:eastAsia="宋体" w:cs="宋体"/>
          <w:color w:val="000000" w:themeColor="text1"/>
          <w:szCs w:val="21"/>
          <w:highlight w:val="none"/>
          <w:lang w:val="en-US" w:eastAsia="zh-CN"/>
        </w:rPr>
        <w:t xml:space="preserve">3</w:t>
      </w:r>
      <w:r>
        <w:rPr>
          <w:rFonts w:hint="eastAsia" w:ascii="Times New Roman" w:hAnsi="Times New Roman" w:eastAsia="宋体" w:cs="宋体"/>
          <w:color w:val="000000" w:themeColor="text1"/>
          <w:szCs w:val="21"/>
          <w:highlight w:val="none"/>
          <w:lang w:eastAsia="zh-CN"/>
        </w:rPr>
        <w:t xml:space="preserve">）结算金额经甲乙双方确认且甲方收到发票</w:t>
      </w:r>
      <w:r>
        <w:rPr>
          <w:rFonts w:hint="eastAsia" w:ascii="Times New Roman" w:hAnsi="Times New Roman" w:eastAsia="宋体" w:cs="宋体"/>
          <w:color w:val="000000" w:themeColor="text1"/>
          <w:szCs w:val="21"/>
          <w:highlight w:val="none"/>
          <w:lang w:val="en-US" w:eastAsia="zh-CN"/>
        </w:rPr>
        <w:t xml:space="preserve">10</w:t>
      </w:r>
      <w:r>
        <w:rPr>
          <w:rFonts w:hint="eastAsia" w:ascii="Times New Roman" w:hAnsi="Times New Roman" w:eastAsia="宋体" w:cs="宋体"/>
          <w:color w:val="000000" w:themeColor="text1"/>
          <w:szCs w:val="21"/>
          <w:highlight w:val="none"/>
          <w:lang w:eastAsia="zh-CN"/>
        </w:rPr>
        <w:t xml:space="preserve">个</w:t>
      </w:r>
      <w:r>
        <w:rPr>
          <w:rFonts w:hint="eastAsia" w:ascii="Times New Roman" w:hAnsi="Times New Roman" w:eastAsia="宋体" w:cs="宋体"/>
          <w:color w:val="000000" w:themeColor="text1"/>
          <w:szCs w:val="21"/>
          <w:highlight w:val="none"/>
          <w:lang w:val="en-US" w:eastAsia="zh-CN"/>
        </w:rPr>
        <w:t xml:space="preserve">工作日</w:t>
      </w:r>
      <w:r>
        <w:rPr>
          <w:rFonts w:hint="eastAsia" w:ascii="Times New Roman" w:hAnsi="Times New Roman" w:eastAsia="宋体" w:cs="宋体"/>
          <w:color w:val="000000" w:themeColor="text1"/>
          <w:szCs w:val="21"/>
          <w:highlight w:val="none"/>
          <w:lang w:eastAsia="zh-CN"/>
        </w:rPr>
        <w:t xml:space="preserve">内支付结算款。</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lang w:eastAsia="zh-CN"/>
        </w:rPr>
        <w:t xml:space="preserve">注：绿化养护人工机械结算费=中标单位绿化养护人工机械费-考核费</w:t>
      </w:r>
      <w:r>
        <w:rPr>
          <w:rFonts w:hint="eastAsia" w:ascii="Times New Roman" w:hAnsi="Times New Roman" w:eastAsia="宋体" w:cs="宋体"/>
          <w:color w:val="000000" w:themeColor="text1"/>
          <w:szCs w:val="21"/>
          <w:highlight w:val="none"/>
        </w:rPr>
        <w:t xml:space="preserve">。</w:t>
      </w:r>
      <w:r>
        <w:rPr>
          <w:color w:val="000000" w:themeColor="text1"/>
        </w:rPr>
      </w:r>
      <w:r/>
    </w:p>
    <w:p>
      <w:pPr>
        <w:ind w:firstLine="422"/>
        <w:pageBreakBefore w:val="0"/>
        <w:spacing w:line="360" w:lineRule="auto"/>
        <w:rPr>
          <w:rFonts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九、税费</w:t>
      </w:r>
      <w:r>
        <w:rPr>
          <w:color w:val="000000" w:themeColor="text1"/>
        </w:rPr>
      </w:r>
      <w:r/>
    </w:p>
    <w:p>
      <w:pPr>
        <w:ind w:firstLine="420"/>
        <w:pageBreakBefore w:val="0"/>
        <w:spacing w:line="360" w:lineRule="auto"/>
        <w:rPr>
          <w:rFonts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9.1本合同执行中相关的一切税费均由乙方负担。</w:t>
      </w:r>
      <w:r>
        <w:rPr>
          <w:color w:val="000000" w:themeColor="text1"/>
        </w:rPr>
      </w:r>
      <w:r/>
    </w:p>
    <w:p>
      <w:pPr>
        <w:pStyle w:val="966"/>
        <w:numPr>
          <w:ilvl w:val="0"/>
          <w:numId w:val="0"/>
        </w:numPr>
        <w:ind w:firstLine="422"/>
        <w:pageBreakBefore w:val="0"/>
        <w:spacing w:line="360" w:lineRule="auto"/>
        <w:rPr>
          <w:rFonts w:ascii="Times New Roman" w:hAnsi="Times New Roman" w:eastAsia="宋体" w:cs="宋体"/>
          <w:b/>
          <w:color w:val="000000" w:themeColor="text1"/>
          <w:sz w:val="21"/>
          <w:highlight w:val="none"/>
        </w:rPr>
      </w:pPr>
      <w:r>
        <w:rPr>
          <w:rFonts w:hint="eastAsia" w:ascii="Times New Roman" w:hAnsi="Times New Roman" w:eastAsia="宋体" w:cs="宋体"/>
          <w:b/>
          <w:color w:val="000000" w:themeColor="text1"/>
          <w:sz w:val="21"/>
          <w:szCs w:val="21"/>
          <w:highlight w:val="none"/>
          <w:lang w:val="en-US" w:eastAsia="zh-CN" w:bidi="ar-SA"/>
        </w:rPr>
        <w:t xml:space="preserve">十、</w:t>
      </w:r>
      <w:r>
        <w:rPr>
          <w:rFonts w:hint="eastAsia" w:ascii="Times New Roman" w:hAnsi="Times New Roman" w:eastAsia="宋体" w:cs="宋体"/>
          <w:b/>
          <w:color w:val="000000" w:themeColor="text1"/>
          <w:sz w:val="21"/>
          <w:highlight w:val="none"/>
        </w:rPr>
        <w:t xml:space="preserve">项目验收</w:t>
      </w:r>
      <w:r>
        <w:rPr>
          <w:color w:val="000000" w:themeColor="text1"/>
        </w:rPr>
      </w:r>
      <w:r/>
    </w:p>
    <w:p>
      <w:pPr>
        <w:pStyle w:val="966"/>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10.1 甲方依法组织履约验收工作。</w:t>
      </w:r>
      <w:r>
        <w:rPr>
          <w:color w:val="000000" w:themeColor="text1"/>
        </w:rPr>
      </w:r>
      <w:r/>
    </w:p>
    <w:p>
      <w:pPr>
        <w:pStyle w:val="966"/>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rPr>
      </w:r>
      <w:r/>
    </w:p>
    <w:p>
      <w:pPr>
        <w:pStyle w:val="966"/>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10.3 对于实际使用人和甲方分离的项目，甲方邀请实际使用人参与验收。</w:t>
      </w:r>
      <w:r>
        <w:rPr>
          <w:color w:val="000000" w:themeColor="text1"/>
        </w:rPr>
      </w:r>
      <w:r/>
    </w:p>
    <w:p>
      <w:pPr>
        <w:pStyle w:val="966"/>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10.4 如有必要，甲方邀请参加本项目的其他供应商或第三方专业机构及专家参与验收，相关意见将作为验收书的参考资料。</w:t>
      </w:r>
      <w:r>
        <w:rPr>
          <w:color w:val="000000" w:themeColor="text1"/>
        </w:rPr>
      </w:r>
      <w:r/>
    </w:p>
    <w:p>
      <w:pPr>
        <w:pStyle w:val="966"/>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000000" w:themeColor="text1"/>
        </w:rPr>
      </w:r>
      <w:r/>
    </w:p>
    <w:p>
      <w:pPr>
        <w:pStyle w:val="966"/>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color w:val="000000" w:themeColor="text1"/>
        </w:rPr>
      </w:r>
      <w:r/>
    </w:p>
    <w:p>
      <w:pPr>
        <w:pStyle w:val="966"/>
        <w:ind w:firstLine="422"/>
        <w:pageBreakBefore w:val="0"/>
        <w:spacing w:line="360" w:lineRule="auto"/>
        <w:rPr>
          <w:rFonts w:ascii="Times New Roman" w:hAnsi="Times New Roman" w:eastAsia="宋体" w:cs="宋体"/>
          <w:b/>
          <w:color w:val="000000" w:themeColor="text1"/>
          <w:sz w:val="21"/>
          <w:highlight w:val="none"/>
        </w:rPr>
      </w:pPr>
      <w:r>
        <w:rPr>
          <w:rFonts w:hint="eastAsia" w:ascii="Times New Roman" w:hAnsi="Times New Roman" w:eastAsia="宋体" w:cs="宋体"/>
          <w:b/>
          <w:color w:val="000000" w:themeColor="text1"/>
          <w:sz w:val="21"/>
          <w:highlight w:val="none"/>
        </w:rPr>
        <w:t xml:space="preserve">十一、违约责任</w:t>
      </w:r>
      <w:r>
        <w:rPr>
          <w:color w:val="000000" w:themeColor="text1"/>
        </w:rPr>
      </w:r>
      <w:r/>
    </w:p>
    <w:p>
      <w:pPr>
        <w:pStyle w:val="966"/>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11.1 甲方无正当理由拒绝接受乙方提供服务的，甲方向乙方偿付拒绝接受服务合同价款总值</w:t>
      </w:r>
      <w:r>
        <w:rPr>
          <w:rFonts w:hint="eastAsia" w:ascii="Times New Roman" w:hAnsi="Times New Roman" w:eastAsia="宋体" w:cs="宋体"/>
          <w:color w:val="000000" w:themeColor="text1"/>
          <w:sz w:val="21"/>
          <w:highlight w:val="none"/>
          <w:u w:val="single"/>
        </w:rPr>
        <w:t xml:space="preserve">    </w:t>
      </w:r>
      <w:r>
        <w:rPr>
          <w:rFonts w:hint="eastAsia" w:ascii="Times New Roman" w:hAnsi="Times New Roman" w:eastAsia="宋体" w:cs="宋体"/>
          <w:color w:val="000000" w:themeColor="text1"/>
          <w:sz w:val="21"/>
          <w:highlight w:val="none"/>
        </w:rPr>
        <w:t xml:space="preserve">的违约金。</w:t>
      </w:r>
      <w:r>
        <w:rPr>
          <w:color w:val="000000" w:themeColor="text1"/>
        </w:rPr>
      </w:r>
      <w:r/>
    </w:p>
    <w:p>
      <w:pPr>
        <w:pStyle w:val="966"/>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11.2 甲方无故逾期验收和办理合同款项支付手续的，甲方应按逾期付款总额</w:t>
      </w:r>
      <w:r>
        <w:rPr>
          <w:rFonts w:hint="eastAsia" w:ascii="Times New Roman" w:hAnsi="Times New Roman" w:eastAsia="宋体" w:cs="宋体"/>
          <w:color w:val="000000" w:themeColor="text1"/>
          <w:sz w:val="21"/>
          <w:highlight w:val="none"/>
          <w:u w:val="single"/>
        </w:rPr>
        <w:t xml:space="preserve">    </w:t>
      </w:r>
      <w:r>
        <w:rPr>
          <w:rFonts w:hint="eastAsia" w:ascii="Times New Roman" w:hAnsi="Times New Roman" w:eastAsia="宋体" w:cs="宋体"/>
          <w:color w:val="000000" w:themeColor="text1"/>
          <w:sz w:val="21"/>
          <w:highlight w:val="none"/>
        </w:rPr>
        <w:t xml:space="preserve">每日向乙方支付违约金。</w:t>
      </w:r>
      <w:r>
        <w:rPr>
          <w:color w:val="000000" w:themeColor="text1"/>
        </w:rPr>
      </w:r>
      <w:r/>
    </w:p>
    <w:p>
      <w:pPr>
        <w:pStyle w:val="966"/>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宋体" w:cs="宋体"/>
          <w:color w:val="000000" w:themeColor="text1"/>
          <w:sz w:val="21"/>
          <w:highlight w:val="none"/>
          <w:u w:val="single"/>
        </w:rPr>
        <w:t xml:space="preserve">     </w:t>
      </w:r>
      <w:r>
        <w:rPr>
          <w:rFonts w:hint="eastAsia" w:ascii="Times New Roman" w:hAnsi="Times New Roman" w:eastAsia="宋体" w:cs="宋体"/>
          <w:color w:val="000000" w:themeColor="text1"/>
          <w:sz w:val="21"/>
          <w:highlight w:val="none"/>
        </w:rPr>
        <w:t xml:space="preserve">的违约金，如造成甲方损失超过违约金的，超出部分由乙方继续承担赔偿责任。 </w:t>
      </w:r>
      <w:r>
        <w:rPr>
          <w:color w:val="000000" w:themeColor="text1"/>
        </w:rPr>
      </w:r>
      <w:r/>
    </w:p>
    <w:p>
      <w:pPr>
        <w:pStyle w:val="966"/>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11.4 乙方所提供服务的标准不符合合同规定及采购文件规定标准的，甲方有权拒绝接受服务，并可单方面解除合同。</w:t>
      </w:r>
      <w:r>
        <w:rPr>
          <w:color w:val="000000" w:themeColor="text1"/>
        </w:rPr>
      </w:r>
      <w:r/>
    </w:p>
    <w:p>
      <w:pPr>
        <w:pStyle w:val="966"/>
        <w:ind w:firstLine="422"/>
        <w:pageBreakBefore w:val="0"/>
        <w:spacing w:line="360" w:lineRule="auto"/>
        <w:rPr>
          <w:rFonts w:ascii="Times New Roman" w:hAnsi="Times New Roman" w:eastAsia="宋体" w:cs="宋体"/>
          <w:b/>
          <w:color w:val="000000" w:themeColor="text1"/>
          <w:sz w:val="21"/>
          <w:highlight w:val="none"/>
        </w:rPr>
      </w:pPr>
      <w:r>
        <w:rPr>
          <w:rFonts w:hint="eastAsia" w:ascii="Times New Roman" w:hAnsi="Times New Roman" w:eastAsia="宋体" w:cs="宋体"/>
          <w:b/>
          <w:color w:val="000000" w:themeColor="text1"/>
          <w:sz w:val="21"/>
          <w:highlight w:val="none"/>
        </w:rPr>
        <w:t xml:space="preserve">十二、不可抗力事件处理</w:t>
      </w:r>
      <w:r>
        <w:rPr>
          <w:color w:val="000000" w:themeColor="text1"/>
        </w:rPr>
      </w:r>
      <w:r/>
    </w:p>
    <w:p>
      <w:pPr>
        <w:pStyle w:val="966"/>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12.1 在合同有效期内，任何一方因不可抗力事件导致不能履行合同，则合同履行期可延长，其延长期与不可抗力影响 期相同。</w:t>
      </w:r>
      <w:r>
        <w:rPr>
          <w:color w:val="000000" w:themeColor="text1"/>
        </w:rPr>
      </w:r>
      <w:r/>
    </w:p>
    <w:p>
      <w:pPr>
        <w:pStyle w:val="966"/>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12.2 不可抗力事件发生后，应立即通知对方，并寄送有关权威机构出具的证明。</w:t>
      </w:r>
      <w:r>
        <w:rPr>
          <w:color w:val="000000" w:themeColor="text1"/>
        </w:rPr>
      </w:r>
      <w:r/>
    </w:p>
    <w:p>
      <w:pPr>
        <w:pStyle w:val="966"/>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12.3 不可抗力事件延续120天以上，双方应通过友好协商，确定是否继续履行合同。</w:t>
      </w:r>
      <w:r>
        <w:rPr>
          <w:color w:val="000000" w:themeColor="text1"/>
        </w:rPr>
      </w:r>
      <w:r/>
    </w:p>
    <w:p>
      <w:pPr>
        <w:pStyle w:val="966"/>
        <w:ind w:firstLine="422"/>
        <w:pageBreakBefore w:val="0"/>
        <w:spacing w:line="360" w:lineRule="auto"/>
        <w:rPr>
          <w:rFonts w:ascii="Times New Roman" w:hAnsi="Times New Roman" w:eastAsia="宋体" w:cs="宋体"/>
          <w:b/>
          <w:color w:val="000000" w:themeColor="text1"/>
          <w:sz w:val="21"/>
          <w:highlight w:val="none"/>
        </w:rPr>
      </w:pPr>
      <w:r>
        <w:rPr>
          <w:rFonts w:hint="eastAsia" w:ascii="Times New Roman" w:hAnsi="Times New Roman" w:eastAsia="宋体" w:cs="宋体"/>
          <w:b/>
          <w:color w:val="000000" w:themeColor="text1"/>
          <w:sz w:val="21"/>
          <w:highlight w:val="none"/>
        </w:rPr>
        <w:t xml:space="preserve">十三、解决争议的方法</w:t>
      </w:r>
      <w:r>
        <w:rPr>
          <w:color w:val="000000" w:themeColor="text1"/>
        </w:rPr>
      </w:r>
      <w:r/>
    </w:p>
    <w:p>
      <w:pPr>
        <w:pStyle w:val="966"/>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13.1双方在签订、履行合同中所发生的一切争议，应通过友好协商解决。如协商不成，由甲方住所地人民法院管辖。</w:t>
      </w:r>
      <w:r>
        <w:rPr>
          <w:color w:val="000000" w:themeColor="text1"/>
        </w:rPr>
      </w:r>
      <w:r/>
    </w:p>
    <w:p>
      <w:pPr>
        <w:ind w:firstLine="422"/>
        <w:pageBreakBefore w:val="0"/>
        <w:spacing w:line="360" w:lineRule="auto"/>
        <w:rPr>
          <w:rFonts w:ascii="Times New Roman" w:hAnsi="Times New Roman" w:eastAsia="宋体" w:cs="宋体"/>
          <w:b/>
          <w:bCs/>
          <w:color w:val="000000" w:themeColor="text1"/>
          <w:szCs w:val="21"/>
          <w:highlight w:val="none"/>
        </w:rPr>
      </w:pPr>
      <w:r>
        <w:rPr>
          <w:rFonts w:hint="eastAsia" w:ascii="Times New Roman" w:hAnsi="Times New Roman" w:eastAsia="宋体" w:cs="宋体"/>
          <w:b/>
          <w:bCs/>
          <w:color w:val="000000" w:themeColor="text1"/>
          <w:szCs w:val="21"/>
          <w:highlight w:val="none"/>
        </w:rPr>
        <w:t xml:space="preserve">十四、为落实好政府采购履约资金扶持政策，乙方可凭政府采购合同办理融资贷款，详见江苏政府采购网“政采贷”专栏。</w:t>
      </w:r>
      <w:r>
        <w:rPr>
          <w:color w:val="000000" w:themeColor="text1"/>
        </w:rPr>
      </w:r>
      <w:r/>
    </w:p>
    <w:p>
      <w:pPr>
        <w:pStyle w:val="897"/>
        <w:ind w:firstLine="422"/>
        <w:pageBreakBefore w:val="0"/>
        <w:spacing w:line="360" w:lineRule="auto"/>
        <w:rPr>
          <w:rFonts w:ascii="Times New Roman" w:hAnsi="Times New Roman" w:eastAsia="宋体" w:cs="宋体"/>
          <w:b/>
          <w:bCs/>
          <w:color w:val="000000" w:themeColor="text1"/>
          <w:sz w:val="21"/>
          <w:highlight w:val="none"/>
        </w:rPr>
      </w:pPr>
      <w:r>
        <w:rPr>
          <w:rFonts w:hint="eastAsia" w:ascii="Times New Roman" w:hAnsi="Times New Roman" w:eastAsia="宋体" w:cs="宋体"/>
          <w:b/>
          <w:bCs/>
          <w:color w:val="000000" w:themeColor="text1"/>
          <w:sz w:val="21"/>
          <w:highlight w:val="none"/>
        </w:rPr>
        <w:t xml:space="preserve">十五、合同生效及其它</w:t>
      </w:r>
      <w:r>
        <w:rPr>
          <w:color w:val="000000" w:themeColor="text1"/>
        </w:rPr>
      </w:r>
      <w:r/>
    </w:p>
    <w:p>
      <w:pPr>
        <w:pStyle w:val="966"/>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15.1 合同经双方法定代表人或授权委托代表人签字并加盖单位公章后生效。</w:t>
      </w:r>
      <w:r>
        <w:rPr>
          <w:color w:val="000000" w:themeColor="text1"/>
        </w:rPr>
      </w:r>
      <w:r/>
    </w:p>
    <w:p>
      <w:pPr>
        <w:pStyle w:val="966"/>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15.2本合同未尽事宜，遵照《中华人民共和国民法典》、《中华人民共和国政府采购法》有关条文执行。</w:t>
      </w:r>
      <w:r>
        <w:rPr>
          <w:color w:val="000000" w:themeColor="text1"/>
        </w:rPr>
      </w:r>
      <w:r/>
    </w:p>
    <w:p>
      <w:pPr>
        <w:pStyle w:val="966"/>
        <w:ind w:firstLine="420"/>
        <w:pageBreakBefore w:val="0"/>
        <w:spacing w:line="360" w:lineRule="auto"/>
        <w:rPr>
          <w:rFonts w:ascii="Times New Roman" w:hAnsi="Times New Roman" w:eastAsia="宋体" w:cs="宋体"/>
          <w:color w:val="000000" w:themeColor="text1"/>
          <w:sz w:val="21"/>
          <w:highlight w:val="none"/>
        </w:rPr>
      </w:pPr>
      <w:r>
        <w:rPr>
          <w:rFonts w:hint="eastAsia" w:ascii="Times New Roman" w:hAnsi="Times New Roman" w:eastAsia="宋体" w:cs="宋体"/>
          <w:color w:val="000000" w:themeColor="text1"/>
          <w:sz w:val="21"/>
          <w:highlight w:val="none"/>
        </w:rPr>
        <w:t xml:space="preserve">15.3 本合同正本一式肆份，具有同等法律效力，甲方、乙方各执贰份。</w:t>
      </w:r>
      <w:r>
        <w:rPr>
          <w:color w:val="000000" w:themeColor="text1"/>
        </w:rPr>
      </w:r>
      <w:r/>
    </w:p>
    <w:p>
      <w:pPr>
        <w:pStyle w:val="897"/>
        <w:ind w:firstLine="420"/>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 </w:t>
      </w:r>
      <w:r>
        <w:rPr>
          <w:color w:val="000000" w:themeColor="text1"/>
        </w:rPr>
      </w:r>
      <w:r/>
    </w:p>
    <w:tbl>
      <w:tblPr>
        <w:tblStyle w:val="890"/>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7"/>
              <w:pageBreakBefore w:val="0"/>
              <w:spacing w:line="360" w:lineRule="auto"/>
              <w:rPr>
                <w:rFonts w:hint="eastAsia"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甲方： </w:t>
            </w:r>
            <w:r>
              <w:rPr>
                <w:rFonts w:hint="eastAsia" w:ascii="Times New Roman" w:hAnsi="Times New Roman" w:eastAsia="宋体"/>
                <w:color w:val="000000" w:themeColor="text1"/>
                <w:sz w:val="21"/>
                <w:highlight w:val="none"/>
                <w:lang w:eastAsia="zh-CN"/>
              </w:rPr>
              <w:t xml:space="preserve">扬州市瘦西湖风景区管理处</w:t>
            </w:r>
            <w:r>
              <w:rPr>
                <w:color w:val="000000" w:themeColor="text1"/>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7"/>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乙方： </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7"/>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地址： </w:t>
            </w:r>
            <w:r>
              <w:rPr>
                <w:color w:val="000000" w:themeColor="text1"/>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7"/>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地址： </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7"/>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法定代表人或授权代表：</w:t>
            </w:r>
            <w:r>
              <w:rPr>
                <w:color w:val="000000" w:themeColor="text1"/>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7"/>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法定代表人或授权代表：</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7"/>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联系电话：</w:t>
            </w:r>
            <w:r>
              <w:rPr>
                <w:color w:val="000000" w:themeColor="text1"/>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7"/>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联系电话：</w:t>
            </w:r>
            <w:r>
              <w:rPr>
                <w:color w:val="000000" w:themeColor="text1"/>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7"/>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日期：      年    月    日  </w:t>
            </w:r>
            <w:r>
              <w:rPr>
                <w:color w:val="000000" w:themeColor="text1"/>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7"/>
              <w:pageBreakBefore w:val="0"/>
              <w:spacing w:line="360" w:lineRule="auto"/>
              <w:rPr>
                <w:rFonts w:ascii="Times New Roman" w:hAnsi="Times New Roman" w:eastAsia="宋体"/>
                <w:color w:val="000000" w:themeColor="text1"/>
                <w:sz w:val="21"/>
                <w:highlight w:val="none"/>
              </w:rPr>
            </w:pPr>
            <w:r>
              <w:rPr>
                <w:rFonts w:hint="eastAsia" w:ascii="Times New Roman" w:hAnsi="Times New Roman" w:eastAsia="宋体"/>
                <w:color w:val="000000" w:themeColor="text1"/>
                <w:sz w:val="21"/>
                <w:highlight w:val="none"/>
              </w:rPr>
              <w:t xml:space="preserve">日期：      年    月    日</w:t>
            </w:r>
            <w:r>
              <w:rPr>
                <w:color w:val="000000" w:themeColor="text1"/>
              </w:rPr>
            </w:r>
            <w:r/>
          </w:p>
        </w:tc>
      </w:tr>
    </w:tbl>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r/>
    </w:p>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r/>
    </w:p>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r/>
    </w:p>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r/>
    </w:p>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r/>
    </w:p>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r/>
    </w:p>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r/>
    </w:p>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r/>
    </w:p>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r/>
    </w:p>
    <w:p>
      <w:pPr>
        <w:jc w:val="center"/>
        <w:pageBreakBefore w:val="0"/>
        <w:spacing w:line="360" w:lineRule="auto"/>
        <w:rPr>
          <w:rFonts w:hint="eastAsia" w:ascii="Times New Roman" w:hAnsi="Times New Roman" w:eastAsia="宋体"/>
          <w:b/>
          <w:color w:val="000000" w:themeColor="text1"/>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
          <w:color w:val="000000" w:themeColor="text1"/>
          <w:sz w:val="30"/>
          <w:szCs w:val="30"/>
          <w:highlight w:val="none"/>
        </w:rPr>
      </w:r>
      <w:bookmarkEnd w:id="57"/>
      <w:r>
        <w:rPr>
          <w:color w:val="000000" w:themeColor="text1"/>
        </w:rPr>
      </w:r>
      <w:r/>
    </w:p>
    <w:p>
      <w:pPr>
        <w:pStyle w:val="886"/>
        <w:jc w:val="center"/>
        <w:pageBreakBefore w:val="0"/>
        <w:spacing w:before="0" w:after="0" w:line="360" w:lineRule="auto"/>
        <w:rPr>
          <w:rFonts w:ascii="Times New Roman" w:hAnsi="Times New Roman" w:eastAsia="宋体"/>
          <w:color w:val="000000" w:themeColor="text1"/>
          <w:sz w:val="36"/>
          <w:szCs w:val="36"/>
          <w:highlight w:val="none"/>
        </w:rPr>
      </w:pPr>
      <w:r>
        <w:rPr>
          <w:color w:val="000000" w:themeColor="text1"/>
        </w:rPr>
      </w:r>
      <w:bookmarkStart w:id="58" w:name="_Toc8078"/>
      <w:r>
        <w:rPr>
          <w:rFonts w:hint="eastAsia" w:ascii="Times New Roman" w:hAnsi="Times New Roman" w:eastAsia="宋体"/>
          <w:color w:val="000000" w:themeColor="text1"/>
          <w:sz w:val="36"/>
          <w:szCs w:val="36"/>
          <w:highlight w:val="none"/>
        </w:rPr>
        <w:t xml:space="preserve">第四章</w:t>
      </w:r>
      <w:r>
        <w:rPr>
          <w:rFonts w:hint="eastAsia" w:ascii="Times New Roman" w:hAnsi="Times New Roman" w:eastAsia="宋体"/>
          <w:color w:val="000000" w:themeColor="text1"/>
          <w:sz w:val="36"/>
          <w:szCs w:val="36"/>
          <w:highlight w:val="none"/>
          <w:lang w:val="en-US" w:eastAsia="zh-CN"/>
        </w:rPr>
        <w:t xml:space="preserve"> </w:t>
      </w:r>
      <w:r>
        <w:rPr>
          <w:rFonts w:hint="eastAsia" w:ascii="Times New Roman" w:hAnsi="Times New Roman" w:eastAsia="宋体"/>
          <w:color w:val="000000" w:themeColor="text1"/>
          <w:sz w:val="36"/>
          <w:szCs w:val="36"/>
          <w:highlight w:val="none"/>
        </w:rPr>
        <w:t xml:space="preserve">项目需求</w:t>
      </w:r>
      <w:bookmarkEnd w:id="58"/>
      <w:r>
        <w:rPr>
          <w:color w:val="000000" w:themeColor="text1"/>
        </w:rPr>
      </w:r>
      <w:r/>
    </w:p>
    <w:p>
      <w:pPr>
        <w:pageBreakBefore w:val="0"/>
        <w:spacing w:line="360" w:lineRule="auto"/>
        <w:rPr>
          <w:rFonts w:ascii="Times New Roman" w:hAnsi="Times New Roman" w:eastAsia="宋体"/>
          <w:b/>
          <w:bCs/>
          <w:color w:val="000000" w:themeColor="text1"/>
          <w:sz w:val="21"/>
          <w:szCs w:val="21"/>
          <w:highlight w:val="none"/>
        </w:rPr>
      </w:pPr>
      <w:r>
        <w:rPr>
          <w:color w:val="000000" w:themeColor="text1"/>
        </w:rPr>
      </w:r>
      <w:bookmarkStart w:id="59" w:name="_Toc319408306"/>
      <w:r>
        <w:rPr>
          <w:color w:val="000000" w:themeColor="text1"/>
        </w:rPr>
      </w:r>
      <w:bookmarkStart w:id="60" w:name="_Toc55204181"/>
      <w:r>
        <w:rPr>
          <w:rFonts w:hint="eastAsia" w:ascii="Times New Roman" w:hAnsi="Times New Roman" w:eastAsia="宋体"/>
          <w:b/>
          <w:bCs/>
          <w:color w:val="000000" w:themeColor="text1"/>
          <w:sz w:val="21"/>
          <w:szCs w:val="21"/>
          <w:highlight w:val="none"/>
        </w:rPr>
        <w:t xml:space="preserve">注：本章内容里斜体且有下划线部分为实质性要求和条件，投标文件不满足的，视为无效投标处理。请各供应商制作电子投标文件时，将实质性响应的内容在政府采购管理交易系统（苏采云）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eastAsia="宋体"/>
          <w:b/>
          <w:bCs/>
          <w:color w:val="000000" w:themeColor="text1"/>
          <w:sz w:val="21"/>
          <w:szCs w:val="21"/>
          <w:highlight w:val="none"/>
        </w:rPr>
        <w:t xml:space="preserve">“</w:t>
      </w:r>
      <w:r>
        <w:rPr>
          <w:rFonts w:hint="eastAsia" w:ascii="Times New Roman" w:hAnsi="Times New Roman" w:eastAsia="宋体"/>
          <w:b/>
          <w:bCs/>
          <w:color w:val="000000" w:themeColor="text1"/>
          <w:sz w:val="21"/>
          <w:szCs w:val="21"/>
          <w:highlight w:val="none"/>
        </w:rPr>
        <w:t xml:space="preserve">符合证明文件格式</w:t>
      </w:r>
      <w:r>
        <w:rPr>
          <w:rFonts w:ascii="Times New Roman" w:hAnsi="Times New Roman" w:eastAsia="宋体"/>
          <w:b/>
          <w:bCs/>
          <w:color w:val="000000" w:themeColor="text1"/>
          <w:sz w:val="21"/>
          <w:szCs w:val="21"/>
          <w:highlight w:val="none"/>
        </w:rPr>
        <w:t xml:space="preserve">”</w:t>
      </w:r>
      <w:r>
        <w:rPr>
          <w:rFonts w:hint="eastAsia" w:ascii="Times New Roman" w:hAnsi="Times New Roman" w:eastAsia="宋体"/>
          <w:b/>
          <w:bCs/>
          <w:color w:val="000000" w:themeColor="text1"/>
          <w:sz w:val="21"/>
          <w:szCs w:val="21"/>
          <w:highlight w:val="none"/>
        </w:rPr>
        <w:t xml:space="preserve">中准确填写或上传。</w:t>
      </w:r>
      <w:bookmarkEnd w:id="59"/>
      <w:r>
        <w:rPr>
          <w:color w:val="000000" w:themeColor="text1"/>
        </w:rPr>
      </w:r>
      <w:r/>
    </w:p>
    <w:p>
      <w:pPr>
        <w:ind w:firstLine="422"/>
        <w:pageBreakBefore w:val="0"/>
        <w:spacing w:line="360" w:lineRule="auto"/>
        <w:rPr>
          <w:rFonts w:hint="eastAsia" w:ascii="Times New Roman" w:hAnsi="Times New Roman" w:eastAsia="宋体"/>
          <w:b/>
          <w:bCs/>
          <w:color w:val="000000" w:themeColor="text1"/>
          <w:sz w:val="21"/>
          <w:szCs w:val="21"/>
          <w:highlight w:val="none"/>
        </w:rPr>
      </w:pPr>
      <w:r>
        <w:rPr>
          <w:rFonts w:hint="eastAsia" w:ascii="Times New Roman" w:hAnsi="Times New Roman" w:eastAsia="宋体"/>
          <w:b/>
          <w:bCs/>
          <w:color w:val="000000" w:themeColor="text1"/>
          <w:sz w:val="21"/>
          <w:szCs w:val="21"/>
          <w:highlight w:val="none"/>
        </w:rPr>
        <w:t xml:space="preserve">项目属性:服务类项目</w:t>
      </w:r>
      <w:r>
        <w:rPr>
          <w:color w:val="000000" w:themeColor="text1"/>
        </w:rPr>
      </w:r>
      <w:r/>
    </w:p>
    <w:p>
      <w:pPr>
        <w:ind w:firstLine="422"/>
        <w:pageBreakBefore w:val="0"/>
        <w:spacing w:line="360" w:lineRule="auto"/>
        <w:rPr>
          <w:rFonts w:hint="eastAsia" w:ascii="Times New Roman" w:hAnsi="Times New Roman" w:eastAsia="宋体" w:cs="宋体"/>
          <w:b/>
          <w:bCs/>
          <w:color w:val="000000" w:themeColor="text1"/>
          <w:sz w:val="21"/>
          <w:szCs w:val="21"/>
          <w:highlight w:val="none"/>
        </w:rPr>
      </w:pPr>
      <w:r>
        <w:rPr>
          <w:rFonts w:hint="eastAsia" w:ascii="Times New Roman" w:hAnsi="Times New Roman" w:eastAsia="宋体" w:cs="宋体"/>
          <w:b/>
          <w:bCs/>
          <w:color w:val="000000" w:themeColor="text1"/>
          <w:sz w:val="21"/>
          <w:szCs w:val="21"/>
          <w:highlight w:val="none"/>
        </w:rPr>
        <w:t xml:space="preserve">一、采购标的清单：</w:t>
      </w:r>
      <w:r>
        <w:rPr>
          <w:color w:val="000000" w:themeColor="text1"/>
        </w:rPr>
      </w:r>
      <w:r/>
    </w:p>
    <w:tbl>
      <w:tblPr>
        <w:tblStyle w:val="890"/>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5"/>
        <w:gridCol w:w="3410"/>
        <w:gridCol w:w="3410"/>
      </w:tblGrid>
      <w:tr>
        <w:trPr/>
        <w:tc>
          <w:tcPr>
            <w:tcW w:w="1245" w:type="dxa"/>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采购</w:t>
            </w:r>
            <w:r>
              <w:rPr>
                <w:color w:val="000000" w:themeColor="text1"/>
              </w:rPr>
            </w:r>
            <w:r/>
          </w:p>
          <w:p>
            <w:pPr>
              <w:jc w:val="center"/>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包号</w:t>
            </w:r>
            <w:r>
              <w:rPr>
                <w:color w:val="000000" w:themeColor="text1"/>
              </w:rPr>
            </w:r>
            <w:r/>
          </w:p>
        </w:tc>
        <w:tc>
          <w:tcPr>
            <w:tcW w:w="3410" w:type="dxa"/>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采购标的</w:t>
            </w:r>
            <w:r>
              <w:rPr>
                <w:color w:val="000000" w:themeColor="text1"/>
              </w:rPr>
            </w:r>
            <w:r/>
          </w:p>
        </w:tc>
        <w:tc>
          <w:tcPr>
            <w:tcW w:w="3410" w:type="dxa"/>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对应中小企业划分标准所属行业</w:t>
            </w:r>
            <w:r>
              <w:rPr>
                <w:color w:val="000000" w:themeColor="text1"/>
              </w:rPr>
            </w:r>
            <w:r/>
          </w:p>
        </w:tc>
      </w:tr>
      <w:tr>
        <w:trPr>
          <w:trHeight w:val="610"/>
        </w:trPr>
        <w:tc>
          <w:tcPr>
            <w:tcW w:w="1245" w:type="dxa"/>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1</w:t>
            </w:r>
            <w:r>
              <w:rPr>
                <w:color w:val="000000" w:themeColor="text1"/>
              </w:rPr>
            </w:r>
            <w:r/>
          </w:p>
        </w:tc>
        <w:tc>
          <w:tcPr>
            <w:tcW w:w="3410" w:type="dxa"/>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eastAsia="zh-CN"/>
              </w:rPr>
              <w:t xml:space="preserve">扬州市瘦西湖风景区管理处瘦西湖景区绿化养护项目</w:t>
            </w:r>
            <w:r>
              <w:rPr>
                <w:color w:val="000000" w:themeColor="text1"/>
              </w:rPr>
            </w:r>
            <w:r/>
          </w:p>
        </w:tc>
        <w:tc>
          <w:tcPr>
            <w:tcW w:w="3410" w:type="dxa"/>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olor w:val="000000" w:themeColor="text1"/>
                <w:sz w:val="21"/>
                <w:szCs w:val="21"/>
                <w:highlight w:val="none"/>
                <w:u w:val="none"/>
              </w:rPr>
              <w:t xml:space="preserve">其他未列明行业</w:t>
            </w:r>
            <w:r>
              <w:rPr>
                <w:color w:val="000000" w:themeColor="text1"/>
              </w:rPr>
            </w:r>
            <w:r/>
          </w:p>
        </w:tc>
      </w:tr>
    </w:tbl>
    <w:p>
      <w:pPr>
        <w:ind w:firstLine="422"/>
        <w:pageBreakBefore w:val="0"/>
        <w:spacing w:line="360" w:lineRule="auto"/>
        <w:tabs>
          <w:tab w:val="left" w:pos="900" w:leader="none"/>
        </w:tabs>
        <w:rPr>
          <w:rFonts w:hint="eastAsia" w:ascii="Times New Roman" w:hAnsi="Times New Roman" w:eastAsia="宋体" w:cs="宋体"/>
          <w:b/>
          <w:bCs/>
          <w:color w:val="000000" w:themeColor="text1"/>
          <w:sz w:val="21"/>
          <w:szCs w:val="21"/>
          <w:highlight w:val="none"/>
        </w:rPr>
      </w:pPr>
      <w:r>
        <w:rPr>
          <w:rFonts w:hint="eastAsia" w:ascii="Times New Roman" w:hAnsi="Times New Roman" w:eastAsia="宋体" w:cs="宋体"/>
          <w:b/>
          <w:bCs/>
          <w:color w:val="000000" w:themeColor="text1"/>
          <w:sz w:val="21"/>
          <w:szCs w:val="21"/>
          <w:highlight w:val="none"/>
        </w:rPr>
        <w:t xml:space="preserve">二、项目概况</w:t>
      </w:r>
      <w:r>
        <w:rPr>
          <w:color w:val="000000" w:themeColor="text1"/>
        </w:rPr>
      </w:r>
      <w:r/>
    </w:p>
    <w:p>
      <w:pPr>
        <w:ind w:firstLine="420"/>
        <w:pageBreakBefore w:val="0"/>
        <w:spacing w:line="360" w:lineRule="auto"/>
        <w:tabs>
          <w:tab w:val="left" w:pos="900" w:leader="none"/>
        </w:tabs>
        <w:rPr>
          <w:rFonts w:hint="eastAsia" w:ascii="Times New Roman" w:hAnsi="Times New Roman" w:eastAsia="宋体" w:cs="宋体"/>
          <w:bCs/>
          <w:color w:val="000000" w:themeColor="text1"/>
          <w:sz w:val="21"/>
          <w:szCs w:val="21"/>
          <w:highlight w:val="none"/>
        </w:rPr>
      </w:pPr>
      <w:r>
        <w:rPr>
          <w:rFonts w:hint="eastAsia" w:ascii="Times New Roman" w:hAnsi="Times New Roman" w:eastAsia="宋体" w:cs="宋体"/>
          <w:bCs/>
          <w:color w:val="000000" w:themeColor="text1"/>
          <w:sz w:val="21"/>
          <w:szCs w:val="21"/>
          <w:highlight w:val="none"/>
        </w:rPr>
        <w:t xml:space="preserve">扬州市瘦西湖风景区位于扬州蜀岗-瘦西湖风景名胜区的核心地带，现为国家5A级景区。景区内植物主要为落叶乔木、常绿乔木、灌木、散生、丛生竹、球类植物、草坪、沿河水生植物以及各色花卉等，区域内植被丰富，四季分明。</w:t>
      </w:r>
      <w:r>
        <w:rPr>
          <w:color w:val="000000" w:themeColor="text1"/>
        </w:rPr>
      </w:r>
      <w:r/>
    </w:p>
    <w:p>
      <w:pPr>
        <w:numPr>
          <w:ilvl w:val="0"/>
          <w:numId w:val="0"/>
        </w:numPr>
        <w:ind w:firstLine="422"/>
        <w:pageBreakBefore w:val="0"/>
        <w:spacing w:line="360" w:lineRule="auto"/>
        <w:rPr>
          <w:rFonts w:hint="eastAsia" w:ascii="Times New Roman" w:hAnsi="Times New Roman" w:eastAsia="宋体" w:cs="宋体"/>
          <w:b/>
          <w:bCs/>
          <w:color w:val="000000" w:themeColor="text1"/>
          <w:sz w:val="21"/>
          <w:szCs w:val="21"/>
          <w:highlight w:val="none"/>
        </w:rPr>
        <w:outlineLvl w:val="0"/>
      </w:pPr>
      <w:r>
        <w:rPr>
          <w:rFonts w:hint="eastAsia" w:ascii="Times New Roman" w:hAnsi="Times New Roman" w:eastAsia="宋体" w:cs="宋体"/>
          <w:b/>
          <w:bCs/>
          <w:color w:val="000000" w:themeColor="text1"/>
          <w:sz w:val="21"/>
          <w:szCs w:val="21"/>
          <w:highlight w:val="none"/>
          <w:lang w:val="en-US" w:eastAsia="zh-CN" w:bidi="ar-SA"/>
        </w:rPr>
        <w:t xml:space="preserve">三、</w:t>
      </w:r>
      <w:r>
        <w:rPr>
          <w:rFonts w:hint="eastAsia" w:ascii="Times New Roman" w:hAnsi="Times New Roman" w:eastAsia="宋体" w:cs="宋体"/>
          <w:b/>
          <w:bCs/>
          <w:color w:val="000000" w:themeColor="text1"/>
          <w:sz w:val="21"/>
          <w:szCs w:val="21"/>
          <w:highlight w:val="none"/>
        </w:rPr>
        <w:t xml:space="preserve">养护范围</w:t>
      </w:r>
      <w:r>
        <w:rPr>
          <w:color w:val="000000" w:themeColor="text1"/>
        </w:rPr>
      </w:r>
      <w:r/>
    </w:p>
    <w:p>
      <w:pPr>
        <w:numPr>
          <w:ilvl w:val="0"/>
          <w:numId w:val="0"/>
        </w:numPr>
        <w:ind w:firstLine="420"/>
        <w:pageBreakBefore w:val="0"/>
        <w:spacing w:line="360" w:lineRule="auto"/>
        <w:rPr>
          <w:rFonts w:hint="eastAsia" w:ascii="Times New Roman" w:hAnsi="Times New Roman" w:eastAsia="宋体" w:cs="宋体"/>
          <w:color w:val="000000" w:themeColor="text1"/>
          <w:sz w:val="21"/>
          <w:szCs w:val="21"/>
          <w:highlight w:val="none"/>
        </w:rPr>
        <w:outlineLvl w:val="0"/>
      </w:pPr>
      <w:r>
        <w:rPr>
          <w:rFonts w:hint="eastAsia" w:ascii="Times New Roman" w:hAnsi="Times New Roman" w:eastAsia="宋体" w:cs="宋体"/>
          <w:color w:val="000000" w:themeColor="text1"/>
          <w:sz w:val="21"/>
          <w:szCs w:val="21"/>
          <w:highlight w:val="none"/>
        </w:rPr>
        <w:t xml:space="preserve">瘦西湖绿化占地面积627184.7</w:t>
      </w:r>
      <w:r>
        <w:rPr>
          <w:rFonts w:hint="eastAsia" w:ascii="Times New Roman" w:hAnsi="Times New Roman" w:eastAsia="宋体" w:cs="宋体"/>
          <w:color w:val="000000" w:themeColor="text1"/>
          <w:sz w:val="21"/>
          <w:szCs w:val="21"/>
          <w:highlight w:val="none"/>
          <w:lang w:val="en-US" w:eastAsia="zh-CN"/>
        </w:rPr>
        <w:t xml:space="preserve">㎡</w:t>
      </w:r>
      <w:r>
        <w:rPr>
          <w:rFonts w:hint="eastAsia" w:ascii="Times New Roman" w:hAnsi="Times New Roman" w:eastAsia="宋体" w:cs="宋体"/>
          <w:color w:val="000000" w:themeColor="text1"/>
          <w:sz w:val="21"/>
          <w:szCs w:val="21"/>
          <w:highlight w:val="none"/>
        </w:rPr>
        <w:t xml:space="preserve">，包括老盆园区、中心区域（老景区）、万花园一期区域、万花园二期区域、碑廊、沿湖岸线水生植物等景区现管理范围。</w:t>
      </w:r>
      <w:r>
        <w:rPr>
          <w:color w:val="000000" w:themeColor="text1"/>
        </w:rPr>
      </w:r>
      <w:r/>
    </w:p>
    <w:p>
      <w:pPr>
        <w:numPr>
          <w:ilvl w:val="0"/>
          <w:numId w:val="0"/>
        </w:numPr>
        <w:ind w:left="420"/>
        <w:pageBreakBefore w:val="0"/>
        <w:spacing w:line="360" w:lineRule="auto"/>
        <w:rPr>
          <w:rFonts w:hint="eastAsia" w:ascii="Times New Roman" w:hAnsi="Times New Roman" w:eastAsia="宋体" w:cs="宋体"/>
          <w:b/>
          <w:bCs/>
          <w:color w:val="000000" w:themeColor="text1"/>
          <w:sz w:val="21"/>
          <w:szCs w:val="21"/>
          <w:highlight w:val="none"/>
        </w:rPr>
        <w:outlineLvl w:val="0"/>
      </w:pPr>
      <w:r>
        <w:rPr>
          <w:rFonts w:hint="eastAsia" w:ascii="Times New Roman" w:hAnsi="Times New Roman" w:eastAsia="宋体" w:cs="宋体"/>
          <w:b/>
          <w:bCs/>
          <w:color w:val="000000" w:themeColor="text1"/>
          <w:sz w:val="21"/>
          <w:szCs w:val="21"/>
          <w:highlight w:val="none"/>
          <w:lang w:val="en-US" w:eastAsia="zh-CN" w:bidi="ar-SA"/>
        </w:rPr>
        <w:t xml:space="preserve">四、</w:t>
      </w:r>
      <w:r>
        <w:rPr>
          <w:rFonts w:hint="eastAsia" w:ascii="Times New Roman" w:hAnsi="Times New Roman" w:eastAsia="宋体" w:cs="宋体"/>
          <w:b/>
          <w:bCs/>
          <w:color w:val="000000" w:themeColor="text1"/>
          <w:sz w:val="21"/>
          <w:szCs w:val="21"/>
          <w:highlight w:val="none"/>
        </w:rPr>
        <w:t xml:space="preserve">养护期限</w:t>
      </w:r>
      <w:r>
        <w:rPr>
          <w:color w:val="000000" w:themeColor="text1"/>
        </w:rPr>
      </w:r>
      <w:r/>
    </w:p>
    <w:p>
      <w:pPr>
        <w:numPr>
          <w:ilvl w:val="-1"/>
          <w:numId w:val="0"/>
        </w:numPr>
        <w:ind w:firstLine="420"/>
        <w:pageBreakBefore w:val="0"/>
        <w:spacing w:line="360" w:lineRule="auto"/>
        <w:rPr>
          <w:rFonts w:hint="eastAsia" w:ascii="Times New Roman" w:hAnsi="Times New Roman" w:eastAsia="宋体" w:cs="宋体"/>
          <w:color w:val="000000" w:themeColor="text1"/>
          <w:sz w:val="21"/>
          <w:szCs w:val="21"/>
          <w:highlight w:val="none"/>
        </w:rPr>
        <w:outlineLvl w:val="0"/>
      </w:pPr>
      <w:r>
        <w:rPr>
          <w:rFonts w:hint="eastAsia" w:ascii="Times New Roman" w:hAnsi="Times New Roman" w:eastAsia="宋体"/>
          <w:color w:val="000000" w:themeColor="text1"/>
          <w:szCs w:val="21"/>
          <w:highlight w:val="none"/>
        </w:rPr>
        <w:t xml:space="preserve">本项目服务期限3年，合同一年一签。考核合格且合同条件不变的情况下，采购人与中标人可签订下一年合同。</w:t>
      </w:r>
      <w:r>
        <w:rPr>
          <w:color w:val="000000" w:themeColor="text1"/>
        </w:rPr>
      </w:r>
      <w:r/>
    </w:p>
    <w:p>
      <w:pPr>
        <w:ind w:firstLine="422"/>
        <w:pageBreakBefore w:val="0"/>
        <w:spacing w:line="360" w:lineRule="auto"/>
        <w:rPr>
          <w:rFonts w:ascii="Times New Roman" w:hAnsi="Times New Roman" w:eastAsia="宋体"/>
          <w:color w:val="000000" w:themeColor="text1"/>
          <w:szCs w:val="21"/>
          <w:highlight w:val="none"/>
        </w:rPr>
        <w:outlineLvl w:val="0"/>
      </w:pPr>
      <w:r>
        <w:rPr>
          <w:rFonts w:hint="eastAsia" w:ascii="Times New Roman" w:hAnsi="Times New Roman" w:eastAsia="宋体" w:cs="宋体"/>
          <w:b/>
          <w:bCs/>
          <w:color w:val="000000" w:themeColor="text1"/>
          <w:sz w:val="21"/>
          <w:szCs w:val="21"/>
          <w:highlight w:val="none"/>
          <w:lang w:val="en-US" w:eastAsia="zh-CN"/>
        </w:rPr>
        <w:t xml:space="preserve">五</w:t>
      </w:r>
      <w:r>
        <w:rPr>
          <w:rFonts w:hint="eastAsia" w:ascii="Times New Roman" w:hAnsi="Times New Roman" w:eastAsia="宋体" w:cs="宋体"/>
          <w:b/>
          <w:bCs/>
          <w:color w:val="000000" w:themeColor="text1"/>
          <w:sz w:val="21"/>
          <w:szCs w:val="21"/>
          <w:highlight w:val="none"/>
        </w:rPr>
        <w:t xml:space="preserve">、养护标准</w:t>
      </w:r>
      <w:r>
        <w:rPr>
          <w:rFonts w:hint="eastAsia" w:ascii="Times New Roman" w:hAnsi="Times New Roman" w:eastAsia="宋体" w:cs="宋体"/>
          <w:color w:val="000000" w:themeColor="text1"/>
          <w:sz w:val="21"/>
          <w:szCs w:val="21"/>
          <w:highlight w:val="none"/>
        </w:rPr>
        <w:t xml:space="preserve">：</w:t>
      </w:r>
      <w:r>
        <w:rPr>
          <w:rFonts w:hint="eastAsia" w:ascii="Times New Roman" w:hAnsi="Times New Roman" w:eastAsia="宋体" w:cs="宋体"/>
          <w:color w:val="000000" w:themeColor="text1"/>
          <w:szCs w:val="21"/>
          <w:highlight w:val="none"/>
        </w:rPr>
        <w:t xml:space="preserve">江苏省绿化养护规范一级养护标准。绿化养护</w:t>
      </w:r>
      <w:r>
        <w:rPr>
          <w:rFonts w:hint="eastAsia" w:ascii="Times New Roman" w:hAnsi="Times New Roman" w:eastAsia="宋体" w:cs="宋体"/>
          <w:color w:val="000000" w:themeColor="text1"/>
          <w:szCs w:val="21"/>
          <w:highlight w:val="none"/>
          <w:lang w:bidi="ar"/>
        </w:rPr>
        <w:t xml:space="preserve">除了包括景区绿化的常规养护还包括景区重大接待突击养护、四季花卉展览养护、景区内花坛花卉养护、景区景观树种的特殊护理、高规格修剪等</w:t>
      </w:r>
      <w:r>
        <w:rPr>
          <w:rFonts w:hint="eastAsia" w:ascii="Times New Roman" w:hAnsi="Times New Roman" w:eastAsia="宋体" w:cs="宋体"/>
          <w:color w:val="000000" w:themeColor="text1"/>
          <w:szCs w:val="21"/>
          <w:highlight w:val="none"/>
        </w:rPr>
        <w:t xml:space="preserve">。《瘦西湖绿化养护管理标准》（一级养护标准）</w:t>
      </w:r>
      <w:r>
        <w:rPr>
          <w:rFonts w:hint="eastAsia" w:ascii="Times New Roman" w:hAnsi="Times New Roman" w:eastAsia="宋体"/>
          <w:color w:val="000000" w:themeColor="text1"/>
          <w:szCs w:val="21"/>
          <w:highlight w:val="none"/>
        </w:rPr>
        <w:t xml:space="preserve">具体标准如下：</w:t>
      </w:r>
      <w:r>
        <w:rPr>
          <w:color w:val="000000" w:themeColor="text1"/>
        </w:rPr>
      </w:r>
      <w:r/>
    </w:p>
    <w:p>
      <w:pPr>
        <w:jc w:val="center"/>
        <w:pageBreakBefore w:val="0"/>
        <w:spacing w:line="360" w:lineRule="auto"/>
        <w:rPr>
          <w:rFonts w:hint="eastAsia"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1.乔木养护标准</w:t>
      </w:r>
      <w:r>
        <w:rPr>
          <w:color w:val="000000" w:themeColor="text1"/>
        </w:rPr>
      </w:r>
      <w:r/>
    </w:p>
    <w:tbl>
      <w:tblPr>
        <w:tblStyle w:val="89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4"/>
        <w:gridCol w:w="7646"/>
      </w:tblGrid>
      <w:tr>
        <w:trPr>
          <w:jc w:val="center"/>
          <w:trHeight w:val="511"/>
        </w:trPr>
        <w:tc>
          <w:tcPr>
            <w:tcW w:w="513"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项目</w:t>
            </w:r>
            <w:r>
              <w:rPr>
                <w:color w:val="000000" w:themeColor="text1"/>
              </w:rPr>
            </w:r>
            <w:r/>
          </w:p>
        </w:tc>
        <w:tc>
          <w:tcPr>
            <w:tcW w:w="4486"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养护标准</w:t>
            </w:r>
            <w:r>
              <w:rPr>
                <w:color w:val="000000" w:themeColor="text1"/>
              </w:rPr>
            </w:r>
            <w:r/>
          </w:p>
        </w:tc>
      </w:tr>
      <w:tr>
        <w:trPr>
          <w:cantSplit/>
          <w:jc w:val="center"/>
          <w:trHeight w:val="1305"/>
        </w:trPr>
        <w:tc>
          <w:tcPr>
            <w:tcW w:w="513"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景  观</w:t>
            </w:r>
            <w:r>
              <w:rPr>
                <w:color w:val="000000" w:themeColor="text1"/>
              </w:rPr>
            </w:r>
            <w:r/>
          </w:p>
        </w:tc>
        <w:tc>
          <w:tcPr>
            <w:tcW w:w="4486" w:type="pct"/>
            <w:vAlign w:val="top"/>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1.绿化很充分。          </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2.无缺株、死株（死株率1%以下）。</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3.配置合理（新栽树种与其他乔、灌、草、藤、花以及与水、路、园林设施之间和谐）</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4.保护措施完备，维护及时。</w:t>
            </w:r>
            <w:r>
              <w:rPr>
                <w:color w:val="000000" w:themeColor="text1"/>
              </w:rPr>
            </w:r>
            <w:r/>
          </w:p>
        </w:tc>
      </w:tr>
      <w:tr>
        <w:trPr>
          <w:cantSplit/>
          <w:jc w:val="center"/>
          <w:trHeight w:val="1305"/>
        </w:trPr>
        <w:tc>
          <w:tcPr>
            <w:tcW w:w="513"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浇灌与排水</w:t>
            </w:r>
            <w:r>
              <w:rPr>
                <w:color w:val="000000" w:themeColor="text1"/>
              </w:rPr>
            </w:r>
            <w:r/>
          </w:p>
        </w:tc>
        <w:tc>
          <w:tcPr>
            <w:tcW w:w="4486" w:type="pct"/>
            <w:vAlign w:val="top"/>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浇灌次数应根据气候、土壤墒情、植物特性和生长势等具体情况确定。干旱季节宜多灌，雨季少灌或者不灌；发芽生长期可多灌，休眠期前适当控制水量。5-10月期间，连续10天无降雨应浇透水1次。每年春季树木萌发前要浇春水至少1次，冬季休眠前浇防冻水至少1次。</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2.浇灌前应先挖穴松土，以浇透为宜，水分应该渗透至树根根部。</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3.根部积水应及时排出。耐涝性差的树木应该在4小时内排除积水，低洼易积水处应开挖排水沟。</w:t>
            </w:r>
            <w:r>
              <w:rPr>
                <w:color w:val="000000" w:themeColor="text1"/>
              </w:rPr>
            </w:r>
            <w:r/>
          </w:p>
        </w:tc>
      </w:tr>
      <w:tr>
        <w:trPr>
          <w:cantSplit/>
          <w:jc w:val="center"/>
          <w:trHeight w:val="1351"/>
        </w:trPr>
        <w:tc>
          <w:tcPr>
            <w:tcW w:w="513"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生  长</w:t>
            </w:r>
            <w:r>
              <w:rPr>
                <w:color w:val="000000" w:themeColor="text1"/>
              </w:rPr>
            </w:r>
            <w:r/>
          </w:p>
        </w:tc>
        <w:tc>
          <w:tcPr>
            <w:tcW w:w="4486" w:type="pct"/>
            <w:vAlign w:val="top"/>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1.生长势较强，枝壮叶茂。        </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2.生长量超过均值。</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3.叶色正常，有光泽，无黄叶、焦叶、卷叶，生长季节不落叶,无明显病症和虫害遗留物（虫网、虫粪、蜜露等）,株被害率在3%以内。</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4.枝干健壮,无明显枯死枝杈,新枝入冬前木质化较好。</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5.冠形完整,分枝点合适,主侧枝分布匀称、数量适宜,内膛通风透光。</w:t>
            </w:r>
            <w:r>
              <w:rPr>
                <w:color w:val="000000" w:themeColor="text1"/>
              </w:rPr>
            </w:r>
            <w:r/>
          </w:p>
        </w:tc>
      </w:tr>
      <w:tr>
        <w:trPr>
          <w:cantSplit/>
          <w:jc w:val="center"/>
          <w:trHeight w:val="1322"/>
        </w:trPr>
        <w:tc>
          <w:tcPr>
            <w:tcW w:w="513"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修  剪</w:t>
            </w:r>
            <w:r>
              <w:rPr>
                <w:color w:val="000000" w:themeColor="text1"/>
              </w:rPr>
            </w:r>
            <w:r/>
          </w:p>
        </w:tc>
        <w:tc>
          <w:tcPr>
            <w:tcW w:w="4486" w:type="pct"/>
            <w:vAlign w:val="top"/>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1.每年修剪不少于2次。（主要以休眠期修剪为主）          </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2.科学合理、适时适度。</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3.冠形优美，内膛通透，主侧枝条分布匀称、修剪强度适宜，疏密得当。</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4.枯死枝、内膛乱枝、交叉枝、平行枝、横跨枝、下垂枝、衰弱枝、劈裂枝、病虫枝和其他影响树势、树形的枝条修除率98%以上。</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5.工具齐全，操作认真标准，剪口、锯口平滑，涂敷得当。</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6.与周围环境相协调，较好地解决树木与电线、建筑物、交通等之间的矛盾。</w:t>
            </w:r>
            <w:r>
              <w:rPr>
                <w:color w:val="000000" w:themeColor="text1"/>
              </w:rPr>
            </w:r>
            <w:r/>
          </w:p>
        </w:tc>
      </w:tr>
      <w:tr>
        <w:trPr>
          <w:cantSplit/>
          <w:jc w:val="center"/>
          <w:trHeight w:val="535"/>
        </w:trPr>
        <w:tc>
          <w:tcPr>
            <w:tcW w:w="513"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施  肥</w:t>
            </w:r>
            <w:r>
              <w:rPr>
                <w:color w:val="000000" w:themeColor="text1"/>
              </w:rPr>
            </w:r>
            <w:r/>
          </w:p>
        </w:tc>
        <w:tc>
          <w:tcPr>
            <w:tcW w:w="4486" w:type="pct"/>
            <w:vAlign w:val="top"/>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1.每年施肥不少于4次。               </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2.树穴内有植被的乔木适当增加量和次数。</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 肥量种类适宜，方法合理 。          </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4.无缺肥、无漏肥、无肥害。</w:t>
            </w:r>
            <w:r>
              <w:rPr>
                <w:color w:val="000000" w:themeColor="text1"/>
              </w:rPr>
            </w:r>
            <w:r/>
          </w:p>
        </w:tc>
      </w:tr>
      <w:tr>
        <w:trPr>
          <w:cantSplit/>
          <w:jc w:val="center"/>
          <w:trHeight w:val="910"/>
        </w:trPr>
        <w:tc>
          <w:tcPr>
            <w:tcW w:w="513"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树  穴</w:t>
            </w:r>
            <w:r>
              <w:rPr>
                <w:color w:val="000000" w:themeColor="text1"/>
              </w:rPr>
            </w:r>
            <w:r/>
          </w:p>
        </w:tc>
        <w:tc>
          <w:tcPr>
            <w:tcW w:w="4486"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1.树穴形式统一，大小适宜，边线清晰，线条流畅。</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2.硬化地面树穴要有美化处理，盖板完整，无缺损，草坪地树穴覆盖充分、得当。</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3.树穴内无黄土裸露</w:t>
            </w:r>
            <w:r>
              <w:rPr>
                <w:color w:val="000000" w:themeColor="text1"/>
              </w:rPr>
            </w:r>
            <w:r/>
          </w:p>
        </w:tc>
      </w:tr>
      <w:tr>
        <w:trPr>
          <w:cantSplit/>
          <w:jc w:val="center"/>
          <w:trHeight w:val="598"/>
        </w:trPr>
        <w:tc>
          <w:tcPr>
            <w:tcW w:w="513"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松土除草</w:t>
            </w:r>
            <w:r>
              <w:rPr>
                <w:color w:val="000000" w:themeColor="text1"/>
              </w:rPr>
            </w:r>
            <w:r/>
          </w:p>
        </w:tc>
        <w:tc>
          <w:tcPr>
            <w:tcW w:w="4486" w:type="pct"/>
            <w:vAlign w:val="top"/>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1.每年3～5次。                 </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2.及时（草高≤5cm）。</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3.无大型、恶性、缠绕性杂草。</w:t>
            </w:r>
            <w:r>
              <w:rPr>
                <w:color w:val="000000" w:themeColor="text1"/>
              </w:rPr>
            </w:r>
            <w:r/>
          </w:p>
        </w:tc>
      </w:tr>
      <w:tr>
        <w:trPr>
          <w:cantSplit/>
          <w:jc w:val="center"/>
          <w:trHeight w:val="336"/>
        </w:trPr>
        <w:tc>
          <w:tcPr>
            <w:tcW w:w="513"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抹芽除萌</w:t>
            </w:r>
            <w:r>
              <w:rPr>
                <w:color w:val="000000" w:themeColor="text1"/>
              </w:rPr>
            </w:r>
            <w:r/>
          </w:p>
        </w:tc>
        <w:tc>
          <w:tcPr>
            <w:tcW w:w="4486"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1.及时彻底（萌芽长度小于8cm）。          </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2.创口平滑。</w:t>
            </w:r>
            <w:r>
              <w:rPr>
                <w:color w:val="000000" w:themeColor="text1"/>
              </w:rPr>
            </w:r>
            <w:r/>
          </w:p>
        </w:tc>
      </w:tr>
      <w:tr>
        <w:trPr>
          <w:cantSplit/>
          <w:jc w:val="center"/>
          <w:trHeight w:val="751"/>
        </w:trPr>
        <w:tc>
          <w:tcPr>
            <w:tcW w:w="513"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复  壮</w:t>
            </w:r>
            <w:r>
              <w:rPr>
                <w:color w:val="000000" w:themeColor="text1"/>
              </w:rPr>
            </w:r>
            <w:r/>
          </w:p>
        </w:tc>
        <w:tc>
          <w:tcPr>
            <w:tcW w:w="4486"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1.按时复壮。              2.方案措施科学周密。</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3.严格操作规程。          4.创部、朽部及时清理、消毒、涂药、修补。</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5.档案齐全,记录详细。</w:t>
            </w:r>
            <w:r>
              <w:rPr>
                <w:color w:val="000000" w:themeColor="text1"/>
              </w:rPr>
            </w:r>
            <w:r/>
          </w:p>
        </w:tc>
      </w:tr>
      <w:tr>
        <w:trPr>
          <w:cantSplit/>
          <w:jc w:val="center"/>
          <w:trHeight w:val="1539"/>
        </w:trPr>
        <w:tc>
          <w:tcPr>
            <w:tcW w:w="513" w:type="pct"/>
            <w:vAlign w:val="center"/>
            <w:textDirection w:val="lrTb"/>
            <w:noWrap w:val="false"/>
          </w:tcPr>
          <w:p>
            <w:pPr>
              <w:ind w:left="-63" w:right="-80"/>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栽（补）植</w:t>
            </w:r>
            <w:r>
              <w:rPr>
                <w:color w:val="000000" w:themeColor="text1"/>
              </w:rPr>
            </w:r>
            <w:r/>
          </w:p>
        </w:tc>
        <w:tc>
          <w:tcPr>
            <w:tcW w:w="4486"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1.树干笔直，纵成行、横成排。    </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2.易成活树种成活率100%,不易成活树种成活率98%以上。</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3.常绿树种及不易成活树种移植必须带土球，土球直径不小于胸径的8～10倍，且须根保留完好。</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4.树坑直径大于土球直径50cm以上,封土深度以盖住土球上部5～10cm为宜。</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5.栽前起挖、包装运输规范；栽后支撑、修剪、浇水等严格按规程操作。</w:t>
            </w:r>
            <w:r>
              <w:rPr>
                <w:color w:val="000000" w:themeColor="text1"/>
              </w:rPr>
            </w:r>
            <w:r/>
          </w:p>
        </w:tc>
      </w:tr>
      <w:tr>
        <w:trPr>
          <w:cantSplit/>
          <w:jc w:val="center"/>
          <w:trHeight w:val="923"/>
        </w:trPr>
        <w:tc>
          <w:tcPr>
            <w:tcW w:w="513"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清  洁</w:t>
            </w:r>
            <w:r>
              <w:rPr>
                <w:color w:val="000000" w:themeColor="text1"/>
              </w:rPr>
            </w:r>
            <w:r/>
          </w:p>
        </w:tc>
        <w:tc>
          <w:tcPr>
            <w:tcW w:w="4486"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1.树冠下、树穴内无生活垃圾、砖石瓦砾、干枝枯叶及其他废弃物。</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2.树干上无违法悬挂物。</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3.死树需连根挖除；抽稀、挖除死树所留下的空穴应及时填平。</w:t>
            </w:r>
            <w:r>
              <w:rPr>
                <w:color w:val="000000" w:themeColor="text1"/>
              </w:rPr>
            </w:r>
            <w:r/>
          </w:p>
        </w:tc>
      </w:tr>
    </w:tbl>
    <w:p>
      <w:pPr>
        <w:jc w:val="center"/>
        <w:pageBreakBefore w:val="0"/>
        <w:spacing w:line="360" w:lineRule="auto"/>
        <w:rPr>
          <w:rFonts w:hint="eastAsia"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r>
      <w:r>
        <w:rPr>
          <w:color w:val="000000" w:themeColor="text1"/>
        </w:rPr>
      </w:r>
      <w:r/>
    </w:p>
    <w:p>
      <w:pPr>
        <w:jc w:val="center"/>
        <w:pageBreakBefore w:val="0"/>
        <w:spacing w:line="360" w:lineRule="auto"/>
        <w:rPr>
          <w:rFonts w:hint="eastAsia"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2.花灌木养护标准</w:t>
      </w:r>
      <w:r>
        <w:rPr>
          <w:color w:val="000000" w:themeColor="text1"/>
        </w:rPr>
      </w:r>
      <w:r/>
    </w:p>
    <w:tbl>
      <w:tblPr>
        <w:tblStyle w:val="89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7513"/>
      </w:tblGrid>
      <w:tr>
        <w:trPr>
          <w:trHeight w:val="499"/>
        </w:trPr>
        <w:tc>
          <w:tcPr>
            <w:tcW w:w="591"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项 目</w:t>
            </w:r>
            <w:r>
              <w:rPr>
                <w:color w:val="000000" w:themeColor="text1"/>
              </w:rPr>
            </w:r>
            <w:r/>
          </w:p>
        </w:tc>
        <w:tc>
          <w:tcPr>
            <w:tcW w:w="4408"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养护标准</w:t>
            </w:r>
            <w:r>
              <w:rPr>
                <w:color w:val="000000" w:themeColor="text1"/>
              </w:rPr>
            </w:r>
            <w:r/>
          </w:p>
        </w:tc>
      </w:tr>
      <w:tr>
        <w:trPr>
          <w:cantSplit/>
          <w:trHeight w:val="858"/>
        </w:trPr>
        <w:tc>
          <w:tcPr>
            <w:tcW w:w="591"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景  观</w:t>
            </w:r>
            <w:r>
              <w:rPr>
                <w:color w:val="000000" w:themeColor="text1"/>
              </w:rPr>
            </w:r>
            <w:r/>
          </w:p>
        </w:tc>
        <w:tc>
          <w:tcPr>
            <w:tcW w:w="4408" w:type="pct"/>
            <w:vAlign w:val="top"/>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1.管理精细、景观优美。</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2.无缺株死株。</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3.配置合理。</w:t>
            </w:r>
            <w:r>
              <w:rPr>
                <w:color w:val="000000" w:themeColor="text1"/>
              </w:rPr>
            </w:r>
            <w:r/>
          </w:p>
        </w:tc>
      </w:tr>
      <w:tr>
        <w:trPr>
          <w:cantSplit/>
          <w:trHeight w:val="1481"/>
        </w:trPr>
        <w:tc>
          <w:tcPr>
            <w:tcW w:w="591"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生  长</w:t>
            </w:r>
            <w:r>
              <w:rPr>
                <w:color w:val="000000" w:themeColor="text1"/>
              </w:rPr>
            </w:r>
            <w:r/>
          </w:p>
        </w:tc>
        <w:tc>
          <w:tcPr>
            <w:tcW w:w="4408" w:type="pct"/>
            <w:vAlign w:val="top"/>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1.生长势强，枝壮叶茂。</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2.叶色正常有光泽，无黄叶、焦叶、卷叶、枯萎叶，生长季节不落叶，无明显病症及害虫遗留物（虫网、虫粪、蜜露等），株被害率在2%以内。</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3.枝健壮，无枯死枝。</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4.开花树种花繁而艳。</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5.冠形完整美观，枝条分布匀称，数量适宜，内膛通透。</w:t>
            </w:r>
            <w:r>
              <w:rPr>
                <w:color w:val="000000" w:themeColor="text1"/>
              </w:rPr>
            </w:r>
            <w:r/>
          </w:p>
        </w:tc>
      </w:tr>
      <w:tr>
        <w:trPr>
          <w:cantSplit/>
          <w:trHeight w:val="1388"/>
        </w:trPr>
        <w:tc>
          <w:tcPr>
            <w:tcW w:w="591"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修  剪</w:t>
            </w:r>
            <w:r>
              <w:rPr>
                <w:color w:val="000000" w:themeColor="text1"/>
              </w:rPr>
            </w:r>
            <w:r/>
          </w:p>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r>
            <w:r>
              <w:rPr>
                <w:color w:val="000000" w:themeColor="text1"/>
              </w:rPr>
            </w:r>
            <w:r/>
          </w:p>
        </w:tc>
        <w:tc>
          <w:tcPr>
            <w:tcW w:w="4408" w:type="pct"/>
            <w:vAlign w:val="top"/>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1.每年修剪不少于2次。     </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2.科学合理，适时适度。</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3.冠形优美，内膛通透，枝条数量适宜、分布匀称，修剪强度适宜。</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4.剪口芽留芽方位准确，芽长势饱满。</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5.枯死枝、内膛乱枝、交叉枝、平等枝、横跨枝、衰弱枝、病虫枝和其它影响树势、树形的枝条修除率98%以上。</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6.操作规范，工具齐全。</w:t>
            </w:r>
            <w:r>
              <w:rPr>
                <w:color w:val="000000" w:themeColor="text1"/>
              </w:rPr>
            </w:r>
            <w:r/>
          </w:p>
        </w:tc>
      </w:tr>
      <w:tr>
        <w:trPr>
          <w:cantSplit/>
          <w:trHeight w:val="774"/>
        </w:trPr>
        <w:tc>
          <w:tcPr>
            <w:tcW w:w="591"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施  肥</w:t>
            </w:r>
            <w:r>
              <w:rPr>
                <w:color w:val="000000" w:themeColor="text1"/>
              </w:rPr>
            </w:r>
            <w:r/>
          </w:p>
        </w:tc>
        <w:tc>
          <w:tcPr>
            <w:tcW w:w="4408" w:type="pct"/>
            <w:vAlign w:val="top"/>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1.每年施肥不少于4次。</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2.施肥种类适宜，方法合理。</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3.无缺肥、无漏肥、无肥害。</w:t>
            </w:r>
            <w:r>
              <w:rPr>
                <w:color w:val="000000" w:themeColor="text1"/>
              </w:rPr>
            </w:r>
            <w:r/>
          </w:p>
        </w:tc>
      </w:tr>
      <w:tr>
        <w:trPr>
          <w:cantSplit/>
          <w:trHeight w:val="301"/>
        </w:trPr>
        <w:tc>
          <w:tcPr>
            <w:tcW w:w="591"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树  穴</w:t>
            </w:r>
            <w:r>
              <w:rPr>
                <w:color w:val="000000" w:themeColor="text1"/>
              </w:rPr>
            </w:r>
            <w:r/>
          </w:p>
        </w:tc>
        <w:tc>
          <w:tcPr>
            <w:tcW w:w="4408" w:type="pct"/>
            <w:vAlign w:val="top"/>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树穴边线清晰，线条流畅。</w:t>
            </w:r>
            <w:r>
              <w:rPr>
                <w:color w:val="000000" w:themeColor="text1"/>
              </w:rPr>
            </w:r>
            <w:r/>
          </w:p>
        </w:tc>
      </w:tr>
      <w:tr>
        <w:trPr>
          <w:cantSplit/>
          <w:trHeight w:val="306"/>
        </w:trPr>
        <w:tc>
          <w:tcPr>
            <w:tcW w:w="591"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松土除草</w:t>
            </w:r>
            <w:r>
              <w:rPr>
                <w:color w:val="000000" w:themeColor="text1"/>
              </w:rPr>
            </w:r>
            <w:r/>
          </w:p>
        </w:tc>
        <w:tc>
          <w:tcPr>
            <w:tcW w:w="4408" w:type="pct"/>
            <w:vAlign w:val="top"/>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松土除草及时，每年10次以上。</w:t>
            </w:r>
            <w:r>
              <w:rPr>
                <w:color w:val="000000" w:themeColor="text1"/>
              </w:rPr>
            </w:r>
            <w:r/>
          </w:p>
        </w:tc>
      </w:tr>
      <w:tr>
        <w:trPr>
          <w:cantSplit/>
          <w:trHeight w:val="451"/>
        </w:trPr>
        <w:tc>
          <w:tcPr>
            <w:tcW w:w="591"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灌    溉</w:t>
            </w:r>
            <w:r>
              <w:rPr>
                <w:color w:val="000000" w:themeColor="text1"/>
              </w:rPr>
            </w:r>
            <w:r/>
          </w:p>
        </w:tc>
        <w:tc>
          <w:tcPr>
            <w:tcW w:w="4408" w:type="pct"/>
            <w:vAlign w:val="top"/>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因生长季节天气情况、花灌木种类恰当进行，无旱涝现象。</w:t>
            </w:r>
            <w:r>
              <w:rPr>
                <w:color w:val="000000" w:themeColor="text1"/>
              </w:rPr>
            </w:r>
            <w:r/>
          </w:p>
        </w:tc>
      </w:tr>
      <w:tr>
        <w:trPr>
          <w:cantSplit/>
          <w:trHeight w:val="1251"/>
        </w:trPr>
        <w:tc>
          <w:tcPr>
            <w:tcW w:w="591" w:type="pct"/>
            <w:vAlign w:val="center"/>
            <w:textDirection w:val="lrTb"/>
            <w:noWrap w:val="false"/>
          </w:tcPr>
          <w:p>
            <w:pPr>
              <w:ind w:left="-63" w:right="-80"/>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栽（补）植</w:t>
            </w:r>
            <w:r>
              <w:rPr>
                <w:color w:val="000000" w:themeColor="text1"/>
              </w:rPr>
            </w:r>
            <w:r/>
          </w:p>
        </w:tc>
        <w:tc>
          <w:tcPr>
            <w:tcW w:w="4408"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1.栽植科学，搭配合理。</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2.成活率：易成活树种成活率100%，不易成活树种成活率98%以上。</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3.常绿及反季节栽植的花灌木带土球，土球直径不小于冠径的1/3，且须根保留较完好。</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4.树坑直径大于土球直径50cm以上，封土深度以盖住土球上部5—10cm为宜。</w:t>
            </w:r>
            <w:r>
              <w:rPr>
                <w:color w:val="000000" w:themeColor="text1"/>
              </w:rPr>
            </w:r>
            <w:r/>
          </w:p>
        </w:tc>
      </w:tr>
      <w:tr>
        <w:trPr>
          <w:cantSplit/>
          <w:trHeight w:val="1018"/>
        </w:trPr>
        <w:tc>
          <w:tcPr>
            <w:tcW w:w="591"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清    洁</w:t>
            </w:r>
            <w:r>
              <w:rPr>
                <w:color w:val="000000" w:themeColor="text1"/>
              </w:rPr>
            </w:r>
            <w:r/>
          </w:p>
        </w:tc>
        <w:tc>
          <w:tcPr>
            <w:tcW w:w="4408"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树穴内无生活垃圾、建筑垃圾、干枝枯叶及其它废弃物。</w:t>
            </w:r>
            <w:r>
              <w:rPr>
                <w:color w:val="000000" w:themeColor="text1"/>
              </w:rPr>
            </w:r>
            <w:r/>
          </w:p>
        </w:tc>
      </w:tr>
    </w:tbl>
    <w:p>
      <w:pPr>
        <w:jc w:val="center"/>
        <w:pageBreakBefore w:val="0"/>
        <w:spacing w:line="360" w:lineRule="auto"/>
        <w:rPr>
          <w:rFonts w:hint="eastAsia"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r>
      <w:r>
        <w:rPr>
          <w:color w:val="000000" w:themeColor="text1"/>
        </w:rPr>
      </w:r>
      <w:r/>
    </w:p>
    <w:p>
      <w:pPr>
        <w:jc w:val="center"/>
        <w:pageBreakBefore w:val="0"/>
        <w:spacing w:line="360" w:lineRule="auto"/>
        <w:rPr>
          <w:rFonts w:hint="eastAsia"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3.草坪养护标准</w:t>
      </w:r>
      <w:r>
        <w:rPr>
          <w:color w:val="000000" w:themeColor="text1"/>
        </w:rPr>
      </w:r>
      <w:r/>
    </w:p>
    <w:tbl>
      <w:tblPr>
        <w:tblStyle w:val="89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3"/>
        <w:gridCol w:w="7307"/>
      </w:tblGrid>
      <w:tr>
        <w:trPr>
          <w:trHeight w:val="595"/>
        </w:trPr>
        <w:tc>
          <w:tcPr>
            <w:tcW w:w="712"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项 目</w:t>
            </w:r>
            <w:r>
              <w:rPr>
                <w:color w:val="000000" w:themeColor="text1"/>
              </w:rPr>
            </w:r>
            <w:r/>
          </w:p>
        </w:tc>
        <w:tc>
          <w:tcPr>
            <w:tcW w:w="4287"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养护标准</w:t>
            </w:r>
            <w:r>
              <w:rPr>
                <w:color w:val="000000" w:themeColor="text1"/>
              </w:rPr>
            </w:r>
            <w:r/>
          </w:p>
        </w:tc>
      </w:tr>
      <w:tr>
        <w:trPr>
          <w:cantSplit/>
          <w:trHeight w:val="1070"/>
        </w:trPr>
        <w:tc>
          <w:tcPr>
            <w:tcBorders>
              <w:bottom w:val="single" w:color="auto" w:sz="4" w:space="0"/>
            </w:tcBorders>
            <w:tcW w:w="712"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景  观</w:t>
            </w:r>
            <w:r>
              <w:rPr>
                <w:color w:val="000000" w:themeColor="text1"/>
              </w:rPr>
            </w:r>
            <w:r/>
          </w:p>
        </w:tc>
        <w:tc>
          <w:tcPr>
            <w:tcBorders>
              <w:bottom w:val="single" w:color="auto" w:sz="4" w:space="0"/>
            </w:tcBorders>
            <w:tcW w:w="4287"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1.管理精细，景观优美。     </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2.草种单品种纯度95%以上，目测无杂草。</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3.生长旺盛，生长季节不枯黄，无斑秃，覆盖率100%。</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4.美观平整、坡度科学、无坑洼。      </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5.环境卫生佳，无垃圾。</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6.无人为践踏。</w:t>
            </w:r>
            <w:r>
              <w:rPr>
                <w:color w:val="000000" w:themeColor="text1"/>
              </w:rPr>
            </w:r>
            <w:r/>
          </w:p>
        </w:tc>
      </w:tr>
      <w:tr>
        <w:trPr>
          <w:cantSplit/>
          <w:trHeight w:val="607"/>
        </w:trPr>
        <w:tc>
          <w:tcPr>
            <w:tcW w:w="712"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生  长</w:t>
            </w:r>
            <w:r>
              <w:rPr>
                <w:color w:val="000000" w:themeColor="text1"/>
              </w:rPr>
            </w:r>
            <w:r/>
          </w:p>
        </w:tc>
        <w:tc>
          <w:tcPr>
            <w:tcW w:w="4287" w:type="pct"/>
            <w:vAlign w:val="top"/>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1.生长势旺盛。</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2.叶色浓绿有光泽，生长期无黄叶、焦叶、卷叶，病虫害发生率在3%以内。</w:t>
            </w:r>
            <w:r>
              <w:rPr>
                <w:color w:val="000000" w:themeColor="text1"/>
              </w:rPr>
            </w:r>
            <w:r/>
          </w:p>
        </w:tc>
      </w:tr>
      <w:tr>
        <w:trPr>
          <w:cantSplit/>
          <w:trHeight w:val="773"/>
        </w:trPr>
        <w:tc>
          <w:tcPr>
            <w:tcW w:w="712"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修  剪</w:t>
            </w:r>
            <w:r>
              <w:rPr>
                <w:color w:val="000000" w:themeColor="text1"/>
              </w:rPr>
            </w:r>
            <w:r/>
          </w:p>
        </w:tc>
        <w:tc>
          <w:tcPr>
            <w:tcW w:w="4287" w:type="pct"/>
            <w:vAlign w:val="top"/>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1.暖季型草坪留茬高度不超过4-5cm，冷季型草坪留茬高度不超过6-7cm高度以内。</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2.平整、均匀、无漏草，适时适度。</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3.严格按操作规程进行。</w:t>
            </w:r>
            <w:r>
              <w:rPr>
                <w:color w:val="000000" w:themeColor="text1"/>
              </w:rPr>
            </w:r>
            <w:r/>
          </w:p>
        </w:tc>
      </w:tr>
      <w:tr>
        <w:trPr>
          <w:cantSplit/>
          <w:trHeight w:val="410"/>
        </w:trPr>
        <w:tc>
          <w:tcPr>
            <w:tcW w:w="712"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施  肥</w:t>
            </w:r>
            <w:r>
              <w:rPr>
                <w:color w:val="000000" w:themeColor="text1"/>
              </w:rPr>
            </w:r>
            <w:r/>
          </w:p>
        </w:tc>
        <w:tc>
          <w:tcPr>
            <w:tcW w:w="4287" w:type="pct"/>
            <w:vAlign w:val="top"/>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1.因季节、品种等施肥，暖季型草坪每年施肥不少于2次，冷季型草坪每年施肥不少于6次。</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 肥料种类适宜，方法合理。3.无缺肥、无漏肥、无肥害。</w:t>
            </w:r>
            <w:r>
              <w:rPr>
                <w:color w:val="000000" w:themeColor="text1"/>
              </w:rPr>
            </w:r>
            <w:r/>
          </w:p>
        </w:tc>
      </w:tr>
      <w:tr>
        <w:trPr>
          <w:cantSplit/>
          <w:trHeight w:val="444"/>
        </w:trPr>
        <w:tc>
          <w:tcPr>
            <w:tcW w:w="712"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浇  灌</w:t>
            </w:r>
            <w:r>
              <w:rPr>
                <w:color w:val="000000" w:themeColor="text1"/>
              </w:rPr>
            </w:r>
            <w:r/>
          </w:p>
        </w:tc>
        <w:tc>
          <w:tcPr>
            <w:tcW w:w="4287"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因生长季节、天气情况、草种种类恰当灌溉，无旱涝现象。</w:t>
            </w:r>
            <w:r>
              <w:rPr>
                <w:color w:val="000000" w:themeColor="text1"/>
              </w:rPr>
            </w:r>
            <w:r/>
          </w:p>
        </w:tc>
      </w:tr>
      <w:tr>
        <w:trPr>
          <w:cantSplit/>
          <w:trHeight w:val="615"/>
        </w:trPr>
        <w:tc>
          <w:tcPr>
            <w:tcW w:w="712"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修   边</w:t>
            </w:r>
            <w:r>
              <w:rPr>
                <w:color w:val="000000" w:themeColor="text1"/>
              </w:rPr>
            </w:r>
            <w:r/>
          </w:p>
        </w:tc>
        <w:tc>
          <w:tcPr>
            <w:tcW w:w="4287" w:type="pct"/>
            <w:vAlign w:val="top"/>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边线宽窄适宜、边线清晰、线条流畅（草坪与侧石结合部切出6—8cm整齐美观的边缘带，坡体草坪边缘修剪整齐；草坪与绿篱间切出10cm整齐美观的边缘带）。</w:t>
            </w:r>
            <w:r>
              <w:rPr>
                <w:color w:val="000000" w:themeColor="text1"/>
              </w:rPr>
            </w:r>
            <w:r/>
          </w:p>
        </w:tc>
      </w:tr>
      <w:tr>
        <w:trPr>
          <w:cantSplit/>
          <w:trHeight w:val="454"/>
        </w:trPr>
        <w:tc>
          <w:tcPr>
            <w:tcW w:w="712"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除   草</w:t>
            </w:r>
            <w:r>
              <w:rPr>
                <w:color w:val="000000" w:themeColor="text1"/>
              </w:rPr>
            </w:r>
            <w:r/>
          </w:p>
        </w:tc>
        <w:tc>
          <w:tcPr>
            <w:tcW w:w="4287"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除杂草及时，杂草在2%以下。</w:t>
            </w:r>
            <w:r>
              <w:rPr>
                <w:color w:val="000000" w:themeColor="text1"/>
              </w:rPr>
            </w:r>
            <w:r/>
          </w:p>
        </w:tc>
      </w:tr>
      <w:tr>
        <w:trPr>
          <w:cantSplit/>
          <w:trHeight w:val="552"/>
        </w:trPr>
        <w:tc>
          <w:tcPr>
            <w:tcW w:w="712"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打    孔</w:t>
            </w:r>
            <w:r>
              <w:rPr>
                <w:color w:val="000000" w:themeColor="text1"/>
              </w:rPr>
            </w:r>
            <w:r/>
          </w:p>
        </w:tc>
        <w:tc>
          <w:tcPr>
            <w:tcW w:w="4287"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1.结合施肥施药，每年不少于2次。       </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2.机械作业。</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3.疏草每年不少于2次。                 </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4.草屑清除及时、彻底。</w:t>
            </w:r>
            <w:r>
              <w:rPr>
                <w:color w:val="000000" w:themeColor="text1"/>
              </w:rPr>
            </w:r>
            <w:r/>
          </w:p>
        </w:tc>
      </w:tr>
      <w:tr>
        <w:trPr>
          <w:cantSplit/>
          <w:trHeight w:val="460"/>
        </w:trPr>
        <w:tc>
          <w:tcPr>
            <w:tcW w:w="712"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栽（补）植</w:t>
            </w:r>
            <w:r>
              <w:rPr>
                <w:color w:val="000000" w:themeColor="text1"/>
              </w:rPr>
            </w:r>
            <w:r/>
          </w:p>
        </w:tc>
        <w:tc>
          <w:tcPr>
            <w:tcW w:w="4287"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1.采用同一品种。           </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2.疏密适度，覆盖率98%以上。</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3.成活率100%。             </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4.补栽平整美观，无明显补栽痕迹。</w:t>
            </w:r>
            <w:r>
              <w:rPr>
                <w:color w:val="000000" w:themeColor="text1"/>
              </w:rPr>
            </w:r>
            <w:r/>
          </w:p>
        </w:tc>
      </w:tr>
      <w:tr>
        <w:trPr>
          <w:cantSplit/>
          <w:trHeight w:val="541"/>
        </w:trPr>
        <w:tc>
          <w:tcPr>
            <w:tcW w:w="712"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清    洁</w:t>
            </w:r>
            <w:r>
              <w:rPr>
                <w:color w:val="000000" w:themeColor="text1"/>
              </w:rPr>
            </w:r>
            <w:r/>
          </w:p>
        </w:tc>
        <w:tc>
          <w:tcPr>
            <w:tcW w:w="4287"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环境美观，无垃圾。</w:t>
            </w:r>
            <w:r>
              <w:rPr>
                <w:color w:val="000000" w:themeColor="text1"/>
              </w:rPr>
            </w:r>
            <w:r/>
          </w:p>
        </w:tc>
      </w:tr>
    </w:tbl>
    <w:p>
      <w:pPr>
        <w:jc w:val="center"/>
        <w:pageBreakBefore w:val="0"/>
        <w:spacing w:line="360" w:lineRule="auto"/>
        <w:rPr>
          <w:rFonts w:hint="eastAsia"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r>
      <w:r>
        <w:rPr>
          <w:color w:val="000000" w:themeColor="text1"/>
        </w:rPr>
      </w:r>
      <w:r/>
    </w:p>
    <w:p>
      <w:pPr>
        <w:pStyle w:val="891"/>
        <w:numPr>
          <w:ilvl w:val="0"/>
          <w:numId w:val="0"/>
        </w:numPr>
        <w:pageBreakBefore w:val="0"/>
        <w:spacing w:line="360" w:lineRule="auto"/>
        <w:rPr>
          <w:rFonts w:hint="eastAsia" w:ascii="Times New Roman" w:hAnsi="Times New Roman" w:eastAsia="宋体"/>
          <w:color w:val="000000" w:themeColor="text1"/>
          <w:highlight w:val="none"/>
        </w:rPr>
      </w:pPr>
      <w:r>
        <w:rPr>
          <w:rFonts w:hint="eastAsia" w:ascii="Times New Roman" w:hAnsi="Times New Roman" w:eastAsia="宋体"/>
          <w:color w:val="000000" w:themeColor="text1"/>
          <w:highlight w:val="none"/>
        </w:rPr>
      </w:r>
      <w:r>
        <w:rPr>
          <w:color w:val="000000" w:themeColor="text1"/>
        </w:rPr>
      </w:r>
      <w:r/>
    </w:p>
    <w:p>
      <w:pPr>
        <w:jc w:val="center"/>
        <w:pageBreakBefore w:val="0"/>
        <w:spacing w:line="360" w:lineRule="auto"/>
        <w:rPr>
          <w:rFonts w:hint="eastAsia"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4.地被植物养护标准</w:t>
      </w:r>
      <w:r>
        <w:rPr>
          <w:color w:val="000000" w:themeColor="text1"/>
        </w:rPr>
      </w:r>
      <w:r/>
    </w:p>
    <w:tbl>
      <w:tblPr>
        <w:tblStyle w:val="890"/>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519"/>
        <w:gridCol w:w="3433"/>
        <w:gridCol w:w="3567"/>
      </w:tblGrid>
      <w:tr>
        <w:trPr>
          <w:cantSplit/>
          <w:trHeight w:val="567"/>
        </w:trPr>
        <w:tc>
          <w:tcPr>
            <w:tcBorders>
              <w:top w:val="single" w:color="auto" w:sz="4" w:space="0"/>
              <w:left w:val="single" w:color="auto" w:sz="4" w:space="0"/>
              <w:bottom w:val="single" w:color="auto" w:sz="4" w:space="0"/>
            </w:tcBorders>
            <w:tcW w:w="891" w:type="pct"/>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项目</w:t>
            </w:r>
            <w:r>
              <w:rPr>
                <w:color w:val="000000" w:themeColor="text1"/>
              </w:rPr>
            </w:r>
            <w:r/>
          </w:p>
        </w:tc>
        <w:tc>
          <w:tcPr>
            <w:tcBorders>
              <w:top w:val="single" w:color="auto" w:sz="4" w:space="0"/>
              <w:bottom w:val="single" w:color="auto" w:sz="4" w:space="0"/>
            </w:tcBorders>
            <w:tcW w:w="2014" w:type="pct"/>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单植地被</w:t>
            </w:r>
            <w:r>
              <w:rPr>
                <w:color w:val="000000" w:themeColor="text1"/>
              </w:rPr>
            </w:r>
            <w:r/>
          </w:p>
        </w:tc>
        <w:tc>
          <w:tcPr>
            <w:tcBorders>
              <w:top w:val="single" w:color="auto" w:sz="4" w:space="0"/>
              <w:bottom w:val="single" w:color="auto" w:sz="4" w:space="0"/>
              <w:right w:val="single" w:color="auto" w:sz="4" w:space="0"/>
            </w:tcBorders>
            <w:tcW w:w="2093" w:type="pct"/>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混植地被</w:t>
            </w:r>
            <w:r>
              <w:rPr>
                <w:color w:val="000000" w:themeColor="text1"/>
              </w:rPr>
            </w:r>
            <w:r/>
          </w:p>
        </w:tc>
      </w:tr>
      <w:tr>
        <w:trPr>
          <w:cantSplit/>
        </w:trPr>
        <w:tc>
          <w:tcPr>
            <w:tcBorders>
              <w:top w:val="single" w:color="auto" w:sz="4" w:space="0"/>
              <w:left w:val="single" w:color="auto" w:sz="4" w:space="0"/>
            </w:tcBorders>
            <w:tcW w:w="891" w:type="pct"/>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景 观</w:t>
            </w:r>
            <w:r>
              <w:rPr>
                <w:color w:val="000000" w:themeColor="text1"/>
              </w:rPr>
            </w:r>
            <w:r/>
          </w:p>
        </w:tc>
        <w:tc>
          <w:tcPr>
            <w:tcBorders>
              <w:top w:val="single" w:color="auto" w:sz="4" w:space="0"/>
            </w:tcBorders>
            <w:tcW w:w="2014"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1.种植密度合理。</w:t>
            </w:r>
            <w:r>
              <w:rPr>
                <w:color w:val="000000" w:themeColor="text1"/>
              </w:rPr>
            </w:r>
            <w:r/>
          </w:p>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2.植株规格整齐。</w:t>
            </w:r>
            <w:r>
              <w:rPr>
                <w:color w:val="000000" w:themeColor="text1"/>
              </w:rPr>
            </w:r>
            <w:r/>
          </w:p>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3.无死株，群体景观效果好。</w:t>
            </w:r>
            <w:r>
              <w:rPr>
                <w:color w:val="000000" w:themeColor="text1"/>
              </w:rPr>
            </w:r>
            <w:r/>
          </w:p>
        </w:tc>
        <w:tc>
          <w:tcPr>
            <w:tcBorders>
              <w:top w:val="single" w:color="auto" w:sz="4" w:space="0"/>
              <w:right w:val="single" w:color="auto" w:sz="4" w:space="0"/>
            </w:tcBorders>
            <w:tcW w:w="2093"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1.混植种类配置合理。</w:t>
            </w:r>
            <w:r>
              <w:rPr>
                <w:color w:val="000000" w:themeColor="text1"/>
              </w:rPr>
            </w:r>
            <w:r/>
          </w:p>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2.叶色、叶型协调。</w:t>
            </w:r>
            <w:r>
              <w:rPr>
                <w:color w:val="000000" w:themeColor="text1"/>
              </w:rPr>
            </w:r>
            <w:r/>
          </w:p>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3.无死株和残存枯花。</w:t>
            </w:r>
            <w:r>
              <w:rPr>
                <w:color w:val="000000" w:themeColor="text1"/>
              </w:rPr>
            </w:r>
            <w:r/>
          </w:p>
        </w:tc>
      </w:tr>
      <w:tr>
        <w:trPr>
          <w:cantSplit/>
        </w:trPr>
        <w:tc>
          <w:tcPr>
            <w:tcBorders>
              <w:top w:val="single" w:color="auto" w:sz="6" w:space="0"/>
              <w:left w:val="single" w:color="auto" w:sz="4" w:space="0"/>
            </w:tcBorders>
            <w:tcW w:w="891" w:type="pct"/>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生 长</w:t>
            </w:r>
            <w:r>
              <w:rPr>
                <w:color w:val="000000" w:themeColor="text1"/>
              </w:rPr>
            </w:r>
            <w:r/>
          </w:p>
        </w:tc>
        <w:tc>
          <w:tcPr>
            <w:tcBorders>
              <w:top w:val="single" w:color="auto" w:sz="6" w:space="0"/>
            </w:tcBorders>
            <w:tcW w:w="2014"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1.生长茂盛。</w:t>
            </w:r>
            <w:r>
              <w:rPr>
                <w:color w:val="000000" w:themeColor="text1"/>
              </w:rPr>
            </w:r>
            <w:r/>
          </w:p>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2.覆盖率大于98%，无空秃。</w:t>
            </w:r>
            <w:r>
              <w:rPr>
                <w:color w:val="000000" w:themeColor="text1"/>
              </w:rPr>
            </w:r>
            <w:r/>
          </w:p>
        </w:tc>
        <w:tc>
          <w:tcPr>
            <w:tcBorders>
              <w:top w:val="single" w:color="auto" w:sz="6" w:space="0"/>
              <w:right w:val="single" w:color="auto" w:sz="4" w:space="0"/>
            </w:tcBorders>
            <w:tcW w:w="2093"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1.生长茂盛，符合生态要求。</w:t>
            </w:r>
            <w:r>
              <w:rPr>
                <w:color w:val="000000" w:themeColor="text1"/>
              </w:rPr>
            </w:r>
            <w:r/>
          </w:p>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2.覆盖率大于98%，无空秃。</w:t>
            </w:r>
            <w:r>
              <w:rPr>
                <w:color w:val="000000" w:themeColor="text1"/>
              </w:rPr>
            </w:r>
            <w:r/>
          </w:p>
        </w:tc>
      </w:tr>
      <w:tr>
        <w:trPr>
          <w:cantSplit/>
        </w:trPr>
        <w:tc>
          <w:tcPr>
            <w:tcBorders>
              <w:left w:val="single" w:color="auto" w:sz="4" w:space="0"/>
            </w:tcBorders>
            <w:tcW w:w="891" w:type="pct"/>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排 灌</w:t>
            </w:r>
            <w:r>
              <w:rPr>
                <w:color w:val="000000" w:themeColor="text1"/>
              </w:rPr>
            </w:r>
            <w:r/>
          </w:p>
        </w:tc>
        <w:tc>
          <w:tcPr>
            <w:tcW w:w="2014"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1.排水通畅，雨后无积水。</w:t>
            </w:r>
            <w:r>
              <w:rPr>
                <w:color w:val="000000" w:themeColor="text1"/>
              </w:rPr>
            </w:r>
            <w:r/>
          </w:p>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2.植株不出现萎蔫。</w:t>
            </w:r>
            <w:r>
              <w:rPr>
                <w:color w:val="000000" w:themeColor="text1"/>
              </w:rPr>
            </w:r>
            <w:r/>
          </w:p>
        </w:tc>
        <w:tc>
          <w:tcPr>
            <w:tcBorders>
              <w:right w:val="single" w:color="auto" w:sz="4" w:space="0"/>
            </w:tcBorders>
            <w:tcW w:w="2093"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1. 排水畅通，雨后无积水。</w:t>
            </w:r>
            <w:r>
              <w:rPr>
                <w:color w:val="000000" w:themeColor="text1"/>
              </w:rPr>
            </w:r>
            <w:r/>
          </w:p>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2.植株不得出现萎蔫。</w:t>
            </w:r>
            <w:r>
              <w:rPr>
                <w:color w:val="000000" w:themeColor="text1"/>
              </w:rPr>
            </w:r>
            <w:r/>
          </w:p>
        </w:tc>
      </w:tr>
      <w:tr>
        <w:trPr>
          <w:cantSplit/>
        </w:trPr>
        <w:tc>
          <w:tcPr>
            <w:tcBorders>
              <w:left w:val="single" w:color="auto" w:sz="4" w:space="0"/>
            </w:tcBorders>
            <w:tcW w:w="891" w:type="pct"/>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有害生物控制</w:t>
            </w:r>
            <w:r>
              <w:rPr>
                <w:color w:val="000000" w:themeColor="text1"/>
              </w:rPr>
            </w:r>
            <w:r/>
          </w:p>
        </w:tc>
        <w:tc>
          <w:tcPr>
            <w:tcW w:w="2014"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1.基本无有害生物危害状。</w:t>
            </w:r>
            <w:r>
              <w:rPr>
                <w:color w:val="000000" w:themeColor="text1"/>
              </w:rPr>
            </w:r>
            <w:r/>
          </w:p>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2.受害率必须控制在8%以下。</w:t>
            </w:r>
            <w:r>
              <w:rPr>
                <w:color w:val="000000" w:themeColor="text1"/>
              </w:rPr>
            </w:r>
            <w:r/>
          </w:p>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3.无大型、恶性杂草。</w:t>
            </w:r>
            <w:r>
              <w:rPr>
                <w:color w:val="000000" w:themeColor="text1"/>
              </w:rPr>
            </w:r>
            <w:r/>
          </w:p>
        </w:tc>
        <w:tc>
          <w:tcPr>
            <w:tcBorders>
              <w:right w:val="single" w:color="auto" w:sz="4" w:space="0"/>
            </w:tcBorders>
            <w:tcW w:w="2093"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1.无明显的有害生物受害状。</w:t>
            </w:r>
            <w:r>
              <w:rPr>
                <w:color w:val="000000" w:themeColor="text1"/>
              </w:rPr>
            </w:r>
            <w:r/>
          </w:p>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2.受害率应控制在15%以下。</w:t>
            </w:r>
            <w:r>
              <w:rPr>
                <w:color w:val="000000" w:themeColor="text1"/>
              </w:rPr>
            </w:r>
            <w:r/>
          </w:p>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3.无大型、恶性杂草。</w:t>
            </w:r>
            <w:r>
              <w:rPr>
                <w:color w:val="000000" w:themeColor="text1"/>
              </w:rPr>
            </w:r>
            <w:r/>
          </w:p>
        </w:tc>
      </w:tr>
      <w:tr>
        <w:trPr>
          <w:cantSplit/>
        </w:trPr>
        <w:tc>
          <w:tcPr>
            <w:tcBorders>
              <w:left w:val="single" w:color="auto" w:sz="4" w:space="0"/>
              <w:bottom w:val="single" w:color="auto" w:sz="4" w:space="0"/>
            </w:tcBorders>
            <w:tcW w:w="891" w:type="pct"/>
            <w:vAlign w:val="center"/>
            <w:textDirection w:val="lrTb"/>
            <w:noWrap w:val="false"/>
          </w:tcPr>
          <w:p>
            <w:pPr>
              <w:jc w:val="cente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清 洁</w:t>
            </w:r>
            <w:r>
              <w:rPr>
                <w:color w:val="000000" w:themeColor="text1"/>
              </w:rPr>
            </w:r>
            <w:r/>
          </w:p>
        </w:tc>
        <w:tc>
          <w:tcPr>
            <w:tcBorders>
              <w:bottom w:val="single" w:color="auto" w:sz="4" w:space="0"/>
            </w:tcBorders>
            <w:tcW w:w="2014"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无垃圾。</w:t>
            </w:r>
            <w:r>
              <w:rPr>
                <w:color w:val="000000" w:themeColor="text1"/>
              </w:rPr>
            </w:r>
            <w:r/>
          </w:p>
        </w:tc>
        <w:tc>
          <w:tcPr>
            <w:tcBorders>
              <w:bottom w:val="single" w:color="auto" w:sz="4" w:space="0"/>
              <w:right w:val="single" w:color="auto" w:sz="4" w:space="0"/>
            </w:tcBorders>
            <w:tcW w:w="2093" w:type="pct"/>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 无垃圾。</w:t>
            </w:r>
            <w:r>
              <w:rPr>
                <w:color w:val="000000" w:themeColor="text1"/>
              </w:rPr>
            </w:r>
            <w:r/>
          </w:p>
        </w:tc>
      </w:tr>
    </w:tbl>
    <w:p>
      <w:pPr>
        <w:pageBreakBefore w:val="0"/>
        <w:spacing w:line="360" w:lineRule="auto"/>
        <w:rPr>
          <w:rFonts w:hint="eastAsia" w:ascii="Times New Roman" w:hAnsi="Times New Roman" w:eastAsia="宋体" w:cs="宋体"/>
          <w:b/>
          <w:color w:val="000000" w:themeColor="text1"/>
          <w:szCs w:val="21"/>
          <w:highlight w:val="none"/>
          <w:u w:val="single"/>
        </w:rPr>
      </w:pPr>
      <w:r>
        <w:rPr>
          <w:rFonts w:hint="eastAsia" w:ascii="Times New Roman" w:hAnsi="Times New Roman" w:eastAsia="宋体" w:cs="宋体"/>
          <w:b/>
          <w:color w:val="000000" w:themeColor="text1"/>
          <w:szCs w:val="21"/>
          <w:highlight w:val="none"/>
          <w:u w:val="single"/>
        </w:rPr>
      </w:r>
      <w:r>
        <w:rPr>
          <w:color w:val="000000" w:themeColor="text1"/>
        </w:rPr>
      </w:r>
      <w:r/>
    </w:p>
    <w:p>
      <w:pPr>
        <w:jc w:val="center"/>
        <w:pageBreakBefore w:val="0"/>
        <w:spacing w:line="360" w:lineRule="auto"/>
        <w:rPr>
          <w:rFonts w:hint="eastAsia"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5.绿篱及模纹图案养护标准</w:t>
      </w:r>
      <w:r>
        <w:rPr>
          <w:color w:val="000000" w:themeColor="text1"/>
        </w:rPr>
      </w:r>
      <w:r/>
    </w:p>
    <w:tbl>
      <w:tblPr>
        <w:tblStyle w:val="89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0"/>
        <w:gridCol w:w="7210"/>
      </w:tblGrid>
      <w:tr>
        <w:trPr>
          <w:jc w:val="center"/>
          <w:trHeight w:val="90"/>
        </w:trPr>
        <w:tc>
          <w:tcPr>
            <w:tcW w:w="769"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项 目</w:t>
            </w:r>
            <w:r>
              <w:rPr>
                <w:color w:val="000000" w:themeColor="text1"/>
              </w:rPr>
            </w:r>
            <w:r/>
          </w:p>
        </w:tc>
        <w:tc>
          <w:tcPr>
            <w:tcW w:w="4230"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养护标准</w:t>
            </w:r>
            <w:r>
              <w:rPr>
                <w:color w:val="000000" w:themeColor="text1"/>
              </w:rPr>
            </w:r>
            <w:r/>
          </w:p>
        </w:tc>
      </w:tr>
      <w:tr>
        <w:trPr>
          <w:cantSplit/>
          <w:jc w:val="center"/>
          <w:trHeight w:val="589"/>
        </w:trPr>
        <w:tc>
          <w:tcPr>
            <w:tcW w:w="769"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景  观</w:t>
            </w:r>
            <w:r>
              <w:rPr>
                <w:color w:val="000000" w:themeColor="text1"/>
              </w:rPr>
            </w:r>
            <w:r/>
          </w:p>
        </w:tc>
        <w:tc>
          <w:tcPr>
            <w:tcW w:w="4230"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1.景观优美，管理精细，有明显的层次感和造型。</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2.条块分明，色彩明快，线条优美，直线笔直，曲线流畅。 3.无缺株断层。</w:t>
            </w:r>
            <w:r>
              <w:rPr>
                <w:color w:val="000000" w:themeColor="text1"/>
              </w:rPr>
            </w:r>
            <w:r/>
          </w:p>
        </w:tc>
      </w:tr>
      <w:tr>
        <w:trPr>
          <w:cantSplit/>
          <w:jc w:val="center"/>
          <w:trHeight w:val="867"/>
        </w:trPr>
        <w:tc>
          <w:tcPr>
            <w:tcW w:w="769"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生长</w:t>
            </w:r>
            <w:r>
              <w:rPr>
                <w:color w:val="000000" w:themeColor="text1"/>
              </w:rPr>
            </w:r>
            <w:r/>
          </w:p>
        </w:tc>
        <w:tc>
          <w:tcPr>
            <w:tcW w:w="4230"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1.生长势强，枝壮叶茂。</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2.叶色正常，有光泽，无黄叶、焦叶、卷叶、枯萎叶，生长季节不落叶，无明显病虫害，株被害率在2%以内。</w:t>
            </w:r>
            <w:r>
              <w:rPr>
                <w:color w:val="000000" w:themeColor="text1"/>
              </w:rPr>
            </w:r>
            <w:r/>
          </w:p>
        </w:tc>
      </w:tr>
      <w:tr>
        <w:trPr>
          <w:cantSplit/>
          <w:jc w:val="center"/>
          <w:trHeight w:val="681"/>
        </w:trPr>
        <w:tc>
          <w:tcPr>
            <w:tcW w:w="769"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修  剪</w:t>
            </w:r>
            <w:r>
              <w:rPr>
                <w:color w:val="000000" w:themeColor="text1"/>
              </w:rPr>
            </w:r>
            <w:r/>
          </w:p>
        </w:tc>
        <w:tc>
          <w:tcPr>
            <w:tcW w:w="4230"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1.每年修剪不少于10次。 2.外形优美，有层次感，三面平整，直线笔直，曲线流畅。</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3.修剪强度适宜、疏密得当。 4.操作标准，工具齐全。</w:t>
            </w:r>
            <w:r>
              <w:rPr>
                <w:color w:val="000000" w:themeColor="text1"/>
              </w:rPr>
            </w:r>
            <w:r/>
          </w:p>
        </w:tc>
      </w:tr>
      <w:tr>
        <w:trPr>
          <w:cantSplit/>
          <w:jc w:val="center"/>
          <w:trHeight w:val="307"/>
        </w:trPr>
        <w:tc>
          <w:tcPr>
            <w:tcW w:w="769"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施   肥</w:t>
            </w:r>
            <w:r>
              <w:rPr>
                <w:color w:val="000000" w:themeColor="text1"/>
              </w:rPr>
            </w:r>
            <w:r/>
          </w:p>
        </w:tc>
        <w:tc>
          <w:tcPr>
            <w:tcW w:w="4230"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1.每年施肥不少于4次。2.肥料种类适宜，方法合理。3.无缺肥、无漏肥、无肥害。</w:t>
            </w:r>
            <w:r>
              <w:rPr>
                <w:color w:val="000000" w:themeColor="text1"/>
              </w:rPr>
            </w:r>
            <w:r/>
          </w:p>
        </w:tc>
      </w:tr>
      <w:tr>
        <w:trPr>
          <w:cantSplit/>
          <w:jc w:val="center"/>
          <w:trHeight w:val="200"/>
        </w:trPr>
        <w:tc>
          <w:tcPr>
            <w:tcW w:w="769"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浇   灌</w:t>
            </w:r>
            <w:r>
              <w:rPr>
                <w:color w:val="000000" w:themeColor="text1"/>
              </w:rPr>
            </w:r>
            <w:r/>
          </w:p>
        </w:tc>
        <w:tc>
          <w:tcPr>
            <w:tcW w:w="4230"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因生长季节、天气情况、植物种类恰当进行，无旱涝现象。</w:t>
            </w:r>
            <w:r>
              <w:rPr>
                <w:color w:val="000000" w:themeColor="text1"/>
              </w:rPr>
            </w:r>
            <w:r/>
          </w:p>
        </w:tc>
      </w:tr>
      <w:tr>
        <w:trPr>
          <w:cantSplit/>
          <w:jc w:val="center"/>
          <w:trHeight w:val="260"/>
        </w:trPr>
        <w:tc>
          <w:tcPr>
            <w:tcW w:w="769"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松土除草</w:t>
            </w:r>
            <w:r>
              <w:rPr>
                <w:color w:val="000000" w:themeColor="text1"/>
              </w:rPr>
            </w:r>
            <w:r/>
          </w:p>
        </w:tc>
        <w:tc>
          <w:tcPr>
            <w:tcW w:w="4230"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松土除杂草及时。</w:t>
            </w:r>
            <w:r>
              <w:rPr>
                <w:color w:val="000000" w:themeColor="text1"/>
              </w:rPr>
            </w:r>
            <w:r/>
          </w:p>
        </w:tc>
      </w:tr>
      <w:tr>
        <w:trPr>
          <w:cantSplit/>
          <w:jc w:val="center"/>
          <w:trHeight w:val="405"/>
        </w:trPr>
        <w:tc>
          <w:tcPr>
            <w:tcW w:w="769"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清    洁</w:t>
            </w:r>
            <w:r>
              <w:rPr>
                <w:color w:val="000000" w:themeColor="text1"/>
              </w:rPr>
            </w:r>
            <w:r/>
          </w:p>
        </w:tc>
        <w:tc>
          <w:tcPr>
            <w:tcW w:w="4230"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篱下无落叶、生活垃圾、建筑垃圾、干枝枯叶及其它废弃物。</w:t>
            </w:r>
            <w:r>
              <w:rPr>
                <w:color w:val="000000" w:themeColor="text1"/>
              </w:rPr>
            </w:r>
            <w:r/>
          </w:p>
        </w:tc>
      </w:tr>
    </w:tbl>
    <w:p>
      <w:pPr>
        <w:pStyle w:val="891"/>
        <w:numPr>
          <w:ilvl w:val="0"/>
          <w:numId w:val="0"/>
        </w:numPr>
        <w:pageBreakBefore w:val="0"/>
        <w:spacing w:line="360" w:lineRule="auto"/>
        <w:rPr>
          <w:rFonts w:hint="eastAsia"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r>
      <w:r>
        <w:rPr>
          <w:color w:val="000000" w:themeColor="text1"/>
        </w:rPr>
      </w:r>
      <w:r/>
    </w:p>
    <w:p>
      <w:pPr>
        <w:jc w:val="center"/>
        <w:pageBreakBefore w:val="0"/>
        <w:spacing w:line="360" w:lineRule="auto"/>
        <w:rPr>
          <w:rFonts w:hint="eastAsia"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6.花坛养护标准</w:t>
      </w:r>
      <w:r>
        <w:rPr>
          <w:color w:val="000000" w:themeColor="text1"/>
        </w:rPr>
      </w:r>
      <w:r/>
    </w:p>
    <w:tbl>
      <w:tblPr>
        <w:tblStyle w:val="89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0"/>
        <w:gridCol w:w="7130"/>
      </w:tblGrid>
      <w:tr>
        <w:trPr>
          <w:trHeight w:val="559"/>
        </w:trPr>
        <w:tc>
          <w:tcPr>
            <w:tcW w:w="816"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项 目</w:t>
            </w:r>
            <w:r>
              <w:rPr>
                <w:color w:val="000000" w:themeColor="text1"/>
              </w:rPr>
            </w:r>
            <w:r/>
          </w:p>
        </w:tc>
        <w:tc>
          <w:tcPr>
            <w:tcW w:w="4183"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养护标准</w:t>
            </w:r>
            <w:r>
              <w:rPr>
                <w:color w:val="000000" w:themeColor="text1"/>
              </w:rPr>
            </w:r>
            <w:r/>
          </w:p>
        </w:tc>
      </w:tr>
      <w:tr>
        <w:trPr>
          <w:cantSplit/>
          <w:trHeight w:val="861"/>
        </w:trPr>
        <w:tc>
          <w:tcPr>
            <w:tcW w:w="816"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浇灌与排水</w:t>
            </w:r>
            <w:r>
              <w:rPr>
                <w:color w:val="000000" w:themeColor="text1"/>
              </w:rPr>
            </w:r>
            <w:r/>
          </w:p>
        </w:tc>
        <w:tc>
          <w:tcPr>
            <w:tcW w:w="4183"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1.浇水必须湿透根系层，浸湿土层应大于5cm。</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2.沙质土壤应勤浇水，粘质土壤应合理浇水。</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3.根部积水应及时排出，低洼易积水处应挖排水沟</w:t>
            </w:r>
            <w:r>
              <w:rPr>
                <w:color w:val="000000" w:themeColor="text1"/>
              </w:rPr>
            </w:r>
            <w:r/>
          </w:p>
        </w:tc>
      </w:tr>
      <w:tr>
        <w:trPr>
          <w:cantSplit/>
          <w:trHeight w:val="1038"/>
        </w:trPr>
        <w:tc>
          <w:tcPr>
            <w:tcW w:w="816"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修  剪</w:t>
            </w:r>
            <w:r>
              <w:rPr>
                <w:color w:val="000000" w:themeColor="text1"/>
              </w:rPr>
            </w:r>
            <w:r/>
          </w:p>
        </w:tc>
        <w:tc>
          <w:tcPr>
            <w:tcW w:w="4183"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1.按照景观需要和生长状况，及时对生长过密，过高植物进行修剪。</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2.干枯枝叶及残花及时进行清除。</w:t>
            </w:r>
            <w:r>
              <w:rPr>
                <w:color w:val="000000" w:themeColor="text1"/>
              </w:rPr>
            </w:r>
            <w:r/>
          </w:p>
        </w:tc>
      </w:tr>
      <w:tr>
        <w:trPr>
          <w:cantSplit/>
          <w:trHeight w:val="815"/>
        </w:trPr>
        <w:tc>
          <w:tcPr>
            <w:tcW w:w="816"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松土与除草 </w:t>
            </w:r>
            <w:r>
              <w:rPr>
                <w:color w:val="000000" w:themeColor="text1"/>
              </w:rPr>
            </w:r>
            <w:r/>
          </w:p>
        </w:tc>
        <w:tc>
          <w:tcPr>
            <w:tcW w:w="4183"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1.草花换茬间隔期，土壤应进行翻挖、平整和消毒。</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2.及时清除杂草，应除早、除小，杂草需连根拔出。</w:t>
            </w:r>
            <w:r>
              <w:rPr>
                <w:color w:val="000000" w:themeColor="text1"/>
              </w:rPr>
            </w:r>
            <w:r/>
          </w:p>
        </w:tc>
      </w:tr>
      <w:tr>
        <w:trPr>
          <w:cantSplit/>
          <w:trHeight w:val="410"/>
        </w:trPr>
        <w:tc>
          <w:tcPr>
            <w:tcW w:w="816"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施   肥</w:t>
            </w:r>
            <w:r>
              <w:rPr>
                <w:color w:val="000000" w:themeColor="text1"/>
              </w:rPr>
            </w:r>
            <w:r/>
          </w:p>
        </w:tc>
        <w:tc>
          <w:tcPr>
            <w:tcW w:w="4183"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1.每次栽植前施足底肥。</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2.肥料种类适宜，方法合理。</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3.无缺肥、无漏肥、无肥害。</w:t>
            </w:r>
            <w:r>
              <w:rPr>
                <w:color w:val="000000" w:themeColor="text1"/>
              </w:rPr>
            </w:r>
            <w:r/>
          </w:p>
        </w:tc>
      </w:tr>
      <w:tr>
        <w:trPr>
          <w:cantSplit/>
          <w:trHeight w:val="510"/>
        </w:trPr>
        <w:tc>
          <w:tcPr>
            <w:tcW w:w="816"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栽   植</w:t>
            </w:r>
            <w:r>
              <w:rPr>
                <w:color w:val="000000" w:themeColor="text1"/>
              </w:rPr>
            </w:r>
            <w:r/>
          </w:p>
        </w:tc>
        <w:tc>
          <w:tcPr>
            <w:tcW w:w="4183"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栽植疏密有致，更换及时合理。</w:t>
            </w:r>
            <w:r>
              <w:rPr>
                <w:color w:val="000000" w:themeColor="text1"/>
              </w:rPr>
            </w:r>
            <w:r/>
          </w:p>
        </w:tc>
      </w:tr>
      <w:tr>
        <w:trPr>
          <w:cantSplit/>
          <w:trHeight w:val="600"/>
        </w:trPr>
        <w:tc>
          <w:tcPr>
            <w:tcW w:w="816"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清   洁</w:t>
            </w:r>
            <w:r>
              <w:rPr>
                <w:color w:val="000000" w:themeColor="text1"/>
              </w:rPr>
            </w:r>
            <w:r/>
          </w:p>
        </w:tc>
        <w:tc>
          <w:tcPr>
            <w:tcW w:w="4183"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花坛内无生活垃圾、建筑垃圾、干枝枯叶及其它废弃物。</w:t>
            </w:r>
            <w:r>
              <w:rPr>
                <w:color w:val="000000" w:themeColor="text1"/>
              </w:rPr>
            </w:r>
            <w:r/>
          </w:p>
        </w:tc>
      </w:tr>
    </w:tbl>
    <w:p>
      <w:pPr>
        <w:jc w:val="center"/>
        <w:pageBreakBefore w:val="0"/>
        <w:spacing w:line="360" w:lineRule="auto"/>
        <w:rPr>
          <w:rFonts w:hint="eastAsia"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r>
      <w:r>
        <w:rPr>
          <w:color w:val="000000" w:themeColor="text1"/>
        </w:rPr>
      </w:r>
      <w:r/>
    </w:p>
    <w:p>
      <w:pPr>
        <w:jc w:val="center"/>
        <w:pageBreakBefore w:val="0"/>
        <w:spacing w:line="360" w:lineRule="auto"/>
        <w:rPr>
          <w:rFonts w:hint="eastAsia"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7.竹类植物养护标准</w:t>
      </w:r>
      <w:r>
        <w:rPr>
          <w:color w:val="000000" w:themeColor="text1"/>
        </w:rPr>
      </w:r>
      <w:r/>
    </w:p>
    <w:tbl>
      <w:tblPr>
        <w:tblStyle w:val="89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7244"/>
      </w:tblGrid>
      <w:tr>
        <w:trPr>
          <w:trHeight w:val="509"/>
        </w:trPr>
        <w:tc>
          <w:tcPr>
            <w:tcW w:w="749"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项 目</w:t>
            </w:r>
            <w:r>
              <w:rPr>
                <w:color w:val="000000" w:themeColor="text1"/>
              </w:rPr>
            </w:r>
            <w:r/>
          </w:p>
        </w:tc>
        <w:tc>
          <w:tcPr>
            <w:tcW w:w="4250"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养护标准</w:t>
            </w:r>
            <w:r>
              <w:rPr>
                <w:color w:val="000000" w:themeColor="text1"/>
              </w:rPr>
            </w:r>
            <w:r/>
          </w:p>
        </w:tc>
      </w:tr>
      <w:tr>
        <w:trPr>
          <w:cantSplit/>
          <w:trHeight w:val="861"/>
        </w:trPr>
        <w:tc>
          <w:tcPr>
            <w:tcW w:w="749"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浇灌与排水</w:t>
            </w:r>
            <w:r>
              <w:rPr>
                <w:color w:val="000000" w:themeColor="text1"/>
              </w:rPr>
            </w:r>
            <w:r/>
          </w:p>
        </w:tc>
        <w:tc>
          <w:tcPr>
            <w:tcW w:w="4250"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1.浇水应根据竹子生物学特性、长势、季节和土质状况，做到适地、适时、适量浇灌。确保植物正常生长所需水分。</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2.每年春季竹子萌发前要浇春水至少1次，冬季休眠前浇防冻水至少1次，遇到持续干旱的黄梅天，应浇形鞭水。</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3.根部积水应及时排出，低洼易积水处应挖排水沟</w:t>
            </w:r>
            <w:r>
              <w:rPr>
                <w:color w:val="000000" w:themeColor="text1"/>
              </w:rPr>
            </w:r>
            <w:r/>
          </w:p>
        </w:tc>
      </w:tr>
      <w:tr>
        <w:trPr>
          <w:cantSplit/>
          <w:trHeight w:val="1038"/>
        </w:trPr>
        <w:tc>
          <w:tcPr>
            <w:tcW w:w="749"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疏   除</w:t>
            </w:r>
            <w:r>
              <w:rPr>
                <w:color w:val="000000" w:themeColor="text1"/>
              </w:rPr>
            </w:r>
            <w:r/>
          </w:p>
        </w:tc>
        <w:tc>
          <w:tcPr>
            <w:tcW w:w="4250"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1.竹林应加强抚育管理，保留适当密度，使竹林通风透光、生长健壮。</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2.间伐应在晚秋或冬季进行，应保留4、5年生以下立竹，去除6年以上尤其是10年生以上老竹。</w:t>
            </w:r>
            <w:r>
              <w:rPr>
                <w:color w:val="000000" w:themeColor="text1"/>
              </w:rPr>
            </w:r>
            <w:r/>
          </w:p>
        </w:tc>
      </w:tr>
      <w:tr>
        <w:trPr>
          <w:cantSplit/>
          <w:trHeight w:val="815"/>
        </w:trPr>
        <w:tc>
          <w:tcPr>
            <w:tcW w:w="749"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松土与除草 </w:t>
            </w:r>
            <w:r>
              <w:rPr>
                <w:color w:val="000000" w:themeColor="text1"/>
              </w:rPr>
            </w:r>
            <w:r/>
          </w:p>
        </w:tc>
        <w:tc>
          <w:tcPr>
            <w:tcW w:w="4250"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1.除2-4月外，其他季节应及时清除竹林危害性杂草。</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2.每年应松土1次，松土应于6-7月进行，深度15cm。</w:t>
            </w:r>
            <w:r>
              <w:rPr>
                <w:color w:val="000000" w:themeColor="text1"/>
              </w:rPr>
            </w:r>
            <w:r/>
          </w:p>
        </w:tc>
      </w:tr>
      <w:tr>
        <w:trPr>
          <w:cantSplit/>
          <w:trHeight w:val="410"/>
        </w:trPr>
        <w:tc>
          <w:tcPr>
            <w:tcW w:w="749"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施   肥</w:t>
            </w:r>
            <w:r>
              <w:rPr>
                <w:color w:val="000000" w:themeColor="text1"/>
              </w:rPr>
            </w:r>
            <w:r/>
          </w:p>
        </w:tc>
        <w:tc>
          <w:tcPr>
            <w:tcW w:w="4250"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1.全年应施基肥1次，追肥1-3次。</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2.肥料种类适宜，方法合理。</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3.无缺肥、无漏肥、无肥害。</w:t>
            </w:r>
            <w:r>
              <w:rPr>
                <w:color w:val="000000" w:themeColor="text1"/>
              </w:rPr>
            </w:r>
            <w:r/>
          </w:p>
        </w:tc>
      </w:tr>
    </w:tbl>
    <w:p>
      <w:pPr>
        <w:jc w:val="center"/>
        <w:pageBreakBefore w:val="0"/>
        <w:spacing w:line="360" w:lineRule="auto"/>
        <w:rPr>
          <w:rFonts w:hint="eastAsia"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r>
      <w:r>
        <w:rPr>
          <w:color w:val="000000" w:themeColor="text1"/>
        </w:rPr>
      </w:r>
      <w:r/>
    </w:p>
    <w:p>
      <w:pPr>
        <w:jc w:val="center"/>
        <w:pageBreakBefore w:val="0"/>
        <w:spacing w:line="360" w:lineRule="auto"/>
        <w:rPr>
          <w:rFonts w:hint="eastAsia"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8.水生植物及湿地植物养护标准</w:t>
      </w:r>
      <w:r>
        <w:rPr>
          <w:color w:val="000000" w:themeColor="text1"/>
        </w:rPr>
      </w:r>
      <w:r/>
    </w:p>
    <w:tbl>
      <w:tblPr>
        <w:tblStyle w:val="89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7"/>
        <w:gridCol w:w="7193"/>
      </w:tblGrid>
      <w:tr>
        <w:trPr>
          <w:trHeight w:val="610"/>
        </w:trPr>
        <w:tc>
          <w:tcPr>
            <w:tcW w:w="779"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项  目</w:t>
            </w:r>
            <w:r>
              <w:rPr>
                <w:color w:val="000000" w:themeColor="text1"/>
              </w:rPr>
            </w:r>
            <w:r/>
          </w:p>
        </w:tc>
        <w:tc>
          <w:tcPr>
            <w:tcW w:w="4220"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养护标准</w:t>
            </w:r>
            <w:r>
              <w:rPr>
                <w:color w:val="000000" w:themeColor="text1"/>
              </w:rPr>
            </w:r>
            <w:r/>
          </w:p>
        </w:tc>
      </w:tr>
      <w:tr>
        <w:trPr>
          <w:cantSplit/>
          <w:trHeight w:val="861"/>
        </w:trPr>
        <w:tc>
          <w:tcPr>
            <w:tcW w:w="779"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控制水位和换水</w:t>
            </w:r>
            <w:r>
              <w:rPr>
                <w:color w:val="000000" w:themeColor="text1"/>
              </w:rPr>
            </w:r>
            <w:r/>
          </w:p>
        </w:tc>
        <w:tc>
          <w:tcPr>
            <w:tcW w:w="4220"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1.及时调整和控制水生植物与湿地植物正常生长水位。</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2.当用水发生混浊时，必须换水，夏季则须增加换水次数。</w:t>
            </w:r>
            <w:r>
              <w:rPr>
                <w:color w:val="000000" w:themeColor="text1"/>
              </w:rPr>
            </w:r>
            <w:r/>
          </w:p>
        </w:tc>
      </w:tr>
      <w:tr>
        <w:trPr>
          <w:cantSplit/>
          <w:trHeight w:val="1038"/>
        </w:trPr>
        <w:tc>
          <w:tcPr>
            <w:tcW w:w="779"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清理与分株</w:t>
            </w:r>
            <w:r>
              <w:rPr>
                <w:color w:val="000000" w:themeColor="text1"/>
              </w:rPr>
            </w:r>
            <w:r/>
          </w:p>
        </w:tc>
        <w:tc>
          <w:tcPr>
            <w:tcW w:w="4220"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1.不耐寒而干枯的水生植物与湿地植物，应在冬季枯黄后清除泥土上部分。</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2.多年生耐寒水生植物与湿地植物，应在每年2底新芽长出前剪除泥上部分。</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3.及时清除枯枝残叶及杂物。</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4.因病虫害等原因死亡的植株应及时清理。</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5.同一水池中混合栽植各类水生植物，必须定时疏除繁殖过快的种类，以免覆满水面，影响其它水生植物的生长。</w:t>
            </w:r>
            <w:r>
              <w:rPr>
                <w:color w:val="000000" w:themeColor="text1"/>
              </w:rPr>
            </w:r>
            <w:r/>
          </w:p>
        </w:tc>
      </w:tr>
      <w:tr>
        <w:trPr>
          <w:cantSplit/>
          <w:trHeight w:val="174"/>
        </w:trPr>
        <w:tc>
          <w:tcPr>
            <w:tcW w:w="779"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除草与灭苔 </w:t>
            </w:r>
            <w:r>
              <w:rPr>
                <w:color w:val="000000" w:themeColor="text1"/>
              </w:rPr>
            </w:r>
            <w:r/>
          </w:p>
        </w:tc>
        <w:tc>
          <w:tcPr>
            <w:tcW w:w="4220"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应在早春植物萌芽前对水生杂草和青苔进行物理防治。</w:t>
            </w:r>
            <w:r>
              <w:rPr>
                <w:color w:val="000000" w:themeColor="text1"/>
              </w:rPr>
            </w:r>
            <w:r/>
          </w:p>
        </w:tc>
      </w:tr>
      <w:tr>
        <w:trPr>
          <w:cantSplit/>
          <w:trHeight w:val="410"/>
        </w:trPr>
        <w:tc>
          <w:tcPr>
            <w:tcW w:w="779"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施   肥</w:t>
            </w:r>
            <w:r>
              <w:rPr>
                <w:color w:val="000000" w:themeColor="text1"/>
              </w:rPr>
            </w:r>
            <w:r/>
          </w:p>
        </w:tc>
        <w:tc>
          <w:tcPr>
            <w:tcW w:w="4220"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1.注重早期施肥，施足基肥，春秋各进行一次追肥，尽量利用低水位时补肥。</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2.施肥不应污染水质，合理配置氮磷钾。</w:t>
            </w:r>
            <w:r>
              <w:rPr>
                <w:color w:val="000000" w:themeColor="text1"/>
              </w:rPr>
            </w:r>
            <w:r/>
          </w:p>
        </w:tc>
      </w:tr>
    </w:tbl>
    <w:p>
      <w:pPr>
        <w:jc w:val="center"/>
        <w:pageBreakBefore w:val="0"/>
        <w:spacing w:line="360" w:lineRule="auto"/>
        <w:rPr>
          <w:rFonts w:hint="eastAsia"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r>
      <w:r>
        <w:rPr>
          <w:color w:val="000000" w:themeColor="text1"/>
        </w:rPr>
      </w:r>
      <w:r/>
    </w:p>
    <w:p>
      <w:pPr>
        <w:jc w:val="center"/>
        <w:pageBreakBefore w:val="0"/>
        <w:spacing w:line="360" w:lineRule="auto"/>
        <w:rPr>
          <w:rFonts w:hint="eastAsia"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9.有害生物控制标准</w:t>
      </w:r>
      <w:r>
        <w:rPr>
          <w:color w:val="000000" w:themeColor="text1"/>
        </w:rPr>
      </w:r>
      <w:r/>
    </w:p>
    <w:tbl>
      <w:tblPr>
        <w:tblStyle w:val="89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8"/>
        <w:gridCol w:w="1203"/>
        <w:gridCol w:w="6859"/>
      </w:tblGrid>
      <w:tr>
        <w:trPr>
          <w:cantSplit/>
          <w:trHeight w:val="686"/>
        </w:trPr>
        <w:tc>
          <w:tcPr>
            <w:gridSpan w:val="2"/>
            <w:tcW w:w="975" w:type="pct"/>
            <w:vAlign w:val="center"/>
            <w:textDirection w:val="lrTb"/>
            <w:noWrap w:val="false"/>
          </w:tcPr>
          <w:p>
            <w:pPr>
              <w:ind w:firstLine="420"/>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项   目</w:t>
            </w:r>
            <w:r>
              <w:rPr>
                <w:color w:val="000000" w:themeColor="text1"/>
              </w:rPr>
            </w:r>
            <w:r/>
          </w:p>
        </w:tc>
        <w:tc>
          <w:tcPr>
            <w:tcW w:w="4024" w:type="pct"/>
            <w:vAlign w:val="center"/>
            <w:textDirection w:val="lrTb"/>
            <w:noWrap w:val="false"/>
          </w:tcPr>
          <w:p>
            <w:pPr>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养护标准</w:t>
            </w:r>
            <w:r>
              <w:rPr>
                <w:color w:val="000000" w:themeColor="text1"/>
              </w:rPr>
            </w:r>
            <w:r/>
          </w:p>
        </w:tc>
      </w:tr>
      <w:tr>
        <w:trPr>
          <w:cantSplit/>
          <w:trHeight w:val="625"/>
        </w:trPr>
        <w:tc>
          <w:tcPr>
            <w:tcBorders>
              <w:bottom w:val="single" w:color="auto" w:sz="4" w:space="0"/>
            </w:tcBorders>
            <w:tcW w:w="269" w:type="pct"/>
            <w:vAlign w:val="center"/>
            <w:vMerge w:val="restart"/>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病害</w:t>
            </w:r>
            <w:r>
              <w:rPr>
                <w:color w:val="000000" w:themeColor="text1"/>
              </w:rPr>
            </w:r>
            <w:r/>
          </w:p>
        </w:tc>
        <w:tc>
          <w:tcPr>
            <w:tcBorders>
              <w:bottom w:val="single" w:color="auto" w:sz="4" w:space="0"/>
            </w:tcBorders>
            <w:tcW w:w="706" w:type="pct"/>
            <w:vAlign w:val="center"/>
            <w:textDirection w:val="lrTb"/>
            <w:noWrap w:val="false"/>
          </w:tcPr>
          <w:p>
            <w:pPr>
              <w:ind w:left="-44" w:right="-25"/>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发病率</w:t>
            </w:r>
            <w:r>
              <w:rPr>
                <w:color w:val="000000" w:themeColor="text1"/>
              </w:rPr>
            </w:r>
            <w:r/>
          </w:p>
        </w:tc>
        <w:tc>
          <w:tcPr>
            <w:tcBorders>
              <w:bottom w:val="single" w:color="auto" w:sz="4" w:space="0"/>
            </w:tcBorders>
            <w:tcW w:w="4024" w:type="pct"/>
            <w:vAlign w:val="center"/>
            <w:textDirection w:val="lrTb"/>
            <w:noWrap w:val="false"/>
          </w:tcPr>
          <w:p>
            <w:pPr>
              <w:numPr>
                <w:ilvl w:val="0"/>
                <w:numId w:val="6"/>
              </w:num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基本无明显危害（整体病害发病率≤8%）         </w:t>
            </w:r>
            <w:r>
              <w:rPr>
                <w:color w:val="000000" w:themeColor="text1"/>
              </w:rPr>
            </w:r>
            <w:r/>
          </w:p>
          <w:p>
            <w:pPr>
              <w:numPr>
                <w:ilvl w:val="0"/>
                <w:numId w:val="6"/>
              </w:num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叶部病害发病率≤8%</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3.枝干病害发病率≤5%   4.根部病害发病率≤5%</w:t>
            </w:r>
            <w:r>
              <w:rPr>
                <w:color w:val="000000" w:themeColor="text1"/>
              </w:rPr>
            </w:r>
            <w:r/>
          </w:p>
        </w:tc>
      </w:tr>
      <w:tr>
        <w:trPr>
          <w:cantSplit/>
          <w:trHeight w:val="364"/>
        </w:trPr>
        <w:tc>
          <w:tcPr>
            <w:tcW w:w="269" w:type="pct"/>
            <w:vAlign w:val="center"/>
            <w:vMerge w:val="continue"/>
            <w:textDirection w:val="lrTb"/>
            <w:noWrap w:val="false"/>
          </w:tcPr>
          <w:p>
            <w:pPr>
              <w:ind w:firstLine="315"/>
              <w:jc w:val="center"/>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r>
            <w:r/>
          </w:p>
        </w:tc>
        <w:tc>
          <w:tcPr>
            <w:tcW w:w="706" w:type="pct"/>
            <w:vAlign w:val="center"/>
            <w:textDirection w:val="lrTb"/>
            <w:noWrap w:val="false"/>
          </w:tcPr>
          <w:p>
            <w:pPr>
              <w:ind w:left="-45" w:right="-23"/>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危害程度</w:t>
            </w:r>
            <w:r>
              <w:rPr>
                <w:color w:val="000000" w:themeColor="text1"/>
              </w:rPr>
            </w:r>
            <w:r/>
          </w:p>
        </w:tc>
        <w:tc>
          <w:tcPr>
            <w:tcBorders>
              <w:top w:val="single" w:color="auto" w:sz="4" w:space="0"/>
              <w:bottom w:val="single" w:color="auto" w:sz="4" w:space="0"/>
            </w:tcBorders>
            <w:tcW w:w="4024"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无至零星轻度(0—0/+)</w:t>
            </w:r>
            <w:r>
              <w:rPr>
                <w:color w:val="000000" w:themeColor="text1"/>
              </w:rPr>
            </w:r>
            <w:r/>
          </w:p>
        </w:tc>
      </w:tr>
      <w:tr>
        <w:trPr>
          <w:cantSplit/>
          <w:trHeight w:val="257"/>
        </w:trPr>
        <w:tc>
          <w:tcPr>
            <w:tcW w:w="269" w:type="pct"/>
            <w:vAlign w:val="center"/>
            <w:vMerge w:val="restart"/>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虫害</w:t>
            </w:r>
            <w:r>
              <w:rPr>
                <w:color w:val="000000" w:themeColor="text1"/>
              </w:rPr>
            </w:r>
            <w:r/>
          </w:p>
        </w:tc>
        <w:tc>
          <w:tcPr>
            <w:tcW w:w="706" w:type="pct"/>
            <w:vAlign w:val="center"/>
            <w:textDirection w:val="lrTb"/>
            <w:noWrap w:val="false"/>
          </w:tcPr>
          <w:p>
            <w:pPr>
              <w:ind w:left="-45" w:right="-23"/>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食叶害虫</w:t>
            </w:r>
            <w:r>
              <w:rPr>
                <w:color w:val="000000" w:themeColor="text1"/>
              </w:rPr>
            </w:r>
            <w:r/>
          </w:p>
        </w:tc>
        <w:tc>
          <w:tcPr>
            <w:tcBorders>
              <w:bottom w:val="single" w:color="auto" w:sz="4" w:space="0"/>
            </w:tcBorders>
            <w:tcW w:w="4024"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无明显危害（整体株危害率≤8%，叶危害率≤5%）</w:t>
            </w:r>
            <w:r>
              <w:rPr>
                <w:color w:val="000000" w:themeColor="text1"/>
              </w:rPr>
            </w:r>
            <w:r/>
          </w:p>
        </w:tc>
      </w:tr>
      <w:tr>
        <w:trPr>
          <w:cantSplit/>
          <w:trHeight w:val="437"/>
        </w:trPr>
        <w:tc>
          <w:tcPr>
            <w:tcW w:w="269" w:type="pct"/>
            <w:vAlign w:val="top"/>
            <w:vMerge w:val="continue"/>
            <w:textDirection w:val="lrTb"/>
            <w:noWrap w:val="false"/>
          </w:tcPr>
          <w:p>
            <w:pPr>
              <w:ind w:firstLine="2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r>
            <w:r/>
          </w:p>
        </w:tc>
        <w:tc>
          <w:tcPr>
            <w:tcW w:w="706" w:type="pct"/>
            <w:vAlign w:val="center"/>
            <w:textDirection w:val="lrTb"/>
            <w:noWrap w:val="false"/>
          </w:tcPr>
          <w:p>
            <w:pPr>
              <w:ind w:left="-45" w:right="-23"/>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刺吸害虫</w:t>
            </w:r>
            <w:r>
              <w:rPr>
                <w:color w:val="000000" w:themeColor="text1"/>
              </w:rPr>
            </w:r>
            <w:r/>
          </w:p>
        </w:tc>
        <w:tc>
          <w:tcPr>
            <w:tcBorders>
              <w:top w:val="single" w:color="auto" w:sz="4" w:space="0"/>
              <w:bottom w:val="single" w:color="auto" w:sz="4" w:space="0"/>
            </w:tcBorders>
            <w:tcW w:w="4024"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无明显危害（整体株危害率≤15%，叶危害率≤10%，其中介壳虫危害少于3只/100cm或10只/尺枝条）</w:t>
            </w:r>
            <w:r>
              <w:rPr>
                <w:color w:val="000000" w:themeColor="text1"/>
              </w:rPr>
            </w:r>
            <w:r/>
          </w:p>
        </w:tc>
      </w:tr>
      <w:tr>
        <w:trPr>
          <w:cantSplit/>
          <w:trHeight w:val="217"/>
        </w:trPr>
        <w:tc>
          <w:tcPr>
            <w:tcW w:w="269" w:type="pct"/>
            <w:vAlign w:val="top"/>
            <w:vMerge w:val="continue"/>
            <w:textDirection w:val="lrTb"/>
            <w:noWrap w:val="false"/>
          </w:tcPr>
          <w:p>
            <w:pPr>
              <w:ind w:firstLine="2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r>
            <w:r/>
          </w:p>
        </w:tc>
        <w:tc>
          <w:tcPr>
            <w:tcBorders>
              <w:top w:val="single" w:color="auto" w:sz="4" w:space="0"/>
            </w:tcBorders>
            <w:tcW w:w="706" w:type="pct"/>
            <w:vAlign w:val="center"/>
            <w:textDirection w:val="lrTb"/>
            <w:noWrap w:val="false"/>
          </w:tcPr>
          <w:p>
            <w:pPr>
              <w:ind w:left="-45" w:right="-23"/>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蛀干害虫</w:t>
            </w:r>
            <w:r>
              <w:rPr>
                <w:color w:val="000000" w:themeColor="text1"/>
              </w:rPr>
            </w:r>
            <w:r/>
          </w:p>
        </w:tc>
        <w:tc>
          <w:tcPr>
            <w:tcBorders>
              <w:top w:val="single" w:color="auto" w:sz="4" w:space="0"/>
              <w:bottom w:val="single" w:color="auto" w:sz="4" w:space="0"/>
            </w:tcBorders>
            <w:tcW w:w="4024"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无明显危害（整体株危害率≤5%，枝危害率≤5%，基本无活虫活卵，危害少于2只/100cm²或2只/尺枝条）</w:t>
            </w:r>
            <w:r>
              <w:rPr>
                <w:color w:val="000000" w:themeColor="text1"/>
              </w:rPr>
            </w:r>
            <w:r/>
          </w:p>
        </w:tc>
      </w:tr>
      <w:tr>
        <w:trPr>
          <w:cantSplit/>
          <w:trHeight w:val="365"/>
        </w:trPr>
        <w:tc>
          <w:tcPr>
            <w:tcW w:w="269" w:type="pct"/>
            <w:vAlign w:val="top"/>
            <w:vMerge w:val="continue"/>
            <w:textDirection w:val="lrTb"/>
            <w:noWrap w:val="false"/>
          </w:tcPr>
          <w:p>
            <w:pPr>
              <w:ind w:firstLine="2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r>
            <w:r/>
          </w:p>
        </w:tc>
        <w:tc>
          <w:tcPr>
            <w:tcW w:w="706" w:type="pct"/>
            <w:vAlign w:val="center"/>
            <w:textDirection w:val="lrTb"/>
            <w:noWrap w:val="false"/>
          </w:tcPr>
          <w:p>
            <w:pPr>
              <w:ind w:left="-45" w:right="-23"/>
              <w:jc w:val="cente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地下害虫</w:t>
            </w:r>
            <w:r>
              <w:rPr>
                <w:color w:val="000000" w:themeColor="text1"/>
              </w:rPr>
            </w:r>
            <w:r/>
          </w:p>
        </w:tc>
        <w:tc>
          <w:tcPr>
            <w:tcBorders>
              <w:top w:val="single" w:color="auto" w:sz="4" w:space="0"/>
            </w:tcBorders>
            <w:tcW w:w="4024"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基本无危害（整体株危害率≤3%，危害少于0.3只/100cm²）</w:t>
            </w:r>
            <w:r>
              <w:rPr>
                <w:color w:val="000000" w:themeColor="text1"/>
              </w:rPr>
            </w:r>
            <w:r/>
          </w:p>
        </w:tc>
      </w:tr>
      <w:tr>
        <w:trPr>
          <w:cantSplit/>
          <w:trHeight w:val="2886"/>
        </w:trPr>
        <w:tc>
          <w:tcPr>
            <w:gridSpan w:val="2"/>
            <w:tcBorders>
              <w:bottom w:val="single" w:color="auto" w:sz="4" w:space="0"/>
            </w:tcBorders>
            <w:tcW w:w="975" w:type="pct"/>
            <w:vAlign w:val="center"/>
            <w:textDirection w:val="lrTb"/>
            <w:noWrap w:val="false"/>
          </w:tcPr>
          <w:p>
            <w:pPr>
              <w:ind w:left="-44" w:right="-25"/>
              <w:jc w:val="both"/>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有</w:t>
            </w:r>
            <w:r>
              <w:rPr>
                <w:color w:val="000000" w:themeColor="text1"/>
              </w:rPr>
            </w:r>
            <w:r/>
          </w:p>
          <w:p>
            <w:pPr>
              <w:ind w:left="-44" w:right="-25"/>
              <w:jc w:val="both"/>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害</w:t>
            </w:r>
            <w:r>
              <w:rPr>
                <w:color w:val="000000" w:themeColor="text1"/>
              </w:rPr>
            </w:r>
            <w:r/>
          </w:p>
          <w:p>
            <w:pPr>
              <w:ind w:left="-44" w:right="-25"/>
              <w:jc w:val="both"/>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生</w:t>
            </w:r>
            <w:r>
              <w:rPr>
                <w:color w:val="000000" w:themeColor="text1"/>
              </w:rPr>
            </w:r>
            <w:r/>
          </w:p>
          <w:p>
            <w:pPr>
              <w:ind w:left="-44" w:right="-25"/>
              <w:jc w:val="both"/>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物</w:t>
            </w:r>
            <w:r>
              <w:rPr>
                <w:color w:val="000000" w:themeColor="text1"/>
              </w:rPr>
            </w:r>
            <w:r/>
          </w:p>
          <w:p>
            <w:pPr>
              <w:ind w:left="-44" w:right="-25"/>
              <w:jc w:val="both"/>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防</w:t>
            </w:r>
            <w:r>
              <w:rPr>
                <w:color w:val="000000" w:themeColor="text1"/>
              </w:rPr>
            </w:r>
            <w:r/>
          </w:p>
          <w:p>
            <w:pPr>
              <w:ind w:left="-44" w:right="-25"/>
              <w:jc w:val="both"/>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治</w:t>
            </w:r>
            <w:r>
              <w:rPr>
                <w:color w:val="000000" w:themeColor="text1"/>
              </w:rPr>
            </w:r>
            <w:r/>
          </w:p>
        </w:tc>
        <w:tc>
          <w:tcPr>
            <w:tcBorders>
              <w:bottom w:val="single" w:color="auto" w:sz="4" w:space="0"/>
            </w:tcBorders>
            <w:tcW w:w="4024" w:type="pct"/>
            <w:vAlign w:val="center"/>
            <w:textDirection w:val="lrTb"/>
            <w:noWrap w:val="false"/>
          </w:tcPr>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1.有植保专业技术人员</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2.有详尽的防治工作计划</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3.植保机具较齐全，运转良好</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4.药剂保管、药剂施用制度、安全保护的制度及措施完善到位，无安全事故</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5.以无公害防治为主</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6.每年防治不少于12 次</w:t>
            </w:r>
            <w:r>
              <w:rPr>
                <w:color w:val="000000" w:themeColor="text1"/>
              </w:rPr>
            </w:r>
            <w:r/>
          </w:p>
          <w:p>
            <w:pPr>
              <w:pageBreakBefore w:val="0"/>
              <w:spacing w:line="360" w:lineRule="auto"/>
              <w:rPr>
                <w:rFonts w:hint="eastAsia" w:ascii="Times New Roman" w:hAnsi="Times New Roman" w:eastAsia="宋体" w:cs="宋体"/>
                <w:bCs/>
                <w:color w:val="000000" w:themeColor="text1"/>
                <w:szCs w:val="21"/>
                <w:highlight w:val="none"/>
              </w:rPr>
            </w:pPr>
            <w:r>
              <w:rPr>
                <w:rFonts w:hint="eastAsia" w:ascii="Times New Roman" w:hAnsi="Times New Roman" w:eastAsia="宋体" w:cs="宋体"/>
                <w:bCs/>
                <w:color w:val="000000" w:themeColor="text1"/>
                <w:szCs w:val="21"/>
                <w:highlight w:val="none"/>
              </w:rPr>
              <w:t xml:space="preserve">7.防治率不少于 95%</w:t>
            </w:r>
            <w:r>
              <w:rPr>
                <w:color w:val="000000" w:themeColor="text1"/>
              </w:rPr>
            </w:r>
            <w:r/>
          </w:p>
        </w:tc>
      </w:tr>
    </w:tbl>
    <w:p>
      <w:pPr>
        <w:ind w:left="420"/>
        <w:pageBreakBefore w:val="0"/>
        <w:spacing w:line="360" w:lineRule="auto"/>
        <w:rPr>
          <w:rFonts w:hint="eastAsia" w:ascii="Times New Roman" w:hAnsi="Times New Roman" w:eastAsia="宋体" w:cs="宋体"/>
          <w:color w:val="000000" w:themeColor="text1"/>
          <w:sz w:val="21"/>
          <w:szCs w:val="21"/>
          <w:highlight w:val="none"/>
        </w:rPr>
        <w:outlineLvl w:val="0"/>
      </w:pPr>
      <w:r>
        <w:rPr>
          <w:rFonts w:hint="eastAsia" w:ascii="Times New Roman" w:hAnsi="Times New Roman" w:eastAsia="宋体" w:cs="宋体"/>
          <w:b/>
          <w:bCs/>
          <w:color w:val="000000" w:themeColor="text1"/>
          <w:sz w:val="21"/>
          <w:szCs w:val="21"/>
          <w:highlight w:val="none"/>
          <w:lang w:val="en-US" w:eastAsia="zh-CN"/>
        </w:rPr>
        <w:t xml:space="preserve">六</w:t>
      </w:r>
      <w:r>
        <w:rPr>
          <w:rFonts w:hint="eastAsia" w:ascii="Times New Roman" w:hAnsi="Times New Roman" w:eastAsia="宋体" w:cs="宋体"/>
          <w:b/>
          <w:bCs/>
          <w:color w:val="000000" w:themeColor="text1"/>
          <w:sz w:val="21"/>
          <w:szCs w:val="21"/>
          <w:highlight w:val="none"/>
        </w:rPr>
        <w:t xml:space="preserve">、景区绿化养护基本要求</w:t>
      </w:r>
      <w:r>
        <w:rPr>
          <w:rFonts w:hint="eastAsia" w:ascii="Times New Roman" w:hAnsi="Times New Roman" w:eastAsia="宋体" w:cs="宋体"/>
          <w:color w:val="000000" w:themeColor="text1"/>
          <w:sz w:val="21"/>
          <w:szCs w:val="21"/>
          <w:highlight w:val="none"/>
        </w:rPr>
        <w:t xml:space="preserve">：</w:t>
      </w:r>
      <w:r>
        <w:rPr>
          <w:color w:val="000000" w:themeColor="text1"/>
        </w:rPr>
      </w:r>
      <w:r/>
    </w:p>
    <w:p>
      <w:pPr>
        <w:numPr>
          <w:ilvl w:val="0"/>
          <w:numId w:val="0"/>
        </w:numPr>
        <w:ind w:firstLine="422"/>
        <w:keepLines w:val="0"/>
        <w:keepNext w:val="0"/>
        <w:pageBreakBefore w:val="0"/>
        <w:spacing w:line="360" w:lineRule="auto"/>
        <w:widowControl w:val="off"/>
        <w:rPr>
          <w:rFonts w:hint="eastAsia" w:ascii="Times New Roman" w:hAnsi="Times New Roman" w:eastAsia="宋体"/>
          <w:b/>
          <w:bCs/>
          <w:color w:val="000000" w:themeColor="text1"/>
          <w:sz w:val="21"/>
          <w:szCs w:val="21"/>
          <w:highlight w:val="none"/>
        </w:rPr>
        <w:outlineLvl w:val="9"/>
      </w:pPr>
      <w:r>
        <w:rPr>
          <w:rFonts w:hint="eastAsia" w:ascii="Times New Roman" w:hAnsi="Times New Roman" w:eastAsia="宋体" w:cs="Times New Roman"/>
          <w:b/>
          <w:bCs/>
          <w:color w:val="000000" w:themeColor="text1"/>
          <w:sz w:val="21"/>
          <w:szCs w:val="21"/>
          <w:highlight w:val="none"/>
          <w:lang w:val="en-US" w:eastAsia="zh-CN" w:bidi="ar-SA"/>
        </w:rPr>
        <w:t xml:space="preserve">6.1</w:t>
      </w:r>
      <w:r>
        <w:rPr>
          <w:rFonts w:hint="eastAsia" w:ascii="Times New Roman" w:hAnsi="Times New Roman" w:eastAsia="宋体"/>
          <w:b/>
          <w:bCs/>
          <w:color w:val="000000" w:themeColor="text1"/>
          <w:sz w:val="21"/>
          <w:szCs w:val="21"/>
          <w:highlight w:val="none"/>
          <w:lang w:val="en-US" w:eastAsia="zh-CN"/>
        </w:rPr>
        <w:t xml:space="preserve">养护人数基本要求</w:t>
      </w:r>
      <w:r>
        <w:rPr>
          <w:color w:val="000000" w:themeColor="text1"/>
        </w:rPr>
      </w:r>
      <w:r/>
    </w:p>
    <w:p>
      <w:pPr>
        <w:numPr>
          <w:ilvl w:val="0"/>
          <w:numId w:val="0"/>
        </w:numPr>
        <w:ind w:firstLine="422"/>
        <w:keepLines w:val="0"/>
        <w:keepNext w:val="0"/>
        <w:pageBreakBefore w:val="0"/>
        <w:spacing w:line="360" w:lineRule="auto"/>
        <w:widowControl w:val="off"/>
        <w:rPr>
          <w:rFonts w:hint="eastAsia" w:ascii="Times New Roman" w:hAnsi="Times New Roman" w:eastAsia="宋体"/>
          <w:b/>
          <w:bCs/>
          <w:color w:val="000000" w:themeColor="text1"/>
          <w:sz w:val="21"/>
          <w:szCs w:val="21"/>
          <w:highlight w:val="none"/>
        </w:rPr>
        <w:outlineLvl w:val="9"/>
      </w:pPr>
      <w:r>
        <w:rPr>
          <w:rFonts w:hint="eastAsia" w:ascii="Times New Roman" w:hAnsi="Times New Roman" w:eastAsia="宋体"/>
          <w:b/>
          <w:bCs/>
          <w:color w:val="000000" w:themeColor="text1"/>
          <w:sz w:val="21"/>
          <w:szCs w:val="21"/>
          <w:highlight w:val="none"/>
          <w:lang w:val="en-US" w:eastAsia="zh-CN"/>
        </w:rPr>
        <w:t xml:space="preserve">A、南片绿化养护区（包括盆景园区域）</w:t>
      </w:r>
      <w:r>
        <w:rPr>
          <w:color w:val="000000" w:themeColor="text1"/>
        </w:rPr>
      </w:r>
      <w:r/>
    </w:p>
    <w:p>
      <w:pPr>
        <w:numPr>
          <w:ilvl w:val="0"/>
          <w:numId w:val="0"/>
        </w:numPr>
        <w:ind w:firstLine="42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s="Times New Roman"/>
          <w:color w:val="000000" w:themeColor="text1"/>
          <w:sz w:val="21"/>
          <w:szCs w:val="21"/>
          <w:highlight w:val="none"/>
          <w:lang w:val="en-US" w:eastAsia="zh-CN" w:bidi="ar-SA"/>
        </w:rPr>
        <w:t xml:space="preserve">1、</w:t>
      </w:r>
      <w:r>
        <w:rPr>
          <w:rFonts w:hint="eastAsia" w:ascii="Times New Roman" w:hAnsi="Times New Roman" w:eastAsia="宋体"/>
          <w:color w:val="000000" w:themeColor="text1"/>
          <w:sz w:val="21"/>
          <w:szCs w:val="21"/>
          <w:highlight w:val="none"/>
          <w:lang w:val="en-US" w:eastAsia="zh-CN"/>
        </w:rPr>
        <w:t xml:space="preserve">3、4、9、10月基本养护人数要求：18人/天          </w:t>
      </w:r>
      <w:r>
        <w:rPr>
          <w:color w:val="000000" w:themeColor="text1"/>
        </w:rPr>
      </w:r>
      <w:r/>
    </w:p>
    <w:p>
      <w:pPr>
        <w:numPr>
          <w:ilvl w:val="0"/>
          <w:numId w:val="0"/>
        </w:numPr>
        <w:ind w:firstLine="42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s="Times New Roman"/>
          <w:color w:val="000000" w:themeColor="text1"/>
          <w:sz w:val="21"/>
          <w:szCs w:val="21"/>
          <w:highlight w:val="none"/>
          <w:lang w:val="en-US" w:eastAsia="zh-CN" w:bidi="ar-SA"/>
        </w:rPr>
        <w:t xml:space="preserve">2、</w:t>
      </w:r>
      <w:r>
        <w:rPr>
          <w:rFonts w:hint="eastAsia" w:ascii="Times New Roman" w:hAnsi="Times New Roman" w:eastAsia="宋体"/>
          <w:color w:val="000000" w:themeColor="text1"/>
          <w:sz w:val="21"/>
          <w:szCs w:val="21"/>
          <w:highlight w:val="none"/>
          <w:lang w:val="en-US" w:eastAsia="zh-CN"/>
        </w:rPr>
        <w:t xml:space="preserve">5、6、7、8、11月基本养护人数要求：15人/天</w:t>
      </w:r>
      <w:r>
        <w:rPr>
          <w:color w:val="000000" w:themeColor="text1"/>
        </w:rPr>
      </w:r>
      <w:r/>
    </w:p>
    <w:p>
      <w:pPr>
        <w:numPr>
          <w:ilvl w:val="0"/>
          <w:numId w:val="0"/>
        </w:numPr>
        <w:ind w:firstLine="42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s="Times New Roman"/>
          <w:color w:val="000000" w:themeColor="text1"/>
          <w:sz w:val="21"/>
          <w:szCs w:val="21"/>
          <w:highlight w:val="none"/>
          <w:lang w:val="en-US" w:eastAsia="zh-CN" w:bidi="ar-SA"/>
        </w:rPr>
        <w:t xml:space="preserve">3、</w:t>
      </w:r>
      <w:r>
        <w:rPr>
          <w:rFonts w:hint="eastAsia" w:ascii="Times New Roman" w:hAnsi="Times New Roman" w:eastAsia="宋体"/>
          <w:color w:val="000000" w:themeColor="text1"/>
          <w:sz w:val="21"/>
          <w:szCs w:val="21"/>
          <w:highlight w:val="none"/>
          <w:lang w:val="en-US" w:eastAsia="zh-CN"/>
        </w:rPr>
        <w:t xml:space="preserve">1、2、12月基本养护人数要求：10人/天 </w:t>
      </w:r>
      <w:r>
        <w:rPr>
          <w:color w:val="000000" w:themeColor="text1"/>
        </w:rPr>
      </w:r>
      <w:r/>
    </w:p>
    <w:p>
      <w:pPr>
        <w:numPr>
          <w:ilvl w:val="0"/>
          <w:numId w:val="0"/>
        </w:numPr>
        <w:ind w:firstLine="42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s="Times New Roman"/>
          <w:color w:val="000000" w:themeColor="text1"/>
          <w:sz w:val="21"/>
          <w:szCs w:val="21"/>
          <w:highlight w:val="none"/>
          <w:lang w:val="en-US" w:eastAsia="zh-CN" w:bidi="ar-SA"/>
        </w:rPr>
        <w:t xml:space="preserve">4、</w:t>
      </w:r>
      <w:r>
        <w:rPr>
          <w:rFonts w:hint="eastAsia" w:ascii="Times New Roman" w:hAnsi="Times New Roman" w:eastAsia="宋体"/>
          <w:color w:val="000000" w:themeColor="text1"/>
          <w:sz w:val="21"/>
          <w:szCs w:val="21"/>
          <w:highlight w:val="none"/>
          <w:lang w:val="en-US" w:eastAsia="zh-CN"/>
        </w:rPr>
        <w:t xml:space="preserve">重大活动、节假日、接待迎查、花市布展、花坛养护以及季节性突击养护：500工日/年。 </w:t>
      </w:r>
      <w:r>
        <w:rPr>
          <w:color w:val="000000" w:themeColor="text1"/>
        </w:rPr>
      </w:r>
      <w:r/>
    </w:p>
    <w:p>
      <w:pPr>
        <w:numPr>
          <w:ilvl w:val="0"/>
          <w:numId w:val="0"/>
        </w:numPr>
        <w:ind w:firstLine="0"/>
        <w:keepLines w:val="0"/>
        <w:keepNext w:val="0"/>
        <w:pageBreakBefore w:val="0"/>
        <w:spacing w:line="360" w:lineRule="auto"/>
        <w:widowControl w:val="off"/>
        <w:rPr>
          <w:rFonts w:hint="eastAsia" w:ascii="Times New Roman" w:hAnsi="Times New Roman" w:eastAsia="宋体"/>
          <w:b/>
          <w:bCs/>
          <w:color w:val="000000" w:themeColor="text1"/>
          <w:sz w:val="21"/>
          <w:szCs w:val="21"/>
          <w:highlight w:val="none"/>
        </w:rPr>
        <w:outlineLvl w:val="9"/>
      </w:pPr>
      <w:r>
        <w:rPr>
          <w:rFonts w:hint="eastAsia" w:ascii="Times New Roman" w:hAnsi="Times New Roman" w:eastAsia="宋体"/>
          <w:color w:val="000000" w:themeColor="text1"/>
          <w:sz w:val="21"/>
          <w:szCs w:val="21"/>
          <w:highlight w:val="none"/>
          <w:lang w:val="en-US" w:eastAsia="zh-CN"/>
        </w:rPr>
        <w:t xml:space="preserve">   </w:t>
      </w:r>
      <w:r>
        <w:rPr>
          <w:rFonts w:hint="eastAsia" w:ascii="Times New Roman" w:hAnsi="Times New Roman" w:eastAsia="宋体"/>
          <w:b/>
          <w:bCs/>
          <w:color w:val="000000" w:themeColor="text1"/>
          <w:sz w:val="21"/>
          <w:szCs w:val="21"/>
          <w:highlight w:val="none"/>
          <w:lang w:val="en-US" w:eastAsia="zh-CN"/>
        </w:rPr>
        <w:t xml:space="preserve"> B、北片绿化养护区  </w:t>
      </w:r>
      <w:r>
        <w:rPr>
          <w:color w:val="000000" w:themeColor="text1"/>
        </w:rPr>
      </w:r>
      <w:r/>
    </w:p>
    <w:p>
      <w:pPr>
        <w:numPr>
          <w:ilvl w:val="0"/>
          <w:numId w:val="0"/>
        </w:numPr>
        <w:ind w:firstLine="42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lang w:val="en-US" w:eastAsia="zh-CN"/>
        </w:rPr>
        <w:t xml:space="preserve">1、3、4、9、10月基本养护人数要求：30人/天          </w:t>
      </w:r>
      <w:r>
        <w:rPr>
          <w:color w:val="000000" w:themeColor="text1"/>
        </w:rPr>
      </w:r>
      <w:r/>
    </w:p>
    <w:p>
      <w:pPr>
        <w:numPr>
          <w:ilvl w:val="0"/>
          <w:numId w:val="0"/>
        </w:numPr>
        <w:ind w:firstLine="420"/>
        <w:keepLines w:val="0"/>
        <w:keepNext w:val="0"/>
        <w:pageBreakBefore w:val="0"/>
        <w:spacing w:line="360" w:lineRule="auto"/>
        <w:widowControl w:val="off"/>
        <w:rPr>
          <w:rFonts w:hint="default"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lang w:val="en-US" w:eastAsia="zh-CN"/>
        </w:rPr>
        <w:t xml:space="preserve">2、5、6、7、8、11月基本养护人数要求：25人/天</w:t>
      </w:r>
      <w:r>
        <w:rPr>
          <w:color w:val="000000" w:themeColor="text1"/>
        </w:rPr>
      </w:r>
      <w:r/>
    </w:p>
    <w:p>
      <w:pPr>
        <w:numPr>
          <w:ilvl w:val="0"/>
          <w:numId w:val="0"/>
        </w:numPr>
        <w:ind w:firstLine="42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lang w:val="en-US" w:eastAsia="zh-CN"/>
        </w:rPr>
        <w:t xml:space="preserve">3、1、2、12月基本养护人数要求：20人/天 </w:t>
      </w:r>
      <w:r>
        <w:rPr>
          <w:color w:val="000000" w:themeColor="text1"/>
        </w:rPr>
      </w:r>
      <w:r/>
    </w:p>
    <w:p>
      <w:pPr>
        <w:numPr>
          <w:ilvl w:val="0"/>
          <w:numId w:val="0"/>
        </w:numPr>
        <w:ind w:firstLine="42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lang w:val="en-US" w:eastAsia="zh-CN"/>
        </w:rPr>
        <w:t xml:space="preserve">4、重大活动、节假日、接待迎查、花市布展、花坛养护以及季节性突击养护760工日/年。 </w:t>
      </w:r>
      <w:r>
        <w:rPr>
          <w:color w:val="000000" w:themeColor="text1"/>
        </w:rPr>
      </w:r>
      <w:r/>
    </w:p>
    <w:p>
      <w:pPr>
        <w:numPr>
          <w:ilvl w:val="0"/>
          <w:numId w:val="0"/>
        </w:numPr>
        <w:ind w:firstLine="48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lang w:val="en-US" w:eastAsia="zh-CN"/>
        </w:rPr>
        <w:t xml:space="preserve">绿化养护人数基本要求是招标人为保证达到招标养护质量标准的基本人数配置，将作为月度考核因素之一，绿化养护人数投标人可以根据南片、北片的养护状况调剂使用。若投标人投入的养护人员、机械效率超过招标人的标准，在达到养护质量标准的前提下，征得招标人同意后可以进行人员配置优化。</w:t>
      </w:r>
      <w:r>
        <w:rPr>
          <w:color w:val="000000" w:themeColor="text1"/>
        </w:rPr>
      </w:r>
      <w:r/>
    </w:p>
    <w:p>
      <w:pPr>
        <w:numPr>
          <w:ilvl w:val="0"/>
          <w:numId w:val="0"/>
        </w:numPr>
        <w:ind w:firstLine="422"/>
        <w:keepLines w:val="0"/>
        <w:keepNext w:val="0"/>
        <w:pageBreakBefore w:val="0"/>
        <w:spacing w:line="360" w:lineRule="auto"/>
        <w:widowControl w:val="off"/>
        <w:rPr>
          <w:rFonts w:hint="eastAsia" w:ascii="Times New Roman" w:hAnsi="Times New Roman" w:eastAsia="宋体"/>
          <w:b/>
          <w:bCs/>
          <w:color w:val="000000" w:themeColor="text1"/>
          <w:sz w:val="21"/>
          <w:szCs w:val="21"/>
          <w:highlight w:val="none"/>
        </w:rPr>
        <w:outlineLvl w:val="9"/>
      </w:pPr>
      <w:r>
        <w:rPr>
          <w:rFonts w:hint="eastAsia" w:ascii="Times New Roman" w:hAnsi="Times New Roman" w:eastAsia="宋体" w:cs="Times New Roman"/>
          <w:b/>
          <w:bCs/>
          <w:color w:val="000000" w:themeColor="text1"/>
          <w:sz w:val="21"/>
          <w:szCs w:val="21"/>
          <w:highlight w:val="none"/>
          <w:lang w:val="en-US" w:eastAsia="zh-CN" w:bidi="ar-SA"/>
        </w:rPr>
        <w:t xml:space="preserve">6.2</w:t>
      </w:r>
      <w:r>
        <w:rPr>
          <w:rFonts w:hint="eastAsia" w:ascii="Times New Roman" w:hAnsi="Times New Roman" w:eastAsia="宋体"/>
          <w:b/>
          <w:bCs/>
          <w:color w:val="000000" w:themeColor="text1"/>
          <w:sz w:val="21"/>
          <w:szCs w:val="21"/>
          <w:highlight w:val="none"/>
          <w:lang w:val="en-US" w:eastAsia="zh-CN"/>
        </w:rPr>
        <w:t xml:space="preserve">绿化养护人员要求</w:t>
      </w:r>
      <w:r>
        <w:rPr>
          <w:color w:val="000000" w:themeColor="text1"/>
        </w:rPr>
      </w:r>
      <w:r/>
    </w:p>
    <w:p>
      <w:pPr>
        <w:numPr>
          <w:ilvl w:val="0"/>
          <w:numId w:val="0"/>
        </w:numPr>
        <w:ind w:firstLine="48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s="Times New Roman"/>
          <w:color w:val="000000" w:themeColor="text1"/>
          <w:sz w:val="21"/>
          <w:szCs w:val="21"/>
          <w:highlight w:val="none"/>
          <w:lang w:val="en-US" w:eastAsia="zh-CN" w:bidi="ar-SA"/>
        </w:rPr>
        <w:t xml:space="preserve">1、</w:t>
      </w:r>
      <w:r>
        <w:rPr>
          <w:rFonts w:hint="eastAsia" w:ascii="Times New Roman" w:hAnsi="Times New Roman" w:eastAsia="宋体"/>
          <w:color w:val="000000" w:themeColor="text1"/>
          <w:sz w:val="21"/>
          <w:szCs w:val="21"/>
          <w:highlight w:val="none"/>
          <w:lang w:val="en-US" w:eastAsia="zh-CN"/>
        </w:rPr>
        <w:t xml:space="preserve">进入景区绿化养护人员年龄要求：男60周岁以下、女55周岁以下，养护人员老、中、少搭配，年龄结构、男、女比例合理。</w:t>
      </w:r>
      <w:r>
        <w:rPr>
          <w:color w:val="000000" w:themeColor="text1"/>
        </w:rPr>
      </w:r>
      <w:r/>
    </w:p>
    <w:p>
      <w:pPr>
        <w:numPr>
          <w:ilvl w:val="0"/>
          <w:numId w:val="0"/>
        </w:numPr>
        <w:ind w:firstLine="48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s="Times New Roman"/>
          <w:color w:val="000000" w:themeColor="text1"/>
          <w:sz w:val="21"/>
          <w:szCs w:val="21"/>
          <w:highlight w:val="none"/>
          <w:lang w:val="en-US" w:eastAsia="zh-CN" w:bidi="ar-SA"/>
        </w:rPr>
        <w:t xml:space="preserve">2、</w:t>
      </w:r>
      <w:r>
        <w:rPr>
          <w:rFonts w:hint="eastAsia" w:ascii="Times New Roman" w:hAnsi="Times New Roman" w:eastAsia="宋体"/>
          <w:color w:val="000000" w:themeColor="text1"/>
          <w:sz w:val="21"/>
          <w:szCs w:val="21"/>
          <w:highlight w:val="none"/>
          <w:lang w:val="en-US" w:eastAsia="zh-CN"/>
        </w:rPr>
        <w:t xml:space="preserve">绿化养护人员资格要求：从事绿化养护人员必须熟悉绿化养护基本知识以及绿化养护相关规范、标准；从事登高修剪作业的人员必须经过相关培训持相关上岗证。带班及负责人必须持有园林绿化类中级以上职称不少于3人。</w:t>
      </w:r>
      <w:r>
        <w:rPr>
          <w:color w:val="000000" w:themeColor="text1"/>
        </w:rPr>
      </w:r>
      <w:r/>
    </w:p>
    <w:p>
      <w:pPr>
        <w:numPr>
          <w:ilvl w:val="0"/>
          <w:numId w:val="0"/>
        </w:numPr>
        <w:ind w:left="0" w:firstLine="48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s="Times New Roman"/>
          <w:color w:val="000000" w:themeColor="text1"/>
          <w:sz w:val="21"/>
          <w:szCs w:val="21"/>
          <w:highlight w:val="none"/>
          <w:lang w:val="en-US" w:eastAsia="zh-CN" w:bidi="ar-SA"/>
        </w:rPr>
        <w:t xml:space="preserve">3、</w:t>
      </w:r>
      <w:r>
        <w:rPr>
          <w:rFonts w:hint="eastAsia" w:ascii="Times New Roman" w:hAnsi="Times New Roman" w:eastAsia="宋体"/>
          <w:color w:val="000000" w:themeColor="text1"/>
          <w:sz w:val="21"/>
          <w:szCs w:val="21"/>
          <w:highlight w:val="none"/>
          <w:lang w:val="en-US" w:eastAsia="zh-CN"/>
        </w:rPr>
        <w:t xml:space="preserve">绿化养护人员健康要求：进入景区从事绿化养护人员均须提供体检合格报告，若有因身体健康原因不宜从事绿化养护人员在绿化养护期间出现意外，一切责任和费用由供应商承担。</w:t>
      </w:r>
      <w:r>
        <w:rPr>
          <w:color w:val="000000" w:themeColor="text1"/>
        </w:rPr>
      </w:r>
      <w:r/>
    </w:p>
    <w:p>
      <w:pPr>
        <w:numPr>
          <w:ilvl w:val="0"/>
          <w:numId w:val="0"/>
        </w:numPr>
        <w:ind w:left="0" w:firstLine="480"/>
        <w:keepLines w:val="0"/>
        <w:keepNext w:val="0"/>
        <w:pageBreakBefore w:val="0"/>
        <w:spacing w:line="360" w:lineRule="auto"/>
        <w:widowControl w:val="off"/>
        <w:rPr>
          <w:rFonts w:hint="default" w:ascii="Times New Roman" w:hAnsi="Times New Roman" w:eastAsia="宋体"/>
          <w:color w:val="000000" w:themeColor="text1"/>
          <w:sz w:val="21"/>
          <w:szCs w:val="21"/>
          <w:highlight w:val="none"/>
        </w:rPr>
        <w:outlineLvl w:val="9"/>
      </w:pPr>
      <w:r>
        <w:rPr>
          <w:rFonts w:hint="default" w:ascii="Times New Roman" w:hAnsi="Times New Roman" w:eastAsia="宋体" w:cs="Times New Roman"/>
          <w:color w:val="000000" w:themeColor="text1"/>
          <w:sz w:val="21"/>
          <w:szCs w:val="21"/>
          <w:highlight w:val="none"/>
          <w:lang w:val="en-US" w:eastAsia="zh-CN" w:bidi="ar-SA"/>
        </w:rPr>
        <w:t xml:space="preserve">4、</w:t>
      </w:r>
      <w:r>
        <w:rPr>
          <w:rFonts w:hint="eastAsia" w:ascii="Times New Roman" w:hAnsi="Times New Roman" w:eastAsia="宋体"/>
          <w:color w:val="000000" w:themeColor="text1"/>
          <w:sz w:val="21"/>
          <w:szCs w:val="21"/>
          <w:highlight w:val="none"/>
          <w:lang w:val="en-US" w:eastAsia="zh-CN"/>
        </w:rPr>
        <w:t xml:space="preserve">为保证绿化养护质量，具备绿化养护技术能力的带班负责人必须根据季节养护要求定期对养护工人进行技术培训和指导，且应留存培训指导书面资料备查。</w:t>
      </w:r>
      <w:r>
        <w:rPr>
          <w:color w:val="000000" w:themeColor="text1"/>
        </w:rPr>
      </w:r>
      <w:r/>
    </w:p>
    <w:p>
      <w:pPr>
        <w:ind w:firstLine="420"/>
        <w:pageBreakBefore w:val="0"/>
        <w:spacing w:line="360" w:lineRule="auto"/>
        <w:rPr>
          <w:rFonts w:ascii="Times New Roman" w:hAnsi="Times New Roman" w:eastAsia="宋体" w:cs="宋体"/>
          <w:b w:val="0"/>
          <w:bCs w:val="0"/>
          <w:i w:val="0"/>
          <w:iCs w:val="0"/>
          <w:color w:val="000000" w:themeColor="text1"/>
          <w:sz w:val="21"/>
          <w:szCs w:val="21"/>
          <w:highlight w:val="none"/>
          <w:u w:val="none"/>
        </w:rPr>
      </w:pPr>
      <w:r>
        <w:rPr>
          <w:rFonts w:hint="eastAsia" w:ascii="Times New Roman" w:hAnsi="Times New Roman" w:eastAsia="宋体" w:cs="宋体"/>
          <w:b w:val="0"/>
          <w:bCs w:val="0"/>
          <w:i w:val="0"/>
          <w:iCs w:val="0"/>
          <w:color w:val="000000" w:themeColor="text1"/>
          <w:sz w:val="21"/>
          <w:szCs w:val="21"/>
          <w:highlight w:val="none"/>
          <w:u w:val="none"/>
          <w:lang w:val="en-US" w:eastAsia="zh-CN"/>
        </w:rPr>
        <w:t xml:space="preserve">5</w:t>
      </w:r>
      <w:r>
        <w:rPr>
          <w:rFonts w:hint="eastAsia" w:ascii="Times New Roman" w:hAnsi="Times New Roman" w:eastAsia="宋体" w:cs="宋体"/>
          <w:b w:val="0"/>
          <w:bCs w:val="0"/>
          <w:i w:val="0"/>
          <w:iCs w:val="0"/>
          <w:color w:val="000000" w:themeColor="text1"/>
          <w:sz w:val="21"/>
          <w:szCs w:val="21"/>
          <w:highlight w:val="none"/>
          <w:u w:val="none"/>
        </w:rPr>
        <w:t xml:space="preserve">、负责垃圾清运</w:t>
      </w:r>
      <w:r>
        <w:rPr>
          <w:rFonts w:hint="eastAsia" w:ascii="Times New Roman" w:hAnsi="Times New Roman" w:eastAsia="宋体" w:cs="宋体"/>
          <w:b w:val="0"/>
          <w:bCs w:val="0"/>
          <w:i w:val="0"/>
          <w:iCs w:val="0"/>
          <w:color w:val="000000" w:themeColor="text1"/>
          <w:sz w:val="21"/>
          <w:szCs w:val="21"/>
          <w:highlight w:val="none"/>
          <w:u w:val="none"/>
          <w:lang w:val="en-US" w:eastAsia="zh-CN"/>
        </w:rPr>
        <w:t xml:space="preserve">的驾驶员必须</w:t>
      </w:r>
      <w:r>
        <w:rPr>
          <w:rFonts w:hint="eastAsia" w:ascii="Times New Roman" w:hAnsi="Times New Roman" w:eastAsia="宋体" w:cs="宋体"/>
          <w:b w:val="0"/>
          <w:bCs w:val="0"/>
          <w:i w:val="0"/>
          <w:iCs w:val="0"/>
          <w:color w:val="000000" w:themeColor="text1"/>
          <w:sz w:val="21"/>
          <w:szCs w:val="21"/>
          <w:highlight w:val="none"/>
          <w:u w:val="none"/>
        </w:rPr>
        <w:t xml:space="preserve">持N2准驾证。</w:t>
      </w:r>
      <w:r>
        <w:rPr>
          <w:color w:val="000000" w:themeColor="text1"/>
        </w:rPr>
      </w:r>
      <w:r/>
    </w:p>
    <w:p>
      <w:pPr>
        <w:numPr>
          <w:ilvl w:val="0"/>
          <w:numId w:val="0"/>
        </w:numPr>
        <w:ind w:firstLine="42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lang w:val="en-US" w:eastAsia="zh-CN"/>
        </w:rPr>
        <w:t xml:space="preserve">6、进入景区绿化养护人员必须按景区要求统一着装，配戴工号，出入景区必须遵守景区相关管理规定。</w:t>
      </w:r>
      <w:r>
        <w:rPr>
          <w:color w:val="000000" w:themeColor="text1"/>
        </w:rPr>
      </w:r>
      <w:r/>
    </w:p>
    <w:p>
      <w:pPr>
        <w:numPr>
          <w:ilvl w:val="0"/>
          <w:numId w:val="0"/>
        </w:numPr>
        <w:ind w:firstLine="422"/>
        <w:keepLines w:val="0"/>
        <w:keepNext w:val="0"/>
        <w:pageBreakBefore w:val="0"/>
        <w:spacing w:line="360" w:lineRule="auto"/>
        <w:widowControl w:val="off"/>
        <w:rPr>
          <w:rFonts w:hint="eastAsia" w:ascii="Times New Roman" w:hAnsi="Times New Roman" w:eastAsia="宋体"/>
          <w:b/>
          <w:bCs/>
          <w:color w:val="000000" w:themeColor="text1"/>
          <w:sz w:val="21"/>
          <w:szCs w:val="21"/>
          <w:highlight w:val="none"/>
        </w:rPr>
        <w:outlineLvl w:val="9"/>
      </w:pPr>
      <w:r>
        <w:rPr>
          <w:rFonts w:hint="eastAsia" w:ascii="Times New Roman" w:hAnsi="Times New Roman" w:eastAsia="宋体" w:cs="Times New Roman"/>
          <w:b/>
          <w:bCs/>
          <w:color w:val="000000" w:themeColor="text1"/>
          <w:sz w:val="21"/>
          <w:szCs w:val="21"/>
          <w:highlight w:val="none"/>
          <w:lang w:val="en-US" w:eastAsia="zh-CN" w:bidi="ar-SA"/>
        </w:rPr>
        <w:t xml:space="preserve">6.3</w:t>
      </w:r>
      <w:r>
        <w:rPr>
          <w:rFonts w:hint="eastAsia" w:ascii="Times New Roman" w:hAnsi="Times New Roman" w:eastAsia="宋体"/>
          <w:b/>
          <w:bCs/>
          <w:color w:val="000000" w:themeColor="text1"/>
          <w:sz w:val="21"/>
          <w:szCs w:val="21"/>
          <w:highlight w:val="none"/>
          <w:lang w:val="en-US" w:eastAsia="zh-CN"/>
        </w:rPr>
        <w:t xml:space="preserve">绿化养护机械要求</w:t>
      </w:r>
      <w:r>
        <w:rPr>
          <w:color w:val="000000" w:themeColor="text1"/>
        </w:rPr>
      </w:r>
      <w:r/>
    </w:p>
    <w:p>
      <w:pPr>
        <w:numPr>
          <w:ilvl w:val="0"/>
          <w:numId w:val="0"/>
        </w:numPr>
        <w:ind w:firstLine="48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lang w:val="en-US" w:eastAsia="zh-CN"/>
        </w:rPr>
        <w:t xml:space="preserve">要求进入景区的绿化养护机械须为符合景区相关要求的</w:t>
      </w:r>
      <w:r>
        <w:rPr>
          <w:rFonts w:hint="eastAsia" w:ascii="Times New Roman" w:hAnsi="Times New Roman" w:eastAsia="宋体" w:cs="宋体"/>
          <w:color w:val="000000" w:themeColor="text1"/>
          <w:sz w:val="21"/>
          <w:szCs w:val="21"/>
          <w:highlight w:val="none"/>
          <w:lang w:val="en-US" w:eastAsia="zh-CN"/>
        </w:rPr>
        <w:t xml:space="preserve">新能源设备</w:t>
      </w:r>
      <w:r>
        <w:rPr>
          <w:rFonts w:hint="eastAsia" w:ascii="Times New Roman" w:hAnsi="Times New Roman" w:eastAsia="宋体"/>
          <w:color w:val="000000" w:themeColor="text1"/>
          <w:sz w:val="21"/>
          <w:szCs w:val="21"/>
          <w:highlight w:val="none"/>
          <w:lang w:val="en-US" w:eastAsia="zh-CN"/>
        </w:rPr>
        <w:t xml:space="preserve">，环保、低噪音，设备运行外观完好，机械检测、审核、保险手续齐全，不得带病作业。</w:t>
      </w:r>
      <w:r>
        <w:rPr>
          <w:color w:val="000000" w:themeColor="text1"/>
        </w:rPr>
      </w:r>
      <w:r/>
    </w:p>
    <w:p>
      <w:pPr>
        <w:numPr>
          <w:ilvl w:val="0"/>
          <w:numId w:val="0"/>
        </w:numPr>
        <w:ind w:firstLine="48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lang w:val="en-US" w:eastAsia="zh-CN"/>
        </w:rPr>
        <w:t xml:space="preserve">投标人自行考虑投入本项目绿化养护的机械类型、数量，满足招标文件要求的养护标准。垃圾清运有个性要求的按相关要求执行。</w:t>
      </w:r>
      <w:r>
        <w:rPr>
          <w:color w:val="000000" w:themeColor="text1"/>
        </w:rPr>
      </w:r>
      <w:r/>
    </w:p>
    <w:p>
      <w:pPr>
        <w:numPr>
          <w:ilvl w:val="0"/>
          <w:numId w:val="0"/>
        </w:numPr>
        <w:ind w:firstLine="48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lang w:val="en-US" w:eastAsia="zh-CN"/>
        </w:rPr>
        <w:t xml:space="preserve">场地平整具备修剪条件的草坪修剪不得采用手持式割草机，必须采用手推式剪草机，保证修剪后的草坪平整美观。</w:t>
      </w:r>
      <w:r>
        <w:rPr>
          <w:color w:val="000000" w:themeColor="text1"/>
        </w:rPr>
      </w:r>
      <w:r/>
    </w:p>
    <w:p>
      <w:pPr>
        <w:numPr>
          <w:ilvl w:val="0"/>
          <w:numId w:val="0"/>
        </w:numPr>
        <w:ind w:firstLine="48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lang w:val="en-US" w:eastAsia="zh-CN"/>
        </w:rPr>
        <w:t xml:space="preserve">旅游旺季后游客行走后的局部绿化地段土壤板结，为了保证补植绿化成活，供应商须配备必要的松土机械。</w:t>
      </w:r>
      <w:r>
        <w:rPr>
          <w:color w:val="000000" w:themeColor="text1"/>
        </w:rPr>
      </w:r>
      <w:r/>
    </w:p>
    <w:p>
      <w:pPr>
        <w:pStyle w:val="891"/>
        <w:numPr>
          <w:ilvl w:val="0"/>
          <w:numId w:val="0"/>
        </w:numPr>
        <w:ind w:left="420"/>
        <w:pageBreakBefore w:val="0"/>
        <w:spacing w:line="360" w:lineRule="auto"/>
        <w:rPr>
          <w:rFonts w:hint="default"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lang w:val="en-US" w:eastAsia="zh-CN"/>
        </w:rPr>
        <w:t xml:space="preserve">为预防干旱，供应商应配置洒水机械满足绿化养护要求。</w:t>
      </w:r>
      <w:r>
        <w:rPr>
          <w:color w:val="000000" w:themeColor="text1"/>
        </w:rPr>
      </w:r>
      <w:r/>
    </w:p>
    <w:p>
      <w:pPr>
        <w:numPr>
          <w:ilvl w:val="0"/>
          <w:numId w:val="0"/>
        </w:numPr>
        <w:ind w:firstLine="48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lang w:val="en-US" w:eastAsia="zh-CN"/>
        </w:rPr>
        <w:t xml:space="preserve">绿化养护所需的工器具、机械维修、机械设备由投标人自行提供。</w:t>
      </w:r>
      <w:r>
        <w:rPr>
          <w:color w:val="000000" w:themeColor="text1"/>
        </w:rPr>
      </w:r>
      <w:r/>
    </w:p>
    <w:p>
      <w:pPr>
        <w:numPr>
          <w:ilvl w:val="0"/>
          <w:numId w:val="0"/>
        </w:numPr>
        <w:ind w:firstLine="422"/>
        <w:keepLines w:val="0"/>
        <w:keepNext w:val="0"/>
        <w:pageBreakBefore w:val="0"/>
        <w:spacing w:line="360" w:lineRule="auto"/>
        <w:widowControl w:val="off"/>
        <w:rPr>
          <w:rFonts w:hint="eastAsia" w:ascii="Times New Roman" w:hAnsi="Times New Roman" w:eastAsia="宋体"/>
          <w:b/>
          <w:bCs/>
          <w:color w:val="000000" w:themeColor="text1"/>
          <w:sz w:val="21"/>
          <w:szCs w:val="21"/>
          <w:highlight w:val="none"/>
        </w:rPr>
        <w:outlineLvl w:val="9"/>
      </w:pPr>
      <w:r>
        <w:rPr>
          <w:rFonts w:hint="eastAsia" w:ascii="Times New Roman" w:hAnsi="Times New Roman" w:eastAsia="宋体" w:cs="Times New Roman"/>
          <w:b/>
          <w:bCs/>
          <w:color w:val="000000" w:themeColor="text1"/>
          <w:sz w:val="21"/>
          <w:szCs w:val="21"/>
          <w:highlight w:val="none"/>
          <w:lang w:val="en-US" w:eastAsia="zh-CN" w:bidi="ar-SA"/>
        </w:rPr>
        <w:t xml:space="preserve">6.4</w:t>
      </w:r>
      <w:r>
        <w:rPr>
          <w:rFonts w:hint="eastAsia" w:ascii="Times New Roman" w:hAnsi="Times New Roman" w:eastAsia="宋体"/>
          <w:b/>
          <w:bCs/>
          <w:color w:val="000000" w:themeColor="text1"/>
          <w:sz w:val="21"/>
          <w:szCs w:val="21"/>
          <w:highlight w:val="none"/>
          <w:lang w:val="en-US" w:eastAsia="zh-CN"/>
        </w:rPr>
        <w:t xml:space="preserve">垃圾清运</w:t>
      </w:r>
      <w:r>
        <w:rPr>
          <w:color w:val="000000" w:themeColor="text1"/>
        </w:rPr>
      </w:r>
      <w:r/>
    </w:p>
    <w:p>
      <w:pPr>
        <w:numPr>
          <w:ilvl w:val="0"/>
          <w:numId w:val="0"/>
        </w:numPr>
        <w:ind w:firstLine="420"/>
        <w:keepLines w:val="0"/>
        <w:keepNext w:val="0"/>
        <w:pageBreakBefore w:val="0"/>
        <w:spacing w:line="360" w:lineRule="auto"/>
        <w:widowControl w:val="off"/>
        <w:rPr>
          <w:rFonts w:hint="default"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lang w:val="en-US" w:eastAsia="zh-CN"/>
        </w:rPr>
        <w:t xml:space="preserve">绿化垃圾随清随运，保持场地干净整洁。指定地点集中堆放，规定时间内清理完毕。要求南片配置不少于1台垃圾清运车，北片配置不少于2台垃圾清运车，且应保证车辆正常运行配置备用电池。</w:t>
      </w:r>
      <w:r>
        <w:rPr>
          <w:color w:val="000000" w:themeColor="text1"/>
        </w:rPr>
      </w:r>
      <w:r/>
    </w:p>
    <w:p>
      <w:pPr>
        <w:numPr>
          <w:ilvl w:val="0"/>
          <w:numId w:val="0"/>
        </w:numPr>
        <w:ind w:firstLine="422"/>
        <w:keepLines w:val="0"/>
        <w:keepNext w:val="0"/>
        <w:pageBreakBefore w:val="0"/>
        <w:spacing w:line="360" w:lineRule="auto"/>
        <w:widowControl w:val="off"/>
        <w:rPr>
          <w:rFonts w:hint="eastAsia" w:ascii="Times New Roman" w:hAnsi="Times New Roman" w:eastAsia="宋体"/>
          <w:b/>
          <w:bCs/>
          <w:color w:val="000000" w:themeColor="text1"/>
          <w:sz w:val="21"/>
          <w:szCs w:val="21"/>
          <w:highlight w:val="none"/>
        </w:rPr>
        <w:outlineLvl w:val="9"/>
      </w:pPr>
      <w:r>
        <w:rPr>
          <w:rFonts w:hint="eastAsia" w:ascii="Times New Roman" w:hAnsi="Times New Roman" w:eastAsia="宋体" w:cs="Times New Roman"/>
          <w:b/>
          <w:bCs/>
          <w:color w:val="000000" w:themeColor="text1"/>
          <w:sz w:val="21"/>
          <w:szCs w:val="21"/>
          <w:highlight w:val="none"/>
          <w:lang w:val="en-US" w:eastAsia="zh-CN" w:bidi="ar-SA"/>
        </w:rPr>
        <w:t xml:space="preserve">6.5</w:t>
      </w:r>
      <w:r>
        <w:rPr>
          <w:rFonts w:hint="eastAsia" w:ascii="Times New Roman" w:hAnsi="Times New Roman" w:eastAsia="宋体"/>
          <w:b/>
          <w:bCs/>
          <w:color w:val="000000" w:themeColor="text1"/>
          <w:sz w:val="21"/>
          <w:szCs w:val="21"/>
          <w:highlight w:val="none"/>
          <w:lang w:val="en-US" w:eastAsia="zh-CN"/>
        </w:rPr>
        <w:t xml:space="preserve">病虫害防治药剂</w:t>
      </w:r>
      <w:r>
        <w:rPr>
          <w:color w:val="000000" w:themeColor="text1"/>
        </w:rPr>
      </w:r>
      <w:r/>
    </w:p>
    <w:p>
      <w:pPr>
        <w:numPr>
          <w:ilvl w:val="0"/>
          <w:numId w:val="0"/>
        </w:numPr>
        <w:ind w:firstLine="42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lang w:val="en-US" w:eastAsia="zh-CN"/>
        </w:rPr>
        <w:t xml:space="preserve">投标人按招标人提供的药剂清单自主报价，结算时数量按实计量。</w:t>
      </w:r>
      <w:r>
        <w:rPr>
          <w:color w:val="000000" w:themeColor="text1"/>
        </w:rPr>
      </w:r>
      <w:r/>
    </w:p>
    <w:p>
      <w:pPr>
        <w:numPr>
          <w:ilvl w:val="0"/>
          <w:numId w:val="0"/>
        </w:numPr>
        <w:ind w:firstLine="422"/>
        <w:keepLines w:val="0"/>
        <w:keepNext w:val="0"/>
        <w:pageBreakBefore w:val="0"/>
        <w:spacing w:line="360" w:lineRule="auto"/>
        <w:widowControl w:val="off"/>
        <w:rPr>
          <w:rFonts w:hint="eastAsia" w:ascii="Times New Roman" w:hAnsi="Times New Roman" w:eastAsia="宋体"/>
          <w:b/>
          <w:bCs/>
          <w:color w:val="000000" w:themeColor="text1"/>
          <w:sz w:val="21"/>
          <w:szCs w:val="21"/>
          <w:highlight w:val="none"/>
        </w:rPr>
        <w:outlineLvl w:val="9"/>
      </w:pPr>
      <w:r>
        <w:rPr>
          <w:rFonts w:hint="eastAsia" w:ascii="Times New Roman" w:hAnsi="Times New Roman" w:eastAsia="宋体" w:cs="Times New Roman"/>
          <w:b/>
          <w:bCs/>
          <w:color w:val="000000" w:themeColor="text1"/>
          <w:sz w:val="21"/>
          <w:szCs w:val="21"/>
          <w:highlight w:val="none"/>
          <w:lang w:val="en-US" w:eastAsia="zh-CN" w:bidi="ar-SA"/>
        </w:rPr>
        <w:t xml:space="preserve">6.6</w:t>
      </w:r>
      <w:r>
        <w:rPr>
          <w:rFonts w:hint="eastAsia" w:ascii="Times New Roman" w:hAnsi="Times New Roman" w:eastAsia="宋体"/>
          <w:b/>
          <w:bCs/>
          <w:color w:val="000000" w:themeColor="text1"/>
          <w:sz w:val="21"/>
          <w:szCs w:val="21"/>
          <w:highlight w:val="none"/>
          <w:lang w:val="en-US" w:eastAsia="zh-CN"/>
        </w:rPr>
        <w:t xml:space="preserve">肥料</w:t>
      </w:r>
      <w:r>
        <w:rPr>
          <w:color w:val="000000" w:themeColor="text1"/>
        </w:rPr>
      </w:r>
      <w:r/>
    </w:p>
    <w:p>
      <w:pPr>
        <w:numPr>
          <w:ilvl w:val="0"/>
          <w:numId w:val="0"/>
        </w:numPr>
        <w:ind w:firstLine="480"/>
        <w:keepLines w:val="0"/>
        <w:keepNext w:val="0"/>
        <w:pageBreakBefore w:val="0"/>
        <w:spacing w:line="360" w:lineRule="auto"/>
        <w:widowControl w:val="off"/>
        <w:rPr>
          <w:rFonts w:hint="eastAsia" w:ascii="Times New Roman" w:hAnsi="Times New Roman" w:eastAsia="宋体"/>
          <w:b w:val="0"/>
          <w:bCs w:val="0"/>
          <w:color w:val="000000" w:themeColor="text1"/>
          <w:sz w:val="21"/>
          <w:szCs w:val="21"/>
          <w:highlight w:val="none"/>
        </w:rPr>
        <w:outlineLvl w:val="9"/>
      </w:pPr>
      <w:r>
        <w:rPr>
          <w:rFonts w:hint="eastAsia" w:ascii="Times New Roman" w:hAnsi="Times New Roman" w:eastAsia="宋体"/>
          <w:b w:val="0"/>
          <w:bCs w:val="0"/>
          <w:color w:val="000000" w:themeColor="text1"/>
          <w:sz w:val="21"/>
          <w:szCs w:val="21"/>
          <w:highlight w:val="none"/>
          <w:lang w:val="en-US" w:eastAsia="zh-CN"/>
        </w:rPr>
        <w:t xml:space="preserve">招标人采购，不包括在本次招标范围内。但若需要施肥，施肥的人工费用包括在本次招标绿化养护费内。</w:t>
      </w:r>
      <w:r>
        <w:rPr>
          <w:color w:val="000000" w:themeColor="text1"/>
        </w:rPr>
      </w:r>
      <w:r/>
    </w:p>
    <w:p>
      <w:pPr>
        <w:numPr>
          <w:ilvl w:val="0"/>
          <w:numId w:val="0"/>
        </w:numPr>
        <w:ind w:firstLine="422"/>
        <w:keepLines w:val="0"/>
        <w:keepNext w:val="0"/>
        <w:pageBreakBefore w:val="0"/>
        <w:spacing w:line="360" w:lineRule="auto"/>
        <w:widowControl w:val="off"/>
        <w:rPr>
          <w:rFonts w:hint="eastAsia" w:ascii="Times New Roman" w:hAnsi="Times New Roman" w:eastAsia="宋体"/>
          <w:b/>
          <w:bCs/>
          <w:color w:val="000000" w:themeColor="text1"/>
          <w:sz w:val="21"/>
          <w:szCs w:val="21"/>
          <w:highlight w:val="none"/>
        </w:rPr>
        <w:outlineLvl w:val="9"/>
      </w:pPr>
      <w:r>
        <w:rPr>
          <w:rFonts w:hint="eastAsia" w:ascii="Times New Roman" w:hAnsi="Times New Roman" w:eastAsia="宋体" w:cs="Times New Roman"/>
          <w:b/>
          <w:bCs/>
          <w:color w:val="000000" w:themeColor="text1"/>
          <w:sz w:val="21"/>
          <w:szCs w:val="21"/>
          <w:highlight w:val="none"/>
          <w:lang w:val="en-US" w:eastAsia="zh-CN" w:bidi="ar-SA"/>
        </w:rPr>
        <w:t xml:space="preserve">6.7</w:t>
      </w:r>
      <w:r>
        <w:rPr>
          <w:rFonts w:hint="eastAsia" w:ascii="Times New Roman" w:hAnsi="Times New Roman" w:eastAsia="宋体"/>
          <w:b/>
          <w:bCs/>
          <w:color w:val="000000" w:themeColor="text1"/>
          <w:sz w:val="21"/>
          <w:szCs w:val="21"/>
          <w:highlight w:val="none"/>
          <w:lang w:val="en-US" w:eastAsia="zh-CN"/>
        </w:rPr>
        <w:t xml:space="preserve">其它</w:t>
      </w:r>
      <w:r>
        <w:rPr>
          <w:color w:val="000000" w:themeColor="text1"/>
        </w:rPr>
      </w:r>
      <w:r/>
    </w:p>
    <w:p>
      <w:pPr>
        <w:numPr>
          <w:ilvl w:val="0"/>
          <w:numId w:val="0"/>
        </w:numPr>
        <w:ind w:firstLine="0"/>
        <w:keepLines w:val="0"/>
        <w:keepNext w:val="0"/>
        <w:pageBreakBefore w:val="0"/>
        <w:spacing w:line="360" w:lineRule="auto"/>
        <w:widowControl w:val="off"/>
        <w:rPr>
          <w:rFonts w:hint="default" w:ascii="Times New Roman" w:hAnsi="Times New Roman" w:eastAsia="宋体"/>
          <w:b w:val="0"/>
          <w:bCs w:val="0"/>
          <w:color w:val="000000" w:themeColor="text1"/>
          <w:sz w:val="21"/>
          <w:szCs w:val="21"/>
          <w:highlight w:val="none"/>
        </w:rPr>
        <w:outlineLvl w:val="9"/>
      </w:pPr>
      <w:r>
        <w:rPr>
          <w:rFonts w:hint="eastAsia" w:ascii="Times New Roman" w:hAnsi="Times New Roman" w:eastAsia="宋体"/>
          <w:b w:val="0"/>
          <w:bCs w:val="0"/>
          <w:color w:val="000000" w:themeColor="text1"/>
          <w:sz w:val="21"/>
          <w:szCs w:val="21"/>
          <w:highlight w:val="none"/>
          <w:lang w:val="en-US" w:eastAsia="zh-CN"/>
        </w:rPr>
        <w:t xml:space="preserve">    中标人</w:t>
      </w:r>
      <w:r>
        <w:rPr>
          <w:rFonts w:hint="eastAsia" w:ascii="Times New Roman" w:hAnsi="Times New Roman" w:eastAsia="宋体" w:cs="宋体"/>
          <w:i w:val="0"/>
          <w:color w:val="000000" w:themeColor="text1"/>
          <w:sz w:val="21"/>
          <w:szCs w:val="21"/>
          <w:highlight w:val="none"/>
          <w:u w:val="none"/>
          <w:lang w:val="en-US" w:eastAsia="zh-CN" w:bidi="ar"/>
        </w:rPr>
        <w:t xml:space="preserve">需提前提供每月的绿化养护计划，养护计划经招标人审批后方可实施。每月的养护计划纳入月度绿化养护考核内容。</w:t>
      </w:r>
      <w:r>
        <w:rPr>
          <w:color w:val="000000" w:themeColor="text1"/>
        </w:rPr>
      </w:r>
      <w:r/>
    </w:p>
    <w:p>
      <w:pPr>
        <w:numPr>
          <w:ilvl w:val="0"/>
          <w:numId w:val="0"/>
        </w:numPr>
        <w:ind w:left="0" w:firstLine="422"/>
        <w:keepLines w:val="0"/>
        <w:keepNext w:val="0"/>
        <w:pageBreakBefore w:val="0"/>
        <w:spacing w:line="360" w:lineRule="auto"/>
        <w:widowControl w:val="off"/>
        <w:rPr>
          <w:rFonts w:hint="eastAsia" w:ascii="Times New Roman" w:hAnsi="Times New Roman" w:eastAsia="宋体"/>
          <w:b/>
          <w:bCs/>
          <w:color w:val="000000" w:themeColor="text1"/>
          <w:sz w:val="21"/>
          <w:szCs w:val="21"/>
          <w:highlight w:val="none"/>
        </w:rPr>
        <w:outlineLvl w:val="0"/>
      </w:pPr>
      <w:r>
        <w:rPr>
          <w:rFonts w:hint="eastAsia" w:ascii="Times New Roman" w:hAnsi="Times New Roman" w:eastAsia="宋体" w:cs="Times New Roman"/>
          <w:b/>
          <w:bCs/>
          <w:color w:val="000000" w:themeColor="text1"/>
          <w:sz w:val="21"/>
          <w:szCs w:val="21"/>
          <w:highlight w:val="none"/>
          <w:lang w:val="en-US" w:eastAsia="zh-CN" w:bidi="ar-SA"/>
        </w:rPr>
        <w:t xml:space="preserve">七、</w:t>
      </w:r>
      <w:r>
        <w:rPr>
          <w:rFonts w:hint="eastAsia" w:ascii="Times New Roman" w:hAnsi="Times New Roman" w:eastAsia="宋体"/>
          <w:b/>
          <w:bCs/>
          <w:color w:val="000000" w:themeColor="text1"/>
          <w:sz w:val="21"/>
          <w:szCs w:val="21"/>
          <w:highlight w:val="none"/>
          <w:lang w:val="en-US" w:eastAsia="zh-CN"/>
        </w:rPr>
        <w:t xml:space="preserve">验收、考核标准</w:t>
      </w:r>
      <w:r>
        <w:rPr>
          <w:color w:val="000000" w:themeColor="text1"/>
        </w:rPr>
      </w:r>
      <w:r/>
    </w:p>
    <w:p>
      <w:pPr>
        <w:ind w:firstLine="422"/>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b/>
          <w:bCs/>
          <w:color w:val="000000" w:themeColor="text1"/>
          <w:sz w:val="21"/>
          <w:szCs w:val="21"/>
          <w:highlight w:val="none"/>
          <w:lang w:val="en-US" w:eastAsia="zh-CN"/>
        </w:rPr>
        <w:t xml:space="preserve">7</w:t>
      </w:r>
      <w:r>
        <w:rPr>
          <w:rFonts w:hint="eastAsia" w:ascii="Times New Roman" w:hAnsi="Times New Roman" w:eastAsia="宋体" w:cs="宋体"/>
          <w:b/>
          <w:bCs/>
          <w:color w:val="000000" w:themeColor="text1"/>
          <w:sz w:val="21"/>
          <w:szCs w:val="21"/>
          <w:highlight w:val="none"/>
        </w:rPr>
        <w:t xml:space="preserve">.1验收考核办法</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7.1.1</w:t>
      </w:r>
      <w:r>
        <w:rPr>
          <w:rFonts w:hint="eastAsia" w:ascii="Times New Roman" w:hAnsi="Times New Roman" w:eastAsia="宋体" w:cs="宋体"/>
          <w:color w:val="000000" w:themeColor="text1"/>
          <w:sz w:val="21"/>
          <w:szCs w:val="21"/>
          <w:highlight w:val="none"/>
        </w:rPr>
        <w:t xml:space="preserve">评比检查由两部分组成如下：</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7.1.1.1</w:t>
      </w:r>
      <w:r>
        <w:rPr>
          <w:rFonts w:hint="eastAsia" w:ascii="Times New Roman" w:hAnsi="Times New Roman" w:eastAsia="宋体" w:cs="宋体"/>
          <w:color w:val="000000" w:themeColor="text1"/>
          <w:sz w:val="21"/>
          <w:szCs w:val="21"/>
          <w:highlight w:val="none"/>
        </w:rPr>
        <w:t xml:space="preserve">日常巡查。日常巡查由园林绿化部管理组人员对养护承包单位所养护的区域进行例行检查（每月4次），每周对检查结果通报一次。检查结果占当月评分值的40％。</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7.1.1.2</w:t>
      </w:r>
      <w:r>
        <w:rPr>
          <w:rFonts w:hint="eastAsia" w:ascii="Times New Roman" w:hAnsi="Times New Roman" w:eastAsia="宋体" w:cs="宋体"/>
          <w:color w:val="000000" w:themeColor="text1"/>
          <w:sz w:val="21"/>
          <w:szCs w:val="21"/>
          <w:highlight w:val="none"/>
        </w:rPr>
        <w:t xml:space="preserve">月度考核。由园林绿化部验收小组（科室负责人、管理组组长代表、南北绿化管理班主管）对养护区域进行月度考核，每月进行1次。月度考核占月评比分值60％。</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7.1.1.3</w:t>
      </w:r>
      <w:r>
        <w:rPr>
          <w:rFonts w:hint="eastAsia" w:ascii="Times New Roman" w:hAnsi="Times New Roman" w:eastAsia="宋体" w:cs="宋体"/>
          <w:color w:val="000000" w:themeColor="text1"/>
          <w:sz w:val="21"/>
          <w:szCs w:val="21"/>
          <w:highlight w:val="none"/>
        </w:rPr>
        <w:t xml:space="preserve">每次检查考核情况将及时通报至养护承包单位，并就养护过程中存在的问题，对养护承包单位下发整改通知书。</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7.1.1.4</w:t>
      </w:r>
      <w:r>
        <w:rPr>
          <w:rFonts w:hint="eastAsia" w:ascii="Times New Roman" w:hAnsi="Times New Roman" w:eastAsia="宋体" w:cs="宋体"/>
          <w:color w:val="000000" w:themeColor="text1"/>
          <w:sz w:val="21"/>
          <w:szCs w:val="21"/>
          <w:highlight w:val="none"/>
        </w:rPr>
        <w:t xml:space="preserve">检查考核标准参照《瘦西湖绿化养护管理标准》（一级养护标准）执行。</w:t>
      </w:r>
      <w:r>
        <w:rPr>
          <w:color w:val="000000" w:themeColor="text1"/>
        </w:rPr>
      </w:r>
      <w:r/>
    </w:p>
    <w:p>
      <w:pPr>
        <w:ind w:firstLine="413"/>
        <w:pageBreakBefore w:val="0"/>
        <w:spacing w:line="360" w:lineRule="auto"/>
        <w:rPr>
          <w:rFonts w:hint="eastAsia" w:ascii="Times New Roman" w:hAnsi="Times New Roman" w:eastAsia="宋体" w:cs="宋体"/>
          <w:b/>
          <w:bCs/>
          <w:color w:val="000000" w:themeColor="text1"/>
          <w:sz w:val="21"/>
          <w:szCs w:val="21"/>
          <w:highlight w:val="none"/>
        </w:rPr>
      </w:pPr>
      <w:r>
        <w:rPr>
          <w:rFonts w:hint="eastAsia" w:ascii="Times New Roman" w:hAnsi="Times New Roman" w:eastAsia="宋体" w:cs="宋体"/>
          <w:b/>
          <w:bCs/>
          <w:color w:val="000000" w:themeColor="text1"/>
          <w:sz w:val="21"/>
          <w:szCs w:val="21"/>
          <w:highlight w:val="none"/>
          <w:lang w:val="en-US" w:eastAsia="zh-CN"/>
        </w:rPr>
        <w:t xml:space="preserve">7.2</w:t>
      </w:r>
      <w:r>
        <w:rPr>
          <w:rFonts w:hint="eastAsia" w:ascii="Times New Roman" w:hAnsi="Times New Roman" w:eastAsia="宋体" w:cs="宋体"/>
          <w:b/>
          <w:bCs/>
          <w:color w:val="000000" w:themeColor="text1"/>
          <w:sz w:val="21"/>
          <w:szCs w:val="21"/>
          <w:highlight w:val="none"/>
        </w:rPr>
        <w:t xml:space="preserve">验收考核细则</w:t>
      </w:r>
      <w:r>
        <w:rPr>
          <w:color w:val="000000" w:themeColor="text1"/>
        </w:rPr>
      </w:r>
      <w:r/>
    </w:p>
    <w:p>
      <w:pPr>
        <w:ind w:firstLine="422"/>
        <w:pageBreakBefore w:val="0"/>
        <w:spacing w:line="360" w:lineRule="auto"/>
        <w:rPr>
          <w:rFonts w:hint="eastAsia" w:ascii="Times New Roman" w:hAnsi="Times New Roman" w:eastAsia="宋体" w:cs="宋体"/>
          <w:b/>
          <w:bCs/>
          <w:color w:val="000000" w:themeColor="text1"/>
          <w:sz w:val="21"/>
          <w:szCs w:val="21"/>
          <w:highlight w:val="none"/>
        </w:rPr>
      </w:pPr>
      <w:r>
        <w:rPr>
          <w:rFonts w:hint="eastAsia" w:ascii="Times New Roman" w:hAnsi="Times New Roman" w:eastAsia="宋体" w:cs="宋体"/>
          <w:b/>
          <w:bCs/>
          <w:color w:val="000000" w:themeColor="text1"/>
          <w:sz w:val="21"/>
          <w:szCs w:val="21"/>
          <w:highlight w:val="none"/>
          <w:lang w:val="en-US" w:eastAsia="zh-CN"/>
        </w:rPr>
        <w:t xml:space="preserve">7.2.1</w:t>
      </w:r>
      <w:r>
        <w:rPr>
          <w:rFonts w:hint="eastAsia" w:ascii="Times New Roman" w:hAnsi="Times New Roman" w:eastAsia="宋体" w:cs="宋体"/>
          <w:b/>
          <w:bCs/>
          <w:color w:val="000000" w:themeColor="text1"/>
          <w:sz w:val="21"/>
          <w:szCs w:val="21"/>
          <w:highlight w:val="none"/>
        </w:rPr>
        <w:t xml:space="preserve">养护人员数量不得低于最低人数标准和年龄标准，作业时必须着工装或佩带上岗证。不从事与本职工作无关的事情，并积极工作：总分值20分。</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7.2.1.1</w:t>
      </w:r>
      <w:r>
        <w:rPr>
          <w:rFonts w:hint="eastAsia" w:ascii="Times New Roman" w:hAnsi="Times New Roman" w:eastAsia="宋体" w:cs="宋体"/>
          <w:color w:val="000000" w:themeColor="text1"/>
          <w:sz w:val="21"/>
          <w:szCs w:val="21"/>
          <w:highlight w:val="none"/>
        </w:rPr>
        <w:t xml:space="preserve">不着工装或佩带上岗证，每发现一人一次扣1分。</w:t>
      </w:r>
      <w:r>
        <w:rPr>
          <w:color w:val="000000" w:themeColor="text1"/>
        </w:rPr>
      </w:r>
      <w:r/>
    </w:p>
    <w:p>
      <w:pPr>
        <w:ind w:firstLine="420"/>
        <w:pageBreakBefore w:val="0"/>
        <w:spacing w:line="360" w:lineRule="auto"/>
        <w:rPr>
          <w:rFonts w:hint="eastAsia" w:ascii="Times New Roman" w:hAnsi="Times New Roman" w:eastAsia="宋体" w:cs="宋体"/>
          <w:b/>
          <w:bCs/>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7.2.1.2</w:t>
      </w:r>
      <w:r>
        <w:rPr>
          <w:rFonts w:hint="eastAsia" w:ascii="Times New Roman" w:hAnsi="Times New Roman" w:eastAsia="宋体" w:cs="宋体"/>
          <w:color w:val="000000" w:themeColor="text1"/>
          <w:sz w:val="21"/>
          <w:szCs w:val="21"/>
          <w:highlight w:val="none"/>
        </w:rPr>
        <w:t xml:space="preserve">上班时间看书、报、杂志、干私活、集体聊天、下棋、打牌者，视情况扣1—3分</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7.2.1.3</w:t>
      </w:r>
      <w:r>
        <w:rPr>
          <w:rFonts w:hint="eastAsia" w:ascii="Times New Roman" w:hAnsi="Times New Roman" w:eastAsia="宋体" w:cs="宋体"/>
          <w:color w:val="000000" w:themeColor="text1"/>
          <w:sz w:val="21"/>
          <w:szCs w:val="21"/>
          <w:highlight w:val="none"/>
        </w:rPr>
        <w:t xml:space="preserve">每天绿化养护作业时间不满足基本工时要求的、旷工每发现一人一次扣1—5分</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7.2.1.4</w:t>
      </w:r>
      <w:r>
        <w:rPr>
          <w:rFonts w:hint="eastAsia" w:ascii="Times New Roman" w:hAnsi="Times New Roman" w:eastAsia="宋体" w:cs="宋体"/>
          <w:color w:val="000000" w:themeColor="text1"/>
          <w:sz w:val="21"/>
          <w:szCs w:val="21"/>
          <w:highlight w:val="none"/>
        </w:rPr>
        <w:t xml:space="preserve">养护人员因操作或言语不当造成游客投诉的，扣1-5分。</w:t>
      </w:r>
      <w:r>
        <w:rPr>
          <w:color w:val="000000" w:themeColor="text1"/>
        </w:rPr>
      </w:r>
      <w:r/>
    </w:p>
    <w:p>
      <w:pPr>
        <w:ind w:firstLine="420"/>
        <w:pageBreakBefore w:val="0"/>
        <w:spacing w:line="360" w:lineRule="auto"/>
        <w:rPr>
          <w:rFonts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7.2.1.5</w:t>
      </w:r>
      <w:r>
        <w:rPr>
          <w:rFonts w:hint="eastAsia" w:ascii="Times New Roman" w:hAnsi="Times New Roman" w:eastAsia="宋体" w:cs="宋体"/>
          <w:color w:val="000000" w:themeColor="text1"/>
          <w:sz w:val="21"/>
          <w:szCs w:val="21"/>
          <w:highlight w:val="none"/>
        </w:rPr>
        <w:t xml:space="preserve">养护质量达不到约定标准，养护人员不足约定标准，且拒不增加养护人员的，扣5分。</w:t>
      </w:r>
      <w:r>
        <w:rPr>
          <w:color w:val="000000" w:themeColor="text1"/>
        </w:rPr>
      </w:r>
      <w:r/>
    </w:p>
    <w:p>
      <w:pPr>
        <w:ind w:left="15" w:firstLine="422"/>
        <w:pageBreakBefore w:val="0"/>
        <w:spacing w:line="360" w:lineRule="auto"/>
        <w:rPr>
          <w:rFonts w:hint="eastAsia" w:ascii="Times New Roman" w:hAnsi="Times New Roman" w:eastAsia="宋体" w:cs="宋体"/>
          <w:b/>
          <w:bCs/>
          <w:color w:val="000000" w:themeColor="text1"/>
          <w:sz w:val="21"/>
          <w:szCs w:val="21"/>
          <w:highlight w:val="none"/>
        </w:rPr>
      </w:pPr>
      <w:r>
        <w:rPr>
          <w:rFonts w:hint="eastAsia" w:ascii="Times New Roman" w:hAnsi="Times New Roman" w:eastAsia="宋体" w:cs="宋体"/>
          <w:b/>
          <w:bCs/>
          <w:color w:val="000000" w:themeColor="text1"/>
          <w:sz w:val="21"/>
          <w:szCs w:val="21"/>
          <w:highlight w:val="none"/>
          <w:lang w:val="en-US" w:eastAsia="zh-CN"/>
        </w:rPr>
        <w:t xml:space="preserve">7.2.2</w:t>
      </w:r>
      <w:r>
        <w:rPr>
          <w:rFonts w:hint="eastAsia" w:ascii="Times New Roman" w:hAnsi="Times New Roman" w:eastAsia="宋体" w:cs="宋体"/>
          <w:b/>
          <w:bCs/>
          <w:color w:val="000000" w:themeColor="text1"/>
          <w:sz w:val="21"/>
          <w:szCs w:val="21"/>
          <w:highlight w:val="none"/>
        </w:rPr>
        <w:t xml:space="preserve">养护区域的环境要求：总分值10分。</w:t>
      </w:r>
      <w:r>
        <w:rPr>
          <w:color w:val="000000" w:themeColor="text1"/>
        </w:rPr>
      </w:r>
      <w:r/>
    </w:p>
    <w:p>
      <w:pPr>
        <w:ind w:left="15" w:firstLine="420"/>
        <w:pageBreakBefore w:val="0"/>
        <w:spacing w:line="360" w:lineRule="auto"/>
        <w:rPr>
          <w:rFonts w:hint="eastAsia"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b w:val="0"/>
          <w:bCs w:val="0"/>
          <w:color w:val="000000" w:themeColor="text1"/>
          <w:sz w:val="21"/>
          <w:szCs w:val="21"/>
          <w:highlight w:val="none"/>
          <w:lang w:val="en-US" w:eastAsia="zh-CN"/>
        </w:rPr>
        <w:t xml:space="preserve">7.2.2.1</w:t>
      </w:r>
      <w:r>
        <w:rPr>
          <w:rFonts w:hint="eastAsia" w:ascii="Times New Roman" w:hAnsi="Times New Roman" w:eastAsia="宋体" w:cs="宋体"/>
          <w:b w:val="0"/>
          <w:bCs w:val="0"/>
          <w:color w:val="000000" w:themeColor="text1"/>
          <w:sz w:val="21"/>
          <w:szCs w:val="21"/>
          <w:highlight w:val="none"/>
        </w:rPr>
        <w:t xml:space="preserve">树体上有乱钉、乱挂、乱划、铁丝等现象，视情况扣2—5分。</w:t>
      </w:r>
      <w:r>
        <w:rPr>
          <w:color w:val="000000" w:themeColor="text1"/>
        </w:rPr>
      </w:r>
      <w:r/>
    </w:p>
    <w:p>
      <w:pPr>
        <w:ind w:left="15" w:firstLine="420"/>
        <w:pageBreakBefore w:val="0"/>
        <w:spacing w:line="360" w:lineRule="auto"/>
        <w:rPr>
          <w:rFonts w:hint="eastAsia"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b w:val="0"/>
          <w:bCs w:val="0"/>
          <w:color w:val="000000" w:themeColor="text1"/>
          <w:sz w:val="21"/>
          <w:szCs w:val="21"/>
          <w:highlight w:val="none"/>
          <w:lang w:val="en-US" w:eastAsia="zh-CN"/>
        </w:rPr>
        <w:t xml:space="preserve">7.2.2.2</w:t>
      </w:r>
      <w:r>
        <w:rPr>
          <w:rFonts w:hint="eastAsia" w:ascii="Times New Roman" w:hAnsi="Times New Roman" w:eastAsia="宋体" w:cs="宋体"/>
          <w:b w:val="0"/>
          <w:bCs w:val="0"/>
          <w:color w:val="000000" w:themeColor="text1"/>
          <w:sz w:val="21"/>
          <w:szCs w:val="21"/>
          <w:highlight w:val="none"/>
        </w:rPr>
        <w:t xml:space="preserve">草坪中砖块、碎石等管理人员应随时清除，此类现象根据情况轻重，酌情扣2—5分。</w:t>
      </w:r>
      <w:r>
        <w:rPr>
          <w:color w:val="000000" w:themeColor="text1"/>
        </w:rPr>
      </w:r>
      <w:r/>
    </w:p>
    <w:p>
      <w:pPr>
        <w:ind w:firstLine="422"/>
        <w:pageBreakBefore w:val="0"/>
        <w:spacing w:line="360" w:lineRule="auto"/>
        <w:rPr>
          <w:rFonts w:hint="eastAsia" w:ascii="Times New Roman" w:hAnsi="Times New Roman" w:eastAsia="宋体" w:cs="宋体"/>
          <w:b/>
          <w:bCs/>
          <w:color w:val="000000" w:themeColor="text1"/>
          <w:sz w:val="21"/>
          <w:szCs w:val="21"/>
          <w:highlight w:val="none"/>
        </w:rPr>
      </w:pPr>
      <w:r>
        <w:rPr>
          <w:rFonts w:hint="eastAsia" w:ascii="Times New Roman" w:hAnsi="Times New Roman" w:eastAsia="宋体" w:cs="宋体"/>
          <w:b/>
          <w:bCs/>
          <w:color w:val="000000" w:themeColor="text1"/>
          <w:sz w:val="21"/>
          <w:szCs w:val="21"/>
          <w:highlight w:val="none"/>
          <w:lang w:val="en-US" w:eastAsia="zh-CN"/>
        </w:rPr>
        <w:t xml:space="preserve">7.2.3</w:t>
      </w:r>
      <w:r>
        <w:rPr>
          <w:rFonts w:hint="eastAsia" w:ascii="Times New Roman" w:hAnsi="Times New Roman" w:eastAsia="宋体" w:cs="宋体"/>
          <w:b/>
          <w:bCs/>
          <w:color w:val="000000" w:themeColor="text1"/>
          <w:sz w:val="21"/>
          <w:szCs w:val="21"/>
          <w:highlight w:val="none"/>
        </w:rPr>
        <w:t xml:space="preserve">植物养护：总分值70分。</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7.2.3.1</w:t>
      </w:r>
      <w:r>
        <w:rPr>
          <w:rFonts w:hint="eastAsia" w:ascii="Times New Roman" w:hAnsi="Times New Roman" w:eastAsia="宋体" w:cs="宋体"/>
          <w:color w:val="000000" w:themeColor="text1"/>
          <w:sz w:val="21"/>
          <w:szCs w:val="21"/>
          <w:highlight w:val="none"/>
        </w:rPr>
        <w:t xml:space="preserve">植物浇水。应及时浇水不能出现干旱现象。及时松土，不能出现板结、坑凹。总分10分。</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植物出现旱害或土壤板结，影响植物正常生长；在植物生长季节，植物有明显黄叶、焦叶、卷叶、枯萎叶等现象或因上述原因造成植物死亡的。视情况扣5—10分。</w:t>
      </w:r>
      <w:r>
        <w:rPr>
          <w:color w:val="000000" w:themeColor="text1"/>
        </w:rPr>
      </w:r>
      <w:r/>
    </w:p>
    <w:p>
      <w:pPr>
        <w:ind w:firstLine="420"/>
        <w:pageBreakBefore w:val="0"/>
        <w:spacing w:line="360" w:lineRule="auto"/>
        <w:rPr>
          <w:rFonts w:hint="eastAsia" w:ascii="Times New Roman" w:hAnsi="Times New Roman" w:eastAsia="宋体" w:cs="宋体"/>
          <w:b/>
          <w:bCs/>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7.2.3.2</w:t>
      </w:r>
      <w:r>
        <w:rPr>
          <w:rFonts w:hint="eastAsia" w:ascii="Times New Roman" w:hAnsi="Times New Roman" w:eastAsia="宋体" w:cs="宋体"/>
          <w:color w:val="000000" w:themeColor="text1"/>
          <w:sz w:val="21"/>
          <w:szCs w:val="21"/>
          <w:highlight w:val="none"/>
        </w:rPr>
        <w:t xml:space="preserve">植物施肥。应根据季节及时对植物进行适量施肥促壮。在植物生长季节，养护管理方应根据季节及养护标准，在规定时间内及时对植物进行施肥促壮。在规定时间内未完成施肥或未进行施肥的，将根据实际情况扣5—10分。</w:t>
      </w:r>
      <w:r>
        <w:rPr>
          <w:color w:val="000000" w:themeColor="text1"/>
        </w:rPr>
      </w:r>
      <w:r/>
    </w:p>
    <w:p>
      <w:pPr>
        <w:ind w:firstLine="420"/>
        <w:pageBreakBefore w:val="0"/>
        <w:spacing w:line="360" w:lineRule="auto"/>
        <w:rPr>
          <w:rFonts w:hint="eastAsia" w:ascii="Times New Roman" w:hAnsi="Times New Roman" w:eastAsia="宋体" w:cs="宋体"/>
          <w:bCs/>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7.2.3.3</w:t>
      </w:r>
      <w:r>
        <w:rPr>
          <w:rFonts w:hint="eastAsia" w:ascii="Times New Roman" w:hAnsi="Times New Roman" w:eastAsia="宋体" w:cs="宋体"/>
          <w:color w:val="000000" w:themeColor="text1"/>
          <w:sz w:val="21"/>
          <w:szCs w:val="21"/>
          <w:highlight w:val="none"/>
        </w:rPr>
        <w:t xml:space="preserve">植物修剪。</w:t>
      </w:r>
      <w:r>
        <w:rPr>
          <w:rFonts w:hint="eastAsia" w:ascii="Times New Roman" w:hAnsi="Times New Roman" w:eastAsia="宋体" w:cs="宋体"/>
          <w:bCs/>
          <w:color w:val="000000" w:themeColor="text1"/>
          <w:sz w:val="21"/>
          <w:szCs w:val="21"/>
          <w:highlight w:val="none"/>
        </w:rPr>
        <w:t xml:space="preserve">植物及时修剪（草坪、绿篱修剪整齐、到位，花灌木、乔木无残花败絮、无干枯枝劈裂枝及死株），在相应季节，对植物进行合理修剪，未及时修剪或修剪不到位的，视情况扣分；不按照植物相应规范、习性进行整形修剪的，视情况扣分，本项最高扣15分</w:t>
      </w:r>
      <w:r>
        <w:rPr>
          <w:color w:val="000000" w:themeColor="text1"/>
        </w:rPr>
      </w:r>
      <w:r/>
    </w:p>
    <w:p>
      <w:pPr>
        <w:ind w:firstLine="420"/>
        <w:pageBreakBefore w:val="0"/>
        <w:spacing w:line="360" w:lineRule="auto"/>
        <w:rPr>
          <w:rFonts w:hint="eastAsia" w:ascii="Times New Roman" w:hAnsi="Times New Roman" w:eastAsia="宋体" w:cs="宋体"/>
          <w:bCs/>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7.2.3.4</w:t>
      </w:r>
      <w:r>
        <w:rPr>
          <w:rFonts w:hint="eastAsia" w:ascii="Times New Roman" w:hAnsi="Times New Roman" w:eastAsia="宋体" w:cs="宋体"/>
          <w:bCs/>
          <w:color w:val="000000" w:themeColor="text1"/>
          <w:sz w:val="21"/>
          <w:szCs w:val="21"/>
          <w:highlight w:val="none"/>
        </w:rPr>
        <w:t xml:space="preserve">草坪斑秃，绿篱断垄，乔灌木死、缺株，枯萎水生植物未及时清理，出现以上情况，未及时整改或整改不到位，视情况酌情扣分，最高扣10分。</w:t>
      </w:r>
      <w:r>
        <w:rPr>
          <w:color w:val="000000" w:themeColor="text1"/>
        </w:rPr>
      </w:r>
      <w:r/>
    </w:p>
    <w:p>
      <w:pPr>
        <w:ind w:firstLine="420"/>
        <w:pageBreakBefore w:val="0"/>
        <w:spacing w:line="360" w:lineRule="auto"/>
        <w:rPr>
          <w:rFonts w:hint="eastAsia" w:ascii="Times New Roman" w:hAnsi="Times New Roman" w:eastAsia="宋体" w:cs="宋体"/>
          <w:bCs/>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7.2.3.5</w:t>
      </w:r>
      <w:r>
        <w:rPr>
          <w:rFonts w:hint="eastAsia" w:ascii="Times New Roman" w:hAnsi="Times New Roman" w:eastAsia="宋体" w:cs="宋体"/>
          <w:bCs/>
          <w:color w:val="000000" w:themeColor="text1"/>
          <w:sz w:val="21"/>
          <w:szCs w:val="21"/>
          <w:highlight w:val="none"/>
        </w:rPr>
        <w:t xml:space="preserve">草坪、绿篱内及时清除杂草，杂草明显，影响景观的最高扣5分。</w:t>
      </w:r>
      <w:r>
        <w:rPr>
          <w:color w:val="000000" w:themeColor="text1"/>
        </w:rPr>
      </w:r>
      <w:r/>
    </w:p>
    <w:p>
      <w:pPr>
        <w:ind w:firstLine="420"/>
        <w:pageBreakBefore w:val="0"/>
        <w:spacing w:line="360" w:lineRule="auto"/>
        <w:rPr>
          <w:rFonts w:hint="eastAsia" w:ascii="Times New Roman" w:hAnsi="Times New Roman" w:eastAsia="宋体" w:cs="宋体"/>
          <w:bCs/>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7.2.3.6</w:t>
      </w:r>
      <w:r>
        <w:rPr>
          <w:rFonts w:hint="eastAsia" w:ascii="Times New Roman" w:hAnsi="Times New Roman" w:eastAsia="宋体" w:cs="宋体"/>
          <w:bCs/>
          <w:color w:val="000000" w:themeColor="text1"/>
          <w:sz w:val="21"/>
          <w:szCs w:val="21"/>
          <w:highlight w:val="none"/>
        </w:rPr>
        <w:t xml:space="preserve">园内无病虫害。应建立病虫害预防监测机制，病虫害发生季节时，应以提前预防为主；养护管理方应做好病虫害的日常监测工作，并及时与瘦西湖园林绿化部联系，上报监测情况。因监测不到位、上报不及时、处理不到位导致病虫害发生的，根据病虫害爆发程度，酌情扣5—10分。</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7.2.3.7</w:t>
      </w:r>
      <w:r>
        <w:rPr>
          <w:rFonts w:hint="eastAsia" w:ascii="Times New Roman" w:hAnsi="Times New Roman" w:eastAsia="宋体" w:cs="宋体"/>
          <w:color w:val="000000" w:themeColor="text1"/>
          <w:sz w:val="21"/>
          <w:szCs w:val="21"/>
          <w:highlight w:val="none"/>
        </w:rPr>
        <w:t xml:space="preserve">树穴中无杂草，及时松土，不板结，规整美观；草坪及时切边，宽度一致。未整理或整理不到位最高扣5分。</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以上三大项每大项扣分总值不大于该大项总分值。</w:t>
      </w:r>
      <w:r>
        <w:rPr>
          <w:color w:val="000000" w:themeColor="text1"/>
        </w:rPr>
      </w:r>
      <w:r/>
    </w:p>
    <w:p>
      <w:pPr>
        <w:numPr>
          <w:ilvl w:val="0"/>
          <w:numId w:val="0"/>
        </w:numPr>
        <w:ind w:firstLine="420"/>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bidi="ar-SA"/>
        </w:rPr>
        <w:t xml:space="preserve">7.2.4</w:t>
      </w:r>
      <w:r>
        <w:rPr>
          <w:rFonts w:hint="eastAsia" w:ascii="Times New Roman" w:hAnsi="Times New Roman" w:eastAsia="宋体" w:cs="宋体"/>
          <w:color w:val="000000" w:themeColor="text1"/>
          <w:sz w:val="21"/>
          <w:szCs w:val="21"/>
          <w:highlight w:val="none"/>
        </w:rPr>
        <w:t xml:space="preserve">养护承包单位在日常养护工作中，应积极配合招标人做好各种迎检工作。在迎检工作中，如因养护承包单位原因，致使招标人被区级部门扣分的，招标人将给予养护单位双倍扣分的处罚；致使招标人被市级及市级以上部门扣分的，招标人将给予养护单位三倍扣分的处罚。</w:t>
      </w:r>
      <w:r>
        <w:rPr>
          <w:color w:val="000000" w:themeColor="text1"/>
        </w:rPr>
      </w:r>
      <w:r/>
    </w:p>
    <w:p>
      <w:pPr>
        <w:ind w:firstLine="420"/>
        <w:pageBreakBefore w:val="0"/>
        <w:spacing w:line="360" w:lineRule="auto"/>
        <w:rPr>
          <w:rFonts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因养护管理不当，出现以下情况的，每次加扣三分：</w:t>
      </w:r>
      <w:r>
        <w:rPr>
          <w:color w:val="000000" w:themeColor="text1"/>
        </w:rPr>
      </w:r>
      <w:r/>
    </w:p>
    <w:p>
      <w:pPr>
        <w:ind w:firstLine="420"/>
        <w:pageBreakBefore w:val="0"/>
        <w:spacing w:line="360" w:lineRule="auto"/>
        <w:rPr>
          <w:rFonts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bidi="ar-SA"/>
        </w:rPr>
        <w:t xml:space="preserve">7.2.4.1</w:t>
      </w:r>
      <w:r>
        <w:rPr>
          <w:rFonts w:hint="eastAsia" w:ascii="Times New Roman" w:hAnsi="Times New Roman" w:eastAsia="宋体" w:cs="宋体"/>
          <w:color w:val="000000" w:themeColor="text1"/>
          <w:sz w:val="21"/>
          <w:szCs w:val="21"/>
          <w:highlight w:val="none"/>
        </w:rPr>
        <w:t xml:space="preserve">受到上级领导点名批评、情节严重的；</w:t>
      </w:r>
      <w:r>
        <w:rPr>
          <w:color w:val="000000" w:themeColor="text1"/>
        </w:rPr>
      </w:r>
      <w:r/>
    </w:p>
    <w:p>
      <w:pPr>
        <w:ind w:firstLine="420"/>
        <w:pageBreakBefore w:val="0"/>
        <w:spacing w:line="360" w:lineRule="auto"/>
        <w:rPr>
          <w:rFonts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bidi="ar-SA"/>
        </w:rPr>
        <w:t xml:space="preserve">7.2.4.2</w:t>
      </w:r>
      <w:r>
        <w:rPr>
          <w:rFonts w:hint="eastAsia" w:ascii="Times New Roman" w:hAnsi="Times New Roman" w:eastAsia="宋体" w:cs="宋体"/>
          <w:color w:val="000000" w:themeColor="text1"/>
          <w:sz w:val="21"/>
          <w:szCs w:val="21"/>
          <w:highlight w:val="none"/>
        </w:rPr>
        <w:t xml:space="preserve">经媒体曝光查实的；</w:t>
      </w:r>
      <w:r>
        <w:rPr>
          <w:color w:val="000000" w:themeColor="text1"/>
        </w:rPr>
      </w:r>
      <w:r/>
    </w:p>
    <w:p>
      <w:pPr>
        <w:ind w:firstLine="420"/>
        <w:pageBreakBefore w:val="0"/>
        <w:spacing w:line="360" w:lineRule="auto"/>
        <w:rPr>
          <w:rFonts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bidi="ar-SA"/>
        </w:rPr>
        <w:t xml:space="preserve">7.2.4.3</w:t>
      </w:r>
      <w:r>
        <w:rPr>
          <w:rFonts w:hint="eastAsia" w:ascii="Times New Roman" w:hAnsi="Times New Roman" w:eastAsia="宋体" w:cs="宋体"/>
          <w:color w:val="000000" w:themeColor="text1"/>
          <w:sz w:val="21"/>
          <w:szCs w:val="21"/>
          <w:highlight w:val="none"/>
        </w:rPr>
        <w:t xml:space="preserve">群众举报查实的；</w:t>
      </w:r>
      <w:r>
        <w:rPr>
          <w:color w:val="000000" w:themeColor="text1"/>
        </w:rPr>
      </w:r>
      <w:r/>
    </w:p>
    <w:p>
      <w:pPr>
        <w:ind w:firstLine="422"/>
        <w:pageBreakBefore w:val="0"/>
        <w:spacing w:line="360" w:lineRule="auto"/>
        <w:rPr>
          <w:rFonts w:hint="eastAsia" w:ascii="Times New Roman" w:hAnsi="Times New Roman" w:eastAsia="宋体" w:cs="宋体"/>
          <w:b/>
          <w:bCs/>
          <w:color w:val="000000" w:themeColor="text1"/>
          <w:sz w:val="21"/>
          <w:szCs w:val="21"/>
          <w:highlight w:val="none"/>
        </w:rPr>
      </w:pPr>
      <w:r>
        <w:rPr>
          <w:rFonts w:hint="eastAsia" w:ascii="Times New Roman" w:hAnsi="Times New Roman" w:eastAsia="宋体" w:cs="宋体"/>
          <w:b/>
          <w:bCs/>
          <w:color w:val="000000" w:themeColor="text1"/>
          <w:sz w:val="21"/>
          <w:szCs w:val="21"/>
          <w:highlight w:val="none"/>
          <w:lang w:val="en-US" w:eastAsia="zh-CN"/>
        </w:rPr>
        <w:t xml:space="preserve">7</w:t>
      </w:r>
      <w:r>
        <w:rPr>
          <w:rFonts w:hint="eastAsia" w:ascii="Times New Roman" w:hAnsi="Times New Roman" w:eastAsia="宋体" w:cs="宋体"/>
          <w:b/>
          <w:bCs/>
          <w:color w:val="000000" w:themeColor="text1"/>
          <w:sz w:val="21"/>
          <w:szCs w:val="21"/>
          <w:highlight w:val="none"/>
        </w:rPr>
        <w:t xml:space="preserve">.3奖惩</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7.3.1</w:t>
      </w:r>
      <w:r>
        <w:rPr>
          <w:rFonts w:hint="eastAsia" w:ascii="Times New Roman" w:hAnsi="Times New Roman" w:eastAsia="宋体" w:cs="宋体"/>
          <w:color w:val="000000" w:themeColor="text1"/>
          <w:sz w:val="21"/>
          <w:szCs w:val="21"/>
          <w:highlight w:val="none"/>
        </w:rPr>
        <w:t xml:space="preserve">奖励。</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合同履行过程中，养护承包单位考核符合合同约定标准，依据招标文件要求可以</w:t>
      </w:r>
      <w:r>
        <w:rPr>
          <w:rFonts w:hint="eastAsia" w:ascii="Times New Roman" w:hAnsi="Times New Roman" w:eastAsia="宋体" w:cs="宋体"/>
          <w:color w:val="000000" w:themeColor="text1"/>
          <w:sz w:val="21"/>
          <w:szCs w:val="21"/>
          <w:highlight w:val="none"/>
          <w:lang w:val="en-US" w:eastAsia="zh-CN"/>
        </w:rPr>
        <w:t xml:space="preserve">签订下一年度</w:t>
      </w:r>
      <w:r>
        <w:rPr>
          <w:rFonts w:hint="eastAsia" w:ascii="Times New Roman" w:hAnsi="Times New Roman" w:eastAsia="宋体" w:cs="宋体"/>
          <w:color w:val="000000" w:themeColor="text1"/>
          <w:sz w:val="21"/>
          <w:szCs w:val="21"/>
          <w:highlight w:val="none"/>
        </w:rPr>
        <w:t xml:space="preserve">养护合同，</w:t>
      </w:r>
      <w:r>
        <w:rPr>
          <w:rFonts w:hint="eastAsia" w:ascii="Times New Roman" w:hAnsi="Times New Roman" w:eastAsia="宋体" w:cs="宋体"/>
          <w:color w:val="000000" w:themeColor="text1"/>
          <w:sz w:val="21"/>
          <w:szCs w:val="21"/>
          <w:highlight w:val="none"/>
          <w:lang w:val="en-US" w:eastAsia="zh-CN"/>
        </w:rPr>
        <w:t xml:space="preserve">连续</w:t>
      </w:r>
      <w:r>
        <w:rPr>
          <w:rFonts w:hint="eastAsia" w:ascii="Times New Roman" w:hAnsi="Times New Roman" w:eastAsia="宋体" w:cs="宋体"/>
          <w:color w:val="000000" w:themeColor="text1"/>
          <w:sz w:val="21"/>
          <w:szCs w:val="21"/>
          <w:highlight w:val="none"/>
        </w:rPr>
        <w:t xml:space="preserve">不超过二次。</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7.3.2</w:t>
      </w:r>
      <w:r>
        <w:rPr>
          <w:rFonts w:hint="eastAsia" w:ascii="Times New Roman" w:hAnsi="Times New Roman" w:eastAsia="宋体" w:cs="宋体"/>
          <w:color w:val="000000" w:themeColor="text1"/>
          <w:sz w:val="21"/>
          <w:szCs w:val="21"/>
          <w:highlight w:val="none"/>
        </w:rPr>
        <w:t xml:space="preserve">处罚</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7.3.2.1</w:t>
      </w:r>
      <w:r>
        <w:rPr>
          <w:rFonts w:hint="eastAsia" w:ascii="Times New Roman" w:hAnsi="Times New Roman" w:eastAsia="宋体" w:cs="宋体"/>
          <w:color w:val="000000" w:themeColor="text1"/>
          <w:sz w:val="21"/>
          <w:szCs w:val="21"/>
          <w:highlight w:val="none"/>
        </w:rPr>
        <w:t xml:space="preserve">由瘦西湖景区绿化管理部下发整改通知单的问题，应在规定期限内整改完毕；限期内未整改或未整改到位的，招标人将派出人员进行处理，所产生一切费用，在养护单位当月养护经费中扣除。</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7.3.2.2</w:t>
      </w:r>
      <w:r>
        <w:rPr>
          <w:rFonts w:hint="eastAsia" w:ascii="Times New Roman" w:hAnsi="Times New Roman" w:eastAsia="宋体" w:cs="宋体"/>
          <w:bCs/>
          <w:color w:val="000000" w:themeColor="text1"/>
          <w:sz w:val="21"/>
          <w:szCs w:val="21"/>
          <w:highlight w:val="none"/>
        </w:rPr>
        <w:t xml:space="preserve">验收考核不得低于95分，低于95分每低一分处罚养护承包单位</w:t>
      </w:r>
      <w:r>
        <w:rPr>
          <w:rFonts w:hint="eastAsia" w:ascii="Times New Roman" w:hAnsi="Times New Roman" w:eastAsia="宋体" w:cs="宋体"/>
          <w:bCs/>
          <w:color w:val="000000" w:themeColor="text1"/>
          <w:sz w:val="21"/>
          <w:szCs w:val="21"/>
          <w:highlight w:val="none"/>
          <w:lang w:val="en-US" w:eastAsia="zh-CN"/>
        </w:rPr>
        <w:t xml:space="preserve">2</w:t>
      </w:r>
      <w:r>
        <w:rPr>
          <w:rFonts w:hint="eastAsia" w:ascii="Times New Roman" w:hAnsi="Times New Roman" w:eastAsia="宋体" w:cs="宋体"/>
          <w:bCs/>
          <w:color w:val="000000" w:themeColor="text1"/>
          <w:sz w:val="21"/>
          <w:szCs w:val="21"/>
          <w:highlight w:val="none"/>
        </w:rPr>
        <w:t xml:space="preserve">000元</w:t>
      </w:r>
      <w:r>
        <w:rPr>
          <w:rFonts w:hint="eastAsia" w:ascii="Times New Roman" w:hAnsi="Times New Roman" w:eastAsia="宋体" w:cs="宋体"/>
          <w:color w:val="000000" w:themeColor="text1"/>
          <w:sz w:val="21"/>
          <w:szCs w:val="21"/>
          <w:highlight w:val="none"/>
        </w:rPr>
        <w:t xml:space="preserve">标准执行，罚金在该月养护经费中扣除。</w:t>
      </w:r>
      <w:r>
        <w:rPr>
          <w:color w:val="000000" w:themeColor="text1"/>
        </w:rPr>
      </w:r>
      <w:r/>
    </w:p>
    <w:p>
      <w:pPr>
        <w:ind w:firstLine="420"/>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7.3.2.3</w:t>
      </w:r>
      <w:r>
        <w:rPr>
          <w:rFonts w:hint="eastAsia" w:ascii="Times New Roman" w:hAnsi="Times New Roman" w:eastAsia="宋体" w:cs="宋体"/>
          <w:color w:val="000000" w:themeColor="text1"/>
          <w:sz w:val="21"/>
          <w:szCs w:val="21"/>
          <w:highlight w:val="none"/>
        </w:rPr>
        <w:t xml:space="preserve">因养护承包单位原因在养护期内造成景区树木死亡的，养护承包单位应照价赔偿或者自行补栽相对应的植物，且质量、规格、数量必须经绿化管理部认可；限期内未整改或未整改到位的，招标人将派出人员进行处理，所产生一切费用，在养护单位当月养护经费中扣除。</w:t>
      </w:r>
      <w:r>
        <w:rPr>
          <w:color w:val="000000" w:themeColor="text1"/>
        </w:rPr>
      </w:r>
      <w:r/>
    </w:p>
    <w:p>
      <w:pPr>
        <w:ind w:firstLine="420"/>
        <w:pageBreakBefore w:val="0"/>
        <w:spacing w:line="360" w:lineRule="auto"/>
        <w:rPr>
          <w:rFonts w:hint="eastAsia" w:ascii="Times New Roman" w:hAnsi="Times New Roman" w:eastAsia="宋体" w:cs="宋体"/>
          <w:bCs/>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7.3.2.4</w:t>
      </w:r>
      <w:r>
        <w:rPr>
          <w:rFonts w:hint="eastAsia" w:ascii="Times New Roman" w:hAnsi="Times New Roman" w:eastAsia="宋体" w:cs="宋体"/>
          <w:bCs/>
          <w:color w:val="000000" w:themeColor="text1"/>
          <w:sz w:val="21"/>
          <w:szCs w:val="21"/>
          <w:highlight w:val="none"/>
        </w:rPr>
        <w:t xml:space="preserve">每天养护范围内养护人员需严格按照采购需求养护片区所规定的人数配置。如发现少于规定人数的30％，则扣除当天的养护费用；如一个月内检查发现5次人数不够，则该月的养护费用不予发放。（进入景区绿化养护人员需提供健康证明，绿化养护合同履行过程中因采购人原因发生意外情况一切责任由供应商承担，与招标人无关，对不符合招标文件标准的养护人员不计入养护人数）</w:t>
      </w:r>
      <w:r>
        <w:rPr>
          <w:color w:val="000000" w:themeColor="text1"/>
        </w:rPr>
      </w:r>
      <w:r/>
    </w:p>
    <w:p>
      <w:pPr>
        <w:ind w:firstLine="420"/>
        <w:pageBreakBefore w:val="0"/>
        <w:spacing w:line="360" w:lineRule="auto"/>
        <w:rPr>
          <w:rFonts w:hint="eastAsia" w:ascii="Times New Roman" w:hAnsi="Times New Roman" w:eastAsia="宋体"/>
          <w:b/>
          <w:bCs/>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7.3.2.5</w:t>
      </w:r>
      <w:r>
        <w:rPr>
          <w:rFonts w:hint="eastAsia" w:ascii="Times New Roman" w:hAnsi="Times New Roman" w:eastAsia="宋体" w:cs="宋体"/>
          <w:b/>
          <w:bCs/>
          <w:color w:val="000000" w:themeColor="text1"/>
          <w:sz w:val="21"/>
          <w:szCs w:val="21"/>
          <w:highlight w:val="none"/>
        </w:rPr>
        <w:t xml:space="preserve">★月度考核中养护</w:t>
      </w:r>
      <w:r>
        <w:rPr>
          <w:rFonts w:hint="eastAsia" w:ascii="Times New Roman" w:hAnsi="Times New Roman" w:eastAsia="宋体" w:cs="宋体"/>
          <w:b/>
          <w:bCs/>
          <w:color w:val="000000" w:themeColor="text1"/>
          <w:sz w:val="21"/>
          <w:szCs w:val="21"/>
          <w:highlight w:val="none"/>
          <w:lang w:val="en-US" w:eastAsia="zh-CN"/>
        </w:rPr>
        <w:t xml:space="preserve">部分</w:t>
      </w:r>
      <w:r>
        <w:rPr>
          <w:rFonts w:hint="eastAsia" w:ascii="Times New Roman" w:hAnsi="Times New Roman" w:eastAsia="宋体" w:cs="宋体"/>
          <w:b/>
          <w:bCs/>
          <w:color w:val="000000" w:themeColor="text1"/>
          <w:sz w:val="21"/>
          <w:szCs w:val="21"/>
          <w:highlight w:val="none"/>
        </w:rPr>
        <w:t xml:space="preserve">有三次分值低于88分的，或养护标段连续有二次分值低于85分的或有一次分值低于80分的，招标人有权终止服务合同。</w:t>
      </w:r>
      <w:r>
        <w:rPr>
          <w:color w:val="000000" w:themeColor="text1"/>
        </w:rPr>
      </w:r>
      <w:r/>
    </w:p>
    <w:p>
      <w:pPr>
        <w:numPr>
          <w:ilvl w:val="0"/>
          <w:numId w:val="0"/>
        </w:numPr>
        <w:ind w:firstLine="480"/>
        <w:keepLines w:val="0"/>
        <w:keepNext w:val="0"/>
        <w:pageBreakBefore w:val="0"/>
        <w:spacing w:line="360" w:lineRule="auto"/>
        <w:widowControl w:val="off"/>
        <w:rPr>
          <w:rFonts w:hint="default" w:ascii="Times New Roman" w:hAnsi="Times New Roman" w:eastAsia="宋体"/>
          <w:b/>
          <w:bCs/>
          <w:color w:val="000000" w:themeColor="text1"/>
          <w:sz w:val="21"/>
          <w:szCs w:val="21"/>
          <w:highlight w:val="none"/>
        </w:rPr>
        <w:outlineLvl w:val="9"/>
      </w:pPr>
      <w:r>
        <w:rPr>
          <w:rFonts w:hint="eastAsia" w:ascii="Times New Roman" w:hAnsi="Times New Roman" w:eastAsia="宋体"/>
          <w:b/>
          <w:bCs/>
          <w:color w:val="000000" w:themeColor="text1"/>
          <w:sz w:val="21"/>
          <w:szCs w:val="21"/>
          <w:highlight w:val="none"/>
          <w:lang w:val="en-US" w:eastAsia="zh-CN"/>
        </w:rPr>
        <w:t xml:space="preserve">八、绿化养护费用</w:t>
      </w:r>
      <w:r>
        <w:rPr>
          <w:color w:val="000000" w:themeColor="text1"/>
        </w:rPr>
      </w:r>
      <w:r/>
    </w:p>
    <w:p>
      <w:pPr>
        <w:numPr>
          <w:ilvl w:val="0"/>
          <w:numId w:val="0"/>
        </w:numPr>
        <w:ind w:firstLine="48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lang w:val="en-US" w:eastAsia="zh-CN"/>
        </w:rPr>
        <w:t xml:space="preserve">绿化养护费包括完成招标范围内绿化养护所需的人工费、机械费、药剂费、管理费、利润、税金等全部费用。按照招标文件养护标准，绿化养护人工机械费实行平方单价包干。药剂费按招标人确认的实际使用数量和中标单价结算，遇无单价项目时按招标人确认价格结算。</w:t>
      </w:r>
      <w:r>
        <w:rPr>
          <w:color w:val="000000" w:themeColor="text1"/>
        </w:rPr>
      </w:r>
      <w:r/>
    </w:p>
    <w:p>
      <w:pPr>
        <w:numPr>
          <w:ilvl w:val="0"/>
          <w:numId w:val="0"/>
        </w:numPr>
        <w:ind w:firstLine="48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lang w:val="en-US" w:eastAsia="zh-CN"/>
        </w:rPr>
        <w:t xml:space="preserve">招标文件绿化养护面积为景区绿化测绘面积，结算时不再调整。</w:t>
      </w:r>
      <w:r>
        <w:rPr>
          <w:color w:val="000000" w:themeColor="text1"/>
        </w:rPr>
      </w:r>
      <w:r/>
    </w:p>
    <w:p>
      <w:pPr>
        <w:numPr>
          <w:ilvl w:val="0"/>
          <w:numId w:val="0"/>
        </w:numPr>
        <w:ind w:firstLine="48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lang w:val="en-US" w:eastAsia="zh-CN"/>
        </w:rPr>
        <w:t xml:space="preserve">绿化养护人工、机械费平方单价包括但不限于：招标范围内的绿化养护人工工资（包括投标人为员工依法缴纳的相关费用）、机械费（包括耗材）、垃圾清理费、管理费、利润、税金，以及投标人为保证达到招标文件绿化养护标准所采取的其它措施费等。</w:t>
      </w:r>
      <w:r>
        <w:rPr>
          <w:color w:val="000000" w:themeColor="text1"/>
        </w:rPr>
      </w:r>
      <w:r/>
    </w:p>
    <w:p>
      <w:pPr>
        <w:numPr>
          <w:ilvl w:val="0"/>
          <w:numId w:val="0"/>
        </w:numPr>
        <w:ind w:firstLine="48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lang w:val="en-US" w:eastAsia="zh-CN"/>
        </w:rPr>
        <w:t xml:space="preserve">病虫害防治、施肥的人工费用包括在绿化养护平方单价内。</w:t>
      </w:r>
      <w:r>
        <w:rPr>
          <w:color w:val="000000" w:themeColor="text1"/>
        </w:rPr>
      </w:r>
      <w:r/>
    </w:p>
    <w:p>
      <w:pPr>
        <w:numPr>
          <w:ilvl w:val="0"/>
          <w:numId w:val="0"/>
        </w:numPr>
        <w:ind w:firstLine="48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lang w:val="en-US" w:eastAsia="zh-CN"/>
        </w:rPr>
        <w:t xml:space="preserve">病虫害防治药剂按实际采购数量和中标单价结算，招标人不接受不平衡报价，当中标单价与市场行情不符时，招标人有权按市场行情价格结算。</w:t>
      </w:r>
      <w:r>
        <w:rPr>
          <w:color w:val="000000" w:themeColor="text1"/>
        </w:rPr>
      </w:r>
      <w:r/>
    </w:p>
    <w:p>
      <w:pPr>
        <w:numPr>
          <w:ilvl w:val="0"/>
          <w:numId w:val="0"/>
        </w:numPr>
        <w:ind w:firstLine="480"/>
        <w:keepLines w:val="0"/>
        <w:keepNext w:val="0"/>
        <w:pageBreakBefore w:val="0"/>
        <w:spacing w:line="360" w:lineRule="auto"/>
        <w:widowControl w:val="off"/>
        <w:rPr>
          <w:rFonts w:hint="eastAsia" w:ascii="Times New Roman" w:hAnsi="Times New Roman" w:eastAsia="宋体"/>
          <w:color w:val="000000" w:themeColor="text1"/>
          <w:sz w:val="21"/>
          <w:szCs w:val="21"/>
          <w:highlight w:val="none"/>
        </w:rPr>
        <w:outlineLvl w:val="9"/>
      </w:pPr>
      <w:r>
        <w:rPr>
          <w:rFonts w:hint="eastAsia" w:ascii="Times New Roman" w:hAnsi="Times New Roman" w:eastAsia="宋体"/>
          <w:color w:val="000000" w:themeColor="text1"/>
          <w:sz w:val="21"/>
          <w:szCs w:val="21"/>
          <w:highlight w:val="none"/>
          <w:lang w:val="en-US" w:eastAsia="zh-CN"/>
        </w:rPr>
        <w:t xml:space="preserve">若投标人为保证达到绿化养护标准实际投入的养护人员数量超过本方案要求的人数，养护费用不增加。</w:t>
      </w:r>
      <w:r>
        <w:rPr>
          <w:color w:val="000000" w:themeColor="text1"/>
        </w:rPr>
      </w:r>
      <w:r/>
    </w:p>
    <w:p>
      <w:pPr>
        <w:numPr>
          <w:ilvl w:val="0"/>
          <w:numId w:val="0"/>
        </w:numPr>
        <w:ind w:left="0" w:firstLine="422"/>
        <w:keepLines w:val="0"/>
        <w:keepNext w:val="0"/>
        <w:pageBreakBefore w:val="0"/>
        <w:spacing w:line="360" w:lineRule="auto"/>
        <w:widowControl w:val="off"/>
        <w:rPr>
          <w:rFonts w:hint="eastAsia" w:ascii="Times New Roman" w:hAnsi="Times New Roman" w:eastAsia="宋体"/>
          <w:b/>
          <w:bCs/>
          <w:color w:val="000000" w:themeColor="text1"/>
          <w:sz w:val="21"/>
          <w:szCs w:val="21"/>
          <w:highlight w:val="none"/>
        </w:rPr>
        <w:outlineLvl w:val="9"/>
      </w:pPr>
      <w:r>
        <w:rPr>
          <w:rFonts w:hint="eastAsia" w:ascii="Times New Roman" w:hAnsi="Times New Roman" w:eastAsia="宋体" w:cs="Times New Roman"/>
          <w:b/>
          <w:bCs/>
          <w:color w:val="000000" w:themeColor="text1"/>
          <w:sz w:val="21"/>
          <w:szCs w:val="21"/>
          <w:highlight w:val="none"/>
          <w:lang w:val="en-US" w:eastAsia="zh-CN" w:bidi="ar-SA"/>
        </w:rPr>
        <w:t xml:space="preserve">九、</w:t>
      </w:r>
      <w:r>
        <w:rPr>
          <w:rFonts w:hint="eastAsia" w:ascii="Times New Roman" w:hAnsi="Times New Roman" w:eastAsia="宋体"/>
          <w:b/>
          <w:bCs/>
          <w:color w:val="000000" w:themeColor="text1"/>
          <w:sz w:val="21"/>
          <w:szCs w:val="21"/>
          <w:highlight w:val="none"/>
          <w:lang w:val="en-US" w:eastAsia="zh-CN"/>
        </w:rPr>
        <w:t xml:space="preserve">付款方式</w:t>
      </w:r>
      <w:r>
        <w:rPr>
          <w:color w:val="000000" w:themeColor="text1"/>
        </w:rPr>
      </w:r>
      <w:r/>
    </w:p>
    <w:p>
      <w:pPr>
        <w:numPr>
          <w:ilvl w:val="0"/>
          <w:numId w:val="0"/>
        </w:numPr>
        <w:ind w:firstLine="480"/>
        <w:keepLines w:val="0"/>
        <w:keepNext w:val="0"/>
        <w:pageBreakBefore w:val="0"/>
        <w:spacing w:line="360" w:lineRule="auto"/>
        <w:widowControl w:val="off"/>
        <w:rPr>
          <w:rFonts w:hint="eastAsia" w:ascii="Times New Roman" w:hAnsi="Times New Roman" w:eastAsia="宋体"/>
          <w:b w:val="0"/>
          <w:bCs w:val="0"/>
          <w:color w:val="000000" w:themeColor="text1"/>
          <w:sz w:val="21"/>
          <w:szCs w:val="21"/>
          <w:highlight w:val="none"/>
        </w:rPr>
        <w:outlineLvl w:val="9"/>
      </w:pPr>
      <w:r>
        <w:rPr>
          <w:rFonts w:hint="eastAsia" w:ascii="Times New Roman" w:hAnsi="Times New Roman" w:eastAsia="宋体"/>
          <w:b w:val="0"/>
          <w:bCs w:val="0"/>
          <w:color w:val="000000" w:themeColor="text1"/>
          <w:sz w:val="21"/>
          <w:szCs w:val="21"/>
          <w:highlight w:val="none"/>
          <w:lang w:val="en-US" w:eastAsia="zh-CN"/>
        </w:rPr>
        <w:t xml:space="preserve">（1）合同签订后，中标人向招标人开具发票，招标人自收到发票之日起10个工作日内支付合同金额30%的预付款。</w:t>
      </w:r>
      <w:r>
        <w:rPr>
          <w:color w:val="000000" w:themeColor="text1"/>
        </w:rPr>
      </w:r>
      <w:r/>
    </w:p>
    <w:p>
      <w:pPr>
        <w:numPr>
          <w:ilvl w:val="0"/>
          <w:numId w:val="0"/>
        </w:numPr>
        <w:ind w:firstLine="480"/>
        <w:keepLines w:val="0"/>
        <w:keepNext w:val="0"/>
        <w:pageBreakBefore w:val="0"/>
        <w:spacing w:line="360" w:lineRule="auto"/>
        <w:widowControl w:val="off"/>
        <w:rPr>
          <w:rFonts w:hint="eastAsia" w:ascii="Times New Roman" w:hAnsi="Times New Roman" w:eastAsia="宋体"/>
          <w:b w:val="0"/>
          <w:bCs w:val="0"/>
          <w:color w:val="000000" w:themeColor="text1"/>
          <w:sz w:val="21"/>
          <w:szCs w:val="21"/>
          <w:highlight w:val="none"/>
        </w:rPr>
        <w:outlineLvl w:val="9"/>
      </w:pPr>
      <w:r>
        <w:rPr>
          <w:rFonts w:hint="eastAsia" w:ascii="Times New Roman" w:hAnsi="Times New Roman" w:eastAsia="宋体"/>
          <w:b w:val="0"/>
          <w:bCs w:val="0"/>
          <w:color w:val="000000" w:themeColor="text1"/>
          <w:sz w:val="21"/>
          <w:szCs w:val="21"/>
          <w:highlight w:val="none"/>
          <w:lang w:val="en-US" w:eastAsia="zh-CN"/>
        </w:rPr>
        <w:t xml:space="preserve">（2）服务开始后每半年结算一次，招标人自收到发票后10个工作日内支付（首次支付半年期结算款时扣除预付款）</w:t>
      </w:r>
      <w:r>
        <w:rPr>
          <w:color w:val="000000" w:themeColor="text1"/>
        </w:rPr>
      </w:r>
      <w:r/>
    </w:p>
    <w:p>
      <w:pPr>
        <w:numPr>
          <w:ilvl w:val="0"/>
          <w:numId w:val="0"/>
        </w:numPr>
        <w:ind w:firstLine="480"/>
        <w:keepLines w:val="0"/>
        <w:keepNext w:val="0"/>
        <w:pageBreakBefore w:val="0"/>
        <w:spacing w:line="360" w:lineRule="auto"/>
        <w:widowControl w:val="off"/>
        <w:rPr>
          <w:rFonts w:hint="eastAsia" w:ascii="Times New Roman" w:hAnsi="Times New Roman" w:eastAsia="宋体"/>
          <w:b w:val="0"/>
          <w:bCs w:val="0"/>
          <w:color w:val="000000" w:themeColor="text1"/>
          <w:sz w:val="21"/>
          <w:szCs w:val="21"/>
          <w:highlight w:val="none"/>
        </w:rPr>
        <w:outlineLvl w:val="9"/>
      </w:pPr>
      <w:r>
        <w:rPr>
          <w:rFonts w:hint="eastAsia" w:ascii="Times New Roman" w:hAnsi="Times New Roman" w:eastAsia="宋体"/>
          <w:b w:val="0"/>
          <w:bCs w:val="0"/>
          <w:color w:val="000000" w:themeColor="text1"/>
          <w:sz w:val="21"/>
          <w:szCs w:val="21"/>
          <w:highlight w:val="none"/>
          <w:lang w:val="en-US" w:eastAsia="zh-CN"/>
        </w:rPr>
        <w:t xml:space="preserve">半年支付金额=半年绿化养护人工机械费+药剂费（按实结算）。</w:t>
      </w:r>
      <w:r>
        <w:rPr>
          <w:color w:val="000000" w:themeColor="text1"/>
        </w:rPr>
      </w:r>
      <w:r/>
    </w:p>
    <w:p>
      <w:pPr>
        <w:numPr>
          <w:ilvl w:val="0"/>
          <w:numId w:val="0"/>
        </w:numPr>
        <w:ind w:firstLine="480"/>
        <w:keepLines w:val="0"/>
        <w:keepNext w:val="0"/>
        <w:pageBreakBefore w:val="0"/>
        <w:spacing w:line="360" w:lineRule="auto"/>
        <w:widowControl w:val="off"/>
        <w:rPr>
          <w:rFonts w:hint="eastAsia" w:ascii="Times New Roman" w:hAnsi="Times New Roman" w:eastAsia="宋体"/>
          <w:b w:val="0"/>
          <w:bCs w:val="0"/>
          <w:color w:val="000000" w:themeColor="text1"/>
          <w:sz w:val="21"/>
          <w:szCs w:val="21"/>
          <w:highlight w:val="none"/>
        </w:rPr>
        <w:outlineLvl w:val="9"/>
      </w:pPr>
      <w:r>
        <w:rPr>
          <w:rFonts w:hint="eastAsia" w:ascii="Times New Roman" w:hAnsi="Times New Roman" w:eastAsia="宋体"/>
          <w:b w:val="0"/>
          <w:bCs w:val="0"/>
          <w:color w:val="000000" w:themeColor="text1"/>
          <w:sz w:val="21"/>
          <w:szCs w:val="21"/>
          <w:highlight w:val="none"/>
          <w:lang w:val="en-US" w:eastAsia="zh-CN"/>
        </w:rPr>
        <w:t xml:space="preserve">半年绿化养护人工机械费=（中标价-中标药剂费）/2；</w:t>
      </w:r>
      <w:r>
        <w:rPr>
          <w:color w:val="000000" w:themeColor="text1"/>
        </w:rPr>
      </w:r>
      <w:r/>
    </w:p>
    <w:p>
      <w:pPr>
        <w:numPr>
          <w:ilvl w:val="0"/>
          <w:numId w:val="0"/>
        </w:numPr>
        <w:ind w:firstLine="480"/>
        <w:keepLines w:val="0"/>
        <w:keepNext w:val="0"/>
        <w:pageBreakBefore w:val="0"/>
        <w:spacing w:line="360" w:lineRule="auto"/>
        <w:widowControl w:val="off"/>
        <w:rPr>
          <w:rFonts w:hint="eastAsia" w:ascii="Times New Roman" w:hAnsi="Times New Roman" w:eastAsia="宋体"/>
          <w:b w:val="0"/>
          <w:bCs w:val="0"/>
          <w:color w:val="000000" w:themeColor="text1"/>
          <w:sz w:val="21"/>
          <w:szCs w:val="21"/>
          <w:highlight w:val="none"/>
        </w:rPr>
        <w:outlineLvl w:val="9"/>
      </w:pPr>
      <w:r>
        <w:rPr>
          <w:rFonts w:hint="eastAsia" w:ascii="Times New Roman" w:hAnsi="Times New Roman" w:eastAsia="宋体"/>
          <w:b w:val="0"/>
          <w:bCs w:val="0"/>
          <w:color w:val="000000" w:themeColor="text1"/>
          <w:sz w:val="21"/>
          <w:szCs w:val="21"/>
          <w:highlight w:val="none"/>
          <w:lang w:val="en-US" w:eastAsia="zh-CN"/>
        </w:rPr>
        <w:t xml:space="preserve">药剂费=实际使用数量*中标单价</w:t>
      </w:r>
      <w:r>
        <w:rPr>
          <w:color w:val="000000" w:themeColor="text1"/>
        </w:rPr>
      </w:r>
      <w:r/>
    </w:p>
    <w:p>
      <w:pPr>
        <w:numPr>
          <w:ilvl w:val="0"/>
          <w:numId w:val="0"/>
        </w:numPr>
        <w:ind w:firstLine="480"/>
        <w:keepLines w:val="0"/>
        <w:keepNext w:val="0"/>
        <w:pageBreakBefore w:val="0"/>
        <w:spacing w:line="360" w:lineRule="auto"/>
        <w:widowControl w:val="off"/>
        <w:rPr>
          <w:rFonts w:hint="eastAsia" w:ascii="Times New Roman" w:hAnsi="Times New Roman" w:eastAsia="宋体"/>
          <w:b w:val="0"/>
          <w:bCs w:val="0"/>
          <w:color w:val="000000" w:themeColor="text1"/>
          <w:sz w:val="21"/>
          <w:szCs w:val="21"/>
          <w:highlight w:val="none"/>
        </w:rPr>
        <w:outlineLvl w:val="9"/>
      </w:pPr>
      <w:r>
        <w:rPr>
          <w:rFonts w:hint="eastAsia" w:ascii="Times New Roman" w:hAnsi="Times New Roman" w:eastAsia="宋体"/>
          <w:b w:val="0"/>
          <w:bCs w:val="0"/>
          <w:color w:val="000000" w:themeColor="text1"/>
          <w:sz w:val="21"/>
          <w:szCs w:val="21"/>
          <w:highlight w:val="none"/>
          <w:lang w:val="en-US" w:eastAsia="zh-CN"/>
        </w:rPr>
        <w:t xml:space="preserve">（3）结算金额经招标人、中标人双方确认且招标人收到发票10个工作日内支付结算款。</w:t>
      </w:r>
      <w:r>
        <w:rPr>
          <w:color w:val="000000" w:themeColor="text1"/>
        </w:rPr>
      </w:r>
      <w:r/>
    </w:p>
    <w:p>
      <w:pPr>
        <w:numPr>
          <w:ilvl w:val="0"/>
          <w:numId w:val="0"/>
        </w:numPr>
        <w:ind w:firstLine="480"/>
        <w:keepLines w:val="0"/>
        <w:keepNext w:val="0"/>
        <w:pageBreakBefore w:val="0"/>
        <w:spacing w:line="360" w:lineRule="auto"/>
        <w:widowControl w:val="off"/>
        <w:rPr>
          <w:rFonts w:hint="default" w:ascii="Times New Roman" w:hAnsi="Times New Roman" w:eastAsia="宋体"/>
          <w:b w:val="0"/>
          <w:bCs w:val="0"/>
          <w:color w:val="000000" w:themeColor="text1"/>
          <w:sz w:val="21"/>
          <w:szCs w:val="21"/>
          <w:highlight w:val="none"/>
        </w:rPr>
        <w:outlineLvl w:val="9"/>
      </w:pPr>
      <w:r>
        <w:rPr>
          <w:rFonts w:hint="eastAsia" w:ascii="Times New Roman" w:hAnsi="Times New Roman" w:eastAsia="宋体"/>
          <w:b w:val="0"/>
          <w:bCs w:val="0"/>
          <w:color w:val="000000" w:themeColor="text1"/>
          <w:sz w:val="21"/>
          <w:szCs w:val="21"/>
          <w:highlight w:val="none"/>
          <w:lang w:val="en-US" w:eastAsia="zh-CN"/>
        </w:rPr>
        <w:t xml:space="preserve">注：绿化养护人工机械结算费=中标单位绿化养护人工机械费-考核费。</w:t>
      </w:r>
      <w:r>
        <w:rPr>
          <w:color w:val="000000" w:themeColor="text1"/>
        </w:rPr>
      </w:r>
      <w:r/>
    </w:p>
    <w:p>
      <w:pPr>
        <w:ind w:left="420"/>
        <w:pageBreakBefore w:val="0"/>
        <w:spacing w:line="360" w:lineRule="auto"/>
        <w:rPr>
          <w:rFonts w:hint="eastAsia" w:ascii="Times New Roman" w:hAnsi="Times New Roman" w:eastAsia="宋体" w:cs="宋体"/>
          <w:color w:val="000000" w:themeColor="text1"/>
          <w:sz w:val="21"/>
          <w:szCs w:val="21"/>
          <w:highlight w:val="none"/>
        </w:rPr>
        <w:outlineLvl w:val="0"/>
      </w:pPr>
      <w:r>
        <w:rPr>
          <w:rFonts w:hint="eastAsia" w:ascii="Times New Roman" w:hAnsi="Times New Roman" w:eastAsia="宋体" w:cs="宋体"/>
          <w:b/>
          <w:bCs/>
          <w:color w:val="000000" w:themeColor="text1"/>
          <w:sz w:val="21"/>
          <w:szCs w:val="21"/>
          <w:highlight w:val="none"/>
          <w:lang w:val="en-US" w:eastAsia="zh-CN"/>
        </w:rPr>
        <w:t xml:space="preserve">十一、</w:t>
      </w:r>
      <w:r>
        <w:rPr>
          <w:rFonts w:hint="eastAsia" w:ascii="Times New Roman" w:hAnsi="Times New Roman" w:eastAsia="宋体" w:cs="宋体"/>
          <w:b/>
          <w:bCs/>
          <w:color w:val="000000" w:themeColor="text1"/>
          <w:sz w:val="21"/>
          <w:szCs w:val="21"/>
          <w:highlight w:val="none"/>
        </w:rPr>
        <w:t xml:space="preserve">其它要求</w:t>
      </w:r>
      <w:r>
        <w:rPr>
          <w:color w:val="000000" w:themeColor="text1"/>
        </w:rPr>
      </w:r>
      <w:r/>
    </w:p>
    <w:p>
      <w:pPr>
        <w:numPr>
          <w:ilvl w:val="0"/>
          <w:numId w:val="0"/>
        </w:numPr>
        <w:ind w:firstLine="420"/>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1"/>
          <w:szCs w:val="21"/>
          <w:highlight w:val="none"/>
        </w:rPr>
        <w:outlineLvl w:val="0"/>
      </w:pPr>
      <w:r>
        <w:rPr>
          <w:rFonts w:hint="eastAsia" w:ascii="Times New Roman" w:hAnsi="Times New Roman" w:eastAsia="宋体" w:cs="Times New Roman"/>
          <w:b w:val="0"/>
          <w:bCs w:val="0"/>
          <w:color w:val="000000" w:themeColor="text1"/>
          <w:sz w:val="21"/>
          <w:szCs w:val="21"/>
          <w:highlight w:val="none"/>
          <w:lang w:val="en-US" w:eastAsia="zh-CN" w:bidi="ar-SA"/>
        </w:rPr>
        <w:t xml:space="preserve">1、采购人不负责中标供应商所有工作人员的衣食住行等非合同约定事项。</w:t>
      </w:r>
      <w:r>
        <w:rPr>
          <w:color w:val="000000" w:themeColor="text1"/>
        </w:rPr>
      </w:r>
      <w:r/>
    </w:p>
    <w:p>
      <w:pPr>
        <w:numPr>
          <w:ilvl w:val="0"/>
          <w:numId w:val="0"/>
        </w:numPr>
        <w:ind w:firstLine="420"/>
        <w:keepLines w:val="0"/>
        <w:keepNext w:val="0"/>
        <w:pageBreakBefore w:val="0"/>
        <w:spacing w:line="360" w:lineRule="auto"/>
        <w:widowControl w:val="off"/>
        <w:rPr>
          <w:rFonts w:hint="eastAsia" w:ascii="Times New Roman" w:hAnsi="Times New Roman" w:eastAsia="宋体" w:cs="Times New Roman"/>
          <w:b w:val="0"/>
          <w:bCs w:val="0"/>
          <w:i/>
          <w:iCs/>
          <w:color w:val="000000" w:themeColor="text1"/>
          <w:sz w:val="21"/>
          <w:szCs w:val="21"/>
          <w:highlight w:val="none"/>
          <w:u w:val="single"/>
        </w:rPr>
        <w:outlineLvl w:val="0"/>
      </w:pPr>
      <w:r>
        <w:rPr>
          <w:rFonts w:hint="eastAsia" w:ascii="Times New Roman" w:hAnsi="Times New Roman" w:eastAsia="宋体" w:cs="Times New Roman"/>
          <w:b w:val="0"/>
          <w:bCs w:val="0"/>
          <w:i/>
          <w:iCs/>
          <w:color w:val="000000" w:themeColor="text1"/>
          <w:sz w:val="21"/>
          <w:szCs w:val="21"/>
          <w:highlight w:val="none"/>
          <w:u w:val="single"/>
          <w:lang w:val="en-US" w:eastAsia="zh-CN" w:bidi="ar-SA"/>
        </w:rPr>
        <w:t xml:space="preserve">2、投标报价应包括所有的费用：人员工资并充分考虑在服务期间国家对人员工资的调整因素和自然增长因素、法定的社会养老保险、节假日福利费、加班费、高温费、服装费、工具折旧费、日常耗材费、法定税费、管理费、办公费、政策性文件规定及合同包含合同包含的所有风险、责任和台风、暴雨、干旱、大雪、冻害等天气因素发生树木扶正、养护等为完成招标文件规定的服务工作所涉及到的一切相关费用。分项报价表中未列入实际可能发生的费用应包括其它相应项目费用内。本项目按一年期进行报价。</w:t>
      </w:r>
      <w:r>
        <w:rPr>
          <w:color w:val="000000" w:themeColor="text1"/>
        </w:rPr>
      </w:r>
      <w:r/>
    </w:p>
    <w:p>
      <w:pPr>
        <w:numPr>
          <w:ilvl w:val="0"/>
          <w:numId w:val="0"/>
        </w:numPr>
        <w:ind w:firstLine="420"/>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1"/>
          <w:szCs w:val="21"/>
          <w:highlight w:val="none"/>
        </w:rPr>
        <w:outlineLvl w:val="0"/>
      </w:pPr>
      <w:r>
        <w:rPr>
          <w:rFonts w:hint="eastAsia" w:ascii="Times New Roman" w:hAnsi="Times New Roman" w:eastAsia="宋体" w:cs="Times New Roman"/>
          <w:b w:val="0"/>
          <w:bCs w:val="0"/>
          <w:color w:val="000000" w:themeColor="text1"/>
          <w:sz w:val="21"/>
          <w:szCs w:val="21"/>
          <w:highlight w:val="none"/>
          <w:lang w:val="en-US" w:eastAsia="zh-CN" w:bidi="ar-SA"/>
        </w:rPr>
        <w:t xml:space="preserve">3、★中标人若在三个月内未能达到项目合同约定服务质量标准的，已签订合同自动终止，并扣除一个月的服务费用。</w:t>
      </w:r>
      <w:r>
        <w:rPr>
          <w:color w:val="000000" w:themeColor="text1"/>
        </w:rPr>
      </w:r>
      <w:r/>
    </w:p>
    <w:p>
      <w:pPr>
        <w:numPr>
          <w:ilvl w:val="0"/>
          <w:numId w:val="0"/>
        </w:numPr>
        <w:ind w:firstLine="420"/>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1"/>
          <w:szCs w:val="21"/>
          <w:highlight w:val="none"/>
        </w:rPr>
        <w:outlineLvl w:val="0"/>
      </w:pPr>
      <w:r>
        <w:rPr>
          <w:rFonts w:hint="eastAsia" w:ascii="Times New Roman" w:hAnsi="Times New Roman" w:eastAsia="宋体" w:cs="Times New Roman"/>
          <w:b w:val="0"/>
          <w:bCs w:val="0"/>
          <w:color w:val="000000" w:themeColor="text1"/>
          <w:sz w:val="21"/>
          <w:szCs w:val="21"/>
          <w:highlight w:val="none"/>
          <w:lang w:val="en-US" w:eastAsia="zh-CN" w:bidi="ar-SA"/>
        </w:rPr>
        <w:t xml:space="preserve">4、中标后，合同期内投标人如需更换养护负责人，必须提出书面申请并经采购人审核通过后更换。或养护期内如上述人员不能胜任养护管理工作的，采购人提出要求更换的，投标人须无条件服从更换（更换人员不得低于招标要求）。以上每更换一人次处罚1万元，合同期内每类人员更换不得超过2次。未提出书面申请，但事实已更换的，一经查实处罚2万元/次，并按要求完备更换手续。以上处罚费用当月从养护费用中直接扣除。</w:t>
      </w:r>
      <w:r>
        <w:rPr>
          <w:color w:val="000000" w:themeColor="text1"/>
        </w:rPr>
      </w:r>
      <w:r/>
    </w:p>
    <w:p>
      <w:pPr>
        <w:numPr>
          <w:ilvl w:val="0"/>
          <w:numId w:val="0"/>
        </w:numPr>
        <w:ind w:firstLine="420"/>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1"/>
          <w:szCs w:val="21"/>
          <w:highlight w:val="none"/>
        </w:rPr>
        <w:outlineLvl w:val="0"/>
      </w:pPr>
      <w:r>
        <w:rPr>
          <w:rFonts w:hint="eastAsia" w:ascii="Times New Roman" w:hAnsi="Times New Roman" w:eastAsia="宋体" w:cs="Times New Roman"/>
          <w:b w:val="0"/>
          <w:bCs w:val="0"/>
          <w:color w:val="000000" w:themeColor="text1"/>
          <w:sz w:val="21"/>
          <w:szCs w:val="21"/>
          <w:highlight w:val="none"/>
          <w:lang w:val="en-US" w:eastAsia="zh-CN" w:bidi="ar-SA"/>
        </w:rPr>
        <w:t xml:space="preserve">5、因中标人管理不善，造成景区设施、设备损坏，造成重大损失的由直接责任人赔偿，若直接责任人因故无法赔偿采购人有权要求中标人按实际损失金额赔偿。</w:t>
      </w:r>
      <w:r>
        <w:rPr>
          <w:color w:val="000000" w:themeColor="text1"/>
        </w:rPr>
      </w:r>
      <w:r/>
    </w:p>
    <w:p>
      <w:pPr>
        <w:numPr>
          <w:ilvl w:val="0"/>
          <w:numId w:val="0"/>
        </w:numPr>
        <w:ind w:firstLine="420"/>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1"/>
          <w:szCs w:val="21"/>
          <w:highlight w:val="none"/>
        </w:rPr>
        <w:outlineLvl w:val="0"/>
      </w:pPr>
      <w:r>
        <w:rPr>
          <w:rFonts w:hint="eastAsia" w:ascii="Times New Roman" w:hAnsi="Times New Roman" w:eastAsia="宋体" w:cs="Times New Roman"/>
          <w:b w:val="0"/>
          <w:bCs w:val="0"/>
          <w:color w:val="000000" w:themeColor="text1"/>
          <w:sz w:val="21"/>
          <w:szCs w:val="21"/>
          <w:highlight w:val="none"/>
          <w:lang w:val="en-US" w:eastAsia="zh-CN" w:bidi="ar-SA"/>
        </w:rPr>
        <w:t xml:space="preserve">6、投标文件中明确的项目组人员、设备与进场作业人员、设备应该一致，中标单位不得随意更换，如发现未经采购人许可随意更换主要技术人员及设备，按中标人违约处理。</w:t>
      </w:r>
      <w:r>
        <w:rPr>
          <w:color w:val="000000" w:themeColor="text1"/>
        </w:rPr>
      </w:r>
      <w:r/>
    </w:p>
    <w:p>
      <w:pPr>
        <w:numPr>
          <w:ilvl w:val="0"/>
          <w:numId w:val="0"/>
        </w:numPr>
        <w:ind w:firstLine="420"/>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1"/>
          <w:szCs w:val="21"/>
          <w:highlight w:val="none"/>
        </w:rPr>
        <w:outlineLvl w:val="0"/>
      </w:pPr>
      <w:r>
        <w:rPr>
          <w:rFonts w:hint="eastAsia" w:ascii="Times New Roman" w:hAnsi="Times New Roman" w:eastAsia="宋体" w:cs="Times New Roman"/>
          <w:b w:val="0"/>
          <w:bCs w:val="0"/>
          <w:color w:val="000000" w:themeColor="text1"/>
          <w:sz w:val="21"/>
          <w:szCs w:val="21"/>
          <w:highlight w:val="none"/>
          <w:lang w:val="en-US" w:eastAsia="zh-CN" w:bidi="ar-SA"/>
        </w:rPr>
        <w:t xml:space="preserve">7、中标单位人员进场，需持有身份证</w:t>
      </w:r>
      <w:r>
        <w:rPr>
          <w:rFonts w:hint="eastAsia" w:ascii="Times New Roman" w:hAnsi="Times New Roman" w:eastAsia="宋体" w:cs="Times New Roman"/>
          <w:b w:val="0"/>
          <w:bCs w:val="0"/>
          <w:color w:val="000000" w:themeColor="text1"/>
          <w:sz w:val="21"/>
          <w:szCs w:val="21"/>
          <w:highlight w:val="none"/>
          <w:lang w:val="en-US" w:eastAsia="zh-CN" w:bidi="ar-SA"/>
        </w:rPr>
        <w:t xml:space="preserve">，相关</w:t>
      </w:r>
      <w:r>
        <w:rPr>
          <w:rFonts w:hint="eastAsia" w:ascii="Times New Roman" w:hAnsi="Times New Roman" w:eastAsia="宋体" w:cs="Times New Roman"/>
          <w:b w:val="0"/>
          <w:bCs w:val="0"/>
          <w:color w:val="000000" w:themeColor="text1"/>
          <w:sz w:val="21"/>
          <w:szCs w:val="21"/>
          <w:highlight w:val="none"/>
          <w:lang w:val="en-US" w:eastAsia="zh-CN" w:bidi="ar-SA"/>
        </w:rPr>
        <w:t xml:space="preserve">证书复印件，经与投标文件核对无误，方能上岗工作，人员变动，需法定代表人签字或盖章，阐明变动原因，并需经采购人同意。</w:t>
      </w:r>
      <w:r>
        <w:rPr>
          <w:color w:val="000000" w:themeColor="text1"/>
        </w:rPr>
      </w:r>
      <w:r/>
    </w:p>
    <w:p>
      <w:pPr>
        <w:numPr>
          <w:ilvl w:val="0"/>
          <w:numId w:val="0"/>
        </w:numPr>
        <w:ind w:firstLine="420"/>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1"/>
          <w:szCs w:val="21"/>
          <w:highlight w:val="none"/>
        </w:rPr>
        <w:outlineLvl w:val="0"/>
      </w:pPr>
      <w:r>
        <w:rPr>
          <w:rFonts w:hint="eastAsia" w:ascii="Times New Roman" w:hAnsi="Times New Roman" w:eastAsia="宋体" w:cs="Times New Roman"/>
          <w:b w:val="0"/>
          <w:bCs w:val="0"/>
          <w:color w:val="000000" w:themeColor="text1"/>
          <w:sz w:val="21"/>
          <w:szCs w:val="21"/>
          <w:highlight w:val="none"/>
          <w:lang w:val="en-US" w:eastAsia="zh-CN" w:bidi="ar-SA"/>
        </w:rPr>
        <w:t xml:space="preserve">8、中标人自行承担合同实施期间其人员的人身安全、仪器设备的使用正常及其一切可能产生的后果。</w:t>
      </w:r>
      <w:r>
        <w:rPr>
          <w:color w:val="000000" w:themeColor="text1"/>
        </w:rPr>
      </w:r>
      <w:r/>
    </w:p>
    <w:p>
      <w:pPr>
        <w:numPr>
          <w:ilvl w:val="0"/>
          <w:numId w:val="0"/>
        </w:numPr>
        <w:ind w:firstLine="420"/>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1"/>
          <w:szCs w:val="21"/>
          <w:highlight w:val="none"/>
        </w:rPr>
        <w:outlineLvl w:val="0"/>
      </w:pPr>
      <w:r>
        <w:rPr>
          <w:rFonts w:hint="eastAsia" w:ascii="Times New Roman" w:hAnsi="Times New Roman" w:eastAsia="宋体" w:cs="Times New Roman"/>
          <w:b w:val="0"/>
          <w:bCs w:val="0"/>
          <w:color w:val="000000" w:themeColor="text1"/>
          <w:sz w:val="21"/>
          <w:szCs w:val="21"/>
          <w:highlight w:val="none"/>
          <w:lang w:val="en-US" w:eastAsia="zh-CN" w:bidi="ar-SA"/>
        </w:rPr>
        <w:t xml:space="preserve">9、验收考核、结算申报、付款申请格式应按景区规定的标准格式执行。</w:t>
      </w:r>
      <w:r>
        <w:rPr>
          <w:color w:val="000000" w:themeColor="text1"/>
        </w:rPr>
      </w:r>
      <w:r/>
    </w:p>
    <w:p>
      <w:pPr>
        <w:numPr>
          <w:ilvl w:val="0"/>
          <w:numId w:val="0"/>
        </w:numPr>
        <w:ind w:firstLine="420"/>
        <w:keepLines w:val="0"/>
        <w:keepNext w:val="0"/>
        <w:pageBreakBefore w:val="0"/>
        <w:spacing w:line="360" w:lineRule="auto"/>
        <w:widowControl w:val="off"/>
        <w:rPr>
          <w:rFonts w:hint="default" w:ascii="Times New Roman" w:hAnsi="Times New Roman" w:eastAsia="宋体"/>
          <w:b w:val="0"/>
          <w:bCs w:val="0"/>
          <w:color w:val="000000" w:themeColor="text1"/>
          <w:sz w:val="21"/>
          <w:szCs w:val="21"/>
          <w:highlight w:val="none"/>
        </w:rPr>
        <w:outlineLvl w:val="0"/>
      </w:pPr>
      <w:r>
        <w:rPr>
          <w:rFonts w:hint="eastAsia" w:ascii="Times New Roman" w:hAnsi="Times New Roman" w:eastAsia="宋体" w:cs="Times New Roman"/>
          <w:b w:val="0"/>
          <w:bCs w:val="0"/>
          <w:color w:val="000000" w:themeColor="text1"/>
          <w:sz w:val="21"/>
          <w:szCs w:val="21"/>
          <w:highlight w:val="none"/>
          <w:lang w:val="en-US" w:eastAsia="zh-CN" w:bidi="ar-SA"/>
        </w:rPr>
        <w:t xml:space="preserve">1</w:t>
      </w:r>
      <w:r>
        <w:rPr>
          <w:rFonts w:hint="eastAsia" w:ascii="Times New Roman" w:hAnsi="Times New Roman" w:eastAsia="宋体" w:cs="Times New Roman"/>
          <w:b w:val="0"/>
          <w:bCs w:val="0"/>
          <w:color w:val="000000" w:themeColor="text1"/>
          <w:sz w:val="21"/>
          <w:szCs w:val="21"/>
          <w:highlight w:val="none"/>
          <w:lang w:val="en-US" w:eastAsia="zh-CN" w:bidi="ar-SA"/>
        </w:rPr>
        <w:t xml:space="preserve">0</w:t>
      </w:r>
      <w:r>
        <w:rPr>
          <w:rFonts w:hint="default" w:ascii="Times New Roman" w:hAnsi="Times New Roman" w:eastAsia="宋体" w:cs="Times New Roman"/>
          <w:b w:val="0"/>
          <w:bCs w:val="0"/>
          <w:color w:val="000000" w:themeColor="text1"/>
          <w:sz w:val="21"/>
          <w:szCs w:val="21"/>
          <w:highlight w:val="none"/>
          <w:lang w:val="en-US" w:eastAsia="zh-CN" w:bidi="ar-SA"/>
        </w:rPr>
        <w:t xml:space="preserve">、</w:t>
      </w:r>
      <w:r>
        <w:rPr>
          <w:rFonts w:hint="eastAsia" w:ascii="Times New Roman" w:hAnsi="Times New Roman" w:eastAsia="宋体"/>
          <w:b w:val="0"/>
          <w:bCs w:val="0"/>
          <w:color w:val="000000" w:themeColor="text1"/>
          <w:sz w:val="21"/>
          <w:szCs w:val="21"/>
          <w:highlight w:val="none"/>
          <w:lang w:val="en-US" w:eastAsia="zh-CN"/>
        </w:rPr>
        <w:t xml:space="preserve">凡系绿化养护范围的工作包括但不限于本采购需求，投标人应根据招标人的采购需求，充分考虑各种因素，除不可抗力风险以外的所有风险均包括在报价内，一旦中标，招标人将不再增加任何养护范围内的费用。</w:t>
      </w:r>
      <w:r>
        <w:rPr>
          <w:color w:val="000000" w:themeColor="text1"/>
        </w:rPr>
      </w:r>
      <w:r/>
    </w:p>
    <w:p>
      <w:pPr>
        <w:numPr>
          <w:ilvl w:val="0"/>
          <w:numId w:val="0"/>
        </w:numPr>
        <w:ind w:firstLine="420"/>
        <w:keepLines w:val="0"/>
        <w:keepNext w:val="0"/>
        <w:pageBreakBefore w:val="0"/>
        <w:spacing w:line="360" w:lineRule="auto"/>
        <w:widowControl w:val="off"/>
        <w:rPr>
          <w:rFonts w:hint="default" w:ascii="Times New Roman" w:hAnsi="Times New Roman" w:eastAsia="宋体"/>
          <w:b w:val="0"/>
          <w:bCs w:val="0"/>
          <w:color w:val="000000" w:themeColor="text1"/>
          <w:sz w:val="21"/>
          <w:szCs w:val="21"/>
          <w:highlight w:val="none"/>
        </w:rPr>
        <w:outlineLvl w:val="0"/>
      </w:pPr>
      <w:r>
        <w:rPr>
          <w:rFonts w:hint="eastAsia" w:ascii="Times New Roman" w:hAnsi="Times New Roman" w:eastAsia="宋体"/>
          <w:b w:val="0"/>
          <w:bCs w:val="0"/>
          <w:color w:val="000000" w:themeColor="text1"/>
          <w:sz w:val="21"/>
          <w:szCs w:val="21"/>
          <w:highlight w:val="none"/>
          <w:lang w:val="en-US" w:eastAsia="zh-CN"/>
        </w:rPr>
        <w:t xml:space="preserve">附：《瘦西湖2026绿化养护采购清单》</w:t>
      </w:r>
      <w:r>
        <w:rPr>
          <w:color w:val="000000" w:themeColor="text1"/>
        </w:rPr>
      </w:r>
      <w:r/>
    </w:p>
    <w:tbl>
      <w:tblPr>
        <w:tblStyle w:val="890"/>
        <w:tblW w:w="9407" w:type="dxa"/>
        <w:tblInd w:w="0" w:type="dxa"/>
        <w:tblLayout w:type="fixed"/>
        <w:tblCellMar>
          <w:left w:w="0" w:type="dxa"/>
          <w:top w:w="0" w:type="dxa"/>
          <w:right w:w="0" w:type="dxa"/>
          <w:bottom w:w="0" w:type="dxa"/>
        </w:tblCellMar>
        <w:tblLook w:val="04A0" w:firstRow="1" w:lastRow="0" w:firstColumn="1" w:lastColumn="0" w:noHBand="0" w:noVBand="1"/>
      </w:tblPr>
      <w:tblGrid>
        <w:gridCol w:w="611"/>
        <w:gridCol w:w="1472"/>
        <w:gridCol w:w="865"/>
        <w:gridCol w:w="1522"/>
        <w:gridCol w:w="1050"/>
        <w:gridCol w:w="1269"/>
        <w:gridCol w:w="2618"/>
      </w:tblGrid>
      <w:tr>
        <w:trPr>
          <w:trHeight w:val="820"/>
        </w:trPr>
        <w:tc>
          <w:tcPr>
            <w:gridSpan w:val="7"/>
            <w:tcBorders>
              <w:top w:val="none" w:color="000000" w:sz="4" w:space="0"/>
              <w:left w:val="none" w:color="000000" w:sz="4" w:space="0"/>
              <w:bottom w:val="none" w:color="000000" w:sz="4" w:space="0"/>
              <w:right w:val="none" w:color="000000" w:sz="4" w:space="0"/>
            </w:tcBorders>
            <w:tcMar>
              <w:left w:w="15" w:type="dxa"/>
              <w:top w:w="15" w:type="dxa"/>
              <w:right w:w="15" w:type="dxa"/>
            </w:tcMar>
            <w:tcW w:w="9407" w:type="dxa"/>
            <w:vAlign w:val="center"/>
            <w:textDirection w:val="lrTb"/>
            <w:noWrap/>
          </w:tcPr>
          <w:p>
            <w:pPr>
              <w:numPr>
                <w:ilvl w:val="0"/>
                <w:numId w:val="0"/>
              </w:numPr>
              <w:jc w:val="center"/>
              <w:keepLines w:val="0"/>
              <w:keepNext w:val="0"/>
              <w:pageBreakBefore w:val="0"/>
              <w:spacing w:line="360" w:lineRule="auto"/>
              <w:widowControl w:val="off"/>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lang w:val="en-US" w:eastAsia="zh-CN" w:bidi="ar"/>
              </w:rPr>
              <w:t xml:space="preserve">瘦西湖景区2026年绿化养护项目采购清单汇总表</w:t>
            </w:r>
            <w:r>
              <w:rPr>
                <w:color w:val="000000" w:themeColor="text1"/>
              </w:rPr>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项目名称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数量</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单价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9"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合价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备注</w:t>
            </w:r>
            <w:r>
              <w:rPr>
                <w:color w:val="000000" w:themeColor="text1"/>
              </w:rPr>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绿化养护人工、机械费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627184.7</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9"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18"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单价=养护人工机械费询价分表/绿化面积</w:t>
            </w:r>
            <w:r>
              <w:rPr>
                <w:color w:val="000000" w:themeColor="text1"/>
              </w:rPr>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药剂费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1</w:t>
            </w:r>
            <w:r>
              <w:rPr>
                <w:color w:val="000000" w:themeColor="text1"/>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1050" w:type="dxa"/>
            <w:vAlign w:val="center"/>
            <w:textDirection w:val="lrTb"/>
            <w:noWrap/>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9"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18"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eastAsia="zh-CN"/>
              </w:rPr>
              <w:t xml:space="preserve">见药剂采购清单</w:t>
            </w:r>
            <w:r>
              <w:rPr>
                <w:color w:val="000000" w:themeColor="text1"/>
              </w:rPr>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合计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2"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9"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18" w:type="dxa"/>
            <w:vAlign w:val="center"/>
            <w:textDirection w:val="lrTb"/>
            <w:noWrap w:val="false"/>
          </w:tcPr>
          <w:p>
            <w:pP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none" w:color="000000" w:sz="4" w:space="0"/>
              <w:left w:val="none" w:color="000000" w:sz="4" w:space="0"/>
              <w:bottom w:val="none" w:color="000000" w:sz="4" w:space="0"/>
              <w:right w:val="single" w:color="000000" w:sz="4" w:space="0"/>
            </w:tcBorders>
            <w:tcMar>
              <w:left w:w="15" w:type="dxa"/>
              <w:top w:w="15" w:type="dxa"/>
              <w:right w:w="15" w:type="dxa"/>
            </w:tcMar>
            <w:tcW w:w="1472" w:type="dxa"/>
            <w:vAlign w:val="center"/>
            <w:textDirection w:val="lrTb"/>
            <w:noWrap/>
          </w:tcPr>
          <w:p>
            <w:pP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865" w:type="dxa"/>
            <w:vAlign w:val="center"/>
            <w:textDirection w:val="lrTb"/>
            <w:noWrap/>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522" w:type="dxa"/>
            <w:vAlign w:val="center"/>
            <w:textDirection w:val="lrTb"/>
            <w:noWrap/>
          </w:tcPr>
          <w:p>
            <w:pP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50" w:type="dxa"/>
            <w:vAlign w:val="center"/>
            <w:textDirection w:val="lrTb"/>
            <w:noWrap/>
          </w:tcPr>
          <w:p>
            <w:pP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269" w:type="dxa"/>
            <w:vAlign w:val="center"/>
            <w:textDirection w:val="lrTb"/>
            <w:noWrap/>
          </w:tcPr>
          <w:p>
            <w:pP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18" w:type="dxa"/>
            <w:vAlign w:val="center"/>
            <w:textDirection w:val="lrTb"/>
            <w:noWrap/>
          </w:tcPr>
          <w:p>
            <w:pP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2" w:type="dxa"/>
            <w:vAlign w:val="center"/>
            <w:textDirection w:val="lrTb"/>
            <w:noWrap w:val="false"/>
          </w:tcPr>
          <w:p>
            <w:pP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2"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9"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18" w:type="dxa"/>
            <w:vAlign w:val="center"/>
            <w:textDirection w:val="lrTb"/>
            <w:noWrap w:val="false"/>
          </w:tcPr>
          <w:p>
            <w:pP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r>
      <w:tr>
        <w:trPr>
          <w:trHeight w:val="500"/>
        </w:trPr>
        <w:tc>
          <w:tcPr>
            <w:gridSpan w:val="7"/>
            <w:tcBorders>
              <w:top w:val="none" w:color="000000" w:sz="4" w:space="0"/>
              <w:left w:val="none" w:color="000000" w:sz="4" w:space="0"/>
              <w:bottom w:val="none" w:color="000000" w:sz="4" w:space="0"/>
              <w:right w:val="none" w:color="000000" w:sz="4" w:space="0"/>
            </w:tcBorders>
            <w:tcMar>
              <w:left w:w="15" w:type="dxa"/>
              <w:top w:w="15" w:type="dxa"/>
              <w:right w:w="15" w:type="dxa"/>
            </w:tcMar>
            <w:tcW w:w="9407" w:type="dxa"/>
            <w:vAlign w:val="center"/>
            <w:textDirection w:val="lrTb"/>
            <w:noWrap/>
          </w:tcPr>
          <w:p>
            <w:pPr>
              <w:jc w:val="left"/>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注：</w:t>
            </w:r>
            <w:r>
              <w:rPr>
                <w:color w:val="000000" w:themeColor="text1"/>
              </w:rPr>
            </w:r>
            <w:r/>
          </w:p>
        </w:tc>
      </w:tr>
      <w:tr>
        <w:trPr>
          <w:trHeight w:val="500"/>
        </w:trPr>
        <w:tc>
          <w:tcPr>
            <w:gridSpan w:val="7"/>
            <w:tcBorders>
              <w:top w:val="none" w:color="000000" w:sz="4" w:space="0"/>
              <w:left w:val="none" w:color="000000" w:sz="4" w:space="0"/>
              <w:bottom w:val="none" w:color="000000" w:sz="4" w:space="0"/>
              <w:right w:val="none" w:color="000000" w:sz="4" w:space="0"/>
            </w:tcBorders>
            <w:tcMar>
              <w:left w:w="15" w:type="dxa"/>
              <w:top w:w="15" w:type="dxa"/>
              <w:right w:w="15" w:type="dxa"/>
            </w:tcMar>
            <w:tcW w:w="9407" w:type="dxa"/>
            <w:vAlign w:val="center"/>
            <w:textDirection w:val="lrTb"/>
            <w:noWrap/>
          </w:tcPr>
          <w:p>
            <w:pPr>
              <w:jc w:val="left"/>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1、绿化养护费报价为含税价。</w:t>
            </w:r>
            <w:r>
              <w:rPr>
                <w:color w:val="000000" w:themeColor="text1"/>
              </w:rPr>
            </w:r>
            <w:r/>
          </w:p>
        </w:tc>
      </w:tr>
      <w:tr>
        <w:trPr>
          <w:trHeight w:val="480"/>
        </w:trPr>
        <w:tc>
          <w:tcPr>
            <w:gridSpan w:val="7"/>
            <w:tcBorders>
              <w:top w:val="none" w:color="000000" w:sz="4" w:space="0"/>
              <w:left w:val="none" w:color="000000" w:sz="4" w:space="0"/>
              <w:bottom w:val="none" w:color="000000" w:sz="4" w:space="0"/>
              <w:right w:val="none" w:color="000000" w:sz="4" w:space="0"/>
            </w:tcBorders>
            <w:tcMar>
              <w:left w:w="15" w:type="dxa"/>
              <w:top w:w="15" w:type="dxa"/>
              <w:right w:w="15" w:type="dxa"/>
            </w:tcMar>
            <w:tcW w:w="9407" w:type="dxa"/>
            <w:vAlign w:val="center"/>
            <w:textDirection w:val="lrTb"/>
            <w:noWrap/>
          </w:tcPr>
          <w:p>
            <w:pPr>
              <w:jc w:val="left"/>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2、绿化养护面积结算时不再调整。</w:t>
            </w:r>
            <w:r>
              <w:rPr>
                <w:color w:val="000000" w:themeColor="text1"/>
              </w:rPr>
            </w:r>
            <w:r/>
          </w:p>
        </w:tc>
      </w:tr>
    </w:tbl>
    <w:p>
      <w:pPr>
        <w:numPr>
          <w:ilvl w:val="0"/>
          <w:numId w:val="0"/>
        </w:numPr>
        <w:keepLines w:val="0"/>
        <w:keepNext w:val="0"/>
        <w:pageBreakBefore w:val="0"/>
        <w:spacing w:line="360" w:lineRule="auto"/>
        <w:widowControl w:val="off"/>
        <w:rPr>
          <w:rFonts w:hint="eastAsia"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b w:val="0"/>
          <w:bCs w:val="0"/>
          <w:color w:val="000000" w:themeColor="text1"/>
          <w:sz w:val="21"/>
          <w:szCs w:val="21"/>
          <w:highlight w:val="none"/>
          <w:lang w:val="en-US" w:eastAsia="zh-CN"/>
        </w:rPr>
      </w:r>
      <w:r>
        <w:rPr>
          <w:color w:val="000000" w:themeColor="text1"/>
        </w:rPr>
      </w:r>
      <w:r/>
    </w:p>
    <w:p>
      <w:pPr>
        <w:numPr>
          <w:ilvl w:val="0"/>
          <w:numId w:val="0"/>
        </w:numPr>
        <w:keepLines w:val="0"/>
        <w:keepNext w:val="0"/>
        <w:pageBreakBefore w:val="0"/>
        <w:spacing w:line="360" w:lineRule="auto"/>
        <w:widowControl w:val="off"/>
        <w:rPr>
          <w:rFonts w:hint="eastAsia"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b w:val="0"/>
          <w:bCs w:val="0"/>
          <w:color w:val="000000" w:themeColor="text1"/>
          <w:sz w:val="21"/>
          <w:szCs w:val="21"/>
          <w:highlight w:val="none"/>
          <w:lang w:val="en-US" w:eastAsia="zh-CN"/>
        </w:rPr>
      </w:r>
      <w:r>
        <w:rPr>
          <w:color w:val="000000" w:themeColor="text1"/>
        </w:rPr>
      </w:r>
      <w:r/>
    </w:p>
    <w:p>
      <w:pPr>
        <w:numPr>
          <w:ilvl w:val="0"/>
          <w:numId w:val="0"/>
        </w:numPr>
        <w:jc w:val="center"/>
        <w:keepLines w:val="0"/>
        <w:keepNext w:val="0"/>
        <w:pageBreakBefore w:val="0"/>
        <w:spacing w:line="360" w:lineRule="auto"/>
        <w:widowControl w:val="off"/>
        <w:rPr>
          <w:rFonts w:hint="eastAsia"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i w:val="0"/>
          <w:color w:val="000000" w:themeColor="text1"/>
          <w:sz w:val="21"/>
          <w:szCs w:val="21"/>
          <w:highlight w:val="none"/>
          <w:u w:val="none"/>
          <w:lang w:val="en-US" w:eastAsia="zh-CN" w:bidi="ar"/>
        </w:rPr>
        <w:t xml:space="preserve">瘦西湖景区2026年绿化养护人工机械采购清单分表</w:t>
      </w:r>
      <w:r>
        <w:rPr>
          <w:color w:val="000000" w:themeColor="text1"/>
        </w:rPr>
      </w:r>
      <w:r/>
    </w:p>
    <w:tbl>
      <w:tblPr>
        <w:tblStyle w:val="890"/>
        <w:tblW w:w="9407" w:type="dxa"/>
        <w:tblInd w:w="0" w:type="dxa"/>
        <w:tblLayout w:type="fixed"/>
        <w:tblCellMar>
          <w:left w:w="0" w:type="dxa"/>
          <w:top w:w="0" w:type="dxa"/>
          <w:right w:w="0" w:type="dxa"/>
          <w:bottom w:w="0" w:type="dxa"/>
        </w:tblCellMar>
        <w:tblLook w:val="04A0" w:firstRow="1" w:lastRow="0" w:firstColumn="1" w:lastColumn="0" w:noHBand="0" w:noVBand="1"/>
      </w:tblPr>
      <w:tblGrid>
        <w:gridCol w:w="765"/>
        <w:gridCol w:w="1169"/>
        <w:gridCol w:w="2032"/>
        <w:gridCol w:w="682"/>
        <w:gridCol w:w="926"/>
        <w:gridCol w:w="945"/>
        <w:gridCol w:w="1074"/>
        <w:gridCol w:w="1814"/>
      </w:tblGrid>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9"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项目名称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标准、内容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数量</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单价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4"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合价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4"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备注</w:t>
            </w:r>
            <w:r>
              <w:rPr>
                <w:color w:val="000000" w:themeColor="text1"/>
              </w:rPr>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1</w:t>
            </w:r>
            <w:r>
              <w:rPr>
                <w:color w:val="000000" w:themeColor="text1"/>
              </w:rPr>
            </w:r>
            <w:r/>
          </w:p>
        </w:tc>
        <w:tc>
          <w:tcPr>
            <w:tcBorders>
              <w:top w:val="none" w:color="000000" w:sz="4" w:space="0"/>
              <w:left w:val="none" w:color="000000" w:sz="4" w:space="0"/>
              <w:bottom w:val="single" w:color="000000" w:sz="4" w:space="0"/>
              <w:right w:val="none" w:color="000000" w:sz="4" w:space="0"/>
            </w:tcBorders>
            <w:tcMar>
              <w:left w:w="15" w:type="dxa"/>
              <w:top w:w="15" w:type="dxa"/>
              <w:right w:w="15" w:type="dxa"/>
            </w:tcMar>
            <w:tcW w:w="1169" w:type="dxa"/>
            <w:vAlign w:val="center"/>
            <w:textDirection w:val="lrTb"/>
            <w:noWrap/>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养护人工</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养护人员年龄男60岁以下，女55岁以下</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工日</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15936</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4"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4"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rPr>
              <w:t xml:space="preserve">全园</w:t>
            </w:r>
            <w:r>
              <w:rPr>
                <w:color w:val="000000" w:themeColor="text1"/>
              </w:rPr>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9"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机械费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2"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浇水、割草、病虫害防治、修剪、垃圾运输清理等</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both"/>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627184.7</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4"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4"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eastAsia="zh-CN"/>
              </w:rPr>
              <w:t xml:space="preserve">全园</w:t>
            </w:r>
            <w:r>
              <w:rPr>
                <w:color w:val="000000" w:themeColor="text1"/>
              </w:rPr>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9"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管理费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5"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4"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4"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管理费=人工费*管理费率，费率自报</w:t>
            </w:r>
            <w:r>
              <w:rPr>
                <w:color w:val="000000" w:themeColor="text1"/>
              </w:rPr>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9"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利润</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5"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4"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4"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利润=人工费*利润率，费率自报</w:t>
            </w:r>
            <w:r>
              <w:rPr>
                <w:color w:val="000000" w:themeColor="text1"/>
              </w:rPr>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9"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税金</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5"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4"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4" w:type="dxa"/>
            <w:vAlign w:val="center"/>
            <w:textDirection w:val="lrTb"/>
            <w:noWrap w:val="false"/>
          </w:tcPr>
          <w:p>
            <w:pP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9"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合计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2" w:type="dxa"/>
            <w:vAlign w:val="center"/>
            <w:textDirection w:val="lrTb"/>
            <w:noWrap w:val="false"/>
          </w:tcPr>
          <w:p>
            <w:pPr>
              <w:jc w:val="left"/>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5"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4"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4" w:type="dxa"/>
            <w:vAlign w:val="center"/>
            <w:textDirection w:val="lrTb"/>
            <w:noWrap w:val="false"/>
          </w:tcPr>
          <w:p>
            <w:pP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r>
      <w:tr>
        <w:trPr>
          <w:trHeight w:val="500"/>
        </w:trPr>
        <w:tc>
          <w:tcPr>
            <w:gridSpan w:val="8"/>
            <w:tcBorders>
              <w:top w:val="none" w:color="000000" w:sz="4" w:space="0"/>
              <w:left w:val="none" w:color="000000" w:sz="4" w:space="0"/>
              <w:bottom w:val="none" w:color="000000" w:sz="4" w:space="0"/>
              <w:right w:val="none" w:color="000000" w:sz="4" w:space="0"/>
            </w:tcBorders>
            <w:tcMar>
              <w:left w:w="15" w:type="dxa"/>
              <w:top w:w="15" w:type="dxa"/>
              <w:right w:w="15" w:type="dxa"/>
            </w:tcMar>
            <w:tcW w:w="9407" w:type="dxa"/>
            <w:vAlign w:val="center"/>
            <w:textDirection w:val="lrTb"/>
            <w:noWrap/>
          </w:tcPr>
          <w:p>
            <w:pPr>
              <w:jc w:val="left"/>
              <w:keepLines w:val="0"/>
              <w:keepNext w:val="0"/>
              <w:pageBreakBefore w:val="0"/>
              <w:spacing w:line="360" w:lineRule="auto"/>
              <w:widowControl/>
              <w:rPr>
                <w:rFonts w:hint="default"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注：1、绿化养护人员配置为招标人要求的为保证绿化养护质量标准的基本养护人数。若投标人为</w:t>
            </w:r>
            <w:r>
              <w:rPr>
                <w:rFonts w:hint="eastAsia" w:ascii="Times New Roman" w:hAnsi="Times New Roman" w:eastAsia="宋体"/>
                <w:color w:val="000000" w:themeColor="text1"/>
                <w:sz w:val="21"/>
                <w:szCs w:val="21"/>
                <w:highlight w:val="none"/>
                <w:lang w:val="en-US" w:eastAsia="zh-CN"/>
              </w:rPr>
              <w:t xml:space="preserve">保证</w:t>
            </w:r>
            <w:r>
              <w:rPr>
                <w:color w:val="000000" w:themeColor="text1"/>
              </w:rPr>
            </w:r>
            <w:r/>
          </w:p>
        </w:tc>
      </w:tr>
      <w:tr>
        <w:trPr>
          <w:trHeight w:val="500"/>
        </w:trPr>
        <w:tc>
          <w:tcPr>
            <w:gridSpan w:val="8"/>
            <w:tcBorders>
              <w:top w:val="none" w:color="000000" w:sz="4" w:space="0"/>
              <w:left w:val="none" w:color="000000" w:sz="4" w:space="0"/>
              <w:bottom w:val="none" w:color="000000" w:sz="4" w:space="0"/>
              <w:right w:val="none" w:color="000000" w:sz="4" w:space="0"/>
            </w:tcBorders>
            <w:tcMar>
              <w:left w:w="15" w:type="dxa"/>
              <w:top w:w="15" w:type="dxa"/>
              <w:right w:w="15" w:type="dxa"/>
            </w:tcMar>
            <w:tcW w:w="9407" w:type="dxa"/>
            <w:vAlign w:val="center"/>
            <w:textDirection w:val="lrTb"/>
            <w:noWrap/>
          </w:tcPr>
          <w:p>
            <w:pPr>
              <w:jc w:val="left"/>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olor w:val="000000" w:themeColor="text1"/>
                <w:sz w:val="21"/>
                <w:szCs w:val="21"/>
                <w:highlight w:val="none"/>
                <w:lang w:val="en-US" w:eastAsia="zh-CN"/>
              </w:rPr>
              <w:t xml:space="preserve">达到绿化养护标准实际投入的养护人员数量超过本方案要求的人数，养护费用不增加。</w:t>
            </w:r>
            <w:r>
              <w:rPr>
                <w:color w:val="000000" w:themeColor="text1"/>
              </w:rPr>
            </w:r>
            <w:r/>
          </w:p>
        </w:tc>
      </w:tr>
      <w:tr>
        <w:trPr>
          <w:trHeight w:val="500"/>
        </w:trPr>
        <w:tc>
          <w:tcPr>
            <w:gridSpan w:val="8"/>
            <w:tcBorders>
              <w:top w:val="none" w:color="000000" w:sz="4" w:space="0"/>
              <w:left w:val="none" w:color="000000" w:sz="4" w:space="0"/>
              <w:bottom w:val="none" w:color="000000" w:sz="4" w:space="0"/>
              <w:right w:val="none" w:color="000000" w:sz="4" w:space="0"/>
            </w:tcBorders>
            <w:tcMar>
              <w:left w:w="15" w:type="dxa"/>
              <w:top w:w="15" w:type="dxa"/>
              <w:right w:w="15" w:type="dxa"/>
            </w:tcMar>
            <w:tcW w:w="9407" w:type="dxa"/>
            <w:vAlign w:val="center"/>
            <w:textDirection w:val="lrTb"/>
            <w:noWrap/>
          </w:tcPr>
          <w:p>
            <w:pPr>
              <w:jc w:val="left"/>
              <w:keepLines w:val="0"/>
              <w:keepNext w:val="0"/>
              <w:pageBreakBefore w:val="0"/>
              <w:spacing w:line="360" w:lineRule="auto"/>
              <w:widowControl/>
              <w:rPr>
                <w:rFonts w:hint="default"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2、垃圾清理、机械费投标人根据采购需求自主报价。</w:t>
            </w:r>
            <w:r>
              <w:rPr>
                <w:color w:val="000000" w:themeColor="text1"/>
              </w:rPr>
            </w:r>
            <w:r/>
          </w:p>
        </w:tc>
      </w:tr>
    </w:tbl>
    <w:p>
      <w:pPr>
        <w:numPr>
          <w:ilvl w:val="0"/>
          <w:numId w:val="0"/>
        </w:numPr>
        <w:keepLines w:val="0"/>
        <w:keepNext w:val="0"/>
        <w:pageBreakBefore w:val="0"/>
        <w:spacing w:line="360" w:lineRule="auto"/>
        <w:widowControl w:val="off"/>
        <w:rPr>
          <w:rFonts w:hint="eastAsia"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b w:val="0"/>
          <w:bCs w:val="0"/>
          <w:color w:val="000000" w:themeColor="text1"/>
          <w:sz w:val="21"/>
          <w:szCs w:val="21"/>
          <w:highlight w:val="none"/>
          <w:lang w:val="en-US" w:eastAsia="zh-CN"/>
        </w:rPr>
      </w:r>
      <w:r>
        <w:rPr>
          <w:color w:val="000000" w:themeColor="text1"/>
        </w:rPr>
      </w:r>
      <w:r/>
    </w:p>
    <w:p>
      <w:pPr>
        <w:numPr>
          <w:ilvl w:val="0"/>
          <w:numId w:val="0"/>
        </w:numPr>
        <w:keepLines w:val="0"/>
        <w:keepNext w:val="0"/>
        <w:pageBreakBefore w:val="0"/>
        <w:spacing w:line="360" w:lineRule="auto"/>
        <w:widowControl w:val="off"/>
        <w:rPr>
          <w:rFonts w:hint="eastAsia"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b w:val="0"/>
          <w:bCs w:val="0"/>
          <w:color w:val="000000" w:themeColor="text1"/>
          <w:sz w:val="21"/>
          <w:szCs w:val="21"/>
          <w:highlight w:val="none"/>
          <w:lang w:val="en-US" w:eastAsia="zh-CN"/>
        </w:rPr>
      </w:r>
      <w:r>
        <w:rPr>
          <w:color w:val="000000" w:themeColor="text1"/>
        </w:rPr>
      </w:r>
      <w:r/>
    </w:p>
    <w:p>
      <w:pPr>
        <w:numPr>
          <w:ilvl w:val="0"/>
          <w:numId w:val="0"/>
        </w:numPr>
        <w:keepLines w:val="0"/>
        <w:keepNext w:val="0"/>
        <w:pageBreakBefore w:val="0"/>
        <w:spacing w:line="360" w:lineRule="auto"/>
        <w:widowControl w:val="off"/>
        <w:rPr>
          <w:rFonts w:hint="eastAsia"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b w:val="0"/>
          <w:bCs w:val="0"/>
          <w:color w:val="000000" w:themeColor="text1"/>
          <w:sz w:val="21"/>
          <w:szCs w:val="21"/>
          <w:highlight w:val="none"/>
          <w:lang w:val="en-US" w:eastAsia="zh-CN"/>
        </w:rPr>
      </w:r>
      <w:r>
        <w:rPr>
          <w:color w:val="000000" w:themeColor="text1"/>
        </w:rPr>
      </w:r>
      <w:r/>
    </w:p>
    <w:p>
      <w:pPr>
        <w:numPr>
          <w:ilvl w:val="0"/>
          <w:numId w:val="0"/>
        </w:numPr>
        <w:keepLines w:val="0"/>
        <w:keepNext w:val="0"/>
        <w:pageBreakBefore w:val="0"/>
        <w:spacing w:line="360" w:lineRule="auto"/>
        <w:widowControl w:val="off"/>
        <w:rPr>
          <w:rFonts w:hint="eastAsia"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b w:val="0"/>
          <w:bCs w:val="0"/>
          <w:color w:val="000000" w:themeColor="text1"/>
          <w:sz w:val="21"/>
          <w:szCs w:val="21"/>
          <w:highlight w:val="none"/>
          <w:lang w:val="en-US" w:eastAsia="zh-CN"/>
        </w:rPr>
      </w:r>
      <w:r>
        <w:rPr>
          <w:color w:val="000000" w:themeColor="text1"/>
        </w:rPr>
      </w:r>
      <w:r/>
    </w:p>
    <w:p>
      <w:pPr>
        <w:numPr>
          <w:ilvl w:val="0"/>
          <w:numId w:val="0"/>
        </w:numPr>
        <w:keepLines w:val="0"/>
        <w:keepNext w:val="0"/>
        <w:pageBreakBefore w:val="0"/>
        <w:spacing w:line="360" w:lineRule="auto"/>
        <w:widowControl w:val="off"/>
        <w:rPr>
          <w:rFonts w:hint="eastAsia"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b w:val="0"/>
          <w:bCs w:val="0"/>
          <w:color w:val="000000" w:themeColor="text1"/>
          <w:sz w:val="21"/>
          <w:szCs w:val="21"/>
          <w:highlight w:val="none"/>
          <w:lang w:val="en-US" w:eastAsia="zh-CN"/>
        </w:rPr>
      </w:r>
      <w:r>
        <w:rPr>
          <w:color w:val="000000" w:themeColor="text1"/>
        </w:rPr>
      </w:r>
      <w:r/>
    </w:p>
    <w:p>
      <w:pPr>
        <w:numPr>
          <w:ilvl w:val="0"/>
          <w:numId w:val="0"/>
        </w:numPr>
        <w:keepLines w:val="0"/>
        <w:keepNext w:val="0"/>
        <w:pageBreakBefore w:val="0"/>
        <w:spacing w:line="360" w:lineRule="auto"/>
        <w:widowControl w:val="off"/>
        <w:rPr>
          <w:rFonts w:hint="eastAsia"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b w:val="0"/>
          <w:bCs w:val="0"/>
          <w:color w:val="000000" w:themeColor="text1"/>
          <w:sz w:val="21"/>
          <w:szCs w:val="21"/>
          <w:highlight w:val="none"/>
          <w:lang w:val="en-US" w:eastAsia="zh-CN"/>
        </w:rPr>
      </w:r>
      <w:r>
        <w:rPr>
          <w:color w:val="000000" w:themeColor="text1"/>
        </w:rPr>
      </w:r>
      <w:r/>
    </w:p>
    <w:p>
      <w:pPr>
        <w:numPr>
          <w:ilvl w:val="0"/>
          <w:numId w:val="0"/>
        </w:numPr>
        <w:keepLines w:val="0"/>
        <w:keepNext w:val="0"/>
        <w:pageBreakBefore w:val="0"/>
        <w:spacing w:line="360" w:lineRule="auto"/>
        <w:widowControl w:val="off"/>
        <w:rPr>
          <w:rFonts w:hint="eastAsia"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b w:val="0"/>
          <w:bCs w:val="0"/>
          <w:color w:val="000000" w:themeColor="text1"/>
          <w:sz w:val="21"/>
          <w:szCs w:val="21"/>
          <w:highlight w:val="none"/>
          <w:lang w:val="en-US" w:eastAsia="zh-CN"/>
        </w:rPr>
      </w:r>
      <w:r>
        <w:rPr>
          <w:color w:val="000000" w:themeColor="text1"/>
        </w:rPr>
      </w:r>
      <w:r/>
    </w:p>
    <w:p>
      <w:pPr>
        <w:numPr>
          <w:ilvl w:val="0"/>
          <w:numId w:val="0"/>
        </w:numPr>
        <w:jc w:val="center"/>
        <w:keepLines w:val="0"/>
        <w:keepNext w:val="0"/>
        <w:pageBreakBefore w:val="0"/>
        <w:spacing w:line="360" w:lineRule="auto"/>
        <w:widowControl w:val="off"/>
        <w:rPr>
          <w:rFonts w:hint="eastAsia"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b w:val="0"/>
          <w:bCs w:val="0"/>
          <w:color w:val="000000" w:themeColor="text1"/>
          <w:sz w:val="21"/>
          <w:szCs w:val="21"/>
          <w:highlight w:val="none"/>
          <w:lang w:val="en-US" w:eastAsia="zh-CN"/>
        </w:rPr>
      </w:r>
      <w:r>
        <w:rPr>
          <w:color w:val="000000" w:themeColor="text1"/>
        </w:rPr>
      </w:r>
      <w:r/>
    </w:p>
    <w:p>
      <w:pPr>
        <w:numPr>
          <w:ilvl w:val="0"/>
          <w:numId w:val="0"/>
        </w:numPr>
        <w:jc w:val="center"/>
        <w:keepLines w:val="0"/>
        <w:keepNext w:val="0"/>
        <w:pageBreakBefore w:val="0"/>
        <w:spacing w:line="360" w:lineRule="auto"/>
        <w:widowControl w:val="off"/>
        <w:rPr>
          <w:rFonts w:hint="eastAsia"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b w:val="0"/>
          <w:bCs w:val="0"/>
          <w:color w:val="000000" w:themeColor="text1"/>
          <w:sz w:val="21"/>
          <w:szCs w:val="21"/>
          <w:highlight w:val="none"/>
          <w:lang w:val="en-US" w:eastAsia="zh-CN"/>
        </w:rPr>
        <w:t xml:space="preserve">瘦西湖景区2026年绿化养护农药采购清单</w:t>
      </w:r>
      <w:r>
        <w:rPr>
          <w:color w:val="000000" w:themeColor="text1"/>
        </w:rPr>
      </w:r>
      <w:r/>
    </w:p>
    <w:tbl>
      <w:tblPr>
        <w:tblStyle w:val="890"/>
        <w:tblW w:w="874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515"/>
        <w:gridCol w:w="1716"/>
        <w:gridCol w:w="722"/>
        <w:gridCol w:w="887"/>
        <w:gridCol w:w="818"/>
        <w:gridCol w:w="1272"/>
        <w:gridCol w:w="1020"/>
      </w:tblGrid>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农药品种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规格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数量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单价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合价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备注</w:t>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石硫合剂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圃卫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氯氰菊酯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溴氰菊酯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氟氯氰菊酯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吡蚜酮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甲维盐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吡虫啉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啶虫脒</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甲维·啶虫脒</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毒·辛</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2KG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必治</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阿维菌素</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噻虫嗪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噻虫·高氯氟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苏云金杆菌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辛硫高氯氟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天牛一插灵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11000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树虫康6号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6800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阿维·二嗪磷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1KG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螨克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红杀</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阿维·哒螨灵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敌死可（苯丁哒螨灵）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丹功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10kg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立克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秀剑套餐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2瓶装</w:t>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功尔</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矿物油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优乐净</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15G/袋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代森锰锌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甲基硫菌灵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多菌灵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百菌清</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三唑酮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咪鲜胺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戊唑醇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戊唑咪鲜胺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苯醚甲环唑</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40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噁霜灵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41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甲霜恶霉灵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42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景翠（苯甲丙环唑）</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43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健致（精甲霜恶霉灵）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44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康圃（吡唑醚菌酯+戊唑醇）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45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克静</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1kg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46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三灭</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47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秀功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48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朴绿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firstLine="210"/>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firstLine="210"/>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49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根灵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花盼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雨阳</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25mlX10瓶/盒</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盒</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植缘</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2gX6支/盒</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盒</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施它活</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1kg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抑蒸</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firstLine="210"/>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firstLine="210"/>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抗秀</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树动力套餐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firstLine="210"/>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firstLine="210"/>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园动力</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firstLine="210"/>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firstLine="210"/>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润尔甲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除草剂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包</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60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爱麦盛</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1套*4袋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135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61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绿美</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62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根盼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63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傻根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2.5L/瓶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箱</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6瓶/箱</w:t>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64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根多</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65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糊涂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500G/瓶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66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营养液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1000ML*12袋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12袋/桶</w:t>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合计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gridSpan w:val="8"/>
            <w:tcBorders>
              <w:top w:val="none" w:color="000000" w:sz="4" w:space="0"/>
              <w:left w:val="none" w:color="000000" w:sz="4" w:space="0"/>
              <w:bottom w:val="none" w:color="000000" w:sz="4" w:space="0"/>
              <w:right w:val="none" w:color="000000" w:sz="4" w:space="0"/>
            </w:tcBorders>
            <w:tcW w:w="8746" w:type="dxa"/>
            <w:vAlign w:val="center"/>
            <w:textDirection w:val="lrTb"/>
            <w:noWrap/>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注：不允许同一种药剂尤其是杀菌剂连续反复使用，以防产生抗药性。</w:t>
            </w:r>
            <w:r>
              <w:rPr>
                <w:color w:val="000000" w:themeColor="text1"/>
              </w:rPr>
            </w:r>
            <w:r/>
          </w:p>
        </w:tc>
      </w:tr>
      <w:tr>
        <w:trPr>
          <w:trHeight w:val="320"/>
        </w:trPr>
        <w:tc>
          <w:tcPr>
            <w:gridSpan w:val="8"/>
            <w:tcBorders>
              <w:top w:val="none" w:color="000000" w:sz="4" w:space="0"/>
              <w:left w:val="none" w:color="000000" w:sz="4" w:space="0"/>
              <w:bottom w:val="none" w:color="000000" w:sz="4" w:space="0"/>
              <w:right w:val="none" w:color="000000" w:sz="4" w:space="0"/>
            </w:tcBorders>
            <w:tcW w:w="8746" w:type="dxa"/>
            <w:vAlign w:val="center"/>
            <w:textDirection w:val="lrTb"/>
            <w:noWrap/>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bl>
    <w:p>
      <w:pPr>
        <w:ind w:firstLine="422"/>
        <w:pageBreakBefore w:val="0"/>
        <w:spacing w:line="360" w:lineRule="auto"/>
        <w:rPr>
          <w:rFonts w:hint="eastAsia" w:ascii="Times New Roman" w:hAnsi="Times New Roman" w:eastAsia="宋体" w:cs="宋体"/>
          <w:b/>
          <w:color w:val="000000" w:themeColor="text1"/>
          <w:sz w:val="21"/>
          <w:szCs w:val="21"/>
          <w:highlight w:val="none"/>
        </w:rPr>
      </w:pPr>
      <w:r>
        <w:rPr>
          <w:rFonts w:hint="eastAsia" w:ascii="Times New Roman" w:hAnsi="Times New Roman" w:eastAsia="宋体" w:cs="宋体"/>
          <w:b/>
          <w:color w:val="000000" w:themeColor="text1"/>
          <w:sz w:val="21"/>
          <w:szCs w:val="21"/>
          <w:highlight w:val="none"/>
        </w:rPr>
      </w:r>
      <w:r>
        <w:rPr>
          <w:color w:val="000000" w:themeColor="text1"/>
        </w:rPr>
      </w:r>
      <w:r/>
    </w:p>
    <w:p>
      <w:pPr>
        <w:ind w:firstLine="422"/>
        <w:pageBreakBefore w:val="0"/>
        <w:spacing w:line="360" w:lineRule="auto"/>
        <w:rPr>
          <w:rFonts w:ascii="Times New Roman" w:hAnsi="Times New Roman" w:eastAsia="宋体" w:cs="宋体"/>
          <w:b/>
          <w:color w:val="000000" w:themeColor="text1"/>
          <w:sz w:val="21"/>
          <w:szCs w:val="21"/>
          <w:highlight w:val="none"/>
        </w:rPr>
      </w:pPr>
      <w:r>
        <w:rPr>
          <w:rFonts w:hint="eastAsia" w:ascii="Times New Roman" w:hAnsi="Times New Roman" w:eastAsia="宋体" w:cs="宋体"/>
          <w:b/>
          <w:color w:val="000000" w:themeColor="text1"/>
          <w:sz w:val="21"/>
          <w:szCs w:val="21"/>
          <w:highlight w:val="none"/>
        </w:rPr>
        <w:t xml:space="preserve">八、节能产品要求</w:t>
      </w:r>
      <w:r>
        <w:rPr>
          <w:color w:val="000000" w:themeColor="text1"/>
        </w:rPr>
      </w:r>
      <w:r/>
    </w:p>
    <w:p>
      <w:pPr>
        <w:ind w:firstLine="420"/>
        <w:pageBreakBefore w:val="0"/>
        <w:spacing w:line="360" w:lineRule="auto"/>
        <w:rPr>
          <w:rFonts w:ascii="Times New Roman" w:hAnsi="Times New Roman" w:eastAsia="宋体" w:cs="宋体"/>
          <w:b/>
          <w:color w:val="000000" w:themeColor="text1"/>
          <w:sz w:val="21"/>
          <w:szCs w:val="21"/>
          <w:highlight w:val="none"/>
        </w:rPr>
      </w:pPr>
      <w:r>
        <w:rPr>
          <w:rFonts w:hint="eastAsia" w:ascii="Times New Roman" w:hAnsi="Times New Roman" w:eastAsia="宋体" w:cs="宋体"/>
          <w:iCs/>
          <w:color w:val="000000" w:themeColor="text1"/>
          <w:sz w:val="21"/>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Times New Roman" w:hAnsi="Times New Roman" w:eastAsia="宋体" w:cs="宋体"/>
          <w:i/>
          <w:iCs/>
          <w:color w:val="000000" w:themeColor="text1"/>
          <w:sz w:val="21"/>
          <w:szCs w:val="21"/>
          <w:highlight w:val="none"/>
          <w:u w:val="single"/>
        </w:rPr>
        <w:t xml:space="preserve">并在投标文件内提供由国家确定的认证机构出具的、处于有效期之内的节能产品认证证书原件，扫描上传，否则视为无效投标。</w:t>
      </w:r>
      <w:r>
        <w:rPr>
          <w:rFonts w:hint="eastAsia" w:ascii="Times New Roman" w:hAnsi="Times New Roman" w:eastAsia="宋体" w:cs="宋体"/>
          <w:b/>
          <w:bCs/>
          <w:i/>
          <w:iCs/>
          <w:color w:val="000000" w:themeColor="text1"/>
          <w:sz w:val="21"/>
          <w:szCs w:val="21"/>
          <w:highlight w:val="none"/>
          <w:u w:val="single"/>
        </w:rPr>
        <w:t xml:space="preserve">（本项目涉及强制采购范围内产品有：无）</w:t>
      </w:r>
      <w:r>
        <w:rPr>
          <w:color w:val="000000" w:themeColor="text1"/>
        </w:rPr>
      </w:r>
      <w:r/>
    </w:p>
    <w:p>
      <w:pPr>
        <w:ind w:firstLine="422"/>
        <w:jc w:val="left"/>
        <w:pageBreakBefore w:val="0"/>
        <w:spacing w:line="360" w:lineRule="auto"/>
        <w:rPr>
          <w:rFonts w:ascii="Times New Roman" w:hAnsi="Times New Roman" w:eastAsia="宋体" w:cs="宋体"/>
          <w:b/>
          <w:bCs/>
          <w:i/>
          <w:iCs/>
          <w:color w:val="000000" w:themeColor="text1"/>
          <w:szCs w:val="21"/>
          <w:highlight w:val="none"/>
          <w:u w:val="single"/>
        </w:rPr>
      </w:pPr>
      <w:r>
        <w:rPr>
          <w:rFonts w:ascii="Times New Roman" w:hAnsi="Times New Roman" w:eastAsia="宋体" w:cs="宋体"/>
          <w:b/>
          <w:bCs/>
          <w:i/>
          <w:iCs/>
          <w:color w:val="000000" w:themeColor="text1"/>
          <w:szCs w:val="21"/>
          <w:highlight w:val="none"/>
          <w:u w:val="single"/>
        </w:rPr>
      </w:r>
      <w:r>
        <w:rPr>
          <w:color w:val="000000" w:themeColor="text1"/>
        </w:rPr>
      </w:r>
      <w:r/>
    </w:p>
    <w:p>
      <w:pPr>
        <w:pStyle w:val="886"/>
        <w:jc w:val="center"/>
        <w:pageBreakBefore w:val="0"/>
        <w:spacing w:before="0" w:after="0" w:line="360" w:lineRule="auto"/>
        <w:rPr>
          <w:rFonts w:ascii="Times New Roman" w:hAnsi="Times New Roman" w:eastAsia="宋体"/>
          <w:color w:val="000000" w:themeColor="text1"/>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000000" w:themeColor="text1"/>
          <w:sz w:val="36"/>
          <w:highlight w:val="none"/>
        </w:rPr>
      </w:r>
      <w:r>
        <w:rPr>
          <w:color w:val="000000" w:themeColor="text1"/>
        </w:rPr>
      </w:r>
      <w:r/>
    </w:p>
    <w:p>
      <w:pPr>
        <w:pStyle w:val="886"/>
        <w:jc w:val="center"/>
        <w:pageBreakBefore w:val="0"/>
        <w:spacing w:before="0" w:after="0" w:line="360" w:lineRule="auto"/>
        <w:rPr>
          <w:rFonts w:ascii="Times New Roman" w:hAnsi="Times New Roman" w:eastAsia="宋体"/>
          <w:color w:val="000000" w:themeColor="text1"/>
          <w:sz w:val="36"/>
          <w:szCs w:val="36"/>
          <w:highlight w:val="none"/>
        </w:rPr>
      </w:pPr>
      <w:r>
        <w:rPr>
          <w:color w:val="000000" w:themeColor="text1"/>
        </w:rPr>
      </w:r>
      <w:bookmarkStart w:id="61" w:name="_Toc5361"/>
      <w:r>
        <w:rPr>
          <w:rFonts w:hint="eastAsia" w:ascii="Times New Roman" w:hAnsi="Times New Roman" w:eastAsia="宋体"/>
          <w:color w:val="000000" w:themeColor="text1"/>
          <w:sz w:val="36"/>
          <w:szCs w:val="36"/>
          <w:highlight w:val="none"/>
        </w:rPr>
        <w:t xml:space="preserve">第五章</w:t>
      </w:r>
      <w:r>
        <w:rPr>
          <w:rFonts w:hint="eastAsia" w:ascii="Times New Roman" w:hAnsi="Times New Roman" w:eastAsia="宋体"/>
          <w:color w:val="000000" w:themeColor="text1"/>
          <w:sz w:val="36"/>
          <w:szCs w:val="36"/>
          <w:highlight w:val="none"/>
          <w:lang w:val="en-US" w:eastAsia="zh-CN"/>
        </w:rPr>
        <w:t xml:space="preserve"> </w:t>
      </w:r>
      <w:r>
        <w:rPr>
          <w:rFonts w:hint="eastAsia" w:ascii="Times New Roman" w:hAnsi="Times New Roman" w:eastAsia="宋体"/>
          <w:color w:val="000000" w:themeColor="text1"/>
          <w:sz w:val="36"/>
          <w:szCs w:val="36"/>
          <w:highlight w:val="none"/>
        </w:rPr>
        <w:t xml:space="preserve">评标方法及评标标准</w:t>
      </w:r>
      <w:bookmarkEnd w:id="60"/>
      <w:r>
        <w:rPr>
          <w:color w:val="000000" w:themeColor="text1"/>
        </w:rPr>
      </w:r>
      <w:bookmarkEnd w:id="61"/>
      <w:r>
        <w:rPr>
          <w:color w:val="000000" w:themeColor="text1"/>
        </w:rPr>
      </w:r>
      <w:r/>
    </w:p>
    <w:p>
      <w:pPr>
        <w:pStyle w:val="922"/>
        <w:ind w:firstLine="422"/>
        <w:pageBreakBefore w:val="0"/>
        <w:spacing w:before="0" w:after="0" w:line="360" w:lineRule="auto"/>
        <w:rPr>
          <w:rFonts w:ascii="Times New Roman" w:hAnsi="Times New Roman" w:eastAsia="宋体"/>
          <w:b/>
          <w:color w:val="000000" w:themeColor="text1"/>
          <w:sz w:val="21"/>
          <w:szCs w:val="21"/>
          <w:highlight w:val="none"/>
        </w:rPr>
      </w:pPr>
      <w:r>
        <w:rPr>
          <w:rFonts w:hint="eastAsia" w:ascii="Times New Roman" w:hAnsi="Times New Roman" w:eastAsia="宋体"/>
          <w:b/>
          <w:color w:val="000000" w:themeColor="text1"/>
          <w:sz w:val="21"/>
          <w:szCs w:val="21"/>
          <w:highlight w:val="none"/>
        </w:rPr>
        <w:t xml:space="preserve">一、评标方法</w:t>
      </w:r>
      <w:r>
        <w:rPr>
          <w:color w:val="000000" w:themeColor="text1"/>
        </w:rPr>
      </w:r>
      <w:r/>
    </w:p>
    <w:p>
      <w:pPr>
        <w:pStyle w:val="922"/>
        <w:ind w:firstLine="420"/>
        <w:pageBreakBefore w:val="0"/>
        <w:spacing w:before="0" w:after="0" w:line="360" w:lineRule="auto"/>
        <w:rPr>
          <w:rFonts w:ascii="Times New Roman" w:hAnsi="Times New Roman" w:eastAsia="宋体"/>
          <w:color w:val="000000" w:themeColor="text1"/>
          <w:sz w:val="21"/>
          <w:szCs w:val="21"/>
          <w:highlight w:val="none"/>
        </w:rPr>
      </w:pPr>
      <w:r>
        <w:rPr>
          <w:color w:val="000000" w:themeColor="text1"/>
        </w:rPr>
      </w:r>
      <w:bookmarkStart w:id="62" w:name="_Toc449017024"/>
      <w:r>
        <w:rPr>
          <w:color w:val="000000" w:themeColor="text1"/>
        </w:rPr>
      </w:r>
      <w:bookmarkStart w:id="63" w:name="_Toc449016388"/>
      <w:r>
        <w:rPr>
          <w:rFonts w:hint="eastAsia" w:ascii="Times New Roman" w:hAnsi="Times New Roman" w:eastAsia="宋体"/>
          <w:color w:val="000000" w:themeColor="text1"/>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color w:val="000000" w:themeColor="text1"/>
        </w:rPr>
      </w:r>
      <w:r/>
    </w:p>
    <w:p>
      <w:pPr>
        <w:ind w:firstLine="422"/>
        <w:pageBreakBefore w:val="0"/>
        <w:spacing w:line="360" w:lineRule="auto"/>
        <w:rPr>
          <w:rFonts w:ascii="Times New Roman" w:hAnsi="Times New Roman" w:eastAsia="宋体"/>
          <w:b/>
          <w:color w:val="000000" w:themeColor="text1"/>
          <w:szCs w:val="21"/>
          <w:highlight w:val="none"/>
        </w:rPr>
      </w:pPr>
      <w:r>
        <w:rPr>
          <w:rFonts w:ascii="Times New Roman" w:hAnsi="Times New Roman" w:eastAsia="宋体"/>
          <w:b/>
          <w:color w:val="000000" w:themeColor="text1"/>
          <w:szCs w:val="21"/>
          <w:highlight w:val="none"/>
        </w:rPr>
        <w:t xml:space="preserve">二、</w:t>
      </w:r>
      <w:r>
        <w:rPr>
          <w:rFonts w:hint="eastAsia" w:ascii="Times New Roman" w:hAnsi="Times New Roman" w:eastAsia="宋体"/>
          <w:b/>
          <w:color w:val="000000" w:themeColor="text1"/>
          <w:szCs w:val="21"/>
          <w:highlight w:val="none"/>
        </w:rPr>
        <w:t xml:space="preserve">政府采购政策功能落实</w:t>
      </w:r>
      <w:bookmarkEnd w:id="62"/>
      <w:r>
        <w:rPr>
          <w:color w:val="000000" w:themeColor="text1"/>
        </w:rPr>
      </w:r>
      <w:bookmarkEnd w:id="63"/>
      <w:r>
        <w:rPr>
          <w:color w:val="000000" w:themeColor="text1"/>
        </w:rPr>
      </w:r>
      <w:r/>
    </w:p>
    <w:p>
      <w:pPr>
        <w:ind w:firstLine="420"/>
        <w:pageBreakBefore w:val="0"/>
        <w:spacing w:line="360" w:lineRule="auto"/>
        <w:rPr>
          <w:rFonts w:ascii="Times New Roman" w:hAnsi="Times New Roman" w:eastAsia="宋体"/>
          <w:b/>
          <w:color w:val="000000" w:themeColor="text1"/>
          <w:szCs w:val="21"/>
          <w:highlight w:val="none"/>
        </w:rPr>
      </w:pPr>
      <w:r>
        <w:rPr>
          <w:rFonts w:ascii="Times New Roman" w:hAnsi="Times New Roman" w:eastAsia="宋体"/>
          <w:color w:val="000000" w:themeColor="text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color w:val="000000" w:themeColor="text1"/>
        </w:rPr>
      </w:r>
      <w:r/>
    </w:p>
    <w:p>
      <w:pPr>
        <w:pStyle w:val="922"/>
        <w:ind w:left="315" w:firstLine="105"/>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1、小微型企业价格扣除</w:t>
      </w:r>
      <w:r>
        <w:rPr>
          <w:color w:val="000000" w:themeColor="text1"/>
        </w:rPr>
      </w:r>
      <w:r/>
    </w:p>
    <w:p>
      <w:pPr>
        <w:pStyle w:val="922"/>
        <w:ind w:firstLine="420"/>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（1）本项目对小型和微型企业产品给予</w:t>
      </w:r>
      <w:r>
        <w:rPr>
          <w:rFonts w:hint="eastAsia" w:ascii="Times New Roman" w:hAnsi="Times New Roman" w:eastAsia="宋体"/>
          <w:color w:val="000000" w:themeColor="text1"/>
          <w:sz w:val="21"/>
          <w:szCs w:val="21"/>
          <w:highlight w:val="none"/>
        </w:rPr>
        <w:t xml:space="preserve">20</w:t>
      </w:r>
      <w:r>
        <w:rPr>
          <w:rFonts w:ascii="Times New Roman" w:hAnsi="Times New Roman" w:eastAsia="宋体"/>
          <w:color w:val="000000" w:themeColor="text1"/>
          <w:sz w:val="21"/>
          <w:szCs w:val="21"/>
          <w:highlight w:val="none"/>
        </w:rPr>
        <w:t xml:space="preserve">%的扣除价格，用扣除后的价格参与评审。</w:t>
      </w:r>
      <w:r>
        <w:rPr>
          <w:color w:val="000000" w:themeColor="text1"/>
        </w:rPr>
      </w:r>
      <w:r/>
    </w:p>
    <w:p>
      <w:pPr>
        <w:pStyle w:val="922"/>
        <w:ind w:firstLine="420"/>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（2）供应商需按照采购文件的要求提供相应的《</w:t>
      </w:r>
      <w:r>
        <w:rPr>
          <w:rFonts w:hint="eastAsia" w:ascii="Times New Roman" w:hAnsi="Times New Roman" w:eastAsia="宋体"/>
          <w:color w:val="000000" w:themeColor="text1"/>
          <w:sz w:val="21"/>
          <w:szCs w:val="21"/>
          <w:highlight w:val="none"/>
        </w:rPr>
        <w:t xml:space="preserve">中小</w:t>
      </w:r>
      <w:r>
        <w:rPr>
          <w:rFonts w:ascii="Times New Roman" w:hAnsi="Times New Roman" w:eastAsia="宋体"/>
          <w:color w:val="000000" w:themeColor="text1"/>
          <w:sz w:val="21"/>
          <w:szCs w:val="21"/>
          <w:highlight w:val="none"/>
        </w:rPr>
        <w:t xml:space="preserve">企业声明函》。</w:t>
      </w:r>
      <w:r>
        <w:rPr>
          <w:color w:val="000000" w:themeColor="text1"/>
        </w:rPr>
      </w:r>
      <w:r/>
    </w:p>
    <w:p>
      <w:pPr>
        <w:pStyle w:val="922"/>
        <w:ind w:left="420" w:firstLine="0"/>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2、残疾人福利单位价格扣除</w:t>
      </w:r>
      <w:r>
        <w:rPr>
          <w:color w:val="000000" w:themeColor="text1"/>
        </w:rPr>
      </w:r>
      <w:r/>
    </w:p>
    <w:p>
      <w:pPr>
        <w:pStyle w:val="922"/>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（1）本项目对残疾人福利性单位视同小型、微型企业，给予</w:t>
      </w:r>
      <w:r>
        <w:rPr>
          <w:rFonts w:hint="eastAsia" w:ascii="Times New Roman" w:hAnsi="Times New Roman" w:eastAsia="宋体"/>
          <w:color w:val="000000" w:themeColor="text1"/>
          <w:sz w:val="21"/>
          <w:szCs w:val="21"/>
          <w:highlight w:val="none"/>
        </w:rPr>
        <w:t xml:space="preserve">20</w:t>
      </w:r>
      <w:r>
        <w:rPr>
          <w:rFonts w:ascii="Times New Roman" w:hAnsi="Times New Roman" w:eastAsia="宋体"/>
          <w:color w:val="000000" w:themeColor="text1"/>
          <w:sz w:val="21"/>
          <w:szCs w:val="21"/>
          <w:highlight w:val="none"/>
        </w:rPr>
        <w:t xml:space="preserve">%的价格扣除，用扣除后的价格参与评审。</w:t>
      </w:r>
      <w:r>
        <w:rPr>
          <w:color w:val="000000" w:themeColor="text1"/>
        </w:rPr>
      </w:r>
      <w:r/>
    </w:p>
    <w:p>
      <w:pPr>
        <w:pStyle w:val="922"/>
        <w:ind w:left="420" w:firstLine="0"/>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（2）残疾人福利单位需按照采购文件的要求提供《残疾人福利性单位声明函》。</w:t>
      </w:r>
      <w:r>
        <w:rPr>
          <w:color w:val="000000" w:themeColor="text1"/>
        </w:rPr>
      </w:r>
      <w:r/>
    </w:p>
    <w:p>
      <w:pPr>
        <w:pStyle w:val="922"/>
        <w:ind w:firstLine="420"/>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（3）残疾人福利单位标准请参照《关于促进残疾人就业政府采购政策的通知》（财库2017〕141号）。</w:t>
      </w:r>
      <w:r>
        <w:rPr>
          <w:color w:val="000000" w:themeColor="text1"/>
        </w:rPr>
      </w:r>
      <w:r/>
    </w:p>
    <w:p>
      <w:pPr>
        <w:pStyle w:val="922"/>
        <w:ind w:left="420" w:firstLine="0"/>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3、监狱和戒毒企业价格扣除</w:t>
      </w:r>
      <w:r>
        <w:rPr>
          <w:color w:val="000000" w:themeColor="text1"/>
        </w:rPr>
      </w:r>
      <w:r/>
    </w:p>
    <w:p>
      <w:pPr>
        <w:pStyle w:val="922"/>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（1）本项目对监狱和戒毒企业（简称监狱企业）视同小型、微型企业，给予</w:t>
      </w:r>
      <w:r>
        <w:rPr>
          <w:rFonts w:hint="eastAsia" w:ascii="Times New Roman" w:hAnsi="Times New Roman" w:eastAsia="宋体"/>
          <w:color w:val="000000" w:themeColor="text1"/>
          <w:sz w:val="21"/>
          <w:szCs w:val="21"/>
          <w:highlight w:val="none"/>
        </w:rPr>
        <w:t xml:space="preserve">20</w:t>
      </w:r>
      <w:r>
        <w:rPr>
          <w:rFonts w:ascii="Times New Roman" w:hAnsi="Times New Roman" w:eastAsia="宋体"/>
          <w:color w:val="000000" w:themeColor="text1"/>
          <w:sz w:val="21"/>
          <w:szCs w:val="21"/>
          <w:highlight w:val="none"/>
        </w:rPr>
        <w:t xml:space="preserve">%的价格扣除，用扣除后的价格参与评审。</w:t>
      </w:r>
      <w:r>
        <w:rPr>
          <w:color w:val="000000" w:themeColor="text1"/>
        </w:rPr>
      </w:r>
      <w:r/>
    </w:p>
    <w:p>
      <w:pPr>
        <w:pStyle w:val="922"/>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rPr>
      </w:r>
      <w:r/>
    </w:p>
    <w:p>
      <w:pPr>
        <w:pStyle w:val="922"/>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（3）监狱企业标准请参照《关于政府采购支持监狱企业发展有关问题的通知》（财库</w:t>
      </w:r>
      <w:r>
        <w:rPr>
          <w:rFonts w:hint="eastAsia" w:ascii="Times New Roman" w:hAnsi="Times New Roman" w:eastAsia="宋体"/>
          <w:color w:val="000000" w:themeColor="text1"/>
          <w:sz w:val="21"/>
          <w:szCs w:val="21"/>
          <w:highlight w:val="none"/>
          <w:lang w:eastAsia="zh-CN"/>
        </w:rPr>
        <w:t xml:space="preserve">〔2014〕68号</w:t>
      </w:r>
      <w:r>
        <w:rPr>
          <w:rFonts w:ascii="Times New Roman" w:hAnsi="Times New Roman" w:eastAsia="宋体"/>
          <w:color w:val="000000" w:themeColor="text1"/>
          <w:sz w:val="21"/>
          <w:szCs w:val="21"/>
          <w:highlight w:val="none"/>
        </w:rPr>
        <w:t xml:space="preserve">）。</w:t>
      </w:r>
      <w:r>
        <w:rPr>
          <w:color w:val="000000" w:themeColor="text1"/>
        </w:rPr>
      </w:r>
      <w:r/>
    </w:p>
    <w:p>
      <w:pPr>
        <w:pStyle w:val="922"/>
        <w:ind w:firstLine="420"/>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4、残疾人福利单位、监狱企业属于小型、微型企业的，不重复享受政策。</w:t>
      </w:r>
      <w:r>
        <w:rPr>
          <w:color w:val="000000" w:themeColor="text1"/>
        </w:rPr>
      </w:r>
      <w:r/>
    </w:p>
    <w:p>
      <w:pPr>
        <w:pStyle w:val="922"/>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000000" w:themeColor="text1"/>
          <w:sz w:val="21"/>
          <w:szCs w:val="21"/>
          <w:highlight w:val="none"/>
        </w:rPr>
        <w:t xml:space="preserve">6</w:t>
      </w:r>
      <w:r>
        <w:rPr>
          <w:rFonts w:ascii="Times New Roman" w:hAnsi="Times New Roman" w:eastAsia="宋体"/>
          <w:color w:val="000000" w:themeColor="text1"/>
          <w:sz w:val="21"/>
          <w:szCs w:val="21"/>
          <w:highlight w:val="none"/>
        </w:rPr>
        <w:t xml:space="preserve">%的价格扣除，用扣除后的价格参与评审。</w:t>
      </w:r>
      <w:r>
        <w:rPr>
          <w:color w:val="000000" w:themeColor="text1"/>
        </w:rPr>
      </w:r>
      <w:r/>
    </w:p>
    <w:p>
      <w:pPr>
        <w:pStyle w:val="922"/>
        <w:pageBreakBefore w:val="0"/>
        <w:spacing w:before="0" w:after="0"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t xml:space="preserve">6、联合体各方均为小型、微型企业（残疾人福利单位、监狱企业）的，联合体享受</w:t>
      </w:r>
      <w:r>
        <w:rPr>
          <w:rFonts w:hint="eastAsia" w:ascii="Times New Roman" w:hAnsi="Times New Roman" w:eastAsia="宋体"/>
          <w:color w:val="000000" w:themeColor="text1"/>
          <w:sz w:val="21"/>
          <w:szCs w:val="21"/>
          <w:highlight w:val="none"/>
        </w:rPr>
        <w:t xml:space="preserve">20</w:t>
      </w:r>
      <w:r>
        <w:rPr>
          <w:rFonts w:ascii="Times New Roman" w:hAnsi="Times New Roman" w:eastAsia="宋体"/>
          <w:color w:val="000000" w:themeColor="text1"/>
          <w:sz w:val="21"/>
          <w:szCs w:val="21"/>
          <w:highlight w:val="none"/>
        </w:rPr>
        <w:t xml:space="preserve">%价格扣除，用扣除后的价格参与评审。</w:t>
      </w:r>
      <w:r>
        <w:rPr>
          <w:color w:val="000000" w:themeColor="text1"/>
        </w:rPr>
      </w:r>
      <w:r/>
    </w:p>
    <w:p>
      <w:pPr>
        <w:ind w:firstLine="420"/>
        <w:jc w:val="left"/>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7、大中型企业向小型、微型企业分包的，分包意向协议约定小型、微型企业合同份额占到合同总金额40%以上的，给予6%的价格扣除，用扣除后的价格参与评审。</w:t>
      </w:r>
      <w:r>
        <w:rPr>
          <w:color w:val="000000" w:themeColor="text1"/>
        </w:rPr>
      </w:r>
      <w:r/>
    </w:p>
    <w:p>
      <w:pPr>
        <w:ind w:firstLine="420"/>
        <w:jc w:val="left"/>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8、采购本国产品的支持政策</w:t>
      </w:r>
      <w:r>
        <w:rPr>
          <w:color w:val="000000" w:themeColor="text1"/>
        </w:rPr>
      </w:r>
      <w:r/>
    </w:p>
    <w:p>
      <w:pPr>
        <w:ind w:firstLine="420"/>
        <w:jc w:val="left"/>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8.1本项目政府采购活动中既有本国产品又有非本国产品参与竞争的，依法对本国产品给予价格评审优惠，对本国产品的报价给予20%的价格扣除，用扣除后的价格参与评审。</w:t>
      </w:r>
      <w:r>
        <w:rPr>
          <w:color w:val="000000" w:themeColor="text1"/>
        </w:rPr>
      </w:r>
      <w:r/>
    </w:p>
    <w:p>
      <w:pPr>
        <w:ind w:firstLine="420"/>
        <w:jc w:val="left"/>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r/>
    </w:p>
    <w:p>
      <w:pPr>
        <w:ind w:firstLine="420"/>
        <w:jc w:val="left"/>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8.3供应商需按照招标文件的要求提供《关于符合本国产品标准的声明函》（以下简称《声明函》），如不提供将不享受本国产品价格评审优惠。</w:t>
      </w:r>
      <w:r>
        <w:rPr>
          <w:color w:val="000000" w:themeColor="text1"/>
        </w:rPr>
      </w:r>
      <w:r/>
    </w:p>
    <w:p>
      <w:pPr>
        <w:ind w:firstLine="420"/>
        <w:jc w:val="left"/>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r/>
    </w:p>
    <w:p>
      <w:pPr>
        <w:ind w:firstLine="420"/>
        <w:jc w:val="left"/>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r/>
    </w:p>
    <w:p>
      <w:pPr>
        <w:pStyle w:val="922"/>
        <w:numPr>
          <w:ilvl w:val="0"/>
          <w:numId w:val="7"/>
        </w:numPr>
        <w:ind w:firstLine="422"/>
        <w:pageBreakBefore w:val="0"/>
        <w:spacing w:before="0" w:after="0" w:line="360" w:lineRule="auto"/>
        <w:rPr>
          <w:rFonts w:hint="eastAsia" w:ascii="Times New Roman" w:hAnsi="Times New Roman" w:eastAsia="宋体"/>
          <w:b/>
          <w:color w:val="000000" w:themeColor="text1"/>
          <w:sz w:val="21"/>
          <w:szCs w:val="21"/>
          <w:highlight w:val="none"/>
        </w:rPr>
      </w:pPr>
      <w:r>
        <w:rPr>
          <w:rFonts w:hint="eastAsia" w:ascii="Times New Roman" w:hAnsi="Times New Roman" w:eastAsia="宋体"/>
          <w:b/>
          <w:color w:val="000000" w:themeColor="text1"/>
          <w:sz w:val="21"/>
          <w:szCs w:val="21"/>
          <w:highlight w:val="none"/>
        </w:rPr>
        <w:t xml:space="preserve">评标标准</w:t>
      </w:r>
      <w:r>
        <w:rPr>
          <w:color w:val="000000" w:themeColor="text1"/>
        </w:rPr>
      </w:r>
      <w:r/>
    </w:p>
    <w:p>
      <w:pPr>
        <w:pStyle w:val="922"/>
        <w:numPr>
          <w:ilvl w:val="-1"/>
          <w:numId w:val="0"/>
        </w:numPr>
        <w:ind w:firstLine="0"/>
        <w:pageBreakBefore w:val="0"/>
        <w:spacing w:before="0" w:after="0" w:line="360" w:lineRule="auto"/>
        <w:rPr>
          <w:rFonts w:hint="eastAsia" w:ascii="Times New Roman" w:hAnsi="Times New Roman" w:eastAsia="宋体"/>
          <w:b/>
          <w:color w:val="000000" w:themeColor="text1"/>
          <w:sz w:val="21"/>
          <w:szCs w:val="21"/>
          <w:highlight w:val="none"/>
        </w:rPr>
      </w:pPr>
      <w:r>
        <w:rPr>
          <w:rFonts w:hint="eastAsia" w:ascii="Times New Roman" w:hAnsi="Times New Roman" w:eastAsia="宋体"/>
          <w:b/>
          <w:color w:val="000000" w:themeColor="text1"/>
          <w:sz w:val="21"/>
          <w:szCs w:val="21"/>
          <w:highlight w:val="none"/>
        </w:rPr>
      </w:r>
      <w:r>
        <w:rPr>
          <w:color w:val="000000" w:themeColor="text1"/>
        </w:rPr>
      </w:r>
      <w:r/>
    </w:p>
    <w:tbl>
      <w:tblPr>
        <w:tblStyle w:val="890"/>
        <w:tblpPr w:horzAnchor="page" w:tblpX="1667" w:vertAnchor="text" w:tblpY="396" w:leftFromText="180" w:topFromText="0" w:rightFromText="180" w:bottomFromText="0"/>
        <w:tblW w:w="8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7751"/>
      </w:tblGrid>
      <w:tr>
        <w:trPr>
          <w:trHeight w:val="431"/>
        </w:trPr>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项  目</w:t>
            </w:r>
            <w:r>
              <w:rPr>
                <w:color w:val="000000" w:themeColor="text1"/>
              </w:rPr>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评 分 标 准</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报价</w:t>
            </w:r>
            <w:r>
              <w:rPr>
                <w:color w:val="000000" w:themeColor="text1"/>
              </w:rPr>
            </w:r>
            <w:r/>
          </w:p>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（10分）</w:t>
            </w:r>
            <w:r>
              <w:rPr>
                <w:color w:val="000000" w:themeColor="text1"/>
              </w:rPr>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s="宋体"/>
                <w:color w:val="000000" w:themeColor="text1"/>
                <w:szCs w:val="21"/>
                <w:highlight w:val="none"/>
              </w:rPr>
              <w:t xml:space="preserve">以满足采购文件要求的最低投标报价为评标基准价，得满分10分，其他投标报价得分=（评标基准价/其他投标报价）×10×100%。</w:t>
            </w:r>
            <w:r>
              <w:rPr>
                <w:color w:val="000000" w:themeColor="text1"/>
              </w:rPr>
            </w:r>
            <w:r/>
          </w:p>
        </w:tc>
      </w:tr>
      <w:tr>
        <w:trPr>
          <w:trHeight w:val="289"/>
        </w:trPr>
        <w:tc>
          <w:tcPr>
            <w:tcBorders>
              <w:top w:val="single" w:color="auto" w:sz="4" w:space="0"/>
              <w:left w:val="single" w:color="auto" w:sz="4" w:space="0"/>
              <w:right w:val="single" w:color="auto" w:sz="4" w:space="0"/>
            </w:tcBorders>
            <w:tcW w:w="1105"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服务方案</w:t>
            </w:r>
            <w:r>
              <w:rPr>
                <w:color w:val="000000" w:themeColor="text1"/>
              </w:rPr>
            </w:r>
            <w:r/>
          </w:p>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（60分）</w:t>
            </w:r>
            <w:r>
              <w:rPr>
                <w:color w:val="000000" w:themeColor="text1"/>
              </w:rPr>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jc w:val="left"/>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1、园林绿化管理服务方案（满分6分）：整体方案规范可行，符合项目实际情况，满足采购文件要求，得6分；服务方案基本规范可行，符合项目实际情况，基本满足采购文件要求得4分；方案一般得2分；不符合实际、不能满足采购文件要求或未提供相关内容不得分。</w:t>
            </w:r>
            <w:r>
              <w:rPr>
                <w:color w:val="000000" w:themeColor="text1"/>
              </w:rPr>
            </w:r>
            <w:r/>
          </w:p>
          <w:p>
            <w:pPr>
              <w:jc w:val="left"/>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2、组织架构，管理制度（满分5分）：包括监督机制、信息反馈处理机制、录用与考核及淘汰机制、培训计划等：符合项目实际情况，优于采购文件要求，得5分；基本符合项目实际情况，基本满足采购文件要求，得3分；内容一般得1分；不符合实际、不能满足采购文件要求或未提供相关内容不得分。</w:t>
            </w:r>
            <w:r>
              <w:rPr>
                <w:color w:val="000000" w:themeColor="text1"/>
              </w:rPr>
            </w:r>
            <w:r/>
          </w:p>
          <w:p>
            <w:pPr>
              <w:jc w:val="left"/>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3、人员、机械配备（满分6分）：养护人员、机械配备满足养护要求，内容合理，满足采购文件要求得6分；内容基本合理，基本满足采购文件要求得4分；方案一般得2分；内容不合理或未提供相关内容，不得分。</w:t>
            </w:r>
            <w:r>
              <w:rPr>
                <w:color w:val="000000" w:themeColor="text1"/>
              </w:rPr>
            </w:r>
            <w:r/>
          </w:p>
          <w:p>
            <w:pPr>
              <w:jc w:val="left"/>
              <w:pageBreakBefore w:val="0"/>
              <w:spacing w:line="360" w:lineRule="auto"/>
              <w:rPr>
                <w:rFonts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4、季节性变化养护措施（满分6分）：季节变化针对性养护措施合理，满足采购文件得6分；内容基本合理，基本满足采购文件要求得4分；内容一般得2分；内容不合理或未提供相关内容不得分。</w:t>
            </w:r>
            <w:r>
              <w:rPr>
                <w:color w:val="000000" w:themeColor="text1"/>
              </w:rPr>
            </w:r>
            <w:r/>
          </w:p>
          <w:p>
            <w:pPr>
              <w:jc w:val="left"/>
              <w:pageBreakBefore w:val="0"/>
              <w:spacing w:line="360" w:lineRule="auto"/>
              <w:rPr>
                <w:rFonts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5、安全文明施工措施（满分5分）：安全文明施工措施规范合理，满足采购文件得5分；基本合理，基本满足采购文件要求得3分；内容一般得1分；内容不合理或未提供相关内容不得分。</w:t>
            </w:r>
            <w:r>
              <w:rPr>
                <w:color w:val="000000" w:themeColor="text1"/>
              </w:rPr>
            </w:r>
            <w:r/>
          </w:p>
          <w:p>
            <w:pPr>
              <w:jc w:val="left"/>
              <w:pageBreakBefore w:val="0"/>
              <w:spacing w:line="360" w:lineRule="auto"/>
              <w:rPr>
                <w:rFonts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6、绿化养护质量保证措施（满分6分）：绿化养护质量保证措施全面合理，满足采购文件要求得6分；内容基本合理，基本满足采购文件要求得4分；内容一般得2分；内容不合理或未提供相关内容不得分。</w:t>
            </w:r>
            <w:r>
              <w:rPr>
                <w:color w:val="000000" w:themeColor="text1"/>
              </w:rPr>
            </w:r>
            <w:r/>
          </w:p>
          <w:p>
            <w:pPr>
              <w:jc w:val="left"/>
              <w:pageBreakBefore w:val="0"/>
              <w:spacing w:line="360" w:lineRule="auto"/>
              <w:rPr>
                <w:rFonts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7、病虫害防治措施（满分6分）：病虫害分析、防治、计划全面合理，满足采购文件要求得6分；内容基本合理，基本满足采购文件要求得4分；内容一般得2分；内容不合理或未提供相关内容不得分。</w:t>
            </w:r>
            <w:r>
              <w:rPr>
                <w:color w:val="000000" w:themeColor="text1"/>
              </w:rPr>
            </w:r>
            <w:r/>
          </w:p>
          <w:p>
            <w:pPr>
              <w:jc w:val="left"/>
              <w:pageBreakBefore w:val="0"/>
              <w:spacing w:line="360" w:lineRule="auto"/>
              <w:rPr>
                <w:rFonts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8、应急预案（满分5分）：针对绿化养护应急预案全面、措施合理，满足采购文件要求得5分；基本满足采购文件要求得3分；内容一般得1分；内容不合理或未提供相关内容不得分。</w:t>
            </w:r>
            <w:r>
              <w:rPr>
                <w:color w:val="000000" w:themeColor="text1"/>
              </w:rPr>
            </w:r>
            <w:r/>
          </w:p>
          <w:p>
            <w:pPr>
              <w:jc w:val="left"/>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9、成本分析（满分5分）：符合相关法律、法规等规定，所列各项服务成本、测算依据及拟用各种耗材的品质、耗量、价格、和项目相对应的机具数量、品牌、价格；人员的社会保险、营业费用、税金等详细、准确，内容具体合理，可操作，针对性强，优于采购文件要求得5分；内容基本合理，可操作，满足采购文件要求得3分；内容一般，基本满足采购文件要求得1分；内容不合理、不可操作或未提供相关内容不得分。</w:t>
            </w:r>
            <w:r>
              <w:rPr>
                <w:rFonts w:hint="eastAsia" w:ascii="Times New Roman" w:hAnsi="Times New Roman" w:eastAsia="宋体" w:cs="宋体"/>
                <w:b/>
                <w:bCs/>
                <w:color w:val="000000" w:themeColor="text1"/>
                <w:szCs w:val="21"/>
                <w:highlight w:val="none"/>
              </w:rPr>
              <w:t xml:space="preserve">（机具为投标人自有，提供购买发票</w:t>
            </w:r>
            <w:r>
              <w:rPr>
                <w:rFonts w:hint="eastAsia" w:ascii="Times New Roman" w:hAnsi="Times New Roman" w:eastAsia="宋体" w:cs="宋体"/>
                <w:b/>
                <w:bCs/>
                <w:color w:val="000000" w:themeColor="text1"/>
                <w:szCs w:val="21"/>
                <w:highlight w:val="none"/>
                <w:lang w:val="en-US" w:eastAsia="zh-CN"/>
              </w:rPr>
              <w:t xml:space="preserve">扫描上传</w:t>
            </w:r>
            <w:r>
              <w:rPr>
                <w:rFonts w:hint="eastAsia" w:ascii="Times New Roman" w:hAnsi="Times New Roman" w:eastAsia="宋体" w:cs="宋体"/>
                <w:b/>
                <w:bCs/>
                <w:color w:val="000000" w:themeColor="text1"/>
                <w:szCs w:val="21"/>
                <w:highlight w:val="none"/>
              </w:rPr>
              <w:t xml:space="preserve">；为租赁的，提供租赁合同</w:t>
            </w:r>
            <w:r>
              <w:rPr>
                <w:rFonts w:hint="eastAsia" w:ascii="Times New Roman" w:hAnsi="Times New Roman" w:eastAsia="宋体" w:cs="宋体"/>
                <w:b/>
                <w:bCs/>
                <w:color w:val="000000" w:themeColor="text1"/>
                <w:szCs w:val="21"/>
                <w:highlight w:val="none"/>
                <w:lang w:val="en-US" w:eastAsia="zh-CN"/>
              </w:rPr>
              <w:t xml:space="preserve">以及机具所有者的</w:t>
            </w:r>
            <w:r>
              <w:rPr>
                <w:rFonts w:hint="eastAsia" w:ascii="Times New Roman" w:hAnsi="Times New Roman" w:eastAsia="宋体" w:cs="宋体"/>
                <w:b/>
                <w:bCs/>
                <w:color w:val="000000" w:themeColor="text1"/>
                <w:szCs w:val="21"/>
                <w:highlight w:val="none"/>
              </w:rPr>
              <w:t xml:space="preserve">购买发票</w:t>
            </w:r>
            <w:r>
              <w:rPr>
                <w:rFonts w:hint="eastAsia" w:ascii="Times New Roman" w:hAnsi="Times New Roman" w:eastAsia="宋体" w:cs="宋体"/>
                <w:b/>
                <w:bCs/>
                <w:color w:val="000000" w:themeColor="text1"/>
                <w:szCs w:val="21"/>
                <w:highlight w:val="none"/>
                <w:lang w:val="en-US" w:eastAsia="zh-CN"/>
              </w:rPr>
              <w:t xml:space="preserve">扫描上传</w:t>
            </w:r>
            <w:r>
              <w:rPr>
                <w:rFonts w:hint="eastAsia" w:ascii="Times New Roman" w:hAnsi="Times New Roman" w:eastAsia="宋体" w:cs="宋体"/>
                <w:b/>
                <w:bCs/>
                <w:color w:val="000000" w:themeColor="text1"/>
                <w:szCs w:val="21"/>
                <w:highlight w:val="none"/>
              </w:rPr>
              <w:t xml:space="preserve">）</w:t>
            </w:r>
            <w:r>
              <w:rPr>
                <w:color w:val="000000" w:themeColor="text1"/>
              </w:rPr>
            </w:r>
            <w:r/>
          </w:p>
          <w:p>
            <w:pPr>
              <w:jc w:val="left"/>
              <w:pageBreakBefore w:val="0"/>
              <w:spacing w:line="360" w:lineRule="auto"/>
              <w:rPr>
                <w:rFonts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10、自评考核体系（满分5分）：有健全的内部考核体系、自评价考核体系，内容健全，优于采购文件要求合理得5分；内容基本合理，可操作，满足采购文件要求得3分；内容一般，基本满足采购文件得1分；内容不合理、不可操作或未提供相关内容不得分。</w:t>
            </w:r>
            <w:r>
              <w:rPr>
                <w:color w:val="000000" w:themeColor="text1"/>
              </w:rPr>
            </w:r>
            <w:r/>
          </w:p>
          <w:p>
            <w:pPr>
              <w:jc w:val="left"/>
              <w:pageBreakBefore w:val="0"/>
              <w:spacing w:line="360" w:lineRule="auto"/>
              <w:rPr>
                <w:rFonts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11、合理化建议（满分5分）：针对本项目特点提出合理化建议，节约投资明显，可操作，优于采购文件要求得5分；节约投资一般，可操作，满足采购文件要求得3分；节约投资不明显，基本满足采购文件得1分；没有节约投资、不可操作、不能满足采购文件要求或未提供相关内容不得分。</w:t>
            </w:r>
            <w:r>
              <w:rPr>
                <w:color w:val="000000" w:themeColor="text1"/>
              </w:rPr>
            </w:r>
            <w:r/>
          </w:p>
        </w:tc>
      </w:tr>
      <w:tr>
        <w:trPr>
          <w:trHeight w:val="945"/>
        </w:trPr>
        <w:tc>
          <w:tcPr>
            <w:tcBorders>
              <w:left w:val="single" w:color="auto" w:sz="4" w:space="0"/>
              <w:bottom w:val="single" w:color="auto" w:sz="4" w:space="0"/>
              <w:right w:val="single" w:color="auto" w:sz="4" w:space="0"/>
            </w:tcBorders>
            <w:tcW w:w="1105"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人员、机械配置（12分）</w:t>
            </w:r>
            <w:r>
              <w:rPr>
                <w:color w:val="000000" w:themeColor="text1"/>
              </w:rPr>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1、投标人根据采购文件要求的人员配置情况，对各岗位人员责任区域进行划分。人员定岗合理得2分，基本合理得1分，不合理或未提供相关内容不得分。</w:t>
            </w:r>
            <w:r>
              <w:rPr>
                <w:color w:val="000000" w:themeColor="text1"/>
              </w:rPr>
            </w:r>
            <w:r/>
          </w:p>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2、绿化机械配置科学合理可行满足需求且有优化方案，得2分；基本合理，得1分；不合理或未提供相关内容不得分。</w:t>
            </w:r>
            <w:r>
              <w:rPr>
                <w:color w:val="000000" w:themeColor="text1"/>
              </w:rPr>
            </w:r>
            <w:r/>
          </w:p>
          <w:p>
            <w:pPr>
              <w:pageBreakBefore w:val="0"/>
              <w:spacing w:line="360" w:lineRule="auto"/>
              <w:rPr>
                <w:rFonts w:hint="eastAsia" w:ascii="Times New Roman" w:hAnsi="Times New Roman" w:eastAsia="宋体" w:cs="宋体"/>
                <w:b/>
                <w:bCs/>
                <w:color w:val="000000" w:themeColor="text1"/>
                <w:szCs w:val="21"/>
                <w:highlight w:val="none"/>
              </w:rPr>
            </w:pPr>
            <w:r>
              <w:rPr>
                <w:rFonts w:hint="eastAsia" w:ascii="Times New Roman" w:hAnsi="Times New Roman" w:eastAsia="宋体" w:cs="宋体"/>
                <w:color w:val="000000" w:themeColor="text1"/>
                <w:szCs w:val="21"/>
                <w:highlight w:val="none"/>
              </w:rPr>
              <w:t xml:space="preserve">3、拟派项目经理</w:t>
            </w:r>
            <w:r>
              <w:rPr>
                <w:rFonts w:hint="eastAsia" w:ascii="Times New Roman" w:hAnsi="Times New Roman" w:eastAsia="宋体" w:cs="宋体"/>
                <w:b w:val="0"/>
                <w:bCs w:val="0"/>
                <w:color w:val="000000" w:themeColor="text1"/>
                <w:szCs w:val="21"/>
                <w:highlight w:val="none"/>
              </w:rPr>
              <w:t xml:space="preserve">具有本科及以</w:t>
            </w:r>
            <w:r>
              <w:rPr>
                <w:rFonts w:hint="eastAsia" w:ascii="Times New Roman" w:hAnsi="Times New Roman" w:eastAsia="宋体" w:cs="宋体"/>
                <w:color w:val="000000" w:themeColor="text1"/>
                <w:szCs w:val="21"/>
                <w:highlight w:val="none"/>
              </w:rPr>
              <w:t xml:space="preserve">上学历得2分，大专学历得1分，满分2分。</w:t>
            </w:r>
            <w:r>
              <w:rPr>
                <w:rFonts w:hint="eastAsia" w:ascii="Times New Roman" w:hAnsi="Times New Roman" w:eastAsia="宋体" w:cs="宋体"/>
                <w:b/>
                <w:bCs/>
                <w:color w:val="000000" w:themeColor="text1"/>
                <w:szCs w:val="21"/>
                <w:highlight w:val="none"/>
              </w:rPr>
              <w:t xml:space="preserve">（提供学历证书</w:t>
            </w:r>
            <w:r>
              <w:rPr>
                <w:rFonts w:hint="eastAsia" w:ascii="Times New Roman" w:hAnsi="Times New Roman" w:eastAsia="宋体" w:cs="宋体"/>
                <w:b/>
                <w:color w:val="000000" w:themeColor="text1"/>
                <w:szCs w:val="21"/>
                <w:highlight w:val="none"/>
              </w:rPr>
              <w:t xml:space="preserve">及投标人为其连续缴纳的近</w:t>
            </w:r>
            <w:r>
              <w:rPr>
                <w:rFonts w:hint="eastAsia" w:ascii="Times New Roman" w:hAnsi="Times New Roman" w:eastAsia="宋体" w:cs="宋体"/>
                <w:b/>
                <w:color w:val="000000" w:themeColor="text1"/>
                <w:szCs w:val="21"/>
                <w:highlight w:val="none"/>
                <w:lang w:val="en-US" w:eastAsia="zh-CN"/>
              </w:rPr>
              <w:t xml:space="preserve">三</w:t>
            </w:r>
            <w:r>
              <w:rPr>
                <w:rFonts w:hint="eastAsia" w:ascii="Times New Roman" w:hAnsi="Times New Roman" w:eastAsia="宋体" w:cs="宋体"/>
                <w:b/>
                <w:color w:val="000000" w:themeColor="text1"/>
                <w:szCs w:val="21"/>
                <w:highlight w:val="none"/>
              </w:rPr>
              <w:t xml:space="preserve">个月</w:t>
            </w:r>
            <w:r>
              <w:rPr>
                <w:rFonts w:hint="eastAsia" w:ascii="Times New Roman" w:hAnsi="Times New Roman" w:eastAsia="宋体" w:cs="宋体"/>
                <w:b/>
                <w:color w:val="000000" w:themeColor="text1"/>
                <w:szCs w:val="21"/>
                <w:highlight w:val="none"/>
                <w:lang w:val="en-US" w:eastAsia="zh-CN"/>
              </w:rPr>
              <w:t xml:space="preserve">任意一份</w:t>
            </w:r>
            <w:r>
              <w:rPr>
                <w:rFonts w:hint="eastAsia" w:ascii="Times New Roman" w:hAnsi="Times New Roman" w:eastAsia="宋体" w:cs="宋体"/>
                <w:b/>
                <w:color w:val="000000" w:themeColor="text1"/>
                <w:szCs w:val="21"/>
                <w:highlight w:val="none"/>
              </w:rPr>
              <w:t xml:space="preserve">社保证明</w:t>
            </w:r>
            <w:r>
              <w:rPr>
                <w:rFonts w:hint="eastAsia" w:ascii="Times New Roman" w:hAnsi="Times New Roman" w:eastAsia="宋体" w:cs="宋体"/>
                <w:b/>
                <w:bCs/>
                <w:color w:val="000000" w:themeColor="text1"/>
                <w:szCs w:val="21"/>
                <w:highlight w:val="none"/>
              </w:rPr>
              <w:t xml:space="preserve">，原件扫描上传）</w:t>
            </w:r>
            <w:r>
              <w:rPr>
                <w:color w:val="000000" w:themeColor="text1"/>
              </w:rPr>
            </w:r>
            <w:r/>
          </w:p>
          <w:p>
            <w:pPr>
              <w:pageBreakBefore w:val="0"/>
              <w:spacing w:line="360" w:lineRule="auto"/>
              <w:rPr>
                <w:rFonts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4、拟派项目经理具有园林绿化管理服务经验5年及以上得2分，3年（含）-5年（不含）及以上得1分，不足3年不得分，满分2分。</w:t>
            </w:r>
            <w:r>
              <w:rPr>
                <w:rFonts w:hint="eastAsia" w:ascii="Times New Roman" w:hAnsi="Times New Roman" w:eastAsia="宋体" w:cs="宋体"/>
                <w:b/>
                <w:bCs/>
                <w:color w:val="000000" w:themeColor="text1"/>
                <w:szCs w:val="21"/>
                <w:highlight w:val="none"/>
              </w:rPr>
              <w:t xml:space="preserve">（提供有效的经验证明材料</w:t>
            </w:r>
            <w:r>
              <w:rPr>
                <w:rFonts w:hint="eastAsia" w:ascii="Times New Roman" w:hAnsi="Times New Roman" w:eastAsia="宋体" w:cs="宋体"/>
                <w:b/>
                <w:color w:val="000000" w:themeColor="text1"/>
                <w:szCs w:val="21"/>
                <w:highlight w:val="none"/>
              </w:rPr>
              <w:t xml:space="preserve">及投标人为其连续缴纳的近</w:t>
            </w:r>
            <w:r>
              <w:rPr>
                <w:rFonts w:hint="eastAsia" w:ascii="Times New Roman" w:hAnsi="Times New Roman" w:eastAsia="宋体" w:cs="宋体"/>
                <w:b/>
                <w:color w:val="000000" w:themeColor="text1"/>
                <w:szCs w:val="21"/>
                <w:highlight w:val="none"/>
                <w:lang w:val="en-US" w:eastAsia="zh-CN"/>
              </w:rPr>
              <w:t xml:space="preserve">三</w:t>
            </w:r>
            <w:r>
              <w:rPr>
                <w:rFonts w:hint="eastAsia" w:ascii="Times New Roman" w:hAnsi="Times New Roman" w:eastAsia="宋体" w:cs="宋体"/>
                <w:b/>
                <w:color w:val="000000" w:themeColor="text1"/>
                <w:szCs w:val="21"/>
                <w:highlight w:val="none"/>
              </w:rPr>
              <w:t xml:space="preserve">个月</w:t>
            </w:r>
            <w:r>
              <w:rPr>
                <w:rFonts w:hint="eastAsia" w:ascii="Times New Roman" w:hAnsi="Times New Roman" w:eastAsia="宋体" w:cs="宋体"/>
                <w:b/>
                <w:color w:val="000000" w:themeColor="text1"/>
                <w:szCs w:val="21"/>
                <w:highlight w:val="none"/>
                <w:lang w:val="en-US" w:eastAsia="zh-CN"/>
              </w:rPr>
              <w:t xml:space="preserve">任意一份</w:t>
            </w:r>
            <w:r>
              <w:rPr>
                <w:rFonts w:hint="eastAsia" w:ascii="Times New Roman" w:hAnsi="Times New Roman" w:eastAsia="宋体" w:cs="宋体"/>
                <w:b/>
                <w:color w:val="000000" w:themeColor="text1"/>
                <w:szCs w:val="21"/>
                <w:highlight w:val="none"/>
              </w:rPr>
              <w:t xml:space="preserve">社保证明</w:t>
            </w:r>
            <w:r>
              <w:rPr>
                <w:rFonts w:hint="eastAsia" w:ascii="Times New Roman" w:hAnsi="Times New Roman" w:eastAsia="宋体" w:cs="宋体"/>
                <w:b/>
                <w:bCs/>
                <w:color w:val="000000" w:themeColor="text1"/>
                <w:szCs w:val="21"/>
                <w:highlight w:val="none"/>
              </w:rPr>
              <w:t xml:space="preserve">，原件扫描上传）</w:t>
            </w:r>
            <w:r>
              <w:rPr>
                <w:color w:val="000000" w:themeColor="text1"/>
              </w:rPr>
            </w:r>
            <w:r/>
          </w:p>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5、拟派项目经理具有4A级及以上景区服务经验得2分，3A级及以上景区服务经验得1分，3A级以下（不含3A）不得分，满分2分。</w:t>
            </w:r>
            <w:r>
              <w:rPr>
                <w:rFonts w:hint="eastAsia" w:ascii="Times New Roman" w:hAnsi="Times New Roman" w:eastAsia="宋体" w:cs="宋体"/>
                <w:b/>
                <w:bCs/>
                <w:color w:val="000000" w:themeColor="text1"/>
                <w:szCs w:val="21"/>
                <w:highlight w:val="none"/>
              </w:rPr>
              <w:t xml:space="preserve">（提供有效的经验证明材料</w:t>
            </w:r>
            <w:r>
              <w:rPr>
                <w:rFonts w:hint="eastAsia" w:ascii="Times New Roman" w:hAnsi="Times New Roman" w:eastAsia="宋体" w:cs="宋体"/>
                <w:b/>
                <w:color w:val="000000" w:themeColor="text1"/>
                <w:szCs w:val="21"/>
                <w:highlight w:val="none"/>
              </w:rPr>
              <w:t xml:space="preserve">及投标人为其连续缴纳的近</w:t>
            </w:r>
            <w:r>
              <w:rPr>
                <w:rFonts w:hint="eastAsia" w:ascii="Times New Roman" w:hAnsi="Times New Roman" w:eastAsia="宋体" w:cs="宋体"/>
                <w:b/>
                <w:color w:val="000000" w:themeColor="text1"/>
                <w:szCs w:val="21"/>
                <w:highlight w:val="none"/>
                <w:lang w:val="en-US" w:eastAsia="zh-CN"/>
              </w:rPr>
              <w:t xml:space="preserve">三</w:t>
            </w:r>
            <w:r>
              <w:rPr>
                <w:rFonts w:hint="eastAsia" w:ascii="Times New Roman" w:hAnsi="Times New Roman" w:eastAsia="宋体" w:cs="宋体"/>
                <w:b/>
                <w:color w:val="000000" w:themeColor="text1"/>
                <w:szCs w:val="21"/>
                <w:highlight w:val="none"/>
              </w:rPr>
              <w:t xml:space="preserve">个月</w:t>
            </w:r>
            <w:r>
              <w:rPr>
                <w:rFonts w:hint="eastAsia" w:ascii="Times New Roman" w:hAnsi="Times New Roman" w:eastAsia="宋体" w:cs="宋体"/>
                <w:b/>
                <w:color w:val="000000" w:themeColor="text1"/>
                <w:szCs w:val="21"/>
                <w:highlight w:val="none"/>
                <w:lang w:val="en-US" w:eastAsia="zh-CN"/>
              </w:rPr>
              <w:t xml:space="preserve">任意一份</w:t>
            </w:r>
            <w:r>
              <w:rPr>
                <w:rFonts w:hint="eastAsia" w:ascii="Times New Roman" w:hAnsi="Times New Roman" w:eastAsia="宋体" w:cs="宋体"/>
                <w:b/>
                <w:color w:val="000000" w:themeColor="text1"/>
                <w:szCs w:val="21"/>
                <w:highlight w:val="none"/>
              </w:rPr>
              <w:t xml:space="preserve">社保证明</w:t>
            </w:r>
            <w:r>
              <w:rPr>
                <w:rFonts w:hint="eastAsia" w:ascii="Times New Roman" w:hAnsi="Times New Roman" w:eastAsia="宋体" w:cs="宋体"/>
                <w:b/>
                <w:bCs/>
                <w:color w:val="000000" w:themeColor="text1"/>
                <w:szCs w:val="21"/>
                <w:highlight w:val="none"/>
              </w:rPr>
              <w:t xml:space="preserve">，原件扫描上传）</w:t>
            </w:r>
            <w:r>
              <w:rPr>
                <w:color w:val="000000" w:themeColor="text1"/>
              </w:rPr>
            </w:r>
            <w:r/>
          </w:p>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6、拟派项目经理具有园林绿化相关专业中级或以上职称得2分，具有园林绿化相关专业初级职称得1分，其他不得分，满分2分。</w:t>
            </w:r>
            <w:r>
              <w:rPr>
                <w:rFonts w:hint="eastAsia" w:ascii="Times New Roman" w:hAnsi="Times New Roman" w:eastAsia="宋体" w:cs="宋体"/>
                <w:b/>
                <w:bCs/>
                <w:color w:val="000000" w:themeColor="text1"/>
                <w:szCs w:val="21"/>
                <w:highlight w:val="none"/>
              </w:rPr>
              <w:t xml:space="preserve">（提供职称证书</w:t>
            </w:r>
            <w:r>
              <w:rPr>
                <w:rFonts w:hint="eastAsia" w:ascii="Times New Roman" w:hAnsi="Times New Roman" w:eastAsia="宋体" w:cs="宋体"/>
                <w:b/>
                <w:color w:val="000000" w:themeColor="text1"/>
                <w:szCs w:val="21"/>
                <w:highlight w:val="none"/>
              </w:rPr>
              <w:t xml:space="preserve">及投标人为其连续缴纳的近</w:t>
            </w:r>
            <w:r>
              <w:rPr>
                <w:rFonts w:hint="eastAsia" w:ascii="Times New Roman" w:hAnsi="Times New Roman" w:eastAsia="宋体" w:cs="宋体"/>
                <w:b/>
                <w:color w:val="000000" w:themeColor="text1"/>
                <w:szCs w:val="21"/>
                <w:highlight w:val="none"/>
                <w:lang w:val="en-US" w:eastAsia="zh-CN"/>
              </w:rPr>
              <w:t xml:space="preserve">三</w:t>
            </w:r>
            <w:r>
              <w:rPr>
                <w:rFonts w:hint="eastAsia" w:ascii="Times New Roman" w:hAnsi="Times New Roman" w:eastAsia="宋体" w:cs="宋体"/>
                <w:b/>
                <w:color w:val="000000" w:themeColor="text1"/>
                <w:szCs w:val="21"/>
                <w:highlight w:val="none"/>
              </w:rPr>
              <w:t xml:space="preserve">个月</w:t>
            </w:r>
            <w:r>
              <w:rPr>
                <w:rFonts w:hint="eastAsia" w:ascii="Times New Roman" w:hAnsi="Times New Roman" w:eastAsia="宋体" w:cs="宋体"/>
                <w:b/>
                <w:color w:val="000000" w:themeColor="text1"/>
                <w:szCs w:val="21"/>
                <w:highlight w:val="none"/>
                <w:lang w:val="en-US" w:eastAsia="zh-CN"/>
              </w:rPr>
              <w:t xml:space="preserve">任意一份</w:t>
            </w:r>
            <w:r>
              <w:rPr>
                <w:rFonts w:hint="eastAsia" w:ascii="Times New Roman" w:hAnsi="Times New Roman" w:eastAsia="宋体" w:cs="宋体"/>
                <w:b/>
                <w:color w:val="000000" w:themeColor="text1"/>
                <w:szCs w:val="21"/>
                <w:highlight w:val="none"/>
              </w:rPr>
              <w:t xml:space="preserve">社保证明</w:t>
            </w:r>
            <w:r>
              <w:rPr>
                <w:rFonts w:hint="eastAsia" w:ascii="Times New Roman" w:hAnsi="Times New Roman" w:eastAsia="宋体" w:cs="宋体"/>
                <w:b/>
                <w:bCs/>
                <w:color w:val="000000" w:themeColor="text1"/>
                <w:szCs w:val="21"/>
                <w:highlight w:val="none"/>
              </w:rPr>
              <w:t xml:space="preserve">，原件扫描上传）</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业绩</w:t>
            </w:r>
            <w:r>
              <w:rPr>
                <w:color w:val="000000" w:themeColor="text1"/>
              </w:rPr>
            </w:r>
            <w:r/>
          </w:p>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（15分）</w:t>
            </w:r>
            <w:r>
              <w:rPr>
                <w:color w:val="000000" w:themeColor="text1"/>
              </w:rPr>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pageBreakBefore w:val="0"/>
              <w:spacing w:line="360" w:lineRule="auto"/>
              <w:rPr>
                <w:rFonts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投标人20</w:t>
            </w:r>
            <w:r>
              <w:rPr>
                <w:rFonts w:hint="eastAsia" w:ascii="Times New Roman" w:hAnsi="Times New Roman" w:eastAsia="宋体" w:cs="宋体"/>
                <w:color w:val="000000" w:themeColor="text1"/>
                <w:szCs w:val="21"/>
                <w:highlight w:val="none"/>
                <w:lang w:val="en-US" w:eastAsia="zh-CN"/>
              </w:rPr>
              <w:t xml:space="preserve">23</w:t>
            </w:r>
            <w:r>
              <w:rPr>
                <w:rFonts w:hint="eastAsia" w:ascii="Times New Roman" w:hAnsi="Times New Roman" w:eastAsia="宋体" w:cs="宋体"/>
                <w:color w:val="000000" w:themeColor="text1"/>
                <w:szCs w:val="21"/>
                <w:highlight w:val="none"/>
              </w:rPr>
              <w:t xml:space="preserve">年1月1日至今具有与本项目类似的业绩（内容应至少包含与本项目相关的含室外公共区域绿化养护），每提供一份合同得5分，满分15分。</w:t>
            </w:r>
            <w:r>
              <w:rPr>
                <w:rFonts w:hint="eastAsia" w:ascii="Times New Roman" w:hAnsi="Times New Roman" w:eastAsia="宋体"/>
                <w:b/>
                <w:bCs/>
                <w:color w:val="000000" w:themeColor="text1"/>
                <w:szCs w:val="21"/>
                <w:highlight w:val="none"/>
                <w:lang w:val="zh-CN"/>
              </w:rPr>
              <w:t xml:space="preserve">（</w:t>
            </w:r>
            <w:r>
              <w:rPr>
                <w:rFonts w:hint="eastAsia" w:ascii="Times New Roman" w:hAnsi="Times New Roman" w:eastAsia="宋体" w:cs="宋体"/>
                <w:b/>
                <w:bCs/>
                <w:color w:val="000000" w:themeColor="text1"/>
                <w:szCs w:val="21"/>
                <w:highlight w:val="none"/>
              </w:rPr>
              <w:t xml:space="preserve">以合同签订日期为准，</w:t>
            </w:r>
            <w:r>
              <w:rPr>
                <w:rFonts w:hint="eastAsia" w:ascii="Times New Roman" w:hAnsi="Times New Roman" w:eastAsia="宋体"/>
                <w:b/>
                <w:bCs/>
                <w:color w:val="000000" w:themeColor="text1"/>
                <w:szCs w:val="21"/>
                <w:highlight w:val="none"/>
                <w:lang w:val="zh-CN"/>
              </w:rPr>
              <w:t xml:space="preserve">同一项目不同年限的合同不累计，提供合同原件，扫描上传，</w:t>
            </w:r>
            <w:r>
              <w:rPr>
                <w:rFonts w:hint="eastAsia" w:ascii="Times New Roman" w:hAnsi="Times New Roman" w:eastAsia="宋体"/>
                <w:b/>
                <w:bCs/>
                <w:color w:val="000000" w:themeColor="text1"/>
                <w:szCs w:val="21"/>
                <w:highlight w:val="none"/>
              </w:rPr>
              <w:t xml:space="preserve">合同无法体现详细服务内容的应另外提供业主单位证明</w:t>
            </w:r>
            <w:r>
              <w:rPr>
                <w:rFonts w:hint="eastAsia" w:ascii="Times New Roman" w:hAnsi="Times New Roman" w:eastAsia="宋体"/>
                <w:b/>
                <w:bCs/>
                <w:color w:val="000000" w:themeColor="text1"/>
                <w:szCs w:val="21"/>
                <w:highlight w:val="none"/>
                <w:lang w:val="zh-CN"/>
              </w:rPr>
              <w:t xml:space="preserve">）</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履约能力</w:t>
            </w:r>
            <w:r>
              <w:rPr>
                <w:color w:val="000000" w:themeColor="text1"/>
              </w:rPr>
            </w:r>
            <w:r/>
          </w:p>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（3分）</w:t>
            </w:r>
            <w:r>
              <w:rPr>
                <w:color w:val="000000" w:themeColor="text1"/>
              </w:rPr>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pageBreakBefore w:val="0"/>
              <w:spacing w:line="360" w:lineRule="auto"/>
              <w:rPr>
                <w:rFonts w:hint="eastAsia" w:ascii="Times New Roman" w:hAnsi="Times New Roman" w:eastAsia="宋体" w:cs="宋体"/>
                <w:b/>
                <w:bCs/>
                <w:color w:val="000000" w:themeColor="text1"/>
                <w:szCs w:val="21"/>
                <w:highlight w:val="none"/>
              </w:rPr>
            </w:pPr>
            <w:r>
              <w:rPr>
                <w:rFonts w:hint="eastAsia" w:ascii="Times New Roman" w:hAnsi="Times New Roman" w:eastAsia="宋体" w:cs="宋体"/>
                <w:color w:val="000000" w:themeColor="text1"/>
                <w:szCs w:val="21"/>
                <w:highlight w:val="none"/>
              </w:rPr>
              <w:t xml:space="preserve">1、投标人具备有效的ISO9001质量体系证书，得1分。</w:t>
            </w:r>
            <w:r>
              <w:rPr>
                <w:rFonts w:hint="eastAsia" w:ascii="Times New Roman" w:hAnsi="Times New Roman" w:eastAsia="宋体" w:cs="宋体"/>
                <w:b/>
                <w:bCs/>
                <w:color w:val="000000" w:themeColor="text1"/>
                <w:szCs w:val="21"/>
                <w:highlight w:val="none"/>
              </w:rPr>
              <w:t xml:space="preserve">（提供证书及国家认监委网站查询截图，扫描上传）</w:t>
            </w:r>
            <w:r>
              <w:rPr>
                <w:color w:val="000000" w:themeColor="text1"/>
              </w:rPr>
            </w:r>
            <w:r/>
          </w:p>
          <w:p>
            <w:pPr>
              <w:pageBreakBefore w:val="0"/>
              <w:spacing w:line="360" w:lineRule="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2、投标人具备有效的ISO14001环境体系证书，得1分。</w:t>
            </w:r>
            <w:r>
              <w:rPr>
                <w:rFonts w:hint="eastAsia" w:ascii="Times New Roman" w:hAnsi="Times New Roman" w:eastAsia="宋体" w:cs="宋体"/>
                <w:b/>
                <w:bCs/>
                <w:color w:val="000000" w:themeColor="text1"/>
                <w:szCs w:val="21"/>
                <w:highlight w:val="none"/>
              </w:rPr>
              <w:t xml:space="preserve">（提供证书及国家认监委网站查询截图，扫描上传）</w:t>
            </w:r>
            <w:r>
              <w:rPr>
                <w:color w:val="000000" w:themeColor="text1"/>
              </w:rPr>
            </w:r>
            <w:r/>
          </w:p>
          <w:p>
            <w:pPr>
              <w:pageBreakBefore w:val="0"/>
              <w:spacing w:line="360" w:lineRule="auto"/>
              <w:rPr>
                <w:rFonts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3、投标人具备有效的ISO45001职业健康安全管理体系认证证书，得1分。</w:t>
            </w:r>
            <w:r>
              <w:rPr>
                <w:rFonts w:hint="eastAsia" w:ascii="Times New Roman" w:hAnsi="Times New Roman" w:eastAsia="宋体" w:cs="宋体"/>
                <w:b/>
                <w:bCs/>
                <w:color w:val="000000" w:themeColor="text1"/>
                <w:szCs w:val="21"/>
                <w:highlight w:val="none"/>
              </w:rPr>
              <w:t xml:space="preserve">（提供证书及国家认监委网站查询截图，扫描上传）</w:t>
            </w:r>
            <w:r>
              <w:rPr>
                <w:color w:val="000000" w:themeColor="text1"/>
              </w:rPr>
            </w:r>
            <w:r/>
          </w:p>
        </w:tc>
      </w:tr>
    </w:tbl>
    <w:p>
      <w:pPr>
        <w:ind w:firstLine="422"/>
        <w:keepLines w:val="0"/>
        <w:keepNext w:val="0"/>
        <w:pageBreakBefore w:val="0"/>
        <w:spacing w:line="360" w:lineRule="auto"/>
        <w:widowControl w:val="off"/>
        <w:rPr>
          <w:rFonts w:hint="eastAsia"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r>
      <w:r>
        <w:rPr>
          <w:color w:val="000000" w:themeColor="text1"/>
        </w:rPr>
      </w:r>
      <w:r/>
    </w:p>
    <w:p>
      <w:pPr>
        <w:ind w:firstLine="422"/>
        <w:keepLines w:val="0"/>
        <w:keepNext w:val="0"/>
        <w:pageBreakBefore w:val="0"/>
        <w:spacing w:line="360" w:lineRule="auto"/>
        <w:widowControl w:val="off"/>
        <w:rPr>
          <w:rFonts w:hint="eastAsia"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四、</w:t>
      </w:r>
      <w:r>
        <w:rPr>
          <w:rFonts w:hint="eastAsia" w:ascii="Times New Roman" w:hAnsi="Times New Roman" w:eastAsia="宋体" w:cs="宋体"/>
          <w:b/>
          <w:bCs/>
          <w:color w:val="000000" w:themeColor="text1"/>
          <w:highlight w:val="none"/>
        </w:rPr>
        <w:t xml:space="preserve">本次采购执行财政部发布《关于推动解决政府采购异常低价问题的通知》财库〔2026〕2号）的文件要求。</w:t>
      </w:r>
      <w:r>
        <w:rPr>
          <w:color w:val="000000" w:themeColor="text1"/>
        </w:rPr>
      </w:r>
      <w:r/>
    </w:p>
    <w:p>
      <w:pPr>
        <w:ind w:firstLine="422"/>
        <w:keepLines w:val="0"/>
        <w:keepNext w:val="0"/>
        <w:pageBreakBefore w:val="0"/>
        <w:spacing w:line="360" w:lineRule="auto"/>
        <w:widowControl w:val="off"/>
        <w:rPr>
          <w:rFonts w:hint="eastAsia"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b w:val="0"/>
          <w:bCs w:val="0"/>
          <w:color w:val="000000" w:themeColor="text1"/>
          <w:sz w:val="21"/>
          <w:szCs w:val="21"/>
          <w:highlight w:val="none"/>
        </w:rPr>
        <w:t xml:space="preserve">（一）政府采购评审中出现下列情形之一的，评审委员会应当启动异常低价投标（响应）审查程序：</w:t>
      </w:r>
      <w:r>
        <w:rPr>
          <w:color w:val="000000" w:themeColor="text1"/>
        </w:rPr>
      </w:r>
      <w:r/>
    </w:p>
    <w:p>
      <w:pPr>
        <w:ind w:firstLine="422"/>
        <w:pageBreakBefore w:val="0"/>
        <w:spacing w:line="360" w:lineRule="auto"/>
        <w:rPr>
          <w:rFonts w:hint="eastAsia"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b w:val="0"/>
          <w:bCs w:val="0"/>
          <w:color w:val="000000" w:themeColor="text1"/>
          <w:sz w:val="21"/>
          <w:szCs w:val="21"/>
          <w:highlight w:val="none"/>
        </w:rPr>
        <w:t xml:space="preserve">1.投标</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响应</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报价低于全部通过符合性审查供应商投标</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响应</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报价平均值50%的，即投标</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响应</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报价〈全部通过符合性审查供应商投标</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响应</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报价平均值X50%；</w:t>
      </w:r>
      <w:r>
        <w:rPr>
          <w:color w:val="000000" w:themeColor="text1"/>
        </w:rPr>
      </w:r>
      <w:r/>
    </w:p>
    <w:p>
      <w:pPr>
        <w:ind w:firstLine="422"/>
        <w:pageBreakBefore w:val="0"/>
        <w:spacing w:line="360" w:lineRule="auto"/>
        <w:rPr>
          <w:rFonts w:hint="eastAsia"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b w:val="0"/>
          <w:bCs w:val="0"/>
          <w:color w:val="000000" w:themeColor="text1"/>
          <w:sz w:val="21"/>
          <w:szCs w:val="21"/>
          <w:highlight w:val="none"/>
        </w:rPr>
        <w:t xml:space="preserve">2.投标</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响应</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报价低于通过符合性审查的次低报价供应商投标</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响应</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报价50%的，即投标</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响应</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报价〈通过符合性审查的次低报价供应商投标</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响应</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报价X50%；</w:t>
      </w:r>
      <w:r>
        <w:rPr>
          <w:color w:val="000000" w:themeColor="text1"/>
        </w:rPr>
      </w:r>
      <w:r/>
    </w:p>
    <w:p>
      <w:pPr>
        <w:ind w:firstLine="422"/>
        <w:pageBreakBefore w:val="0"/>
        <w:spacing w:line="360" w:lineRule="auto"/>
        <w:rPr>
          <w:rFonts w:hint="eastAsia"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b w:val="0"/>
          <w:bCs w:val="0"/>
          <w:color w:val="000000" w:themeColor="text1"/>
          <w:sz w:val="21"/>
          <w:szCs w:val="21"/>
          <w:highlight w:val="none"/>
        </w:rPr>
        <w:t xml:space="preserve">3.投标</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响应</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报价低于采购项目最高限价45%的，即投标</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响应</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报价&lt;采购项目最高限价X45%；</w:t>
      </w:r>
      <w:r>
        <w:rPr>
          <w:color w:val="000000" w:themeColor="text1"/>
        </w:rPr>
      </w:r>
      <w:r/>
    </w:p>
    <w:p>
      <w:pPr>
        <w:ind w:firstLine="422"/>
        <w:pageBreakBefore w:val="0"/>
        <w:spacing w:line="360" w:lineRule="auto"/>
        <w:rPr>
          <w:rFonts w:hint="eastAsia"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b w:val="0"/>
          <w:bCs w:val="0"/>
          <w:color w:val="000000" w:themeColor="text1"/>
          <w:sz w:val="21"/>
          <w:szCs w:val="21"/>
          <w:highlight w:val="none"/>
        </w:rPr>
        <w:t xml:space="preserve">4.评审委员会基于专业判断，认为供应商报价过低，有可能影响产品质量或者不能诚信履约的其他情形。</w:t>
      </w:r>
      <w:r>
        <w:rPr>
          <w:color w:val="000000" w:themeColor="text1"/>
        </w:rPr>
      </w:r>
      <w:r/>
    </w:p>
    <w:p>
      <w:pPr>
        <w:ind w:firstLine="422"/>
        <w:pageBreakBefore w:val="0"/>
        <w:spacing w:line="360" w:lineRule="auto"/>
        <w:rPr>
          <w:rFonts w:hint="eastAsia"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lang w:val="en-US" w:eastAsia="zh-CN"/>
        </w:rPr>
        <w:t xml:space="preserve">二</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评审委员会启动异常低价投标</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响应</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审查后，属于前述第1项至第4项情形的，应当要求相关供应商在评审现场合理的时间内对投标</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响应</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响应</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文件一并提交相关书面说明及必要的证明材料的，在评审现场可不再重复提交。</w:t>
      </w:r>
      <w:r>
        <w:rPr>
          <w:color w:val="000000" w:themeColor="text1"/>
        </w:rPr>
      </w:r>
      <w:r/>
    </w:p>
    <w:p>
      <w:pPr>
        <w:ind w:firstLine="420"/>
        <w:pageBreakBefore w:val="0"/>
        <w:spacing w:line="360" w:lineRule="auto"/>
        <w:rPr>
          <w:rFonts w:hint="eastAsia"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lang w:val="en-US" w:eastAsia="zh-CN"/>
        </w:rPr>
        <w:t xml:space="preserve">三</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评审委员会依据专业经验，参考同类项目中标</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成交</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价格、类似产品市场价格水平、行业人工费用标准、国家有关部门指导行业协会发布的行业平均成本等情况，对报价合理性进行判断。投标</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响应</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供应商不能提供书面说明、证明材料，或者提供的书面说明、证明材料不能证明其报价合理性的，评审委员会应当将其作为无效投标</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响应</w:t>
      </w:r>
      <w:r>
        <w:rPr>
          <w:rFonts w:hint="eastAsia" w:ascii="Times New Roman" w:hAnsi="Times New Roman" w:eastAsia="宋体" w:cs="宋体"/>
          <w:b w:val="0"/>
          <w:bCs w:val="0"/>
          <w:color w:val="000000" w:themeColor="text1"/>
          <w:sz w:val="21"/>
          <w:szCs w:val="21"/>
          <w:highlight w:val="none"/>
          <w:lang w:eastAsia="zh-CN"/>
        </w:rPr>
        <w:t xml:space="preserve">）</w:t>
      </w:r>
      <w:r>
        <w:rPr>
          <w:rFonts w:hint="eastAsia" w:ascii="Times New Roman" w:hAnsi="Times New Roman" w:eastAsia="宋体" w:cs="宋体"/>
          <w:b w:val="0"/>
          <w:bCs w:val="0"/>
          <w:color w:val="000000" w:themeColor="text1"/>
          <w:sz w:val="21"/>
          <w:szCs w:val="21"/>
          <w:highlight w:val="none"/>
        </w:rPr>
        <w:t xml:space="preserve">处理。</w:t>
      </w:r>
      <w:r>
        <w:rPr>
          <w:color w:val="000000" w:themeColor="text1"/>
        </w:rPr>
      </w:r>
      <w:r/>
    </w:p>
    <w:p>
      <w:pPr>
        <w:pageBreakBefore w:val="0"/>
        <w:spacing w:line="360" w:lineRule="auto"/>
        <w:rPr>
          <w:rFonts w:ascii="Times New Roman" w:hAnsi="Times New Roman" w:eastAsia="宋体"/>
          <w:color w:val="000000" w:themeColor="text1"/>
          <w:sz w:val="36"/>
          <w:highlight w:val="none"/>
        </w:rPr>
      </w:pPr>
      <w:r>
        <w:rPr>
          <w:rFonts w:hint="eastAsia" w:ascii="Times New Roman" w:hAnsi="Times New Roman" w:eastAsia="宋体"/>
          <w:color w:val="000000" w:themeColor="text1"/>
          <w:sz w:val="36"/>
          <w:highlight w:val="none"/>
        </w:rPr>
        <w:br w:type="page" w:clear="all"/>
      </w:r>
      <w:r>
        <w:rPr>
          <w:color w:val="000000" w:themeColor="text1"/>
        </w:rPr>
      </w:r>
      <w:r/>
    </w:p>
    <w:p>
      <w:pPr>
        <w:pStyle w:val="886"/>
        <w:jc w:val="center"/>
        <w:pageBreakBefore w:val="0"/>
        <w:spacing w:before="0" w:after="0" w:line="360" w:lineRule="auto"/>
        <w:rPr>
          <w:rFonts w:ascii="Times New Roman" w:hAnsi="Times New Roman" w:eastAsia="宋体"/>
          <w:color w:val="000000" w:themeColor="text1"/>
          <w:sz w:val="36"/>
          <w:highlight w:val="none"/>
        </w:rPr>
      </w:pPr>
      <w:r>
        <w:rPr>
          <w:color w:val="000000" w:themeColor="text1"/>
        </w:rPr>
      </w:r>
      <w:bookmarkStart w:id="64" w:name="_Toc23223"/>
      <w:r>
        <w:rPr>
          <w:rFonts w:hint="eastAsia" w:ascii="Times New Roman" w:hAnsi="Times New Roman" w:eastAsia="宋体"/>
          <w:color w:val="000000" w:themeColor="text1"/>
          <w:sz w:val="36"/>
          <w:szCs w:val="36"/>
          <w:highlight w:val="none"/>
        </w:rPr>
        <w:t xml:space="preserve">第六章</w:t>
      </w:r>
      <w:r>
        <w:rPr>
          <w:rFonts w:hint="eastAsia" w:ascii="Times New Roman" w:hAnsi="Times New Roman" w:eastAsia="宋体"/>
          <w:color w:val="000000" w:themeColor="text1"/>
          <w:sz w:val="36"/>
          <w:szCs w:val="36"/>
          <w:highlight w:val="none"/>
          <w:lang w:val="en-US" w:eastAsia="zh-CN"/>
        </w:rPr>
        <w:t xml:space="preserve"> </w:t>
      </w:r>
      <w:r>
        <w:rPr>
          <w:rFonts w:hint="eastAsia" w:ascii="Times New Roman" w:hAnsi="Times New Roman" w:eastAsia="宋体"/>
          <w:color w:val="000000" w:themeColor="text1"/>
          <w:sz w:val="36"/>
          <w:szCs w:val="36"/>
          <w:highlight w:val="none"/>
        </w:rPr>
        <w:t xml:space="preserve">投标文件格式</w:t>
      </w:r>
      <w:bookmarkEnd w:id="64"/>
      <w:r>
        <w:rPr>
          <w:color w:val="000000" w:themeColor="text1"/>
        </w:rPr>
      </w:r>
      <w:r/>
    </w:p>
    <w:p>
      <w:pPr>
        <w:pageBreakBefore w:val="0"/>
        <w:spacing w:line="360" w:lineRule="auto"/>
        <w:rPr>
          <w:rFonts w:ascii="Times New Roman" w:hAnsi="Times New Roman" w:eastAsia="宋体"/>
          <w:bCs/>
          <w:color w:val="000000" w:themeColor="text1"/>
          <w:sz w:val="44"/>
          <w:highlight w:val="none"/>
        </w:rPr>
      </w:pPr>
      <w:r>
        <w:rPr>
          <w:rFonts w:ascii="Times New Roman" w:hAnsi="Times New Roman" w:eastAsia="宋体"/>
          <w:bCs/>
          <w:color w:val="000000" w:themeColor="text1"/>
          <w:sz w:val="44"/>
          <w:highlight w:val="none"/>
        </w:rPr>
      </w:r>
      <w:r>
        <w:rPr>
          <w:color w:val="000000" w:themeColor="text1"/>
        </w:rPr>
      </w:r>
      <w:r/>
    </w:p>
    <w:p>
      <w:pPr>
        <w:jc w:val="center"/>
        <w:pageBreakBefore w:val="0"/>
        <w:spacing w:line="360" w:lineRule="auto"/>
        <w:rPr>
          <w:rFonts w:ascii="Times New Roman" w:hAnsi="Times New Roman" w:eastAsia="宋体"/>
          <w:b/>
          <w:color w:val="000000" w:themeColor="text1"/>
          <w:sz w:val="72"/>
          <w:highlight w:val="none"/>
        </w:rPr>
      </w:pPr>
      <w:r>
        <w:rPr>
          <w:rFonts w:hint="eastAsia" w:ascii="Times New Roman" w:hAnsi="Times New Roman" w:eastAsia="宋体"/>
          <w:b/>
          <w:color w:val="000000" w:themeColor="text1"/>
          <w:sz w:val="72"/>
          <w:highlight w:val="none"/>
        </w:rPr>
        <w:t xml:space="preserve">投标文件</w:t>
      </w:r>
      <w:r>
        <w:rPr>
          <w:color w:val="000000" w:themeColor="text1"/>
        </w:rPr>
      </w:r>
      <w:r/>
    </w:p>
    <w:p>
      <w:pPr>
        <w:jc w:val="center"/>
        <w:pageBreakBefore w:val="0"/>
        <w:spacing w:line="360" w:lineRule="auto"/>
        <w:rPr>
          <w:rFonts w:ascii="Times New Roman" w:hAnsi="Times New Roman" w:eastAsia="宋体"/>
          <w:b/>
          <w:color w:val="000000" w:themeColor="text1"/>
          <w:sz w:val="72"/>
          <w:highlight w:val="none"/>
        </w:rPr>
      </w:pPr>
      <w:r>
        <w:rPr>
          <w:rFonts w:ascii="Times New Roman" w:hAnsi="Times New Roman" w:eastAsia="宋体"/>
          <w:b/>
          <w:color w:val="000000" w:themeColor="text1"/>
          <w:sz w:val="72"/>
          <w:highlight w:val="none"/>
        </w:rPr>
      </w:r>
      <w:r>
        <w:rPr>
          <w:color w:val="000000" w:themeColor="text1"/>
        </w:rPr>
      </w:r>
      <w:r/>
    </w:p>
    <w:p>
      <w:pPr>
        <w:jc w:val="center"/>
        <w:pageBreakBefore w:val="0"/>
        <w:spacing w:line="360" w:lineRule="auto"/>
        <w:rPr>
          <w:rFonts w:ascii="Times New Roman" w:hAnsi="Times New Roman" w:eastAsia="宋体"/>
          <w:b/>
          <w:color w:val="000000" w:themeColor="text1"/>
          <w:sz w:val="72"/>
          <w:highlight w:val="none"/>
        </w:rPr>
      </w:pPr>
      <w:r>
        <w:rPr>
          <w:rFonts w:ascii="Times New Roman" w:hAnsi="Times New Roman" w:eastAsia="宋体"/>
          <w:b/>
          <w:color w:val="000000" w:themeColor="text1"/>
          <w:sz w:val="72"/>
          <w:highlight w:val="none"/>
        </w:rPr>
      </w:r>
      <w:r>
        <w:rPr>
          <w:color w:val="000000" w:themeColor="text1"/>
        </w:rPr>
      </w:r>
      <w:r/>
    </w:p>
    <w:p>
      <w:pPr>
        <w:jc w:val="center"/>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jc w:val="center"/>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jc w:val="center"/>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jc w:val="center"/>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jc w:val="center"/>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ind w:firstLine="1084"/>
        <w:pageBreakBefore w:val="0"/>
        <w:spacing w:line="360" w:lineRule="auto"/>
        <w:rPr>
          <w:rFonts w:ascii="Times New Roman" w:hAnsi="Times New Roman" w:eastAsia="宋体"/>
          <w:b/>
          <w:color w:val="000000" w:themeColor="text1"/>
          <w:sz w:val="36"/>
          <w:highlight w:val="none"/>
        </w:rPr>
      </w:pPr>
      <w:r>
        <w:rPr>
          <w:rFonts w:hint="eastAsia" w:ascii="Times New Roman" w:hAnsi="Times New Roman" w:eastAsia="宋体"/>
          <w:b/>
          <w:color w:val="000000" w:themeColor="text1"/>
          <w:sz w:val="36"/>
          <w:highlight w:val="none"/>
        </w:rPr>
        <w:t xml:space="preserve">项目名称：</w:t>
      </w:r>
      <w:r>
        <w:rPr>
          <w:color w:val="000000" w:themeColor="text1"/>
        </w:rPr>
      </w:r>
      <w:r/>
    </w:p>
    <w:p>
      <w:pPr>
        <w:ind w:firstLine="1084"/>
        <w:pageBreakBefore w:val="0"/>
        <w:spacing w:line="360" w:lineRule="auto"/>
        <w:rPr>
          <w:rFonts w:ascii="Times New Roman" w:hAnsi="Times New Roman" w:eastAsia="宋体"/>
          <w:b/>
          <w:color w:val="000000" w:themeColor="text1"/>
          <w:sz w:val="36"/>
          <w:highlight w:val="none"/>
          <w:u w:val="single"/>
        </w:rPr>
      </w:pPr>
      <w:r>
        <w:rPr>
          <w:rFonts w:hint="eastAsia" w:ascii="Times New Roman" w:hAnsi="Times New Roman" w:eastAsia="宋体"/>
          <w:b/>
          <w:color w:val="000000" w:themeColor="text1"/>
          <w:sz w:val="36"/>
          <w:highlight w:val="none"/>
        </w:rPr>
        <w:t xml:space="preserve">招标编号：</w:t>
      </w:r>
      <w:r>
        <w:rPr>
          <w:color w:val="000000" w:themeColor="text1"/>
        </w:rPr>
      </w:r>
      <w:r/>
    </w:p>
    <w:p>
      <w:pPr>
        <w:ind w:firstLine="1084"/>
        <w:pageBreakBefore w:val="0"/>
        <w:spacing w:line="360" w:lineRule="auto"/>
        <w:rPr>
          <w:rFonts w:ascii="Times New Roman" w:hAnsi="Times New Roman" w:eastAsia="宋体"/>
          <w:b/>
          <w:color w:val="000000" w:themeColor="text1"/>
          <w:sz w:val="36"/>
          <w:highlight w:val="none"/>
          <w:u w:val="single"/>
        </w:rPr>
      </w:pPr>
      <w:r>
        <w:rPr>
          <w:rFonts w:hint="eastAsia" w:ascii="Times New Roman" w:hAnsi="Times New Roman" w:eastAsia="宋体"/>
          <w:b/>
          <w:color w:val="000000" w:themeColor="text1"/>
          <w:sz w:val="36"/>
          <w:highlight w:val="none"/>
        </w:rPr>
        <w:t xml:space="preserve">投标人名称：</w:t>
      </w:r>
      <w:r>
        <w:rPr>
          <w:color w:val="000000" w:themeColor="text1"/>
        </w:rPr>
      </w:r>
      <w:r/>
    </w:p>
    <w:p>
      <w:pPr>
        <w:ind w:firstLine="1084"/>
        <w:pageBreakBefore w:val="0"/>
        <w:spacing w:line="360" w:lineRule="auto"/>
        <w:rPr>
          <w:rFonts w:ascii="Times New Roman" w:hAnsi="Times New Roman" w:eastAsia="宋体"/>
          <w:b/>
          <w:color w:val="000000" w:themeColor="text1"/>
          <w:sz w:val="36"/>
          <w:highlight w:val="none"/>
          <w:u w:val="single"/>
        </w:rPr>
      </w:pPr>
      <w:r>
        <w:rPr>
          <w:rFonts w:hint="eastAsia" w:ascii="Times New Roman" w:hAnsi="Times New Roman" w:eastAsia="宋体"/>
          <w:b/>
          <w:color w:val="000000" w:themeColor="text1"/>
          <w:sz w:val="36"/>
          <w:highlight w:val="none"/>
        </w:rPr>
        <w:t xml:space="preserve">日期：</w:t>
      </w:r>
      <w:r>
        <w:rPr>
          <w:color w:val="000000" w:themeColor="text1"/>
        </w:rPr>
      </w:r>
      <w:r/>
    </w:p>
    <w:p>
      <w:pPr>
        <w:ind w:firstLine="1084"/>
        <w:pageBreakBefore w:val="0"/>
        <w:spacing w:line="360" w:lineRule="auto"/>
        <w:rPr>
          <w:rFonts w:ascii="Times New Roman" w:hAnsi="Times New Roman" w:eastAsia="宋体"/>
          <w:b/>
          <w:color w:val="000000" w:themeColor="text1"/>
          <w:sz w:val="36"/>
          <w:highlight w:val="none"/>
        </w:rPr>
      </w:pPr>
      <w:r>
        <w:rPr>
          <w:rFonts w:hint="eastAsia" w:ascii="Times New Roman" w:hAnsi="Times New Roman" w:eastAsia="宋体"/>
          <w:b/>
          <w:color w:val="000000" w:themeColor="text1"/>
          <w:sz w:val="36"/>
          <w:highlight w:val="none"/>
        </w:rPr>
        <w:t xml:space="preserve">投标人：（电子签章）</w:t>
      </w:r>
      <w:r>
        <w:rPr>
          <w:color w:val="000000" w:themeColor="text1"/>
        </w:rPr>
      </w:r>
      <w:r/>
    </w:p>
    <w:p>
      <w:pPr>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r/>
    </w:p>
    <w:p>
      <w:pPr>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r/>
    </w:p>
    <w:p>
      <w:pP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r/>
    </w:p>
    <w:p>
      <w:pPr>
        <w:jc w:val="center"/>
        <w:pageBreakBefore w:val="0"/>
        <w:spacing w:line="360" w:lineRule="auto"/>
        <w:rPr>
          <w:rFonts w:ascii="Times New Roman" w:hAnsi="Times New Roman" w:eastAsia="宋体"/>
          <w:b/>
          <w:bCs/>
          <w:color w:val="000000" w:themeColor="text1"/>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000000" w:themeColor="text1"/>
          <w:sz w:val="32"/>
          <w:szCs w:val="32"/>
          <w:highlight w:val="none"/>
        </w:rPr>
      </w:r>
      <w:r>
        <w:rPr>
          <w:color w:val="000000" w:themeColor="text1"/>
        </w:rPr>
      </w:r>
      <w:r/>
    </w:p>
    <w:p>
      <w:pPr>
        <w:jc w:val="center"/>
        <w:pageBreakBefore w:val="0"/>
        <w:spacing w:line="360" w:lineRule="auto"/>
        <w:rPr>
          <w:rFonts w:ascii="Times New Roman" w:hAnsi="Times New Roman" w:eastAsia="宋体"/>
          <w:b/>
          <w:bCs/>
          <w:color w:val="000000" w:themeColor="text1"/>
          <w:sz w:val="32"/>
          <w:szCs w:val="32"/>
          <w:highlight w:val="none"/>
        </w:rPr>
      </w:pPr>
      <w:r>
        <w:rPr>
          <w:rFonts w:hint="eastAsia" w:ascii="Times New Roman" w:hAnsi="Times New Roman" w:eastAsia="宋体"/>
          <w:b/>
          <w:bCs/>
          <w:color w:val="000000" w:themeColor="text1"/>
          <w:sz w:val="32"/>
          <w:szCs w:val="32"/>
          <w:highlight w:val="none"/>
        </w:rPr>
        <w:t xml:space="preserve">投标主要文件目录</w:t>
      </w:r>
      <w:r>
        <w:rPr>
          <w:color w:val="000000" w:themeColor="text1"/>
        </w:rPr>
      </w:r>
      <w:r/>
    </w:p>
    <w:p>
      <w:pPr>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r/>
    </w:p>
    <w:p>
      <w:pPr>
        <w:ind w:firstLine="480"/>
        <w:pageBreakBefore w:val="0"/>
        <w:spacing w:line="360" w:lineRule="auto"/>
        <w:rPr>
          <w:rFonts w:ascii="Times New Roman" w:hAnsi="Times New Roman" w:eastAsia="宋体"/>
          <w:color w:val="000000" w:themeColor="text1"/>
          <w:sz w:val="24"/>
          <w:highlight w:val="none"/>
        </w:rPr>
      </w:pPr>
      <w:r>
        <w:rPr>
          <w:rFonts w:hint="eastAsia" w:ascii="Times New Roman" w:hAnsi="Times New Roman" w:eastAsia="宋体"/>
          <w:color w:val="000000" w:themeColor="text1"/>
          <w:sz w:val="24"/>
          <w:highlight w:val="none"/>
        </w:rPr>
        <w:t xml:space="preserve">一、资格审查响应对照表</w:t>
      </w:r>
      <w:r>
        <w:rPr>
          <w:color w:val="000000" w:themeColor="text1"/>
        </w:rPr>
      </w:r>
      <w:r/>
    </w:p>
    <w:p>
      <w:pPr>
        <w:ind w:left="480"/>
        <w:pageBreakBefore w:val="0"/>
        <w:spacing w:line="360" w:lineRule="auto"/>
        <w:rPr>
          <w:rFonts w:ascii="Times New Roman" w:hAnsi="Times New Roman" w:eastAsia="宋体"/>
          <w:color w:val="000000" w:themeColor="text1"/>
          <w:sz w:val="24"/>
          <w:highlight w:val="none"/>
        </w:rPr>
      </w:pPr>
      <w:r>
        <w:rPr>
          <w:rFonts w:hint="eastAsia" w:ascii="Times New Roman" w:hAnsi="Times New Roman" w:eastAsia="宋体"/>
          <w:color w:val="000000" w:themeColor="text1"/>
          <w:sz w:val="24"/>
          <w:highlight w:val="none"/>
        </w:rPr>
        <w:t xml:space="preserve">二、符合性审查响应对照表</w:t>
      </w:r>
      <w:r>
        <w:rPr>
          <w:color w:val="000000" w:themeColor="text1"/>
        </w:rPr>
      </w:r>
      <w:r/>
    </w:p>
    <w:p>
      <w:pPr>
        <w:ind w:left="480"/>
        <w:pageBreakBefore w:val="0"/>
        <w:spacing w:line="360" w:lineRule="auto"/>
        <w:rPr>
          <w:rFonts w:ascii="Times New Roman" w:hAnsi="Times New Roman" w:eastAsia="宋体"/>
          <w:color w:val="000000" w:themeColor="text1"/>
          <w:sz w:val="24"/>
          <w:highlight w:val="none"/>
        </w:rPr>
      </w:pPr>
      <w:r>
        <w:rPr>
          <w:rFonts w:hint="eastAsia" w:ascii="Times New Roman" w:hAnsi="Times New Roman" w:eastAsia="宋体"/>
          <w:color w:val="000000" w:themeColor="text1"/>
          <w:sz w:val="24"/>
          <w:highlight w:val="none"/>
        </w:rPr>
        <w:t xml:space="preserve">三、非实质性响应对照表</w:t>
      </w:r>
      <w:r>
        <w:rPr>
          <w:color w:val="000000" w:themeColor="text1"/>
        </w:rPr>
      </w:r>
      <w:r/>
    </w:p>
    <w:p>
      <w:pPr>
        <w:ind w:firstLine="480"/>
        <w:pageBreakBefore w:val="0"/>
        <w:spacing w:line="360" w:lineRule="auto"/>
        <w:rPr>
          <w:rFonts w:ascii="Times New Roman" w:hAnsi="Times New Roman" w:eastAsia="宋体"/>
          <w:b/>
          <w:bCs/>
          <w:color w:val="000000" w:themeColor="text1"/>
          <w:sz w:val="24"/>
          <w:highlight w:val="none"/>
        </w:rPr>
      </w:pPr>
      <w:r>
        <w:rPr>
          <w:rFonts w:hint="eastAsia" w:ascii="Times New Roman" w:hAnsi="Times New Roman" w:eastAsia="宋体"/>
          <w:color w:val="000000" w:themeColor="text1"/>
          <w:sz w:val="24"/>
          <w:highlight w:val="none"/>
        </w:rPr>
        <w:t xml:space="preserve">四</w:t>
      </w:r>
      <w:r>
        <w:rPr>
          <w:rFonts w:hint="eastAsia" w:ascii="Times New Roman" w:hAnsi="Times New Roman" w:eastAsia="宋体"/>
          <w:b/>
          <w:bCs/>
          <w:color w:val="000000" w:themeColor="text1"/>
          <w:sz w:val="24"/>
          <w:highlight w:val="none"/>
        </w:rPr>
        <w:t xml:space="preserve">、</w:t>
      </w:r>
      <w:r>
        <w:rPr>
          <w:rFonts w:hint="eastAsia" w:ascii="Times New Roman" w:hAnsi="Times New Roman" w:eastAsia="宋体"/>
          <w:i/>
          <w:color w:val="000000" w:themeColor="text1"/>
          <w:sz w:val="24"/>
          <w:highlight w:val="none"/>
          <w:u w:val="single"/>
        </w:rPr>
        <w:t xml:space="preserve">开标一览表</w:t>
      </w:r>
      <w:r>
        <w:rPr>
          <w:color w:val="000000" w:themeColor="text1"/>
        </w:rPr>
      </w:r>
      <w:r/>
    </w:p>
    <w:p>
      <w:pPr>
        <w:ind w:firstLine="480"/>
        <w:pageBreakBefore w:val="0"/>
        <w:spacing w:line="360" w:lineRule="auto"/>
        <w:rPr>
          <w:rFonts w:ascii="Times New Roman" w:hAnsi="Times New Roman" w:eastAsia="宋体"/>
          <w:color w:val="000000" w:themeColor="text1"/>
          <w:sz w:val="24"/>
          <w:highlight w:val="none"/>
        </w:rPr>
      </w:pPr>
      <w:r>
        <w:rPr>
          <w:rFonts w:hint="eastAsia" w:ascii="Times New Roman" w:hAnsi="Times New Roman" w:eastAsia="宋体"/>
          <w:color w:val="000000" w:themeColor="text1"/>
          <w:sz w:val="24"/>
          <w:highlight w:val="none"/>
        </w:rPr>
        <w:t xml:space="preserve">五、投标配置与分项报价表</w:t>
      </w:r>
      <w:r>
        <w:rPr>
          <w:color w:val="000000" w:themeColor="text1"/>
        </w:rPr>
      </w:r>
      <w:r/>
    </w:p>
    <w:p>
      <w:pPr>
        <w:ind w:firstLine="480"/>
        <w:pageBreakBefore w:val="0"/>
        <w:spacing w:line="360" w:lineRule="auto"/>
        <w:rPr>
          <w:rFonts w:ascii="Times New Roman" w:hAnsi="Times New Roman" w:eastAsia="宋体"/>
          <w:color w:val="000000" w:themeColor="text1"/>
          <w:sz w:val="24"/>
          <w:highlight w:val="none"/>
        </w:rPr>
      </w:pPr>
      <w:r>
        <w:rPr>
          <w:rFonts w:hint="eastAsia" w:ascii="Times New Roman" w:hAnsi="Times New Roman" w:eastAsia="宋体"/>
          <w:color w:val="000000" w:themeColor="text1"/>
          <w:sz w:val="24"/>
          <w:highlight w:val="none"/>
        </w:rPr>
        <w:t xml:space="preserve">六</w:t>
      </w:r>
      <w:r>
        <w:rPr>
          <w:rFonts w:hint="eastAsia" w:ascii="Times New Roman" w:hAnsi="Times New Roman" w:eastAsia="宋体" w:cs="Courier New"/>
          <w:color w:val="000000" w:themeColor="text1"/>
          <w:sz w:val="24"/>
          <w:szCs w:val="24"/>
          <w:highlight w:val="none"/>
        </w:rPr>
        <w:t xml:space="preserve">、</w:t>
      </w:r>
      <w:r>
        <w:rPr>
          <w:rFonts w:hint="eastAsia" w:ascii="Times New Roman" w:hAnsi="Times New Roman" w:eastAsia="宋体"/>
          <w:color w:val="000000" w:themeColor="text1"/>
          <w:sz w:val="24"/>
          <w:szCs w:val="24"/>
          <w:highlight w:val="none"/>
        </w:rPr>
        <w:t xml:space="preserve">技术参数响应及偏离表</w:t>
      </w:r>
      <w:r>
        <w:rPr>
          <w:color w:val="000000" w:themeColor="text1"/>
        </w:rPr>
      </w:r>
      <w:r/>
    </w:p>
    <w:p>
      <w:pPr>
        <w:ind w:firstLine="480"/>
        <w:pageBreakBefore w:val="0"/>
        <w:spacing w:line="360" w:lineRule="auto"/>
        <w:rPr>
          <w:rFonts w:ascii="Times New Roman" w:hAnsi="Times New Roman" w:eastAsia="宋体"/>
          <w:color w:val="000000" w:themeColor="text1"/>
          <w:sz w:val="24"/>
          <w:highlight w:val="none"/>
        </w:rPr>
      </w:pPr>
      <w:r>
        <w:rPr>
          <w:rFonts w:hint="eastAsia" w:ascii="Times New Roman" w:hAnsi="Times New Roman" w:eastAsia="宋体"/>
          <w:color w:val="000000" w:themeColor="text1"/>
          <w:sz w:val="24"/>
          <w:highlight w:val="none"/>
        </w:rPr>
        <w:t xml:space="preserve">七、商务条款响应及偏离表</w:t>
      </w:r>
      <w:r>
        <w:rPr>
          <w:color w:val="000000" w:themeColor="text1"/>
        </w:rPr>
      </w:r>
      <w:r/>
    </w:p>
    <w:p>
      <w:pPr>
        <w:ind w:firstLine="480"/>
        <w:pageBreakBefore w:val="0"/>
        <w:spacing w:line="360" w:lineRule="auto"/>
        <w:rPr>
          <w:rFonts w:ascii="Times New Roman" w:hAnsi="Times New Roman" w:eastAsia="宋体"/>
          <w:color w:val="000000" w:themeColor="text1"/>
          <w:sz w:val="36"/>
          <w:szCs w:val="36"/>
          <w:highlight w:val="none"/>
        </w:rPr>
      </w:pPr>
      <w:r>
        <w:rPr>
          <w:rFonts w:hint="eastAsia" w:ascii="Times New Roman" w:hAnsi="Times New Roman" w:eastAsia="宋体"/>
          <w:color w:val="000000" w:themeColor="text1"/>
          <w:sz w:val="24"/>
          <w:highlight w:val="none"/>
        </w:rPr>
        <w:t xml:space="preserve">八、其他（投标人认为有必要提供的声明和文件，如有自拟并自行添加）</w:t>
      </w:r>
      <w:r>
        <w:rPr>
          <w:color w:val="000000" w:themeColor="text1"/>
        </w:rPr>
      </w:r>
      <w:r/>
    </w:p>
    <w:p>
      <w:pPr>
        <w:contextualSpacing/>
        <w:jc w:val="center"/>
        <w:pageBreakBefore w:val="0"/>
        <w:spacing w:line="360" w:lineRule="auto"/>
        <w:rPr>
          <w:rFonts w:ascii="Times New Roman" w:hAnsi="Times New Roman" w:eastAsia="宋体"/>
          <w:b/>
          <w:color w:val="000000" w:themeColor="text1"/>
          <w:sz w:val="72"/>
          <w:highlight w:val="none"/>
        </w:rPr>
      </w:pPr>
      <w:r>
        <w:rPr>
          <w:rFonts w:ascii="Times New Roman" w:hAnsi="Times New Roman" w:eastAsia="宋体"/>
          <w:b/>
          <w:color w:val="000000" w:themeColor="text1"/>
          <w:sz w:val="72"/>
          <w:highlight w:val="none"/>
        </w:rPr>
      </w:r>
      <w:r>
        <w:rPr>
          <w:color w:val="000000" w:themeColor="text1"/>
        </w:rPr>
      </w:r>
      <w:r/>
    </w:p>
    <w:p>
      <w:pPr>
        <w:contextualSpacing/>
        <w:jc w:val="center"/>
        <w:pageBreakBefore w:val="0"/>
        <w:spacing w:line="360" w:lineRule="auto"/>
        <w:rPr>
          <w:rFonts w:ascii="Times New Roman" w:hAnsi="Times New Roman" w:eastAsia="宋体"/>
          <w:b/>
          <w:color w:val="000000" w:themeColor="text1"/>
          <w:sz w:val="72"/>
          <w:highlight w:val="none"/>
        </w:rPr>
      </w:pPr>
      <w:r>
        <w:rPr>
          <w:rFonts w:ascii="Times New Roman" w:hAnsi="Times New Roman" w:eastAsia="宋体"/>
          <w:b/>
          <w:color w:val="000000" w:themeColor="text1"/>
          <w:sz w:val="72"/>
          <w:highlight w:val="none"/>
        </w:rPr>
      </w:r>
      <w:r>
        <w:rPr>
          <w:color w:val="000000" w:themeColor="text1"/>
        </w:rPr>
      </w:r>
      <w:r/>
    </w:p>
    <w:p>
      <w:pPr>
        <w:contextualSpacing/>
        <w:jc w:val="center"/>
        <w:pageBreakBefore w:val="0"/>
        <w:spacing w:line="360" w:lineRule="auto"/>
        <w:rPr>
          <w:rFonts w:ascii="Times New Roman" w:hAnsi="Times New Roman" w:eastAsia="宋体"/>
          <w:b/>
          <w:color w:val="000000" w:themeColor="text1"/>
          <w:sz w:val="72"/>
          <w:highlight w:val="none"/>
        </w:rPr>
      </w:pPr>
      <w:r>
        <w:rPr>
          <w:rFonts w:ascii="Times New Roman" w:hAnsi="Times New Roman" w:eastAsia="宋体"/>
          <w:b/>
          <w:color w:val="000000" w:themeColor="text1"/>
          <w:sz w:val="72"/>
          <w:highlight w:val="none"/>
        </w:rPr>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pageBreakBefore w:val="0"/>
        <w:spacing w:line="360" w:lineRule="auto"/>
        <w:rPr>
          <w:rFonts w:ascii="Times New Roman" w:hAnsi="Times New Roman" w:eastAsia="宋体"/>
          <w:b/>
          <w:color w:val="000000" w:themeColor="text1"/>
          <w:sz w:val="32"/>
          <w:szCs w:val="32"/>
          <w:highlight w:val="none"/>
        </w:rPr>
      </w:pPr>
      <w:r>
        <w:rPr>
          <w:rFonts w:ascii="Times New Roman" w:hAnsi="Times New Roman" w:eastAsia="宋体"/>
          <w:b/>
          <w:color w:val="000000" w:themeColor="text1"/>
          <w:sz w:val="32"/>
          <w:szCs w:val="32"/>
          <w:highlight w:val="none"/>
        </w:rPr>
      </w:r>
      <w:r>
        <w:rPr>
          <w:color w:val="000000" w:themeColor="text1"/>
        </w:rPr>
      </w:r>
      <w:r/>
    </w:p>
    <w:p>
      <w:pPr>
        <w:pStyle w:val="887"/>
        <w:pageBreakBefore w:val="0"/>
        <w:spacing w:before="0" w:after="0" w:line="360" w:lineRule="auto"/>
        <w:rPr>
          <w:rFonts w:ascii="Times New Roman" w:hAnsi="Times New Roman" w:eastAsia="宋体"/>
          <w:b w:val="0"/>
          <w:color w:val="000000" w:themeColor="text1"/>
          <w:sz w:val="32"/>
          <w:szCs w:val="32"/>
          <w:highlight w:val="none"/>
        </w:rPr>
      </w:pPr>
      <w:r>
        <w:rPr>
          <w:rFonts w:hint="eastAsia" w:ascii="Times New Roman" w:hAnsi="Times New Roman" w:eastAsia="宋体"/>
          <w:color w:val="000000" w:themeColor="text1"/>
          <w:sz w:val="32"/>
          <w:szCs w:val="32"/>
          <w:highlight w:val="none"/>
        </w:rPr>
        <w:br w:type="page" w:clear="all"/>
      </w:r>
      <w:bookmarkStart w:id="65" w:name="_Toc22934"/>
      <w:r>
        <w:rPr>
          <w:color w:val="000000" w:themeColor="text1"/>
        </w:rPr>
      </w:r>
      <w:bookmarkStart w:id="66" w:name="_Toc31039"/>
      <w:r>
        <w:rPr>
          <w:color w:val="000000" w:themeColor="text1"/>
        </w:rPr>
      </w:r>
      <w:bookmarkStart w:id="67" w:name="_Toc27779"/>
      <w:r>
        <w:rPr>
          <w:color w:val="000000" w:themeColor="text1"/>
        </w:rPr>
      </w:r>
      <w:bookmarkStart w:id="68" w:name="_Toc2029"/>
      <w:r>
        <w:rPr>
          <w:color w:val="000000" w:themeColor="text1"/>
        </w:rPr>
      </w:r>
      <w:bookmarkStart w:id="69" w:name="_Toc5792"/>
      <w:r>
        <w:rPr>
          <w:rFonts w:hint="eastAsia" w:ascii="Times New Roman" w:hAnsi="Times New Roman" w:eastAsia="宋体"/>
          <w:color w:val="000000" w:themeColor="text1"/>
          <w:sz w:val="32"/>
          <w:highlight w:val="none"/>
        </w:rPr>
        <w:t xml:space="preserve">一、资格审查响应对照表</w:t>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r/>
    </w:p>
    <w:tbl>
      <w:tblPr>
        <w:tblStyle w:val="890"/>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序号</w:t>
            </w:r>
            <w:r>
              <w:rPr>
                <w:color w:val="000000" w:themeColor="text1"/>
              </w:rPr>
            </w:r>
            <w:r/>
          </w:p>
        </w:tc>
        <w:tc>
          <w:tcPr>
            <w:tcW w:w="5447"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资格审查响应内容</w:t>
            </w:r>
            <w:r>
              <w:rPr>
                <w:color w:val="000000" w:themeColor="text1"/>
              </w:rPr>
            </w:r>
            <w:r/>
          </w:p>
        </w:tc>
        <w:tc>
          <w:tcPr>
            <w:tcW w:w="2158"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是否响应</w:t>
            </w:r>
            <w:r>
              <w:rPr>
                <w:color w:val="000000" w:themeColor="text1"/>
              </w:rPr>
            </w:r>
            <w:r/>
          </w:p>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（填是或者否）</w:t>
            </w:r>
            <w:r>
              <w:rPr>
                <w:color w:val="000000" w:themeColor="text1"/>
              </w:rPr>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color w:val="000000" w:themeColor="text1"/>
                <w:szCs w:val="21"/>
                <w:highlight w:val="none"/>
              </w:rPr>
              <w:t xml:space="preserve">通用资格条件</w:t>
            </w:r>
            <w:r>
              <w:rPr>
                <w:color w:val="000000" w:themeColor="text1"/>
              </w:rPr>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color w:val="000000" w:themeColor="text1"/>
                <w:szCs w:val="21"/>
                <w:highlight w:val="none"/>
              </w:rPr>
              <w:t xml:space="preserve">1</w:t>
            </w:r>
            <w:r>
              <w:rPr>
                <w:color w:val="000000" w:themeColor="text1"/>
              </w:rPr>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hint="eastAsia" w:ascii="Times New Roman" w:hAnsi="Times New Roman" w:eastAsia="宋体" w:cs="宋体"/>
                <w:color w:val="000000" w:themeColor="text1"/>
                <w:szCs w:val="21"/>
                <w:highlight w:val="none"/>
              </w:rPr>
              <w:t xml:space="preserve">法人或者其他组织的营业执照等证明文件，自然人的身份证明</w:t>
            </w:r>
            <w:r>
              <w:rPr>
                <w:rFonts w:hint="eastAsia" w:ascii="Times New Roman" w:hAnsi="Times New Roman" w:eastAsia="宋体"/>
                <w:color w:val="000000" w:themeColor="text1"/>
                <w:szCs w:val="21"/>
                <w:highlight w:val="none"/>
              </w:rPr>
              <w:t xml:space="preserve">（身份证为正、反面）</w:t>
            </w:r>
            <w:r>
              <w:rPr>
                <w:color w:val="000000" w:themeColor="text1"/>
              </w:rPr>
            </w:r>
            <w:r/>
          </w:p>
        </w:tc>
        <w:tc>
          <w:tcPr>
            <w:tcW w:w="2158"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rPr>
            </w:pPr>
            <w:r>
              <w:rPr>
                <w:rFonts w:ascii="Times New Roman" w:hAnsi="Times New Roman" w:eastAsia="宋体"/>
                <w:b/>
                <w:color w:val="000000" w:themeColor="text1"/>
                <w:szCs w:val="21"/>
                <w:highlight w:val="none"/>
              </w:rPr>
            </w:r>
            <w:r>
              <w:rPr>
                <w:color w:val="000000" w:themeColor="text1"/>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2</w:t>
            </w:r>
            <w:r>
              <w:rPr>
                <w:color w:val="000000" w:themeColor="text1"/>
              </w:rPr>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hint="eastAsia" w:ascii="Times New Roman" w:hAnsi="Times New Roman" w:eastAsia="宋体" w:cs="宋体"/>
                <w:iCs/>
                <w:color w:val="000000" w:themeColor="text1"/>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rPr>
                <w:color w:val="000000" w:themeColor="text1"/>
              </w:rPr>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3</w:t>
            </w:r>
            <w:r>
              <w:rPr>
                <w:color w:val="000000" w:themeColor="text1"/>
              </w:rPr>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hint="eastAsia" w:ascii="Times New Roman" w:hAnsi="Times New Roman" w:eastAsia="宋体"/>
                <w:iCs/>
                <w:color w:val="000000" w:themeColor="text1"/>
                <w:szCs w:val="21"/>
                <w:highlight w:val="none"/>
                <w:lang w:val="en-US" w:eastAsia="zh-CN"/>
              </w:rPr>
              <w:t xml:space="preserve">上一年度</w:t>
            </w:r>
            <w:r>
              <w:rPr>
                <w:rFonts w:hint="eastAsia" w:ascii="Times New Roman" w:hAnsi="Times New Roman" w:eastAsia="宋体"/>
                <w:iCs/>
                <w:color w:val="000000" w:themeColor="text1"/>
                <w:szCs w:val="21"/>
                <w:highlight w:val="none"/>
              </w:rPr>
              <w:t xml:space="preserve">财务报告情况</w:t>
            </w:r>
            <w:r>
              <w:rPr>
                <w:rFonts w:hint="eastAsia" w:ascii="Times New Roman" w:hAnsi="Times New Roman" w:eastAsia="宋体"/>
                <w:b/>
                <w:bCs/>
                <w:iCs/>
                <w:color w:val="000000" w:themeColor="text1"/>
                <w:szCs w:val="21"/>
                <w:highlight w:val="none"/>
              </w:rPr>
              <w:t xml:space="preserve">（成立不满一年不需提供）</w:t>
            </w:r>
            <w:r>
              <w:rPr>
                <w:color w:val="000000" w:themeColor="text1"/>
              </w:rPr>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4</w:t>
            </w:r>
            <w:r>
              <w:rPr>
                <w:color w:val="000000" w:themeColor="text1"/>
              </w:rPr>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hint="eastAsia" w:ascii="Times New Roman" w:hAnsi="Times New Roman" w:eastAsia="宋体"/>
                <w:iCs/>
                <w:color w:val="000000" w:themeColor="text1"/>
                <w:szCs w:val="21"/>
                <w:highlight w:val="none"/>
              </w:rPr>
              <w:t xml:space="preserve">具备履行合同所必需的设备和专业技术能力的证明材料</w:t>
            </w:r>
            <w:r>
              <w:rPr>
                <w:color w:val="000000" w:themeColor="text1"/>
              </w:rPr>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5</w:t>
            </w:r>
            <w:r>
              <w:rPr>
                <w:color w:val="000000" w:themeColor="text1"/>
              </w:rPr>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hint="eastAsia" w:ascii="Times New Roman" w:hAnsi="Times New Roman" w:eastAsia="宋体"/>
                <w:iCs/>
                <w:color w:val="000000" w:themeColor="text1"/>
                <w:szCs w:val="21"/>
                <w:highlight w:val="none"/>
              </w:rPr>
              <w:t xml:space="preserve">参加本次政府采购活动前3年内在经营活动中没有重大违法记录的书面声明</w:t>
            </w:r>
            <w:r>
              <w:rPr>
                <w:color w:val="000000" w:themeColor="text1"/>
              </w:rPr>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6</w:t>
            </w:r>
            <w:r>
              <w:rPr>
                <w:color w:val="000000" w:themeColor="text1"/>
              </w:rPr>
            </w:r>
            <w:r/>
          </w:p>
        </w:tc>
        <w:tc>
          <w:tcPr>
            <w:tcW w:w="5447" w:type="dxa"/>
            <w:vAlign w:val="center"/>
            <w:textDirection w:val="lrTb"/>
            <w:noWrap w:val="false"/>
          </w:tcPr>
          <w:p>
            <w:pPr>
              <w:pageBreakBefore w:val="0"/>
              <w:spacing w:line="360" w:lineRule="auto"/>
              <w:rPr>
                <w:rFonts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未被“信用中国”网站（www.creditchina.gov.cn）、“中国政府采购网"（www.ccgp.gov.cn）列入失信被执行人、重大税收违法案件当事人名单、政府采购严重违法失信行为记录名单</w:t>
            </w:r>
            <w:r>
              <w:rPr>
                <w:color w:val="000000" w:themeColor="text1"/>
              </w:rPr>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7</w:t>
            </w:r>
            <w:r>
              <w:rPr>
                <w:color w:val="000000" w:themeColor="text1"/>
              </w:rPr>
            </w:r>
            <w:r/>
          </w:p>
        </w:tc>
        <w:tc>
          <w:tcPr>
            <w:tcW w:w="5447" w:type="dxa"/>
            <w:vAlign w:val="center"/>
            <w:textDirection w:val="lrTb"/>
            <w:noWrap w:val="false"/>
          </w:tcPr>
          <w:p>
            <w:pPr>
              <w:pageBreakBefore w:val="0"/>
              <w:spacing w:line="360" w:lineRule="auto"/>
              <w:rPr>
                <w:rFonts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供应商信用承诺函</w:t>
            </w:r>
            <w:r>
              <w:rPr>
                <w:color w:val="000000" w:themeColor="text1"/>
              </w:rPr>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trHeight w:val="272"/>
        </w:trPr>
        <w:tc>
          <w:tcPr>
            <w:gridSpan w:val="3"/>
            <w:tcW w:w="82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s="宋体"/>
                <w:b/>
                <w:bCs/>
                <w:color w:val="000000" w:themeColor="text1"/>
                <w:szCs w:val="21"/>
                <w:highlight w:val="none"/>
              </w:rPr>
              <w:t xml:space="preserve">落实政府采购政策需满足的资格要求</w:t>
            </w:r>
            <w:r>
              <w:rPr>
                <w:color w:val="000000" w:themeColor="text1"/>
              </w:rPr>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lang w:val="en-US" w:eastAsia="zh-CN"/>
              </w:rPr>
              <w:t xml:space="preserve">8</w:t>
            </w:r>
            <w:r>
              <w:rPr>
                <w:color w:val="000000" w:themeColor="text1"/>
              </w:rPr>
            </w:r>
            <w:r/>
          </w:p>
        </w:tc>
        <w:tc>
          <w:tcPr>
            <w:tcW w:w="5447" w:type="dxa"/>
            <w:vAlign w:val="center"/>
            <w:textDirection w:val="lrTb"/>
            <w:noWrap w:val="false"/>
          </w:tcPr>
          <w:p>
            <w:pPr>
              <w:pageBreakBefore w:val="0"/>
              <w:spacing w:line="360" w:lineRule="auto"/>
              <w:rPr>
                <w:rFonts w:ascii="Times New Roman" w:hAnsi="Times New Roman" w:eastAsia="宋体"/>
                <w:color w:val="000000" w:themeColor="text1"/>
                <w:highlight w:val="none"/>
              </w:rPr>
            </w:pPr>
            <w:r>
              <w:rPr>
                <w:rFonts w:hint="eastAsia" w:ascii="Times New Roman" w:hAnsi="Times New Roman" w:eastAsia="宋体"/>
                <w:i/>
                <w:iCs/>
                <w:color w:val="000000" w:themeColor="text1"/>
                <w:szCs w:val="21"/>
                <w:highlight w:val="none"/>
                <w:u w:val="singl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color w:val="000000" w:themeColor="text1"/>
              </w:rPr>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b/>
                <w:color w:val="000000" w:themeColor="text1"/>
                <w:szCs w:val="21"/>
                <w:highlight w:val="none"/>
              </w:rPr>
              <w:t xml:space="preserve">特定资格条件</w:t>
            </w:r>
            <w:r>
              <w:rPr>
                <w:color w:val="000000" w:themeColor="text1"/>
              </w:rPr>
            </w:r>
            <w:r/>
          </w:p>
        </w:tc>
      </w:tr>
      <w:tr>
        <w:trPr>
          <w:trHeight w:val="389"/>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lang w:eastAsia="zh-CN"/>
              </w:rPr>
            </w:r>
            <w:r>
              <w:rPr>
                <w:color w:val="000000" w:themeColor="text1"/>
              </w:rPr>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ascii="Times New Roman" w:hAnsi="Times New Roman" w:eastAsia="宋体"/>
                <w:iCs/>
                <w:color w:val="000000" w:themeColor="text1"/>
                <w:szCs w:val="21"/>
                <w:highlight w:val="none"/>
              </w:rPr>
            </w:r>
            <w:r>
              <w:rPr>
                <w:color w:val="000000" w:themeColor="text1"/>
              </w:rPr>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b/>
                <w:color w:val="000000" w:themeColor="text1"/>
                <w:szCs w:val="21"/>
                <w:highlight w:val="none"/>
              </w:rPr>
              <w:t xml:space="preserve">其他资格条件</w:t>
            </w:r>
            <w:r>
              <w:rPr>
                <w:color w:val="000000" w:themeColor="text1"/>
              </w:rPr>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lang w:val="en-US" w:eastAsia="zh-CN"/>
              </w:rPr>
              <w:t xml:space="preserve">9</w:t>
            </w:r>
            <w:r>
              <w:rPr>
                <w:color w:val="000000" w:themeColor="text1"/>
              </w:rPr>
            </w:r>
            <w:r/>
          </w:p>
        </w:tc>
        <w:tc>
          <w:tcPr>
            <w:tcW w:w="5447" w:type="dxa"/>
            <w:vAlign w:val="center"/>
            <w:textDirection w:val="lrTb"/>
            <w:noWrap w:val="false"/>
          </w:tcPr>
          <w:p>
            <w:pPr>
              <w:jc w:val="left"/>
              <w:pageBreakBefore w:val="0"/>
              <w:spacing w:line="360" w:lineRule="auto"/>
              <w:rPr>
                <w:rFonts w:ascii="Times New Roman" w:hAnsi="Times New Roman" w:eastAsia="宋体"/>
                <w:iCs/>
                <w:color w:val="000000" w:themeColor="text1"/>
                <w:szCs w:val="21"/>
                <w:highlight w:val="none"/>
              </w:rPr>
            </w:pPr>
            <w:r>
              <w:rPr>
                <w:rFonts w:hint="eastAsia" w:ascii="Times New Roman" w:hAnsi="Times New Roman" w:eastAsia="宋体"/>
                <w:iCs/>
                <w:color w:val="000000" w:themeColor="text1"/>
                <w:szCs w:val="21"/>
                <w:highlight w:val="none"/>
              </w:rPr>
              <w:t xml:space="preserve">投标函</w:t>
            </w:r>
            <w:r>
              <w:rPr>
                <w:color w:val="000000" w:themeColor="text1"/>
              </w:rPr>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lang w:val="en-US" w:eastAsia="zh-CN"/>
              </w:rPr>
              <w:t xml:space="preserve">10</w:t>
            </w:r>
            <w:r>
              <w:rPr>
                <w:color w:val="000000" w:themeColor="text1"/>
              </w:rPr>
            </w:r>
            <w:r/>
          </w:p>
        </w:tc>
        <w:tc>
          <w:tcPr>
            <w:tcW w:w="5447" w:type="dxa"/>
            <w:vAlign w:val="center"/>
            <w:textDirection w:val="lrTb"/>
            <w:noWrap w:val="false"/>
          </w:tcPr>
          <w:p>
            <w:pPr>
              <w:jc w:val="left"/>
              <w:pageBreakBefore w:val="0"/>
              <w:spacing w:line="360" w:lineRule="auto"/>
              <w:rPr>
                <w:rFonts w:ascii="Times New Roman" w:hAnsi="Times New Roman" w:eastAsia="宋体"/>
                <w:iCs/>
                <w:color w:val="000000" w:themeColor="text1"/>
                <w:szCs w:val="21"/>
                <w:highlight w:val="none"/>
              </w:rPr>
            </w:pPr>
            <w:r>
              <w:rPr>
                <w:rFonts w:hint="eastAsia" w:ascii="Times New Roman" w:hAnsi="Times New Roman" w:eastAsia="宋体"/>
                <w:iCs/>
                <w:color w:val="000000" w:themeColor="text1"/>
                <w:szCs w:val="21"/>
                <w:highlight w:val="none"/>
              </w:rPr>
              <w:t xml:space="preserve">法人授权书</w:t>
            </w:r>
            <w:r>
              <w:rPr>
                <w:color w:val="000000" w:themeColor="text1"/>
              </w:rPr>
            </w:r>
            <w:r/>
          </w:p>
        </w:tc>
        <w:tc>
          <w:tcPr>
            <w:tcW w:w="215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bl>
    <w:p>
      <w:pPr>
        <w:ind w:firstLine="1476"/>
        <w:pageBreakBefore w:val="0"/>
        <w:spacing w:line="360" w:lineRule="auto"/>
        <w:rPr>
          <w:rFonts w:ascii="Times New Roman" w:hAnsi="Times New Roman" w:eastAsia="宋体"/>
          <w:b/>
          <w:bCs/>
          <w:color w:val="000000" w:themeColor="text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000000" w:themeColor="text1"/>
          <w:highlight w:val="none"/>
        </w:rPr>
      </w:r>
      <w:r>
        <w:rPr>
          <w:color w:val="000000" w:themeColor="text1"/>
        </w:rPr>
      </w:r>
      <w:r/>
    </w:p>
    <w:p>
      <w:pPr>
        <w:ind w:firstLine="1476"/>
        <w:pageBreakBefore w:val="0"/>
        <w:spacing w:line="360" w:lineRule="auto"/>
        <w:rPr>
          <w:rFonts w:ascii="Times New Roman" w:hAnsi="Times New Roman" w:eastAsia="宋体"/>
          <w:b/>
          <w:bCs/>
          <w:color w:val="000000" w:themeColor="text1"/>
          <w:highlight w:val="none"/>
        </w:rPr>
      </w:pPr>
      <w:r>
        <w:rPr>
          <w:rFonts w:hint="eastAsia" w:ascii="Times New Roman" w:hAnsi="Times New Roman" w:eastAsia="宋体"/>
          <w:b/>
          <w:bCs/>
          <w:color w:val="000000" w:themeColor="text1"/>
          <w:highlight w:val="none"/>
        </w:rPr>
        <w:t xml:space="preserve">具备履行合同所必需的设备和专业技术能力的书面声明</w:t>
      </w:r>
      <w:r>
        <w:rPr>
          <w:color w:val="000000" w:themeColor="text1"/>
        </w:rPr>
      </w:r>
      <w:r/>
    </w:p>
    <w:p>
      <w:pPr>
        <w:ind w:firstLine="492"/>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rPr>
      </w:r>
      <w:r/>
    </w:p>
    <w:p>
      <w:pPr>
        <w:ind w:firstLine="492"/>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主要设备有：。</w:t>
      </w:r>
      <w:r>
        <w:rPr>
          <w:color w:val="000000" w:themeColor="text1"/>
        </w:rPr>
      </w:r>
      <w:r/>
    </w:p>
    <w:p>
      <w:pPr>
        <w:ind w:firstLine="492"/>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主要专业技术能力有：。</w:t>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contextualSpacing/>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jc w:val="center"/>
        <w:pageBreakBefore w:val="0"/>
        <w:spacing w:line="360" w:lineRule="auto"/>
        <w:rPr>
          <w:rFonts w:ascii="Times New Roman" w:hAnsi="Times New Roman" w:eastAsia="宋体"/>
          <w:b/>
          <w:bCs/>
          <w:color w:val="000000" w:themeColor="text1"/>
          <w:highlight w:val="none"/>
        </w:rPr>
      </w:pPr>
      <w:r>
        <w:rPr>
          <w:rFonts w:ascii="Times New Roman" w:hAnsi="Times New Roman" w:eastAsia="宋体"/>
          <w:b/>
          <w:bCs/>
          <w:color w:val="000000" w:themeColor="text1"/>
          <w:highlight w:val="none"/>
        </w:rPr>
      </w:r>
      <w:r>
        <w:rPr>
          <w:color w:val="000000" w:themeColor="text1"/>
        </w:rPr>
      </w:r>
      <w:r/>
    </w:p>
    <w:p>
      <w:pPr>
        <w:pageBreakBefore w:val="0"/>
        <w:spacing w:line="360" w:lineRule="auto"/>
        <w:rPr>
          <w:rFonts w:ascii="Times New Roman" w:hAnsi="Times New Roman" w:eastAsia="宋体"/>
          <w:b/>
          <w:bCs/>
          <w:color w:val="000000" w:themeColor="text1"/>
          <w:highlight w:val="none"/>
        </w:rPr>
      </w:pPr>
      <w:r>
        <w:rPr>
          <w:rFonts w:ascii="Times New Roman" w:hAnsi="Times New Roman" w:eastAsia="宋体"/>
          <w:b/>
          <w:bCs/>
          <w:color w:val="000000" w:themeColor="text1"/>
          <w:highlight w:val="none"/>
        </w:rPr>
      </w:r>
      <w:r>
        <w:rPr>
          <w:color w:val="000000" w:themeColor="text1"/>
        </w:rPr>
      </w:r>
      <w:r/>
    </w:p>
    <w:p>
      <w:pPr>
        <w:jc w:val="center"/>
        <w:pageBreakBefore w:val="0"/>
        <w:spacing w:line="360" w:lineRule="auto"/>
        <w:rPr>
          <w:rFonts w:ascii="Times New Roman" w:hAnsi="Times New Roman" w:eastAsia="宋体"/>
          <w:b/>
          <w:bCs/>
          <w:color w:val="000000" w:themeColor="text1"/>
          <w:highlight w:val="none"/>
        </w:rPr>
      </w:pPr>
      <w:r>
        <w:rPr>
          <w:rFonts w:hint="eastAsia" w:ascii="Times New Roman" w:hAnsi="Times New Roman" w:eastAsia="宋体"/>
          <w:b/>
          <w:bCs/>
          <w:color w:val="000000" w:themeColor="text1"/>
          <w:highlight w:val="none"/>
        </w:rPr>
        <w:t xml:space="preserve">参加本次政府采购活动前3年内在经营活动中没有重大违法记录的书面声明</w:t>
      </w:r>
      <w:r>
        <w:rPr>
          <w:color w:val="000000" w:themeColor="text1"/>
        </w:rPr>
      </w:r>
      <w:r/>
    </w:p>
    <w:p>
      <w:pPr>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r/>
    </w:p>
    <w:p>
      <w:pPr>
        <w:jc w:val="center"/>
        <w:pageBreakBefore w:val="0"/>
        <w:spacing w:line="360" w:lineRule="auto"/>
        <w:rPr>
          <w:rFonts w:ascii="Times New Roman" w:hAnsi="Times New Roman" w:eastAsia="宋体"/>
          <w:b/>
          <w:bCs/>
          <w:color w:val="000000" w:themeColor="text1"/>
          <w:highlight w:val="none"/>
        </w:rPr>
      </w:pPr>
      <w:r>
        <w:rPr>
          <w:rFonts w:hint="eastAsia" w:ascii="Times New Roman" w:hAnsi="Times New Roman" w:eastAsia="宋体"/>
          <w:b/>
          <w:bCs/>
          <w:color w:val="000000" w:themeColor="text1"/>
          <w:highlight w:val="none"/>
        </w:rPr>
        <w:t xml:space="preserve">声明</w:t>
      </w:r>
      <w:r>
        <w:rPr>
          <w:color w:val="000000" w:themeColor="text1"/>
        </w:rPr>
      </w:r>
      <w:r/>
    </w:p>
    <w:p>
      <w:pPr>
        <w:pageBreakBefore w:val="0"/>
        <w:spacing w:line="360" w:lineRule="auto"/>
        <w:rPr>
          <w:rFonts w:ascii="Times New Roman" w:hAnsi="Times New Roman" w:eastAsia="宋体"/>
          <w:bCs/>
          <w:color w:val="000000" w:themeColor="text1"/>
          <w:highlight w:val="none"/>
        </w:rPr>
      </w:pPr>
      <w:r>
        <w:rPr>
          <w:rFonts w:hint="eastAsia" w:ascii="Times New Roman" w:hAnsi="Times New Roman" w:eastAsia="宋体"/>
          <w:bCs/>
          <w:color w:val="000000" w:themeColor="text1"/>
          <w:highlight w:val="none"/>
        </w:rPr>
        <w:t xml:space="preserve">我公司郑重声明：参加本次政府采购活动前3年内，我公司在经营活动中没有因违法经营受到刑事处罚或者责令停产停业、吊销许可证或者执照、较大数额罚款等行政处罚。</w:t>
      </w:r>
      <w:r>
        <w:rPr>
          <w:color w:val="000000" w:themeColor="text1"/>
        </w:rPr>
      </w:r>
      <w:r/>
    </w:p>
    <w:p>
      <w:pPr>
        <w:pageBreakBefore w:val="0"/>
        <w:spacing w:line="360" w:lineRule="auto"/>
        <w:rPr>
          <w:rFonts w:ascii="Times New Roman" w:hAnsi="Times New Roman" w:eastAsia="宋体"/>
          <w:bCs/>
          <w:color w:val="000000" w:themeColor="text1"/>
          <w:highlight w:val="none"/>
        </w:rPr>
      </w:pPr>
      <w:r>
        <w:rPr>
          <w:rFonts w:hint="eastAsia" w:ascii="Times New Roman" w:hAnsi="Times New Roman" w:eastAsia="宋体"/>
          <w:bCs/>
          <w:color w:val="000000" w:themeColor="text1"/>
          <w:highlight w:val="none"/>
        </w:rPr>
        <w:t xml:space="preserve">供应商名称（公章）：</w:t>
      </w:r>
      <w:r>
        <w:rPr>
          <w:color w:val="000000" w:themeColor="text1"/>
        </w:rPr>
      </w:r>
      <w:r/>
    </w:p>
    <w:p>
      <w:pPr>
        <w:pageBreakBefore w:val="0"/>
        <w:spacing w:line="360" w:lineRule="auto"/>
        <w:rPr>
          <w:rFonts w:ascii="Times New Roman" w:hAnsi="Times New Roman" w:eastAsia="宋体"/>
          <w:bCs/>
          <w:color w:val="000000" w:themeColor="text1"/>
          <w:highlight w:val="none"/>
        </w:rPr>
      </w:pPr>
      <w:r>
        <w:rPr>
          <w:rFonts w:hint="eastAsia" w:ascii="Times New Roman" w:hAnsi="Times New Roman" w:eastAsia="宋体"/>
          <w:bCs/>
          <w:color w:val="000000" w:themeColor="text1"/>
          <w:highlight w:val="none"/>
        </w:rPr>
        <w:t xml:space="preserve">法定代表人签章：</w:t>
      </w:r>
      <w:r>
        <w:rPr>
          <w:rFonts w:hint="eastAsia" w:ascii="Times New Roman" w:hAnsi="Times New Roman" w:eastAsia="宋体"/>
          <w:bCs/>
          <w:color w:val="000000" w:themeColor="text1"/>
          <w:highlight w:val="none"/>
          <w:u w:val="single"/>
        </w:rPr>
        <w:t xml:space="preserve">_______________________</w:t>
      </w:r>
      <w:r>
        <w:rPr>
          <w:color w:val="000000" w:themeColor="text1"/>
        </w:rPr>
      </w:r>
      <w:r/>
    </w:p>
    <w:p>
      <w:pPr>
        <w:pageBreakBefore w:val="0"/>
        <w:spacing w:line="360" w:lineRule="auto"/>
        <w:rPr>
          <w:rFonts w:ascii="Times New Roman" w:hAnsi="Times New Roman" w:eastAsia="宋体"/>
          <w:bCs/>
          <w:color w:val="000000" w:themeColor="text1"/>
          <w:highlight w:val="none"/>
        </w:rPr>
      </w:pPr>
      <w:r>
        <w:rPr>
          <w:rFonts w:hint="eastAsia" w:ascii="Times New Roman" w:hAnsi="Times New Roman" w:eastAsia="宋体"/>
          <w:bCs/>
          <w:color w:val="000000" w:themeColor="text1"/>
          <w:highlight w:val="none"/>
        </w:rPr>
        <w:t xml:space="preserve">日期：年月日</w:t>
      </w:r>
      <w:r>
        <w:rPr>
          <w:color w:val="000000" w:themeColor="text1"/>
        </w:rPr>
      </w:r>
      <w:r/>
    </w:p>
    <w:p>
      <w:pPr>
        <w:jc w:val="center"/>
        <w:pageBreakBefore w:val="0"/>
        <w:spacing w:line="360" w:lineRule="auto"/>
        <w:rPr>
          <w:rFonts w:ascii="Times New Roman" w:hAnsi="Times New Roman" w:eastAsia="宋体"/>
          <w:b/>
          <w:bCs/>
          <w:color w:val="000000" w:themeColor="text1"/>
          <w:highlight w:val="none"/>
        </w:rPr>
      </w:pPr>
      <w:r>
        <w:rPr>
          <w:rFonts w:ascii="Times New Roman" w:hAnsi="Times New Roman" w:eastAsia="宋体"/>
          <w:b/>
          <w:bCs/>
          <w:color w:val="000000" w:themeColor="text1"/>
          <w:highlight w:val="none"/>
        </w:rPr>
      </w:r>
      <w:r>
        <w:rPr>
          <w:color w:val="000000" w:themeColor="text1"/>
        </w:rPr>
      </w:r>
      <w:r/>
    </w:p>
    <w:p>
      <w:pPr>
        <w:jc w:val="center"/>
        <w:pageBreakBefore w:val="0"/>
        <w:spacing w:line="360" w:lineRule="auto"/>
        <w:rPr>
          <w:rFonts w:ascii="Times New Roman" w:hAnsi="Times New Roman" w:eastAsia="宋体"/>
          <w:b/>
          <w:bCs/>
          <w:color w:val="000000" w:themeColor="text1"/>
          <w:highlight w:val="none"/>
        </w:rPr>
      </w:pPr>
      <w:r>
        <w:rPr>
          <w:rFonts w:ascii="Times New Roman" w:hAnsi="Times New Roman" w:eastAsia="宋体"/>
          <w:b/>
          <w:bCs/>
          <w:color w:val="000000" w:themeColor="text1"/>
          <w:highlight w:val="none"/>
        </w:rPr>
      </w:r>
      <w:r>
        <w:rPr>
          <w:color w:val="000000" w:themeColor="text1"/>
        </w:rPr>
      </w:r>
      <w:r/>
    </w:p>
    <w:p>
      <w:pPr>
        <w:jc w:val="center"/>
        <w:pageBreakBefore w:val="0"/>
        <w:spacing w:line="360" w:lineRule="auto"/>
        <w:rPr>
          <w:rFonts w:ascii="Times New Roman" w:hAnsi="Times New Roman" w:eastAsia="宋体"/>
          <w:b/>
          <w:bCs/>
          <w:color w:val="000000" w:themeColor="text1"/>
          <w:highlight w:val="none"/>
        </w:rPr>
      </w:pPr>
      <w:r>
        <w:rPr>
          <w:rFonts w:ascii="Times New Roman" w:hAnsi="Times New Roman" w:eastAsia="宋体"/>
          <w:b/>
          <w:bCs/>
          <w:color w:val="000000" w:themeColor="text1"/>
          <w:highlight w:val="none"/>
        </w:rPr>
      </w:r>
      <w:r>
        <w:rPr>
          <w:color w:val="000000" w:themeColor="text1"/>
        </w:rPr>
      </w:r>
      <w:r/>
    </w:p>
    <w:p>
      <w:pPr>
        <w:jc w:val="center"/>
        <w:pageBreakBefore w:val="0"/>
        <w:spacing w:line="360" w:lineRule="auto"/>
        <w:rPr>
          <w:rFonts w:ascii="Times New Roman" w:hAnsi="Times New Roman" w:eastAsia="宋体"/>
          <w:b/>
          <w:bCs/>
          <w:color w:val="000000" w:themeColor="text1"/>
          <w:highlight w:val="none"/>
        </w:rPr>
      </w:pPr>
      <w:r>
        <w:rPr>
          <w:rFonts w:ascii="Times New Roman" w:hAnsi="Times New Roman" w:eastAsia="宋体"/>
          <w:b/>
          <w:bCs/>
          <w:color w:val="000000" w:themeColor="text1"/>
          <w:highlight w:val="none"/>
        </w:rPr>
      </w:r>
      <w:r>
        <w:rPr>
          <w:color w:val="000000" w:themeColor="text1"/>
        </w:rPr>
      </w:r>
      <w:r/>
    </w:p>
    <w:p>
      <w:pPr>
        <w:jc w:val="center"/>
        <w:pageBreakBefore w:val="0"/>
        <w:spacing w:line="360" w:lineRule="auto"/>
        <w:rPr>
          <w:rFonts w:ascii="Times New Roman" w:hAnsi="Times New Roman" w:eastAsia="宋体"/>
          <w:b/>
          <w:bCs/>
          <w:color w:val="000000" w:themeColor="text1"/>
          <w:highlight w:val="none"/>
        </w:rPr>
      </w:pPr>
      <w:r>
        <w:rPr>
          <w:rFonts w:ascii="Times New Roman" w:hAnsi="Times New Roman" w:eastAsia="宋体"/>
          <w:b/>
          <w:bCs/>
          <w:color w:val="000000" w:themeColor="text1"/>
          <w:highlight w:val="none"/>
        </w:rPr>
      </w:r>
      <w:r>
        <w:rPr>
          <w:color w:val="000000" w:themeColor="text1"/>
        </w:rPr>
      </w:r>
      <w:r/>
    </w:p>
    <w:p>
      <w:pPr>
        <w:jc w:val="center"/>
        <w:pageBreakBefore w:val="0"/>
        <w:spacing w:line="360" w:lineRule="auto"/>
        <w:rPr>
          <w:rFonts w:ascii="Times New Roman" w:hAnsi="Times New Roman" w:eastAsia="宋体"/>
          <w:b/>
          <w:bCs/>
          <w:color w:val="000000" w:themeColor="text1"/>
          <w:highlight w:val="none"/>
        </w:rPr>
      </w:pPr>
      <w:r>
        <w:rPr>
          <w:rFonts w:ascii="Times New Roman" w:hAnsi="Times New Roman" w:eastAsia="宋体"/>
          <w:b/>
          <w:bCs/>
          <w:color w:val="000000" w:themeColor="text1"/>
          <w:highlight w:val="none"/>
        </w:rPr>
      </w:r>
      <w:r>
        <w:rPr>
          <w:color w:val="000000" w:themeColor="text1"/>
        </w:rPr>
      </w:r>
      <w:r/>
    </w:p>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b/>
          <w:bCs/>
          <w:color w:val="000000" w:themeColor="text1"/>
          <w:highlight w:val="none"/>
        </w:rPr>
        <w:br w:type="page" w:clear="all"/>
      </w:r>
      <w:r>
        <w:rPr>
          <w:rFonts w:hint="eastAsia" w:ascii="Times New Roman" w:hAnsi="Times New Roman" w:eastAsia="宋体"/>
          <w:b/>
          <w:color w:val="000000" w:themeColor="text1"/>
          <w:szCs w:val="21"/>
          <w:highlight w:val="none"/>
        </w:rPr>
        <w:t xml:space="preserve">供应商信用承诺书</w:t>
      </w:r>
      <w:r>
        <w:rPr>
          <w:color w:val="000000" w:themeColor="text1"/>
        </w:rPr>
      </w:r>
      <w:r/>
    </w:p>
    <w:p>
      <w:pP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承诺主体名称：</w:t>
      </w:r>
      <w:r>
        <w:rPr>
          <w:color w:val="000000" w:themeColor="text1"/>
        </w:rPr>
      </w:r>
      <w:r/>
    </w:p>
    <w:p>
      <w:pP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统一社会信用代码：</w:t>
      </w:r>
      <w:r>
        <w:rPr>
          <w:color w:val="000000" w:themeColor="text1"/>
        </w:rPr>
      </w: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color w:val="000000" w:themeColor="text1"/>
        </w:rPr>
      </w: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一、对提供给注册登记部门、行业管理部门、司法部门、行业组织以及在政府采购活动中提交的所有资料的合法性、真实性、准确性和有效性负责；</w:t>
      </w:r>
      <w:r>
        <w:rPr>
          <w:color w:val="000000" w:themeColor="text1"/>
        </w:rPr>
      </w: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二、严格按照国家法律、法规和规章开展采购活动，全面履行应尽的责任和义务，全面做到履约守信，具备《中华人民共和国政府采购法》第二十二条第一款规定的条件;</w:t>
      </w:r>
      <w:r>
        <w:rPr>
          <w:color w:val="000000" w:themeColor="text1"/>
        </w:rPr>
      </w: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三、严格依法开展生产经营活动，主动接受行业监管，自愿接受依法开展的日常检查；违法失信经营后将自愿接受约束和惩戒，并依法承担相应责任；</w:t>
      </w:r>
      <w:r>
        <w:rPr>
          <w:color w:val="000000" w:themeColor="text1"/>
        </w:rPr>
      </w: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四、自觉接受行政管理部门、行业组织、社会公众、新闻舆论的监督；</w:t>
      </w:r>
      <w:r>
        <w:rPr>
          <w:color w:val="000000" w:themeColor="text1"/>
        </w:rPr>
      </w: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五、自觉做到自我约束、自我管理，不制假售假、商标侵权、虚假宣传、违约毁约、恶意逃债、偷税漏税、垄断和不正当竞争，维护经营者、消费者的合法权益；</w:t>
      </w:r>
      <w:r>
        <w:rPr>
          <w:color w:val="000000" w:themeColor="text1"/>
        </w:rPr>
      </w: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六、提出政府采购质疑和投诉坚持依法依规、诚实信用原则，在全国范围12个月内没有三次以上查无实据的政府采购投诉；</w:t>
      </w:r>
      <w:r>
        <w:rPr>
          <w:color w:val="000000" w:themeColor="text1"/>
        </w:rPr>
      </w: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七、严格遵守信用信息公示相关规定，向社会公示信用信息；</w:t>
      </w:r>
      <w:r>
        <w:rPr>
          <w:color w:val="000000" w:themeColor="text1"/>
        </w:rPr>
      </w: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八、在“信用中国”和“中国政府采购网”网站中无违法违规、较重或严重失信记录；</w:t>
      </w:r>
      <w:r>
        <w:rPr>
          <w:color w:val="000000" w:themeColor="text1"/>
        </w:rPr>
      </w: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color w:val="000000" w:themeColor="text1"/>
        </w:rPr>
      </w: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十、本承诺书自签订之日起生效。</w:t>
      </w:r>
      <w:r>
        <w:rPr>
          <w:color w:val="000000" w:themeColor="text1"/>
        </w:rPr>
      </w: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（注：法定代表人或负责人、主体名称发生变更的应当重新做出承诺。）</w:t>
      </w:r>
      <w:r>
        <w:rPr>
          <w:color w:val="000000" w:themeColor="text1"/>
        </w:rPr>
      </w:r>
      <w:r/>
    </w:p>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承诺单位（签章）：</w:t>
      </w:r>
      <w:r>
        <w:rPr>
          <w:color w:val="000000" w:themeColor="text1"/>
        </w:rPr>
      </w:r>
      <w:r/>
    </w:p>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法定代表人（负责人）：</w:t>
      </w:r>
      <w:r>
        <w:rPr>
          <w:color w:val="000000" w:themeColor="text1"/>
        </w:rPr>
      </w:r>
      <w:r/>
    </w:p>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年月日</w:t>
      </w:r>
      <w:r>
        <w:rPr>
          <w:color w:val="000000" w:themeColor="text1"/>
        </w:rPr>
      </w:r>
      <w:r/>
    </w:p>
    <w:p>
      <w:pPr>
        <w:jc w:val="cente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r/>
    </w:p>
    <w:p>
      <w:pP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r/>
    </w:p>
    <w:p>
      <w:pP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r/>
    </w:p>
    <w:p>
      <w:pPr>
        <w:jc w:val="center"/>
        <w:pageBreakBefore w:val="0"/>
        <w:spacing w:line="360" w:lineRule="auto"/>
        <w:rPr>
          <w:rFonts w:ascii="Times New Roman" w:hAnsi="Times New Roman" w:eastAsia="宋体"/>
          <w:b/>
          <w:bCs/>
          <w:color w:val="000000" w:themeColor="text1"/>
          <w:highlight w:val="none"/>
        </w:rPr>
      </w:pPr>
      <w:r>
        <w:rPr>
          <w:rFonts w:hint="eastAsia" w:ascii="Times New Roman" w:hAnsi="Times New Roman" w:eastAsia="宋体"/>
          <w:b/>
          <w:bCs/>
          <w:color w:val="000000" w:themeColor="text1"/>
          <w:highlight w:val="none"/>
        </w:rPr>
        <w:br w:type="page" w:clear="all"/>
      </w:r>
      <w:r>
        <w:rPr>
          <w:color w:val="000000" w:themeColor="text1"/>
        </w:rPr>
      </w:r>
      <w:r/>
    </w:p>
    <w:p>
      <w:pPr>
        <w:jc w:val="center"/>
        <w:pageBreakBefore w:val="0"/>
        <w:spacing w:line="360" w:lineRule="auto"/>
        <w:rPr>
          <w:rFonts w:ascii="Times New Roman" w:hAnsi="Times New Roman" w:eastAsia="宋体"/>
          <w:b/>
          <w:bCs/>
          <w:color w:val="000000" w:themeColor="text1"/>
          <w:highlight w:val="none"/>
        </w:rPr>
      </w:pPr>
      <w:r>
        <w:rPr>
          <w:rFonts w:hint="eastAsia" w:ascii="Times New Roman" w:hAnsi="Times New Roman" w:eastAsia="宋体"/>
          <w:b/>
          <w:bCs/>
          <w:color w:val="000000" w:themeColor="text1"/>
          <w:highlight w:val="none"/>
        </w:rPr>
        <w:t xml:space="preserve">投标函格式</w:t>
      </w:r>
      <w:r>
        <w:rPr>
          <w:color w:val="000000" w:themeColor="text1"/>
        </w:rPr>
      </w:r>
      <w:r/>
    </w:p>
    <w:p>
      <w:pPr>
        <w:pStyle w:val="922"/>
        <w:ind w:firstLine="0"/>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致：</w:t>
      </w:r>
      <w:r>
        <w:rPr>
          <w:rFonts w:hint="eastAsia" w:ascii="Times New Roman" w:hAnsi="Times New Roman" w:eastAsia="宋体"/>
          <w:color w:val="000000" w:themeColor="text1"/>
          <w:sz w:val="21"/>
          <w:highlight w:val="none"/>
        </w:rPr>
        <w:t xml:space="preserve">江苏苏维工程管理有限公司</w:t>
      </w:r>
      <w:r>
        <w:rPr>
          <w:color w:val="000000" w:themeColor="text1"/>
        </w:rPr>
      </w:r>
      <w:r/>
    </w:p>
    <w:p>
      <w:pPr>
        <w:pStyle w:val="922"/>
        <w:ind w:firstLine="420"/>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根据贵方的（）号招标文件，正式授权下述签字人_________________（姓名）代表我方______________（投标人的名称），全权处理本次项目投标的有关事宜。</w:t>
      </w:r>
      <w:r>
        <w:rPr>
          <w:color w:val="000000" w:themeColor="text1"/>
        </w:rPr>
      </w:r>
      <w:r/>
    </w:p>
    <w:p>
      <w:pPr>
        <w:pStyle w:val="922"/>
        <w:ind w:firstLine="420"/>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据此函，__________签字人（姓名）兹宣布同意如下：</w:t>
      </w:r>
      <w:r>
        <w:rPr>
          <w:color w:val="000000" w:themeColor="text1"/>
        </w:rPr>
      </w:r>
      <w:r/>
    </w:p>
    <w:p>
      <w:pPr>
        <w:pStyle w:val="922"/>
        <w:ind w:firstLine="420"/>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1.按招标文件规定的各项要求，向买方提供所需货物与服务。</w:t>
      </w:r>
      <w:r>
        <w:rPr>
          <w:color w:val="000000" w:themeColor="text1"/>
        </w:rPr>
      </w:r>
      <w:r/>
    </w:p>
    <w:p>
      <w:pPr>
        <w:pStyle w:val="922"/>
        <w:ind w:firstLine="420"/>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2.我们完全理解贵方不一定将合同授予最低报价的投标人。</w:t>
      </w:r>
      <w:r>
        <w:rPr>
          <w:color w:val="000000" w:themeColor="text1"/>
        </w:rPr>
      </w:r>
      <w:r/>
    </w:p>
    <w:p>
      <w:pPr>
        <w:pStyle w:val="922"/>
        <w:ind w:firstLine="420"/>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3.我们已详细审核全部招标文件及其有效补充文件，我们知道必须放弃提出含糊不清或误解问题的权利。</w:t>
      </w:r>
      <w:r>
        <w:rPr>
          <w:color w:val="000000" w:themeColor="text1"/>
        </w:rPr>
      </w:r>
      <w:r/>
    </w:p>
    <w:p>
      <w:pPr>
        <w:pStyle w:val="922"/>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4.我们同意从规定的开标日期起遵循本投标文件，并在规定的投标有效期期满之前均具有约束力。</w:t>
      </w:r>
      <w:r>
        <w:rPr>
          <w:color w:val="000000" w:themeColor="text1"/>
        </w:rPr>
      </w:r>
      <w:r/>
    </w:p>
    <w:p>
      <w:pPr>
        <w:pStyle w:val="922"/>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5.同意向贵方提供贵方可能另外要求的与投标有关的任何证据或资料，并保证我方已提供和将要提供的文件是真实的、准确的。</w:t>
      </w:r>
      <w:r>
        <w:rPr>
          <w:color w:val="000000" w:themeColor="text1"/>
        </w:rPr>
      </w:r>
      <w:r/>
    </w:p>
    <w:p>
      <w:pPr>
        <w:pStyle w:val="922"/>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6.一旦我方中标,我方将根据招标文件的规定，严格履行合同的责任和义务,并保证在招标文件规定的时间完成项目，交付买方验收、使用。</w:t>
      </w:r>
      <w:r>
        <w:rPr>
          <w:color w:val="000000" w:themeColor="text1"/>
        </w:rPr>
      </w:r>
      <w:r/>
    </w:p>
    <w:p>
      <w:pPr>
        <w:pStyle w:val="922"/>
        <w:ind w:left="425" w:firstLine="105"/>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7.与本投标有关的正式通讯地址为：</w:t>
      </w:r>
      <w:r>
        <w:rPr>
          <w:color w:val="000000" w:themeColor="text1"/>
        </w:rPr>
      </w:r>
      <w:r/>
    </w:p>
    <w:p>
      <w:pPr>
        <w:pStyle w:val="922"/>
        <w:ind w:firstLine="478"/>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地址：</w:t>
      </w:r>
      <w:r>
        <w:rPr>
          <w:color w:val="000000" w:themeColor="text1"/>
        </w:rPr>
      </w:r>
      <w:r/>
    </w:p>
    <w:p>
      <w:pPr>
        <w:pStyle w:val="922"/>
        <w:ind w:firstLine="478"/>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邮编：</w:t>
      </w:r>
      <w:r>
        <w:rPr>
          <w:color w:val="000000" w:themeColor="text1"/>
        </w:rPr>
      </w:r>
      <w:r/>
    </w:p>
    <w:p>
      <w:pPr>
        <w:pStyle w:val="922"/>
        <w:ind w:firstLine="478"/>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电话：</w:t>
      </w:r>
      <w:r>
        <w:rPr>
          <w:color w:val="000000" w:themeColor="text1"/>
        </w:rPr>
      </w:r>
      <w:r/>
    </w:p>
    <w:p>
      <w:pPr>
        <w:pStyle w:val="922"/>
        <w:ind w:firstLine="478"/>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传真：</w:t>
      </w:r>
      <w:r>
        <w:rPr>
          <w:color w:val="000000" w:themeColor="text1"/>
        </w:rPr>
      </w:r>
      <w:r/>
    </w:p>
    <w:p>
      <w:pPr>
        <w:pStyle w:val="922"/>
        <w:ind w:firstLine="478"/>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投标人开户行：</w:t>
      </w:r>
      <w:r>
        <w:rPr>
          <w:color w:val="000000" w:themeColor="text1"/>
        </w:rPr>
      </w:r>
      <w:r/>
    </w:p>
    <w:p>
      <w:pPr>
        <w:pStyle w:val="922"/>
        <w:ind w:firstLine="478"/>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账户：</w:t>
      </w:r>
      <w:r>
        <w:rPr>
          <w:color w:val="000000" w:themeColor="text1"/>
        </w:rPr>
      </w:r>
      <w:r/>
    </w:p>
    <w:p>
      <w:pPr>
        <w:pStyle w:val="922"/>
        <w:ind w:firstLine="478"/>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行号：</w:t>
      </w:r>
      <w:r>
        <w:rPr>
          <w:color w:val="000000" w:themeColor="text1"/>
        </w:rPr>
      </w:r>
      <w:r/>
    </w:p>
    <w:p>
      <w:pPr>
        <w:pStyle w:val="922"/>
        <w:ind w:firstLine="478"/>
        <w:pageBreakBefore w:val="0"/>
        <w:spacing w:before="0" w:after="0"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日期：________年____月____日</w:t>
      </w:r>
      <w:r>
        <w:rPr>
          <w:color w:val="000000" w:themeColor="text1"/>
        </w:rPr>
      </w:r>
      <w:r/>
    </w:p>
    <w:p>
      <w:pPr>
        <w:contextualSpacing/>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r/>
    </w:p>
    <w:p>
      <w:pPr>
        <w:pageBreakBefore w:val="0"/>
        <w:spacing w:line="360" w:lineRule="auto"/>
        <w:rPr>
          <w:rFonts w:ascii="Times New Roman" w:hAnsi="Times New Roman" w:eastAsia="宋体"/>
          <w:b/>
          <w:color w:val="000000" w:themeColor="text1"/>
          <w:sz w:val="32"/>
          <w:szCs w:val="32"/>
          <w:highlight w:val="none"/>
        </w:rPr>
      </w:pPr>
      <w:r>
        <w:rPr>
          <w:rFonts w:hint="eastAsia" w:ascii="Times New Roman" w:hAnsi="Times New Roman" w:eastAsia="宋体"/>
          <w:b/>
          <w:color w:val="000000" w:themeColor="text1"/>
          <w:sz w:val="32"/>
          <w:szCs w:val="32"/>
          <w:highlight w:val="none"/>
        </w:rPr>
        <w:br w:type="page" w:clear="all"/>
      </w:r>
      <w:r>
        <w:rPr>
          <w:color w:val="000000" w:themeColor="text1"/>
        </w:rPr>
      </w:r>
      <w:r/>
    </w:p>
    <w:p>
      <w:pPr>
        <w:pStyle w:val="923"/>
        <w:ind w:firstLine="422"/>
        <w:jc w:val="center"/>
        <w:pageBreakBefore w:val="0"/>
        <w:spacing w:line="360" w:lineRule="auto"/>
        <w:rPr>
          <w:rFonts w:ascii="Times New Roman" w:hAnsi="Times New Roman" w:eastAsia="宋体"/>
          <w:b/>
          <w:color w:val="000000" w:themeColor="text1"/>
          <w:sz w:val="21"/>
          <w:szCs w:val="21"/>
          <w:highlight w:val="none"/>
        </w:rPr>
      </w:pPr>
      <w:r>
        <w:rPr>
          <w:rFonts w:hint="eastAsia" w:ascii="Times New Roman" w:hAnsi="Times New Roman" w:eastAsia="宋体"/>
          <w:b/>
          <w:color w:val="000000" w:themeColor="text1"/>
          <w:sz w:val="21"/>
          <w:szCs w:val="21"/>
          <w:highlight w:val="none"/>
        </w:rPr>
        <w:t xml:space="preserve">法人授权书</w:t>
      </w:r>
      <w:r>
        <w:rPr>
          <w:color w:val="000000" w:themeColor="text1"/>
        </w:rPr>
      </w:r>
      <w:r/>
    </w:p>
    <w:p>
      <w:pPr>
        <w:pStyle w:val="923"/>
        <w:ind w:firstLine="420"/>
        <w:pageBreakBefore w:val="0"/>
        <w:spacing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本授权书声明：</w:t>
      </w:r>
      <w:r>
        <w:rPr>
          <w:rFonts w:ascii="Times New Roman" w:hAnsi="Times New Roman" w:eastAsia="宋体"/>
          <w:color w:val="000000" w:themeColor="text1"/>
          <w:sz w:val="21"/>
          <w:szCs w:val="21"/>
          <w:highlight w:val="none"/>
        </w:rPr>
        <w:t xml:space="preserve">________________</w:t>
      </w:r>
      <w:r>
        <w:rPr>
          <w:rFonts w:hint="eastAsia" w:ascii="Times New Roman" w:hAnsi="Times New Roman" w:eastAsia="宋体"/>
          <w:color w:val="000000" w:themeColor="text1"/>
          <w:sz w:val="21"/>
          <w:szCs w:val="21"/>
          <w:highlight w:val="none"/>
        </w:rPr>
        <w:t xml:space="preserve">（投标人名称）授权</w:t>
      </w:r>
      <w:r>
        <w:rPr>
          <w:rFonts w:ascii="Times New Roman" w:hAnsi="Times New Roman" w:eastAsia="宋体"/>
          <w:color w:val="000000" w:themeColor="text1"/>
          <w:sz w:val="21"/>
          <w:szCs w:val="21"/>
          <w:highlight w:val="none"/>
        </w:rPr>
        <w:t xml:space="preserve">________________</w:t>
      </w:r>
      <w:r>
        <w:rPr>
          <w:rFonts w:hint="eastAsia" w:ascii="Times New Roman" w:hAnsi="Times New Roman" w:eastAsia="宋体"/>
          <w:color w:val="000000" w:themeColor="text1"/>
          <w:sz w:val="21"/>
          <w:szCs w:val="21"/>
          <w:highlight w:val="none"/>
        </w:rPr>
        <w:t xml:space="preserve">（被授权人的姓名）为我方就（项目编号）号（项目名称）项目采购活动的合法代理人，以本公司名义全权处理一切与该项目采购有关的事务。</w:t>
      </w:r>
      <w:r>
        <w:rPr>
          <w:color w:val="000000" w:themeColor="text1"/>
        </w:rPr>
      </w:r>
      <w:r/>
    </w:p>
    <w:p>
      <w:pPr>
        <w:pStyle w:val="923"/>
        <w:ind w:firstLine="420"/>
        <w:pageBreakBefore w:val="0"/>
        <w:spacing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本授权书于</w:t>
      </w:r>
      <w:r>
        <w:rPr>
          <w:rFonts w:ascii="Times New Roman" w:hAnsi="Times New Roman" w:eastAsia="宋体"/>
          <w:color w:val="000000" w:themeColor="text1"/>
          <w:sz w:val="21"/>
          <w:szCs w:val="21"/>
          <w:highlight w:val="none"/>
        </w:rPr>
        <w:t xml:space="preserve">______</w:t>
      </w:r>
      <w:r>
        <w:rPr>
          <w:rFonts w:hint="eastAsia" w:ascii="Times New Roman" w:hAnsi="Times New Roman" w:eastAsia="宋体"/>
          <w:color w:val="000000" w:themeColor="text1"/>
          <w:sz w:val="21"/>
          <w:szCs w:val="21"/>
          <w:highlight w:val="none"/>
        </w:rPr>
        <w:t xml:space="preserve">年</w:t>
      </w:r>
      <w:r>
        <w:rPr>
          <w:rFonts w:ascii="Times New Roman" w:hAnsi="Times New Roman" w:eastAsia="宋体"/>
          <w:color w:val="000000" w:themeColor="text1"/>
          <w:sz w:val="21"/>
          <w:szCs w:val="21"/>
          <w:highlight w:val="none"/>
        </w:rPr>
        <w:t xml:space="preserve">____</w:t>
      </w:r>
      <w:r>
        <w:rPr>
          <w:rFonts w:hint="eastAsia" w:ascii="Times New Roman" w:hAnsi="Times New Roman" w:eastAsia="宋体"/>
          <w:color w:val="000000" w:themeColor="text1"/>
          <w:sz w:val="21"/>
          <w:szCs w:val="21"/>
          <w:highlight w:val="none"/>
        </w:rPr>
        <w:t xml:space="preserve">月</w:t>
      </w:r>
      <w:r>
        <w:rPr>
          <w:rFonts w:ascii="Times New Roman" w:hAnsi="Times New Roman" w:eastAsia="宋体"/>
          <w:color w:val="000000" w:themeColor="text1"/>
          <w:sz w:val="21"/>
          <w:szCs w:val="21"/>
          <w:highlight w:val="none"/>
        </w:rPr>
        <w:t xml:space="preserve">____</w:t>
      </w:r>
      <w:r>
        <w:rPr>
          <w:rFonts w:hint="eastAsia" w:ascii="Times New Roman" w:hAnsi="Times New Roman" w:eastAsia="宋体"/>
          <w:color w:val="000000" w:themeColor="text1"/>
          <w:sz w:val="21"/>
          <w:szCs w:val="21"/>
          <w:highlight w:val="none"/>
        </w:rPr>
        <w:t xml:space="preserve">日起生效，特此声明。</w:t>
      </w:r>
      <w:r>
        <w:rPr>
          <w:color w:val="000000" w:themeColor="text1"/>
        </w:rPr>
      </w:r>
      <w:r/>
    </w:p>
    <w:p>
      <w:pPr>
        <w:pStyle w:val="923"/>
        <w:ind w:firstLine="0"/>
        <w:pageBreakBefore w:val="0"/>
        <w:spacing w:line="360" w:lineRule="auto"/>
        <w:rPr>
          <w:rFonts w:ascii="Times New Roman" w:hAnsi="Times New Roman" w:eastAsia="宋体"/>
          <w:color w:val="000000" w:themeColor="text1"/>
          <w:sz w:val="21"/>
          <w:szCs w:val="21"/>
          <w:highlight w:val="none"/>
        </w:rPr>
      </w:pPr>
      <w:r>
        <w:rPr>
          <w:rFonts w:ascii="Times New Roman" w:hAnsi="Times New Roman" w:eastAsia="宋体"/>
          <w:color w:val="000000" w:themeColor="text1"/>
          <w:sz w:val="21"/>
          <w:szCs w:val="21"/>
          <w:highlight w:val="none"/>
        </w:rPr>
      </w:r>
      <w:r>
        <w:rPr>
          <w:color w:val="000000" w:themeColor="text1"/>
        </w:rPr>
      </w:r>
      <w:r/>
    </w:p>
    <w:p>
      <w:pPr>
        <w:pStyle w:val="923"/>
        <w:ind w:firstLine="420"/>
        <w:pageBreakBefore w:val="0"/>
        <w:spacing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被授权人姓名：</w:t>
      </w:r>
      <w:r>
        <w:rPr>
          <w:color w:val="000000" w:themeColor="text1"/>
        </w:rPr>
      </w:r>
      <w:r/>
    </w:p>
    <w:p>
      <w:pPr>
        <w:pStyle w:val="923"/>
        <w:ind w:firstLine="420"/>
        <w:pageBreakBefore w:val="0"/>
        <w:spacing w:line="360" w:lineRule="auto"/>
        <w:rPr>
          <w:rFonts w:ascii="Times New Roman" w:hAnsi="Times New Roman" w:eastAsia="宋体"/>
          <w:color w:val="000000" w:themeColor="text1"/>
          <w:sz w:val="21"/>
          <w:szCs w:val="21"/>
          <w:highlight w:val="none"/>
          <w:u w:val="single"/>
        </w:rPr>
      </w:pPr>
      <w:r>
        <w:rPr>
          <w:rFonts w:hint="eastAsia" w:ascii="Times New Roman" w:hAnsi="Times New Roman" w:eastAsia="宋体"/>
          <w:color w:val="000000" w:themeColor="text1"/>
          <w:sz w:val="21"/>
          <w:szCs w:val="21"/>
          <w:highlight w:val="none"/>
        </w:rPr>
        <w:t xml:space="preserve">联系电话（手机）：</w:t>
      </w:r>
      <w:r>
        <w:rPr>
          <w:color w:val="000000" w:themeColor="text1"/>
        </w:rPr>
      </w:r>
      <w:r/>
    </w:p>
    <w:p>
      <w:pPr>
        <w:pStyle w:val="923"/>
        <w:ind w:firstLine="420"/>
        <w:pageBreakBefore w:val="0"/>
        <w:spacing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单位名称：</w:t>
      </w:r>
      <w:r>
        <w:rPr>
          <w:color w:val="000000" w:themeColor="text1"/>
        </w:rPr>
      </w:r>
      <w:r/>
    </w:p>
    <w:p>
      <w:pPr>
        <w:pStyle w:val="923"/>
        <w:ind w:firstLine="420"/>
        <w:pageBreakBefore w:val="0"/>
        <w:spacing w:line="360" w:lineRule="auto"/>
        <w:rPr>
          <w:rFonts w:ascii="Times New Roman" w:hAnsi="Times New Roman" w:eastAsia="宋体"/>
          <w:color w:val="000000" w:themeColor="text1"/>
          <w:sz w:val="21"/>
          <w:szCs w:val="21"/>
          <w:highlight w:val="none"/>
          <w:u w:val="single"/>
        </w:rPr>
      </w:pPr>
      <w:r>
        <w:rPr>
          <w:rFonts w:hint="eastAsia" w:ascii="Times New Roman" w:hAnsi="Times New Roman" w:eastAsia="宋体"/>
          <w:color w:val="000000" w:themeColor="text1"/>
          <w:sz w:val="21"/>
          <w:szCs w:val="21"/>
          <w:highlight w:val="none"/>
        </w:rPr>
        <w:t xml:space="preserve">单位地址：</w:t>
      </w:r>
      <w:r>
        <w:rPr>
          <w:color w:val="000000" w:themeColor="text1"/>
        </w:rPr>
      </w:r>
      <w:r/>
    </w:p>
    <w:p>
      <w:pPr>
        <w:pStyle w:val="923"/>
        <w:ind w:firstLine="420"/>
        <w:pageBreakBefore w:val="0"/>
        <w:spacing w:line="360" w:lineRule="auto"/>
        <w:rPr>
          <w:rFonts w:ascii="Times New Roman" w:hAnsi="Times New Roman" w:eastAsia="宋体"/>
          <w:color w:val="000000" w:themeColor="text1"/>
          <w:sz w:val="21"/>
          <w:szCs w:val="21"/>
          <w:highlight w:val="none"/>
        </w:rPr>
      </w:pPr>
      <w:r>
        <w:rPr>
          <w:rFonts w:hint="eastAsia" w:ascii="Times New Roman" w:hAnsi="Times New Roman" w:eastAsia="宋体"/>
          <w:color w:val="000000" w:themeColor="text1"/>
          <w:sz w:val="21"/>
          <w:szCs w:val="21"/>
          <w:highlight w:val="none"/>
        </w:rPr>
        <w:t xml:space="preserve">日期：</w:t>
      </w:r>
      <w:r>
        <w:rPr>
          <w:color w:val="000000" w:themeColor="text1"/>
        </w:rPr>
      </w:r>
      <w:r/>
    </w:p>
    <w:p>
      <w:pPr>
        <w:pageBreakBefore w:val="0"/>
        <w:spacing w:line="360" w:lineRule="auto"/>
        <w:rPr>
          <w:rFonts w:ascii="Times New Roman" w:hAnsi="Times New Roman" w:eastAsia="宋体"/>
          <w:bCs/>
          <w:color w:val="000000" w:themeColor="text1"/>
          <w:highlight w:val="none"/>
        </w:rPr>
      </w:pPr>
      <w:r>
        <w:rPr>
          <w:rFonts w:ascii="Times New Roman" w:hAnsi="Times New Roman" w:eastAsia="宋体"/>
          <w:bCs/>
          <w:color w:val="000000" w:themeColor="text1"/>
          <w:highlight w:val="none"/>
        </w:rPr>
      </w:r>
      <w:r>
        <w:rPr>
          <w:color w:val="000000" w:themeColor="text1"/>
        </w:rPr>
      </w:r>
      <w:r/>
    </w:p>
    <w:p>
      <w:pPr>
        <w:pageBreakBefore w:val="0"/>
        <w:spacing w:line="360" w:lineRule="auto"/>
        <w:rPr>
          <w:rFonts w:ascii="Times New Roman" w:hAnsi="Times New Roman" w:eastAsia="宋体"/>
          <w:bCs/>
          <w:color w:val="000000" w:themeColor="text1"/>
          <w:sz w:val="24"/>
          <w:highlight w:val="none"/>
        </w:rPr>
      </w:pPr>
      <w:r>
        <w:rPr>
          <w:rFonts w:ascii="Times New Roman" w:hAnsi="Times New Roman" w:eastAsia="宋体"/>
          <w:bCs/>
          <w:color w:val="000000" w:themeColor="text1"/>
          <w:sz w:val="24"/>
          <w:highlight w:val="none"/>
        </w:rPr>
      </w:r>
      <w:r>
        <w:rPr>
          <w:color w:val="000000" w:themeColor="text1"/>
        </w:rPr>
      </w:r>
      <w:r/>
    </w:p>
    <w:p>
      <w:pPr>
        <w:ind w:firstLine="420"/>
        <w:pageBreakBefore w:val="0"/>
        <w:spacing w:line="360" w:lineRule="auto"/>
        <w:rPr>
          <w:rFonts w:ascii="Times New Roman" w:hAnsi="Times New Roman" w:eastAsia="宋体"/>
          <w:bCs/>
          <w:color w:val="000000" w:themeColor="text1"/>
          <w:highlight w:val="none"/>
        </w:rPr>
      </w:pPr>
      <w:r>
        <w:rPr>
          <w:rFonts w:hint="eastAsia" w:ascii="Times New Roman" w:hAnsi="Times New Roman" w:eastAsia="宋体"/>
          <w:bCs/>
          <w:color w:val="000000" w:themeColor="text1"/>
          <w:highlight w:val="none"/>
        </w:rPr>
        <w:t xml:space="preserve">被授权人身份证复印件</w:t>
      </w:r>
      <w:r>
        <w:rPr>
          <w:color w:val="000000" w:themeColor="text1"/>
        </w:rPr>
      </w:r>
      <w:r/>
    </w:p>
    <w:p>
      <w:pPr>
        <w:ind w:firstLine="420"/>
        <w:pageBreakBefore w:val="0"/>
        <w:spacing w:line="360" w:lineRule="auto"/>
        <w:rPr>
          <w:rFonts w:ascii="Times New Roman" w:hAnsi="Times New Roman" w:eastAsia="宋体"/>
          <w:bCs/>
          <w:color w:val="000000" w:themeColor="text1"/>
          <w:highlight w:val="none"/>
        </w:rPr>
      </w:pPr>
      <w:r>
        <w:rPr>
          <w:rFonts w:ascii="Times New Roman" w:hAnsi="Times New Roman" w:eastAsia="宋体"/>
          <w:bCs/>
          <w:color w:val="000000" w:themeColor="text1"/>
          <w:highlight w:val="none"/>
        </w:rPr>
      </w:r>
      <w:r>
        <w:rPr>
          <w:color w:val="000000" w:themeColor="text1"/>
        </w:rPr>
      </w:r>
      <w:r/>
    </w:p>
    <w:p>
      <w:pPr>
        <w:ind w:firstLine="420"/>
        <w:pageBreakBefore w:val="0"/>
        <w:spacing w:line="360" w:lineRule="auto"/>
        <w:rPr>
          <w:rFonts w:ascii="Times New Roman" w:hAnsi="Times New Roman" w:eastAsia="宋体"/>
          <w:bCs/>
          <w:color w:val="000000" w:themeColor="text1"/>
          <w:highlight w:val="none"/>
        </w:rPr>
      </w:pPr>
      <w:r>
        <w:rPr>
          <w:rFonts w:ascii="Times New Roman" w:hAnsi="Times New Roman" w:eastAsia="宋体"/>
          <w:bCs/>
          <w:color w:val="000000" w:themeColor="text1"/>
          <w:highlight w:val="none"/>
        </w:rPr>
      </w:r>
      <w:r>
        <w:rPr>
          <w:color w:val="000000" w:themeColor="text1"/>
        </w:rPr>
      </w:r>
      <w:r/>
    </w:p>
    <w:p>
      <w:pPr>
        <w:ind w:firstLine="420"/>
        <w:pageBreakBefore w:val="0"/>
        <w:spacing w:line="360" w:lineRule="auto"/>
        <w:rPr>
          <w:rFonts w:ascii="Times New Roman" w:hAnsi="Times New Roman" w:eastAsia="宋体"/>
          <w:bCs/>
          <w:color w:val="000000" w:themeColor="text1"/>
          <w:highlight w:val="none"/>
        </w:rPr>
      </w:pPr>
      <w:r>
        <w:rPr>
          <w:rFonts w:ascii="Times New Roman" w:hAnsi="Times New Roman" w:eastAsia="宋体"/>
          <w:bCs/>
          <w:color w:val="000000" w:themeColor="text1"/>
          <w:highlight w:val="none"/>
        </w:rPr>
      </w:r>
      <w:r>
        <w:rPr>
          <w:color w:val="000000" w:themeColor="text1"/>
        </w:rPr>
      </w:r>
      <w:r/>
    </w:p>
    <w:p>
      <w:pPr>
        <w:ind w:firstLine="420"/>
        <w:pageBreakBefore w:val="0"/>
        <w:spacing w:line="360" w:lineRule="auto"/>
        <w:rPr>
          <w:rFonts w:ascii="Times New Roman" w:hAnsi="Times New Roman" w:eastAsia="宋体"/>
          <w:bCs/>
          <w:color w:val="000000" w:themeColor="text1"/>
          <w:highlight w:val="none"/>
        </w:rPr>
      </w:pPr>
      <w:r>
        <w:rPr>
          <w:rFonts w:ascii="Times New Roman" w:hAnsi="Times New Roman" w:eastAsia="宋体"/>
          <w:bCs/>
          <w:color w:val="000000" w:themeColor="text1"/>
          <w:highlight w:val="none"/>
        </w:rPr>
      </w:r>
      <w:r>
        <w:rPr>
          <w:color w:val="000000" w:themeColor="text1"/>
        </w:rPr>
      </w:r>
      <w:r/>
    </w:p>
    <w:p>
      <w:pPr>
        <w:ind w:firstLine="420"/>
        <w:pageBreakBefore w:val="0"/>
        <w:spacing w:line="360" w:lineRule="auto"/>
        <w:rPr>
          <w:rFonts w:ascii="Times New Roman" w:hAnsi="Times New Roman" w:eastAsia="宋体"/>
          <w:color w:val="000000" w:themeColor="text1"/>
          <w:highlight w:val="none"/>
        </w:rPr>
      </w:pPr>
      <w:r>
        <w:rPr>
          <w:rFonts w:hint="eastAsia" w:ascii="Times New Roman" w:hAnsi="Times New Roman" w:eastAsia="宋体"/>
          <w:color w:val="000000" w:themeColor="text1"/>
          <w:highlight w:val="none"/>
        </w:rPr>
        <w:t xml:space="preserve">法定代表人身份证复印件</w:t>
      </w:r>
      <w:r>
        <w:rPr>
          <w:color w:val="000000" w:themeColor="text1"/>
        </w:rPr>
      </w:r>
      <w:r/>
    </w:p>
    <w:p>
      <w:pPr>
        <w:ind w:firstLine="42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r/>
    </w:p>
    <w:p>
      <w:pPr>
        <w:ind w:firstLine="42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r/>
    </w:p>
    <w:p>
      <w:pPr>
        <w:ind w:firstLine="42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r/>
    </w:p>
    <w:p>
      <w:pPr>
        <w:ind w:firstLine="42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r/>
    </w:p>
    <w:p>
      <w:pPr>
        <w:ind w:firstLine="42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r/>
    </w:p>
    <w:p>
      <w:pPr>
        <w:ind w:firstLine="42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r/>
    </w:p>
    <w:p>
      <w:pPr>
        <w:ind w:firstLine="42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r/>
    </w:p>
    <w:p>
      <w:pPr>
        <w:ind w:firstLine="42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r/>
    </w:p>
    <w:p>
      <w:pPr>
        <w:ind w:firstLine="42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r/>
    </w:p>
    <w:p>
      <w:pPr>
        <w:ind w:firstLine="42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r/>
    </w:p>
    <w:p>
      <w:pPr>
        <w:ind w:firstLine="420"/>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r/>
    </w:p>
    <w:p>
      <w:pPr>
        <w:pStyle w:val="887"/>
        <w:pageBreakBefore w:val="0"/>
        <w:spacing w:before="0" w:after="0" w:line="360" w:lineRule="auto"/>
        <w:rPr>
          <w:rFonts w:ascii="Times New Roman" w:hAnsi="Times New Roman" w:eastAsia="宋体"/>
          <w:color w:val="000000" w:themeColor="text1"/>
          <w:sz w:val="32"/>
          <w:highlight w:val="none"/>
        </w:rPr>
      </w:pPr>
      <w:r>
        <w:rPr>
          <w:color w:val="000000" w:themeColor="text1"/>
        </w:rPr>
      </w:r>
      <w:bookmarkStart w:id="70" w:name="_Toc20616"/>
      <w:r>
        <w:rPr>
          <w:color w:val="000000" w:themeColor="text1"/>
        </w:rPr>
      </w:r>
      <w:bookmarkStart w:id="71" w:name="_Toc10588"/>
      <w:r>
        <w:rPr>
          <w:color w:val="000000" w:themeColor="text1"/>
        </w:rPr>
      </w:r>
      <w:bookmarkStart w:id="72" w:name="_Toc21298"/>
      <w:r>
        <w:rPr>
          <w:color w:val="000000" w:themeColor="text1"/>
        </w:rPr>
      </w:r>
      <w:bookmarkStart w:id="73" w:name="_Toc29496"/>
      <w:r>
        <w:rPr>
          <w:color w:val="000000" w:themeColor="text1"/>
        </w:rPr>
      </w:r>
      <w:bookmarkStart w:id="74" w:name="_Toc20212"/>
      <w:r>
        <w:rPr>
          <w:rFonts w:hint="eastAsia" w:ascii="Times New Roman" w:hAnsi="Times New Roman" w:eastAsia="宋体"/>
          <w:color w:val="000000" w:themeColor="text1"/>
          <w:sz w:val="32"/>
          <w:highlight w:val="none"/>
        </w:rPr>
        <w:t xml:space="preserve">二、符合性审查响应对照表</w:t>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r/>
    </w:p>
    <w:p>
      <w:pPr>
        <w:pageBreakBefore w:val="0"/>
        <w:spacing w:line="360" w:lineRule="auto"/>
        <w:rPr>
          <w:rFonts w:ascii="Times New Roman" w:hAnsi="Times New Roman" w:eastAsia="宋体"/>
          <w:b/>
          <w:color w:val="000000" w:themeColor="text1"/>
          <w:sz w:val="32"/>
          <w:szCs w:val="32"/>
          <w:highlight w:val="none"/>
        </w:rPr>
      </w:pPr>
      <w:r>
        <w:rPr>
          <w:rFonts w:ascii="Times New Roman" w:hAnsi="Times New Roman" w:eastAsia="宋体"/>
          <w:b/>
          <w:color w:val="000000" w:themeColor="text1"/>
          <w:sz w:val="32"/>
          <w:szCs w:val="32"/>
          <w:highlight w:val="none"/>
        </w:rPr>
      </w:r>
      <w:r>
        <w:rPr>
          <w:color w:val="000000" w:themeColor="text1"/>
        </w:rPr>
      </w:r>
      <w:r/>
    </w:p>
    <w:tbl>
      <w:tblPr>
        <w:tblStyle w:val="890"/>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序号</w:t>
            </w:r>
            <w:r>
              <w:rPr>
                <w:color w:val="000000" w:themeColor="text1"/>
              </w:rPr>
            </w:r>
            <w:r/>
          </w:p>
        </w:tc>
        <w:tc>
          <w:tcPr>
            <w:tcW w:w="5447"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符合性审查响应内容</w:t>
            </w:r>
            <w:r>
              <w:rPr>
                <w:color w:val="000000" w:themeColor="text1"/>
              </w:rPr>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是否响应</w:t>
            </w:r>
            <w:r>
              <w:rPr>
                <w:color w:val="000000" w:themeColor="text1"/>
              </w:rPr>
            </w:r>
            <w:r/>
          </w:p>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（填是或者否）</w:t>
            </w:r>
            <w:r>
              <w:rPr>
                <w:color w:val="000000" w:themeColor="text1"/>
              </w:rPr>
            </w:r>
            <w:r/>
          </w:p>
        </w:tc>
        <w:tc>
          <w:tcPr>
            <w:tcW w:w="1308"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响应情况</w:t>
            </w:r>
            <w:r>
              <w:rPr>
                <w:color w:val="000000" w:themeColor="text1"/>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Cs/>
                <w:color w:val="000000" w:themeColor="text1"/>
                <w:szCs w:val="21"/>
                <w:highlight w:val="none"/>
              </w:rPr>
            </w:pPr>
            <w:r>
              <w:rPr>
                <w:rFonts w:hint="eastAsia" w:ascii="Times New Roman" w:hAnsi="Times New Roman" w:eastAsia="宋体"/>
                <w:bCs/>
                <w:color w:val="000000" w:themeColor="text1"/>
                <w:szCs w:val="21"/>
                <w:highlight w:val="none"/>
              </w:rPr>
              <w:t xml:space="preserve">1</w:t>
            </w:r>
            <w:r>
              <w:rPr>
                <w:color w:val="000000" w:themeColor="text1"/>
              </w:rPr>
            </w:r>
            <w:r/>
          </w:p>
        </w:tc>
        <w:tc>
          <w:tcPr>
            <w:tcW w:w="5447" w:type="dxa"/>
            <w:vAlign w:val="center"/>
            <w:textDirection w:val="lrTb"/>
            <w:noWrap w:val="false"/>
          </w:tcPr>
          <w:p>
            <w:pPr>
              <w:pageBreakBefore w:val="0"/>
              <w:spacing w:line="360" w:lineRule="auto"/>
              <w:rPr>
                <w:rFonts w:ascii="Times New Roman" w:hAnsi="Times New Roman" w:eastAsia="宋体"/>
                <w:bCs/>
                <w:iCs/>
                <w:color w:val="000000" w:themeColor="text1"/>
                <w:szCs w:val="21"/>
                <w:highlight w:val="none"/>
              </w:rPr>
            </w:pPr>
            <w:r>
              <w:rPr>
                <w:rFonts w:hint="eastAsia" w:ascii="Times New Roman" w:hAnsi="Times New Roman" w:eastAsia="宋体"/>
                <w:bCs/>
                <w:iCs/>
                <w:color w:val="000000" w:themeColor="text1"/>
                <w:szCs w:val="21"/>
                <w:highlight w:val="none"/>
              </w:rPr>
              <w:t xml:space="preserve">采购需求中必须满足的实质性要求（即加斜体下划线内容，每条详细列出）</w:t>
            </w:r>
            <w:r>
              <w:rPr>
                <w:color w:val="000000" w:themeColor="text1"/>
              </w:rPr>
            </w:r>
            <w:r/>
          </w:p>
        </w:tc>
        <w:tc>
          <w:tcPr>
            <w:tcW w:w="1680"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rPr>
            </w:pPr>
            <w:r>
              <w:rPr>
                <w:rFonts w:ascii="Times New Roman" w:hAnsi="Times New Roman" w:eastAsia="宋体"/>
                <w:b/>
                <w:color w:val="000000" w:themeColor="text1"/>
                <w:szCs w:val="21"/>
                <w:highlight w:val="none"/>
              </w:rPr>
            </w:r>
            <w:r>
              <w:rPr>
                <w:color w:val="000000" w:themeColor="text1"/>
              </w:rPr>
            </w:r>
            <w:r/>
          </w:p>
        </w:tc>
        <w:tc>
          <w:tcPr>
            <w:tcW w:w="1308"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rPr>
            </w:pPr>
            <w:r>
              <w:rPr>
                <w:rFonts w:ascii="Times New Roman" w:hAnsi="Times New Roman" w:eastAsia="宋体"/>
                <w:b/>
                <w:color w:val="000000" w:themeColor="text1"/>
                <w:szCs w:val="21"/>
                <w:highlight w:val="none"/>
              </w:rPr>
            </w:r>
            <w:r>
              <w:rPr>
                <w:color w:val="000000" w:themeColor="text1"/>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2</w:t>
            </w:r>
            <w:r>
              <w:rPr>
                <w:color w:val="000000" w:themeColor="text1"/>
              </w:rPr>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ascii="Times New Roman" w:hAnsi="Times New Roman" w:eastAsia="宋体"/>
                <w:iCs/>
                <w:color w:val="000000" w:themeColor="text1"/>
                <w:szCs w:val="21"/>
                <w:highlight w:val="none"/>
              </w:rPr>
            </w:r>
            <w:r>
              <w:rPr>
                <w:color w:val="000000" w:themeColor="text1"/>
              </w:rPr>
            </w: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3</w:t>
            </w:r>
            <w:r>
              <w:rPr>
                <w:color w:val="000000" w:themeColor="text1"/>
              </w:rPr>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ascii="Times New Roman" w:hAnsi="Times New Roman" w:eastAsia="宋体"/>
                <w:iCs/>
                <w:color w:val="000000" w:themeColor="text1"/>
                <w:szCs w:val="21"/>
                <w:highlight w:val="none"/>
              </w:rPr>
            </w:r>
            <w:r>
              <w:rPr>
                <w:color w:val="000000" w:themeColor="text1"/>
              </w:rPr>
            </w: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4</w:t>
            </w:r>
            <w:r>
              <w:rPr>
                <w:color w:val="000000" w:themeColor="text1"/>
              </w:rPr>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ascii="Times New Roman" w:hAnsi="Times New Roman" w:eastAsia="宋体"/>
                <w:iCs/>
                <w:color w:val="000000" w:themeColor="text1"/>
                <w:szCs w:val="21"/>
                <w:highlight w:val="none"/>
              </w:rPr>
            </w:r>
            <w:r>
              <w:rPr>
                <w:color w:val="000000" w:themeColor="text1"/>
              </w:rPr>
            </w: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5</w:t>
            </w:r>
            <w:r>
              <w:rPr>
                <w:color w:val="000000" w:themeColor="text1"/>
              </w:rPr>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ascii="Times New Roman" w:hAnsi="Times New Roman" w:eastAsia="宋体"/>
                <w:iCs/>
                <w:color w:val="000000" w:themeColor="text1"/>
                <w:szCs w:val="21"/>
                <w:highlight w:val="none"/>
              </w:rPr>
              <w:t xml:space="preserve">……</w:t>
            </w:r>
            <w:r>
              <w:rPr>
                <w:color w:val="000000" w:themeColor="text1"/>
              </w:rPr>
            </w: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bl>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r/>
    </w:p>
    <w:p>
      <w:pPr>
        <w:pStyle w:val="887"/>
        <w:pageBreakBefore w:val="0"/>
        <w:spacing w:before="0" w:after="0" w:line="360" w:lineRule="auto"/>
        <w:rPr>
          <w:rFonts w:ascii="Times New Roman" w:hAnsi="Times New Roman" w:eastAsia="宋体"/>
          <w:color w:val="000000" w:themeColor="text1"/>
          <w:sz w:val="32"/>
          <w:highlight w:val="none"/>
        </w:rPr>
      </w:pPr>
      <w:r>
        <w:rPr>
          <w:color w:val="000000" w:themeColor="text1"/>
        </w:rPr>
      </w:r>
      <w:bookmarkStart w:id="75" w:name="_Toc3706"/>
      <w:r>
        <w:rPr>
          <w:color w:val="000000" w:themeColor="text1"/>
        </w:rPr>
      </w:r>
      <w:bookmarkStart w:id="76" w:name="_Toc23700"/>
      <w:r>
        <w:rPr>
          <w:color w:val="000000" w:themeColor="text1"/>
        </w:rPr>
      </w:r>
      <w:bookmarkStart w:id="77" w:name="_Toc13123"/>
      <w:r>
        <w:rPr>
          <w:color w:val="000000" w:themeColor="text1"/>
        </w:rPr>
      </w:r>
      <w:bookmarkStart w:id="78" w:name="_Toc23420"/>
      <w:r>
        <w:rPr>
          <w:color w:val="000000" w:themeColor="text1"/>
        </w:rPr>
      </w:r>
      <w:bookmarkStart w:id="79" w:name="_Toc13365"/>
      <w:r>
        <w:rPr>
          <w:rFonts w:hint="eastAsia" w:ascii="Times New Roman" w:hAnsi="Times New Roman" w:eastAsia="宋体"/>
          <w:color w:val="000000" w:themeColor="text1"/>
          <w:sz w:val="32"/>
          <w:highlight w:val="none"/>
        </w:rPr>
        <w:t xml:space="preserve">三、非实质性响应对照表</w:t>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r/>
    </w:p>
    <w:p>
      <w:pPr>
        <w:pageBreakBefore w:val="0"/>
        <w:spacing w:line="360" w:lineRule="auto"/>
        <w:rPr>
          <w:rFonts w:ascii="Times New Roman" w:hAnsi="Times New Roman" w:eastAsia="宋体"/>
          <w:b/>
          <w:color w:val="000000" w:themeColor="text1"/>
          <w:sz w:val="32"/>
          <w:szCs w:val="32"/>
          <w:highlight w:val="none"/>
        </w:rPr>
      </w:pPr>
      <w:r>
        <w:rPr>
          <w:rFonts w:ascii="Times New Roman" w:hAnsi="Times New Roman" w:eastAsia="宋体"/>
          <w:b/>
          <w:color w:val="000000" w:themeColor="text1"/>
          <w:sz w:val="32"/>
          <w:szCs w:val="32"/>
          <w:highlight w:val="none"/>
        </w:rPr>
      </w:r>
      <w:r>
        <w:rPr>
          <w:color w:val="000000" w:themeColor="text1"/>
        </w:rPr>
      </w:r>
      <w:r/>
    </w:p>
    <w:tbl>
      <w:tblPr>
        <w:tblStyle w:val="890"/>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序号</w:t>
            </w:r>
            <w:r>
              <w:rPr>
                <w:color w:val="000000" w:themeColor="text1"/>
              </w:rPr>
            </w:r>
            <w:r/>
          </w:p>
        </w:tc>
        <w:tc>
          <w:tcPr>
            <w:tcW w:w="5447"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非实质性响应内容</w:t>
            </w:r>
            <w:r>
              <w:rPr>
                <w:color w:val="000000" w:themeColor="text1"/>
              </w:rPr>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是否响应</w:t>
            </w:r>
            <w:r>
              <w:rPr>
                <w:color w:val="000000" w:themeColor="text1"/>
              </w:rPr>
            </w:r>
            <w:r/>
          </w:p>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（填是或者否）</w:t>
            </w:r>
            <w:r>
              <w:rPr>
                <w:color w:val="000000" w:themeColor="text1"/>
              </w:rPr>
            </w:r>
            <w:r/>
          </w:p>
        </w:tc>
        <w:tc>
          <w:tcPr>
            <w:tcW w:w="1308" w:type="dxa"/>
            <w:vAlign w:val="center"/>
            <w:textDirection w:val="lrTb"/>
            <w:noWrap w:val="false"/>
          </w:tcPr>
          <w:p>
            <w:pPr>
              <w:jc w:val="center"/>
              <w:pageBreakBefore w:val="0"/>
              <w:spacing w:line="360" w:lineRule="auto"/>
              <w:rPr>
                <w:rFonts w:ascii="Times New Roman" w:hAnsi="Times New Roman" w:eastAsia="宋体" w:cs="宋体"/>
                <w:b/>
                <w:color w:val="000000" w:themeColor="text1"/>
                <w:szCs w:val="21"/>
                <w:highlight w:val="none"/>
              </w:rPr>
            </w:pPr>
            <w:r>
              <w:rPr>
                <w:rFonts w:hint="eastAsia" w:ascii="Times New Roman" w:hAnsi="Times New Roman" w:eastAsia="宋体" w:cs="宋体"/>
                <w:b/>
                <w:color w:val="000000" w:themeColor="text1"/>
                <w:szCs w:val="21"/>
                <w:highlight w:val="none"/>
              </w:rPr>
              <w:t xml:space="preserve">响应情况</w:t>
            </w:r>
            <w:r>
              <w:rPr>
                <w:color w:val="000000" w:themeColor="text1"/>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
                <w:color w:val="000000" w:themeColor="text1"/>
                <w:szCs w:val="21"/>
                <w:highlight w:val="none"/>
              </w:rPr>
            </w:pPr>
            <w:r>
              <w:rPr>
                <w:rFonts w:hint="eastAsia" w:ascii="Times New Roman" w:hAnsi="Times New Roman" w:eastAsia="宋体"/>
                <w:color w:val="000000" w:themeColor="text1"/>
                <w:szCs w:val="21"/>
                <w:highlight w:val="none"/>
              </w:rPr>
              <w:t xml:space="preserve">1</w:t>
            </w:r>
            <w:r>
              <w:rPr>
                <w:color w:val="000000" w:themeColor="text1"/>
              </w:rPr>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hint="eastAsia" w:ascii="Times New Roman" w:hAnsi="Times New Roman" w:eastAsia="宋体"/>
                <w:color w:val="000000" w:themeColor="text1"/>
                <w:szCs w:val="21"/>
                <w:highlight w:val="none"/>
              </w:rPr>
              <w:t xml:space="preserve">《残疾人福利性单位声明函》</w:t>
            </w:r>
            <w:r>
              <w:rPr>
                <w:color w:val="000000" w:themeColor="text1"/>
              </w:rPr>
            </w:r>
            <w:r/>
          </w:p>
        </w:tc>
        <w:tc>
          <w:tcPr>
            <w:tcW w:w="1680"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rPr>
            </w:pPr>
            <w:r>
              <w:rPr>
                <w:rFonts w:ascii="Times New Roman" w:hAnsi="Times New Roman" w:eastAsia="宋体"/>
                <w:b/>
                <w:color w:val="000000" w:themeColor="text1"/>
                <w:szCs w:val="21"/>
                <w:highlight w:val="none"/>
              </w:rPr>
            </w:r>
            <w:r>
              <w:rPr>
                <w:color w:val="000000" w:themeColor="text1"/>
              </w:rPr>
            </w:r>
            <w:r/>
          </w:p>
        </w:tc>
        <w:tc>
          <w:tcPr>
            <w:tcW w:w="1308" w:type="dxa"/>
            <w:vAlign w:val="center"/>
            <w:textDirection w:val="lrTb"/>
            <w:noWrap w:val="false"/>
          </w:tcPr>
          <w:p>
            <w:pPr>
              <w:pageBreakBefore w:val="0"/>
              <w:spacing w:line="360" w:lineRule="auto"/>
              <w:rPr>
                <w:rFonts w:ascii="Times New Roman" w:hAnsi="Times New Roman" w:eastAsia="宋体"/>
                <w:b/>
                <w:color w:val="000000" w:themeColor="text1"/>
                <w:szCs w:val="21"/>
                <w:highlight w:val="none"/>
              </w:rPr>
            </w:pPr>
            <w:r>
              <w:rPr>
                <w:rFonts w:ascii="Times New Roman" w:hAnsi="Times New Roman" w:eastAsia="宋体"/>
                <w:b/>
                <w:color w:val="000000" w:themeColor="text1"/>
                <w:szCs w:val="21"/>
                <w:highlight w:val="none"/>
              </w:rPr>
            </w:r>
            <w:r>
              <w:rPr>
                <w:color w:val="000000" w:themeColor="text1"/>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2</w:t>
            </w:r>
            <w:r>
              <w:rPr>
                <w:color w:val="000000" w:themeColor="text1"/>
              </w:rPr>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ascii="Times New Roman" w:hAnsi="Times New Roman" w:eastAsia="宋体"/>
                <w:iCs/>
                <w:color w:val="000000" w:themeColor="text1"/>
                <w:szCs w:val="21"/>
                <w:highlight w:val="none"/>
              </w:rPr>
              <w:t xml:space="preserve">……</w:t>
            </w:r>
            <w:r>
              <w:rPr>
                <w:color w:val="000000" w:themeColor="text1"/>
              </w:rPr>
            </w: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3</w:t>
            </w:r>
            <w:r>
              <w:rPr>
                <w:color w:val="000000" w:themeColor="text1"/>
              </w:rPr>
            </w:r>
            <w:r/>
          </w:p>
        </w:tc>
        <w:tc>
          <w:tcPr>
            <w:tcW w:w="5447" w:type="dxa"/>
            <w:vAlign w:val="center"/>
            <w:textDirection w:val="lrTb"/>
            <w:noWrap w:val="false"/>
          </w:tcPr>
          <w:p>
            <w:pPr>
              <w:pageBreakBefore w:val="0"/>
              <w:spacing w:line="360" w:lineRule="auto"/>
              <w:rPr>
                <w:rFonts w:ascii="Times New Roman" w:hAnsi="Times New Roman" w:eastAsia="宋体"/>
                <w:iCs/>
                <w:color w:val="000000" w:themeColor="text1"/>
                <w:szCs w:val="21"/>
                <w:highlight w:val="none"/>
              </w:rPr>
            </w:pPr>
            <w:r>
              <w:rPr>
                <w:rFonts w:ascii="Times New Roman" w:hAnsi="Times New Roman" w:eastAsia="宋体"/>
                <w:iCs/>
                <w:color w:val="000000" w:themeColor="text1"/>
                <w:szCs w:val="21"/>
                <w:highlight w:val="none"/>
              </w:rPr>
            </w:r>
            <w:r>
              <w:rPr>
                <w:color w:val="000000" w:themeColor="text1"/>
              </w:rPr>
            </w:r>
            <w:r/>
          </w:p>
        </w:tc>
        <w:tc>
          <w:tcPr>
            <w:tcW w:w="1680"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308" w:type="dxa"/>
            <w:vAlign w:val="center"/>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bl>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r/>
    </w:p>
    <w:p>
      <w:pPr>
        <w:contextualSpacing/>
        <w:jc w:val="center"/>
        <w:pageBreakBefore w:val="0"/>
        <w:spacing w:line="360" w:lineRule="auto"/>
        <w:rPr>
          <w:rFonts w:ascii="Times New Roman" w:hAnsi="Times New Roman" w:eastAsia="宋体"/>
          <w:b/>
          <w:bCs/>
          <w:color w:val="000000" w:themeColor="text1"/>
          <w:sz w:val="32"/>
          <w:szCs w:val="32"/>
          <w:highlight w:val="none"/>
        </w:rPr>
      </w:pPr>
      <w:r>
        <w:rPr>
          <w:rFonts w:ascii="Times New Roman" w:hAnsi="Times New Roman" w:eastAsia="宋体"/>
          <w:b/>
          <w:bCs/>
          <w:color w:val="000000" w:themeColor="text1"/>
          <w:sz w:val="32"/>
          <w:szCs w:val="32"/>
          <w:highlight w:val="none"/>
        </w:rPr>
      </w:r>
      <w:r>
        <w:rPr>
          <w:color w:val="000000" w:themeColor="text1"/>
        </w:rPr>
      </w:r>
      <w:r/>
    </w:p>
    <w:p>
      <w:pPr>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r/>
    </w:p>
    <w:p>
      <w:pPr>
        <w:jc w:val="center"/>
        <w:pageBreakBefore w:val="0"/>
        <w:spacing w:line="360" w:lineRule="auto"/>
        <w:rPr>
          <w:rFonts w:ascii="Times New Roman" w:hAnsi="Times New Roman" w:eastAsia="宋体"/>
          <w:b/>
          <w:bCs/>
          <w:color w:val="000000" w:themeColor="text1"/>
          <w:highlight w:val="none"/>
        </w:rPr>
      </w:pPr>
      <w:r>
        <w:rPr>
          <w:rFonts w:hint="eastAsia" w:ascii="Times New Roman" w:hAnsi="Times New Roman" w:eastAsia="宋体"/>
          <w:b/>
          <w:bCs/>
          <w:color w:val="000000" w:themeColor="text1"/>
          <w:highlight w:val="none"/>
        </w:rPr>
        <w:t xml:space="preserve">中小企业声明函（服务）</w:t>
      </w:r>
      <w:r>
        <w:rPr>
          <w:color w:val="000000" w:themeColor="text1"/>
        </w:rPr>
      </w:r>
      <w:r/>
    </w:p>
    <w:p>
      <w:pPr>
        <w:ind w:firstLine="420"/>
        <w:jc w:val="left"/>
        <w:pageBreakBefore w:val="0"/>
        <w:spacing w:line="360" w:lineRule="auto"/>
        <w:rPr>
          <w:rFonts w:ascii="Times New Roman" w:hAnsi="Times New Roman" w:eastAsia="宋体"/>
          <w:color w:val="000000" w:themeColor="text1"/>
          <w:highlight w:val="none"/>
        </w:rPr>
      </w:pPr>
      <w:r>
        <w:rPr>
          <w:rFonts w:hint="eastAsia" w:ascii="Times New Roman" w:hAnsi="Times New Roman" w:eastAsia="宋体"/>
          <w:color w:val="000000" w:themeColor="text1"/>
          <w:highlight w:val="none"/>
        </w:rPr>
        <w:t xml:space="preserve">本公司（联合体）郑重声明，根据《政府采购促进中小企业发展管理办法》（财库﹝2020﹞46 号）的规定，本公司（联合体）参加</w:t>
      </w:r>
      <w:r>
        <w:rPr>
          <w:rFonts w:hint="eastAsia" w:ascii="Times New Roman" w:hAnsi="Times New Roman" w:eastAsia="宋体"/>
          <w:color w:val="000000" w:themeColor="text1"/>
          <w:highlight w:val="none"/>
          <w:u w:val="single"/>
        </w:rPr>
        <w:t xml:space="preserve">（单位名称）</w:t>
      </w:r>
      <w:r>
        <w:rPr>
          <w:rFonts w:hint="eastAsia" w:ascii="Times New Roman" w:hAnsi="Times New Roman" w:eastAsia="宋体"/>
          <w:color w:val="000000" w:themeColor="text1"/>
          <w:highlight w:val="none"/>
        </w:rPr>
        <w:t xml:space="preserve">的</w:t>
      </w:r>
      <w:r>
        <w:rPr>
          <w:rFonts w:hint="eastAsia" w:ascii="Times New Roman" w:hAnsi="Times New Roman" w:eastAsia="宋体"/>
          <w:color w:val="000000" w:themeColor="text1"/>
          <w:highlight w:val="none"/>
          <w:u w:val="single"/>
        </w:rPr>
        <w:t xml:space="preserve">（项目名称）</w:t>
      </w:r>
      <w:r>
        <w:rPr>
          <w:rFonts w:hint="eastAsia" w:ascii="Times New Roman" w:hAnsi="Times New Roman" w:eastAsia="宋体"/>
          <w:color w:val="000000" w:themeColor="text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r/>
    </w:p>
    <w:p>
      <w:pPr>
        <w:ind w:firstLine="420"/>
        <w:jc w:val="left"/>
        <w:pageBreakBefore w:val="0"/>
        <w:spacing w:line="360" w:lineRule="auto"/>
        <w:rPr>
          <w:rFonts w:ascii="Times New Roman" w:hAnsi="Times New Roman" w:eastAsia="宋体"/>
          <w:color w:val="000000" w:themeColor="text1"/>
          <w:highlight w:val="none"/>
          <w:u w:val="single"/>
        </w:rPr>
      </w:pPr>
      <w:r>
        <w:rPr>
          <w:rFonts w:hint="eastAsia" w:ascii="Times New Roman" w:hAnsi="Times New Roman" w:eastAsia="宋体"/>
          <w:color w:val="000000" w:themeColor="text1"/>
          <w:highlight w:val="none"/>
        </w:rPr>
        <w:t xml:space="preserve">1. </w:t>
      </w:r>
      <w:r>
        <w:rPr>
          <w:rFonts w:hint="eastAsia" w:ascii="Times New Roman" w:hAnsi="Times New Roman" w:eastAsia="宋体"/>
          <w:color w:val="000000" w:themeColor="text1"/>
          <w:highlight w:val="none"/>
          <w:u w:val="single"/>
        </w:rPr>
        <w:t xml:space="preserve">（标的名称） </w:t>
      </w:r>
      <w:r>
        <w:rPr>
          <w:rFonts w:hint="eastAsia" w:ascii="Times New Roman" w:hAnsi="Times New Roman" w:eastAsia="宋体"/>
          <w:color w:val="000000" w:themeColor="text1"/>
          <w:highlight w:val="none"/>
        </w:rPr>
        <w:t xml:space="preserve">，属于</w:t>
      </w:r>
      <w:r>
        <w:rPr>
          <w:rFonts w:hint="eastAsia" w:ascii="Times New Roman" w:hAnsi="Times New Roman" w:eastAsia="宋体"/>
          <w:b/>
          <w:bCs/>
          <w:color w:val="000000" w:themeColor="text1"/>
          <w:highlight w:val="none"/>
          <w:u w:val="single"/>
        </w:rPr>
        <w:t xml:space="preserve">（</w:t>
      </w:r>
      <w:r>
        <w:rPr>
          <w:rFonts w:hint="eastAsia" w:ascii="Times New Roman" w:hAnsi="Times New Roman" w:eastAsia="宋体"/>
          <w:b/>
          <w:bCs/>
          <w:color w:val="000000" w:themeColor="text1"/>
          <w:highlight w:val="none"/>
          <w:u w:val="single"/>
          <w:lang w:val="en-US" w:eastAsia="zh-CN"/>
        </w:rPr>
        <w:t xml:space="preserve">其他未列明行业</w:t>
      </w:r>
      <w:r>
        <w:rPr>
          <w:rFonts w:hint="eastAsia" w:ascii="Times New Roman" w:hAnsi="Times New Roman" w:eastAsia="宋体"/>
          <w:b/>
          <w:bCs/>
          <w:color w:val="000000" w:themeColor="text1"/>
          <w:highlight w:val="none"/>
          <w:u w:val="single"/>
        </w:rPr>
        <w:t xml:space="preserve">）（不得对行业类别修改）</w:t>
      </w:r>
      <w:r>
        <w:rPr>
          <w:rFonts w:hint="eastAsia" w:ascii="Times New Roman" w:hAnsi="Times New Roman" w:eastAsia="宋体"/>
          <w:color w:val="000000" w:themeColor="text1"/>
          <w:highlight w:val="none"/>
        </w:rPr>
        <w:t xml:space="preserve">；承建（承接）企业为</w:t>
      </w:r>
      <w:r>
        <w:rPr>
          <w:rFonts w:hint="eastAsia" w:ascii="Times New Roman" w:hAnsi="Times New Roman" w:eastAsia="宋体"/>
          <w:color w:val="000000" w:themeColor="text1"/>
          <w:highlight w:val="none"/>
          <w:u w:val="single"/>
        </w:rPr>
        <w:t xml:space="preserve">（企业名称）</w:t>
      </w:r>
      <w:r>
        <w:rPr>
          <w:rFonts w:hint="eastAsia" w:ascii="Times New Roman" w:hAnsi="Times New Roman" w:eastAsia="宋体"/>
          <w:color w:val="000000" w:themeColor="text1"/>
          <w:highlight w:val="none"/>
        </w:rPr>
        <w:t xml:space="preserve">，从业人员</w:t>
      </w:r>
      <w:r>
        <w:rPr>
          <w:rFonts w:hint="eastAsia" w:ascii="Times New Roman" w:hAnsi="Times New Roman" w:eastAsia="宋体"/>
          <w:color w:val="000000" w:themeColor="text1"/>
          <w:highlight w:val="none"/>
          <w:u w:val="single"/>
        </w:rPr>
        <w:t xml:space="preserve">      </w:t>
      </w:r>
      <w:r>
        <w:rPr>
          <w:rFonts w:hint="eastAsia" w:ascii="Times New Roman" w:hAnsi="Times New Roman" w:eastAsia="宋体"/>
          <w:color w:val="000000" w:themeColor="text1"/>
          <w:highlight w:val="none"/>
        </w:rPr>
        <w:t xml:space="preserve">人，营业收入为</w:t>
      </w:r>
      <w:r>
        <w:rPr>
          <w:rFonts w:hint="eastAsia" w:ascii="Times New Roman" w:hAnsi="Times New Roman" w:eastAsia="宋体"/>
          <w:color w:val="000000" w:themeColor="text1"/>
          <w:highlight w:val="none"/>
          <w:u w:val="single"/>
        </w:rPr>
        <w:t xml:space="preserve">      </w:t>
      </w:r>
      <w:r>
        <w:rPr>
          <w:rFonts w:hint="eastAsia" w:ascii="Times New Roman" w:hAnsi="Times New Roman" w:eastAsia="宋体"/>
          <w:color w:val="000000" w:themeColor="text1"/>
          <w:highlight w:val="none"/>
        </w:rPr>
        <w:t xml:space="preserve">万元，资产总额为</w:t>
      </w:r>
      <w:r>
        <w:rPr>
          <w:rFonts w:hint="eastAsia" w:ascii="Times New Roman" w:hAnsi="Times New Roman" w:eastAsia="宋体"/>
          <w:color w:val="000000" w:themeColor="text1"/>
          <w:highlight w:val="none"/>
          <w:u w:val="single"/>
        </w:rPr>
        <w:t xml:space="preserve">       </w:t>
      </w:r>
      <w:r>
        <w:rPr>
          <w:rFonts w:hint="eastAsia" w:ascii="Times New Roman" w:hAnsi="Times New Roman" w:eastAsia="宋体"/>
          <w:color w:val="000000" w:themeColor="text1"/>
          <w:highlight w:val="none"/>
        </w:rPr>
        <w:t xml:space="preserve">万元</w:t>
      </w:r>
      <w:r>
        <w:rPr>
          <w:rFonts w:ascii="Times New Roman" w:hAnsi="Times New Roman" w:eastAsia="宋体"/>
          <w:color w:val="000000" w:themeColor="text1"/>
          <w:highlight w:val="none"/>
        </w:rPr>
        <w:fldChar w:fldCharType="begin"/>
      </w:r>
      <w:r>
        <w:rPr>
          <w:rFonts w:ascii="Times New Roman" w:hAnsi="Times New Roman" w:eastAsia="宋体"/>
          <w:color w:val="000000" w:themeColor="text1"/>
          <w:highlight w:val="none"/>
        </w:rPr>
        <w:instrText xml:space="preserve"> HYPERLINK \l "br1" </w:instrText>
      </w:r>
      <w:r>
        <w:rPr>
          <w:rFonts w:ascii="Times New Roman" w:hAnsi="Times New Roman" w:eastAsia="宋体"/>
          <w:color w:val="000000" w:themeColor="text1"/>
          <w:highlight w:val="none"/>
        </w:rPr>
        <w:fldChar w:fldCharType="separate"/>
      </w:r>
      <w:r>
        <w:rPr>
          <w:rFonts w:ascii="Times New Roman" w:hAnsi="Times New Roman" w:eastAsia="宋体"/>
          <w:color w:val="000000" w:themeColor="text1"/>
          <w:spacing w:val="-1"/>
          <w:highlight w:val="none"/>
          <w:vertAlign w:val="superscript"/>
        </w:rPr>
        <w:t xml:space="preserve">1</w:t>
      </w:r>
      <w:r>
        <w:rPr>
          <w:rFonts w:ascii="Times New Roman" w:hAnsi="Times New Roman" w:eastAsia="宋体"/>
          <w:color w:val="000000" w:themeColor="text1"/>
          <w:spacing w:val="-1"/>
          <w:highlight w:val="none"/>
          <w:vertAlign w:val="superscript"/>
        </w:rPr>
        <w:fldChar w:fldCharType="end"/>
      </w:r>
      <w:r>
        <w:rPr>
          <w:rFonts w:hint="eastAsia" w:ascii="Times New Roman" w:hAnsi="Times New Roman" w:eastAsia="宋体"/>
          <w:color w:val="000000" w:themeColor="text1"/>
          <w:highlight w:val="none"/>
        </w:rPr>
        <w:t xml:space="preserve">，属于</w:t>
      </w:r>
      <w:r>
        <w:rPr>
          <w:rFonts w:hint="eastAsia" w:ascii="Times New Roman" w:hAnsi="Times New Roman" w:eastAsia="宋体"/>
          <w:color w:val="000000" w:themeColor="text1"/>
          <w:highlight w:val="none"/>
          <w:u w:val="single"/>
        </w:rPr>
        <w:t xml:space="preserve">（中型企业、小型企业、微型企业）；</w:t>
      </w:r>
      <w:r>
        <w:rPr>
          <w:color w:val="000000" w:themeColor="text1"/>
        </w:rPr>
      </w:r>
      <w:r/>
    </w:p>
    <w:p>
      <w:pPr>
        <w:ind w:firstLine="420"/>
        <w:jc w:val="left"/>
        <w:pageBreakBefore w:val="0"/>
        <w:spacing w:line="360" w:lineRule="auto"/>
        <w:rPr>
          <w:rFonts w:ascii="Times New Roman" w:hAnsi="Times New Roman" w:eastAsia="宋体"/>
          <w:color w:val="000000" w:themeColor="text1"/>
          <w:highlight w:val="none"/>
          <w:u w:val="single"/>
        </w:rPr>
      </w:pPr>
      <w:r>
        <w:rPr>
          <w:rFonts w:hint="eastAsia" w:ascii="Times New Roman" w:hAnsi="Times New Roman" w:eastAsia="宋体"/>
          <w:color w:val="000000" w:themeColor="text1"/>
          <w:highlight w:val="none"/>
        </w:rPr>
        <w:t xml:space="preserve">2. </w:t>
      </w:r>
      <w:r>
        <w:rPr>
          <w:rFonts w:hint="eastAsia" w:ascii="Times New Roman" w:hAnsi="Times New Roman" w:eastAsia="宋体"/>
          <w:color w:val="000000" w:themeColor="text1"/>
          <w:highlight w:val="none"/>
          <w:u w:val="single"/>
        </w:rPr>
        <w:t xml:space="preserve">（标的名称）</w:t>
      </w:r>
      <w:r>
        <w:rPr>
          <w:rFonts w:hint="eastAsia" w:ascii="Times New Roman" w:hAnsi="Times New Roman" w:eastAsia="宋体"/>
          <w:color w:val="000000" w:themeColor="text1"/>
          <w:highlight w:val="none"/>
        </w:rPr>
        <w:t xml:space="preserve"> ，属于</w:t>
      </w:r>
      <w:r>
        <w:rPr>
          <w:rFonts w:hint="eastAsia" w:ascii="Times New Roman" w:hAnsi="Times New Roman" w:eastAsia="宋体"/>
          <w:b/>
          <w:bCs/>
          <w:color w:val="000000" w:themeColor="text1"/>
          <w:highlight w:val="none"/>
          <w:u w:val="single"/>
        </w:rPr>
        <w:t xml:space="preserve">（其他未列明行业）（不得对行业类别修改）</w:t>
      </w:r>
      <w:r>
        <w:rPr>
          <w:rFonts w:hint="eastAsia" w:ascii="Times New Roman" w:hAnsi="Times New Roman" w:eastAsia="宋体"/>
          <w:color w:val="000000" w:themeColor="text1"/>
          <w:highlight w:val="none"/>
        </w:rPr>
        <w:t xml:space="preserve">；承建（承接）企业为</w:t>
      </w:r>
      <w:r>
        <w:rPr>
          <w:rFonts w:hint="eastAsia" w:ascii="Times New Roman" w:hAnsi="Times New Roman" w:eastAsia="宋体"/>
          <w:color w:val="000000" w:themeColor="text1"/>
          <w:highlight w:val="none"/>
          <w:u w:val="single"/>
        </w:rPr>
        <w:t xml:space="preserve">（企业名称）</w:t>
      </w:r>
      <w:r>
        <w:rPr>
          <w:rFonts w:hint="eastAsia" w:ascii="Times New Roman" w:hAnsi="Times New Roman" w:eastAsia="宋体"/>
          <w:color w:val="000000" w:themeColor="text1"/>
          <w:highlight w:val="none"/>
        </w:rPr>
        <w:t xml:space="preserve">，从业人员</w:t>
      </w:r>
      <w:r>
        <w:rPr>
          <w:rFonts w:hint="eastAsia" w:ascii="Times New Roman" w:hAnsi="Times New Roman" w:eastAsia="宋体"/>
          <w:color w:val="000000" w:themeColor="text1"/>
          <w:highlight w:val="none"/>
          <w:u w:val="single"/>
        </w:rPr>
        <w:t xml:space="preserve">      </w:t>
      </w:r>
      <w:r>
        <w:rPr>
          <w:rFonts w:hint="eastAsia" w:ascii="Times New Roman" w:hAnsi="Times New Roman" w:eastAsia="宋体"/>
          <w:color w:val="000000" w:themeColor="text1"/>
          <w:highlight w:val="none"/>
        </w:rPr>
        <w:t xml:space="preserve">人，营业收入为</w:t>
      </w:r>
      <w:r>
        <w:rPr>
          <w:rFonts w:hint="eastAsia" w:ascii="Times New Roman" w:hAnsi="Times New Roman" w:eastAsia="宋体"/>
          <w:color w:val="000000" w:themeColor="text1"/>
          <w:highlight w:val="none"/>
          <w:u w:val="single"/>
        </w:rPr>
        <w:t xml:space="preserve">      </w:t>
      </w:r>
      <w:r>
        <w:rPr>
          <w:rFonts w:hint="eastAsia" w:ascii="Times New Roman" w:hAnsi="Times New Roman" w:eastAsia="宋体"/>
          <w:color w:val="000000" w:themeColor="text1"/>
          <w:highlight w:val="none"/>
        </w:rPr>
        <w:t xml:space="preserve">万元，资产总额为</w:t>
      </w:r>
      <w:r>
        <w:rPr>
          <w:rFonts w:hint="eastAsia" w:ascii="Times New Roman" w:hAnsi="Times New Roman" w:eastAsia="宋体"/>
          <w:color w:val="000000" w:themeColor="text1"/>
          <w:highlight w:val="none"/>
          <w:u w:val="single"/>
        </w:rPr>
        <w:t xml:space="preserve">       </w:t>
      </w:r>
      <w:r>
        <w:rPr>
          <w:rFonts w:hint="eastAsia" w:ascii="Times New Roman" w:hAnsi="Times New Roman" w:eastAsia="宋体"/>
          <w:color w:val="000000" w:themeColor="text1"/>
          <w:highlight w:val="none"/>
        </w:rPr>
        <w:t xml:space="preserve">万元，属于</w:t>
      </w:r>
      <w:r>
        <w:rPr>
          <w:rFonts w:hint="eastAsia" w:ascii="Times New Roman" w:hAnsi="Times New Roman" w:eastAsia="宋体"/>
          <w:color w:val="000000" w:themeColor="text1"/>
          <w:highlight w:val="none"/>
          <w:u w:val="single"/>
        </w:rPr>
        <w:t xml:space="preserve">（中型企业、小型企业、微型企业）；</w:t>
      </w:r>
      <w:r>
        <w:rPr>
          <w:color w:val="000000" w:themeColor="text1"/>
        </w:rPr>
      </w:r>
      <w:r/>
    </w:p>
    <w:p>
      <w:pPr>
        <w:ind w:firstLine="420"/>
        <w:jc w:val="left"/>
        <w:pageBreakBefore w:val="0"/>
        <w:spacing w:line="360" w:lineRule="auto"/>
        <w:rPr>
          <w:rFonts w:ascii="Times New Roman" w:hAnsi="Times New Roman" w:eastAsia="宋体"/>
          <w:color w:val="000000" w:themeColor="text1"/>
          <w:highlight w:val="none"/>
        </w:rPr>
      </w:pPr>
      <w:r>
        <w:rPr>
          <w:rFonts w:hint="eastAsia" w:ascii="Times New Roman" w:hAnsi="Times New Roman" w:eastAsia="宋体"/>
          <w:color w:val="000000" w:themeColor="text1"/>
          <w:highlight w:val="none"/>
        </w:rPr>
        <w:t xml:space="preserve">……</w:t>
      </w:r>
      <w:r>
        <w:rPr>
          <w:color w:val="000000" w:themeColor="text1"/>
        </w:rPr>
      </w:r>
      <w:r/>
    </w:p>
    <w:p>
      <w:pPr>
        <w:ind w:firstLine="420"/>
        <w:jc w:val="left"/>
        <w:pageBreakBefore w:val="0"/>
        <w:spacing w:line="360" w:lineRule="auto"/>
        <w:rPr>
          <w:rFonts w:ascii="Times New Roman" w:hAnsi="Times New Roman" w:eastAsia="宋体"/>
          <w:color w:val="000000" w:themeColor="text1"/>
          <w:highlight w:val="none"/>
        </w:rPr>
      </w:pPr>
      <w:r>
        <w:rPr>
          <w:rFonts w:hint="eastAsia" w:ascii="Times New Roman" w:hAnsi="Times New Roman" w:eastAsia="宋体"/>
          <w:color w:val="000000" w:themeColor="text1"/>
          <w:highlight w:val="none"/>
        </w:rPr>
        <w:t xml:space="preserve">以上企业，不属于大企业的分支机构，不存在控股股东为大企业的情形，也不存在与大企业的负责人为同一人的情形。</w:t>
      </w:r>
      <w:r>
        <w:rPr>
          <w:color w:val="000000" w:themeColor="text1"/>
        </w:rPr>
      </w:r>
      <w:r/>
    </w:p>
    <w:p>
      <w:pPr>
        <w:ind w:firstLine="420"/>
        <w:jc w:val="left"/>
        <w:pageBreakBefore w:val="0"/>
        <w:spacing w:line="360" w:lineRule="auto"/>
        <w:rPr>
          <w:rFonts w:ascii="Times New Roman" w:hAnsi="Times New Roman" w:eastAsia="宋体"/>
          <w:color w:val="000000" w:themeColor="text1"/>
          <w:highlight w:val="none"/>
        </w:rPr>
      </w:pPr>
      <w:r>
        <w:rPr>
          <w:rFonts w:hint="eastAsia" w:ascii="Times New Roman" w:hAnsi="Times New Roman" w:eastAsia="宋体"/>
          <w:color w:val="000000" w:themeColor="text1"/>
          <w:highlight w:val="none"/>
        </w:rPr>
        <w:t xml:space="preserve">本企业对上述声明内容的真实性负责。如有虚假，将依法承担相应责任。</w:t>
      </w:r>
      <w:r>
        <w:rPr>
          <w:color w:val="000000" w:themeColor="text1"/>
        </w:rPr>
      </w:r>
      <w:r/>
    </w:p>
    <w:p>
      <w:pPr>
        <w:ind w:firstLine="420"/>
        <w:jc w:val="left"/>
        <w:pageBreakBefore w:val="0"/>
        <w:spacing w:line="360" w:lineRule="auto"/>
        <w:rPr>
          <w:rFonts w:ascii="Times New Roman" w:hAnsi="Times New Roman" w:eastAsia="宋体"/>
          <w:color w:val="000000" w:themeColor="text1"/>
          <w:highlight w:val="none"/>
        </w:rPr>
      </w:pPr>
      <w:r>
        <w:rPr>
          <w:rFonts w:ascii="Times New Roman" w:hAnsi="Times New Roman" w:eastAsia="宋体"/>
          <w:color w:val="000000" w:themeColor="text1"/>
          <w:highlight w:val="none"/>
        </w:rPr>
      </w:r>
      <w:r>
        <w:rPr>
          <w:color w:val="000000" w:themeColor="text1"/>
        </w:rPr>
      </w:r>
      <w:r/>
    </w:p>
    <w:p>
      <w:pPr>
        <w:pageBreakBefore w:val="0"/>
        <w:spacing w:line="360" w:lineRule="auto"/>
        <w:rPr>
          <w:rFonts w:ascii="Times New Roman" w:hAnsi="Times New Roman" w:eastAsia="宋体"/>
          <w:color w:val="000000" w:themeColor="text1"/>
          <w:highlight w:val="none"/>
        </w:rPr>
      </w:pPr>
      <w:r>
        <w:rPr>
          <w:rFonts w:hint="eastAsia" w:ascii="Times New Roman" w:hAnsi="Times New Roman" w:eastAsia="宋体"/>
          <w:color w:val="000000" w:themeColor="text1"/>
          <w:highlight w:val="none"/>
        </w:rPr>
        <w:t xml:space="preserve">注：1、从业人员（不仅指在职职工）、营业收入、资产总额填报上一年度数据，无上一年度数据的新成立企业可不填报。</w:t>
      </w:r>
      <w:r>
        <w:rPr>
          <w:color w:val="000000" w:themeColor="text1"/>
        </w:rPr>
      </w:r>
      <w:r/>
    </w:p>
    <w:p>
      <w:pPr>
        <w:ind w:firstLine="420"/>
        <w:jc w:val="left"/>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2、《中小企业声明函》不符合要求或未提供的，作如下处理：①如本项目专门面向中小企业采购，则投标（响应）文件无效；②如本项目不专门面向中小企业采购，则价格将不做相应扣除。</w:t>
      </w:r>
      <w:r>
        <w:rPr>
          <w:color w:val="000000" w:themeColor="text1"/>
        </w:rPr>
      </w:r>
      <w:r/>
    </w:p>
    <w:p>
      <w:pPr>
        <w:pageBreakBefore w:val="0"/>
        <w:spacing w:line="360" w:lineRule="auto"/>
        <w:rPr>
          <w:rFonts w:ascii="Times New Roman" w:hAnsi="Times New Roman" w:eastAsia="宋体"/>
          <w:color w:val="000000" w:themeColor="text1"/>
          <w:highlight w:val="none"/>
        </w:rPr>
      </w:pPr>
      <w:r>
        <w:rPr>
          <w:rFonts w:hint="eastAsia" w:ascii="Times New Roman" w:hAnsi="Times New Roman" w:eastAsia="宋体"/>
          <w:color w:val="000000" w:themeColor="text1"/>
          <w:highlight w:val="none"/>
        </w:rPr>
        <w:t xml:space="preserve">    3、企业声明函请完整填写，中标后将公示。</w:t>
      </w:r>
      <w:r>
        <w:rPr>
          <w:color w:val="000000" w:themeColor="text1"/>
        </w:rPr>
      </w:r>
      <w:r/>
    </w:p>
    <w:p>
      <w:pPr>
        <w:ind w:firstLine="420"/>
        <w:jc w:val="left"/>
        <w:pageBreakBefore w:val="0"/>
        <w:spacing w:line="360" w:lineRule="auto"/>
        <w:rPr>
          <w:rFonts w:ascii="Times New Roman" w:hAnsi="Times New Roman" w:eastAsia="宋体"/>
          <w:color w:val="000000" w:themeColor="text1"/>
          <w:highlight w:val="none"/>
        </w:rPr>
      </w:pPr>
      <w:r>
        <w:rPr>
          <w:rFonts w:hint="eastAsia" w:ascii="Times New Roman" w:hAnsi="Times New Roman" w:eastAsia="宋体"/>
          <w:color w:val="000000" w:themeColor="text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color w:val="000000" w:themeColor="text1"/>
        </w:rPr>
      </w:r>
      <w:r/>
    </w:p>
    <w:p>
      <w:pPr>
        <w:ind w:firstLine="420"/>
        <w:jc w:val="left"/>
        <w:pageBreakBefore w:val="0"/>
        <w:spacing w:line="360" w:lineRule="auto"/>
        <w:rPr>
          <w:rFonts w:ascii="Times New Roman" w:hAnsi="Times New Roman" w:eastAsia="宋体"/>
          <w:color w:val="000000" w:themeColor="text1"/>
          <w:highlight w:val="none"/>
        </w:rPr>
      </w:pPr>
      <w:r>
        <w:rPr>
          <w:rFonts w:hint="eastAsia" w:ascii="Times New Roman" w:hAnsi="Times New Roman" w:eastAsia="宋体"/>
          <w:color w:val="000000" w:themeColor="text1"/>
          <w:highlight w:val="none"/>
        </w:rPr>
        <w:t xml:space="preserve">5、中小企业不得属于大企业的分支机构，不得存在控股股东为大企业的情形，不得存在与大企业的负责人为同一人的情形。</w:t>
      </w:r>
      <w:r>
        <w:rPr>
          <w:color w:val="000000" w:themeColor="text1"/>
        </w:rPr>
      </w:r>
      <w:r/>
    </w:p>
    <w:p>
      <w:pPr>
        <w:ind w:firstLine="420"/>
        <w:jc w:val="left"/>
        <w:pageBreakBefore w:val="0"/>
        <w:spacing w:line="360" w:lineRule="auto"/>
        <w:rPr>
          <w:rFonts w:ascii="Times New Roman" w:hAnsi="Times New Roman" w:eastAsia="宋体"/>
          <w:color w:val="000000" w:themeColor="text1"/>
          <w:highlight w:val="none"/>
        </w:rPr>
      </w:pPr>
      <w:r>
        <w:rPr>
          <w:rFonts w:hint="eastAsia" w:ascii="Times New Roman" w:hAnsi="Times New Roman" w:eastAsia="宋体"/>
          <w:color w:val="000000" w:themeColor="text1"/>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themeColor="text1"/>
        </w:rPr>
      </w:r>
      <w:r/>
    </w:p>
    <w:p>
      <w:pPr>
        <w:ind w:firstLine="4620"/>
        <w:jc w:val="left"/>
        <w:pageBreakBefore w:val="0"/>
        <w:spacing w:line="360" w:lineRule="auto"/>
        <w:rPr>
          <w:rFonts w:ascii="Times New Roman" w:hAnsi="Times New Roman" w:eastAsia="宋体"/>
          <w:color w:val="000000" w:themeColor="text1"/>
          <w:highlight w:val="none"/>
        </w:rPr>
      </w:pPr>
      <w:r>
        <w:rPr>
          <w:rFonts w:hint="eastAsia" w:ascii="Times New Roman" w:hAnsi="Times New Roman" w:eastAsia="宋体"/>
          <w:color w:val="000000" w:themeColor="text1"/>
          <w:highlight w:val="none"/>
        </w:rPr>
        <w:t xml:space="preserve">企业名称（盖章）：</w:t>
      </w:r>
      <w:r>
        <w:rPr>
          <w:color w:val="000000" w:themeColor="text1"/>
        </w:rPr>
      </w:r>
      <w:r/>
    </w:p>
    <w:p>
      <w:pPr>
        <w:ind w:firstLine="4620"/>
        <w:jc w:val="left"/>
        <w:pageBreakBefore w:val="0"/>
        <w:spacing w:line="360" w:lineRule="auto"/>
        <w:rPr>
          <w:rFonts w:ascii="Times New Roman" w:hAnsi="Times New Roman" w:eastAsia="宋体"/>
          <w:color w:val="000000" w:themeColor="text1"/>
          <w:highlight w:val="none"/>
        </w:rPr>
      </w:pPr>
      <w:r>
        <w:rPr>
          <w:rFonts w:hint="eastAsia" w:ascii="Times New Roman" w:hAnsi="Times New Roman" w:eastAsia="宋体"/>
          <w:color w:val="000000" w:themeColor="text1"/>
          <w:highlight w:val="none"/>
        </w:rPr>
        <w:t xml:space="preserve">日 期：</w:t>
      </w:r>
      <w:r>
        <w:rPr>
          <w:color w:val="000000" w:themeColor="text1"/>
        </w:rPr>
      </w:r>
      <w:r/>
    </w:p>
    <w:p>
      <w:pPr>
        <w:jc w:val="center"/>
        <w:pageBreakBefore w:val="0"/>
        <w:spacing w:line="360" w:lineRule="auto"/>
        <w:rPr>
          <w:rStyle w:val="910"/>
          <w:rFonts w:ascii="Times New Roman" w:hAnsi="Times New Roman" w:eastAsia="宋体" w:cs="仿宋"/>
          <w:color w:val="000000" w:themeColor="text1"/>
          <w:szCs w:val="21"/>
          <w:highlight w:val="none"/>
        </w:rPr>
      </w:pPr>
      <w:r>
        <w:rPr>
          <w:rStyle w:val="910"/>
          <w:rFonts w:hint="eastAsia" w:ascii="Times New Roman" w:hAnsi="Times New Roman" w:eastAsia="宋体" w:cs="仿宋"/>
          <w:color w:val="000000" w:themeColor="text1"/>
          <w:szCs w:val="21"/>
          <w:highlight w:val="none"/>
        </w:rPr>
        <w:t xml:space="preserve">中小微企业划型标准</w:t>
      </w:r>
      <w:r>
        <w:rPr>
          <w:color w:val="000000" w:themeColor="text1"/>
        </w:rPr>
      </w:r>
      <w:r/>
    </w:p>
    <w:p>
      <w:pPr>
        <w:pStyle w:val="906"/>
        <w:ind w:firstLine="420"/>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中小微企业划型标准如下：</w:t>
      </w:r>
      <w:r>
        <w:rPr>
          <w:color w:val="000000" w:themeColor="text1"/>
        </w:rPr>
      </w:r>
      <w:r/>
    </w:p>
    <w:tbl>
      <w:tblPr>
        <w:tblStyle w:val="890"/>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06"/>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行业名称</w:t>
            </w:r>
            <w:r>
              <w:rPr>
                <w:color w:val="000000" w:themeColor="text1"/>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指标名称</w:t>
            </w:r>
            <w:r>
              <w:rPr>
                <w:color w:val="000000" w:themeColor="text1"/>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计量单位</w:t>
            </w:r>
            <w:r>
              <w:rPr>
                <w:color w:val="000000" w:themeColor="text1"/>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中型</w:t>
            </w:r>
            <w:r>
              <w:rPr>
                <w:color w:val="000000" w:themeColor="text1"/>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小型</w:t>
            </w:r>
            <w:r>
              <w:rPr>
                <w:color w:val="000000" w:themeColor="text1"/>
              </w:rPr>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微型</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农、林、牧、渔</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500≤Y＜20000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50≤Y＜500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Y＜50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工业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300≤X＜1000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20≤X＜300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X＜20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2000≤Y＜40000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300≤Y＜2000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Y＜300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建筑业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6000≤Y＜80000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300≤Y＜6000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Y＜300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资产总额（Z）</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5000≤Z＜80000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300≤Z＜5000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Z＜300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批发业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20≤X＜200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5≤X＜20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X＜5</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5000≤Y＜40000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1000≤Y＜5000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Y＜1000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零售业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50≤X＜300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10≤X＜50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X＜10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500≤Y＜20000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100≤Y＜500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Y＜100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交通运输业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300≤X＜1000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20≤X＜300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X＜20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3000≤Y＜30000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200≤Y＜3000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Y＜200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仓储业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100≤X＜200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20≤X＜100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X＜20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1000≤Y＜30000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100≤Y＜1000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Y＜100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邮政业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300≤X＜1000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20≤X＜300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X＜20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2000≤Y＜30000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100≤Y＜2000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Y＜100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住宿业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ind w:firstLine="420"/>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10≤X＜100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X＜10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2000≤Y＜10000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100≤Y＜2000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Y＜100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餐饮业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10≤X＜100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X＜10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2000≤Y＜10000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100≤Y＜2000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Y＜100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信息传输业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100≤X＜2000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10≤X＜100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X＜10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1000≤Y＜100000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100≤Y＜1000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Y＜100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软件和信息技术服务业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10≤X＜100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X＜10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1000≤Y＜10000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50≤Y＜1000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Y＜50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房地产开发经营</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1000≤Y＜200000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100≤X＜1000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X＜100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资产总额（Z）</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5000≤Z＜10000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2000≤Y＜5000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Y＜2000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物业管理</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300≤X＜1000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X＜100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营业收入（Y）</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1000≤Y＜5000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500≤Y＜1000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Y＜500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租赁和商务服务业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10≤X＜100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X＜10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资产总额（Z）</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万元</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8000≤Z＜120000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100≤Z＜8000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Y＜100</w:t>
            </w:r>
            <w:r>
              <w:rPr>
                <w:color w:val="000000" w:themeColor="text1"/>
              </w:rPr>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其他未列明行业</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从业人员（X）</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人</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100≤X＜300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10≤X＜100</w:t>
            </w:r>
            <w:r>
              <w:rPr>
                <w:color w:val="000000" w:themeColor="text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6"/>
              <w:jc w:val="center"/>
              <w:pageBreakBefore w:val="0"/>
              <w:spacing w:line="360" w:lineRule="auto"/>
              <w:widowControl/>
              <w:rPr>
                <w:rFonts w:ascii="Times New Roman" w:hAnsi="Times New Roman" w:eastAsia="宋体"/>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X＜10</w:t>
            </w:r>
            <w:r>
              <w:rPr>
                <w:color w:val="000000" w:themeColor="text1"/>
              </w:rPr>
            </w:r>
            <w:r/>
          </w:p>
        </w:tc>
      </w:tr>
    </w:tbl>
    <w:p>
      <w:pPr>
        <w:pStyle w:val="906"/>
        <w:ind w:firstLine="810"/>
        <w:pageBreakBefore w:val="0"/>
        <w:spacing w:line="360" w:lineRule="auto"/>
        <w:widowControl/>
        <w:rPr>
          <w:rStyle w:val="910"/>
          <w:rFonts w:ascii="Times New Roman" w:hAnsi="Times New Roman" w:eastAsia="宋体" w:cs="仿宋"/>
          <w:color w:val="000000" w:themeColor="text1"/>
          <w:sz w:val="21"/>
          <w:szCs w:val="21"/>
          <w:highlight w:val="none"/>
        </w:rPr>
      </w:pPr>
      <w:r>
        <w:rPr>
          <w:rStyle w:val="910"/>
          <w:rFonts w:hint="eastAsia" w:ascii="Times New Roman" w:hAnsi="Times New Roman" w:eastAsia="宋体" w:cs="仿宋"/>
          <w:color w:val="000000" w:themeColor="text1"/>
          <w:sz w:val="21"/>
          <w:szCs w:val="21"/>
          <w:highlight w:val="none"/>
        </w:rPr>
        <w:t xml:space="preserve">说明：上述标准参照《关于印发中小企业划型标准规定的通知》（工信部联企业</w:t>
      </w:r>
      <w:r>
        <w:rPr>
          <w:rStyle w:val="910"/>
          <w:rFonts w:hint="eastAsia" w:ascii="Times New Roman" w:hAnsi="Times New Roman" w:eastAsia="宋体" w:cs="仿宋"/>
          <w:color w:val="000000" w:themeColor="text1"/>
          <w:sz w:val="21"/>
          <w:szCs w:val="21"/>
          <w:highlight w:val="none"/>
          <w:lang w:eastAsia="zh-CN"/>
        </w:rPr>
        <w:t xml:space="preserve">〔2011〕300号</w:t>
      </w:r>
      <w:r>
        <w:rPr>
          <w:rStyle w:val="910"/>
          <w:rFonts w:hint="eastAsia" w:ascii="Times New Roman" w:hAnsi="Times New Roman" w:eastAsia="宋体" w:cs="仿宋"/>
          <w:color w:val="000000" w:themeColor="text1"/>
          <w:sz w:val="21"/>
          <w:szCs w:val="21"/>
          <w:highlight w:val="none"/>
        </w:rPr>
        <w:t xml:space="preserve">），大型、中型和小型企业须同时满足所列指标的下限，否则下划一档；微型企业只须满足所列指标中的一项即可。</w:t>
      </w:r>
      <w:r>
        <w:rPr>
          <w:color w:val="000000" w:themeColor="text1"/>
        </w:rPr>
      </w:r>
      <w:r/>
    </w:p>
    <w:p>
      <w:pPr>
        <w:pStyle w:val="888"/>
        <w:pageBreakBefore w:val="0"/>
        <w:spacing w:before="0" w:after="0" w:line="360" w:lineRule="auto"/>
        <w:rPr>
          <w:rStyle w:val="910"/>
          <w:rFonts w:ascii="Times New Roman" w:hAnsi="Times New Roman" w:eastAsia="宋体" w:cs="仿宋"/>
          <w:b w:val="0"/>
          <w:color w:val="000000" w:themeColor="text1"/>
          <w:sz w:val="21"/>
          <w:szCs w:val="21"/>
          <w:highlight w:val="none"/>
        </w:rPr>
      </w:pPr>
      <w:r>
        <w:rPr>
          <w:rStyle w:val="910"/>
          <w:rFonts w:ascii="Times New Roman" w:hAnsi="Times New Roman" w:eastAsia="宋体" w:cs="仿宋"/>
          <w:b w:val="0"/>
          <w:color w:val="000000" w:themeColor="text1"/>
          <w:sz w:val="21"/>
          <w:szCs w:val="21"/>
          <w:highlight w:val="none"/>
        </w:rPr>
        <w:br w:type="page" w:clear="all"/>
      </w:r>
      <w:r>
        <w:rPr>
          <w:color w:val="000000" w:themeColor="text1"/>
        </w:rPr>
      </w:r>
      <w:r/>
    </w:p>
    <w:p>
      <w:pPr>
        <w:ind w:firstLine="2726"/>
        <w:pageBreakBefore w:val="0"/>
        <w:spacing w:line="360" w:lineRule="auto"/>
        <w:rPr>
          <w:rFonts w:ascii="Times New Roman" w:hAnsi="Times New Roman" w:eastAsia="宋体"/>
          <w:b/>
          <w:bCs/>
          <w:color w:val="000000" w:themeColor="text1"/>
          <w:highlight w:val="none"/>
        </w:rPr>
      </w:pPr>
      <w:r>
        <w:rPr>
          <w:rFonts w:hint="eastAsia" w:ascii="Times New Roman" w:hAnsi="Times New Roman" w:eastAsia="宋体"/>
          <w:b/>
          <w:bCs/>
          <w:color w:val="000000" w:themeColor="text1"/>
          <w:highlight w:val="none"/>
        </w:rPr>
        <w:t xml:space="preserve">残疾人福利性单位声明函</w:t>
      </w:r>
      <w:r>
        <w:rPr>
          <w:color w:val="000000" w:themeColor="text1"/>
        </w:rPr>
      </w:r>
      <w:r/>
    </w:p>
    <w:p>
      <w:pPr>
        <w:ind w:firstLine="624"/>
        <w:pageBreakBefore w:val="0"/>
        <w:spacing w:line="360" w:lineRule="auto"/>
        <w:rPr>
          <w:rFonts w:ascii="Times New Roman" w:hAnsi="Times New Roman" w:eastAsia="宋体"/>
          <w:color w:val="000000" w:themeColor="text1"/>
          <w:spacing w:val="6"/>
          <w:sz w:val="30"/>
          <w:szCs w:val="30"/>
          <w:highlight w:val="none"/>
        </w:rPr>
      </w:pPr>
      <w:r>
        <w:rPr>
          <w:rFonts w:ascii="Times New Roman" w:hAnsi="Times New Roman" w:eastAsia="宋体"/>
          <w:color w:val="000000" w:themeColor="text1"/>
          <w:spacing w:val="6"/>
          <w:sz w:val="30"/>
          <w:szCs w:val="30"/>
          <w:highlight w:val="none"/>
        </w:rPr>
      </w:r>
      <w:r>
        <w:rPr>
          <w:color w:val="000000" w:themeColor="text1"/>
        </w:rPr>
      </w: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rPr>
          <w:color w:val="000000" w:themeColor="text1"/>
        </w:rPr>
      </w: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本单位在本次政府采购活动中提供的残疾人福利单位产品报价合计为人民币（大写）圆整（￥：）。</w:t>
      </w:r>
      <w:r>
        <w:rPr>
          <w:color w:val="000000" w:themeColor="text1"/>
        </w:rPr>
      </w: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本单位对上述声明的真实性负责。如有虚假，将依法承担相应责任。</w:t>
      </w:r>
      <w:r>
        <w:rPr>
          <w:color w:val="000000" w:themeColor="text1"/>
        </w:rPr>
      </w:r>
      <w:r/>
    </w:p>
    <w:p>
      <w:pPr>
        <w:ind w:firstLine="420"/>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备注：1.专门面向中小微型企业采购的项目，供应商为残疾人福利性单位并提供本单位制造的货物</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lang w:val="en-US" w:eastAsia="zh-CN"/>
        </w:rPr>
        <w:t xml:space="preserve">服务</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，或者提供其他残疾人福利性单位制造的货物</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lang w:val="en-US" w:eastAsia="zh-CN"/>
        </w:rPr>
        <w:t xml:space="preserve">服务</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rPr>
        <w:t xml:space="preserve">，必须提供此声明函，否则将不能通过资格审查。</w:t>
      </w:r>
      <w:r>
        <w:rPr>
          <w:color w:val="000000" w:themeColor="text1"/>
        </w:rPr>
      </w: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2.非专门面向中小微型企业采购的项目，供应商如不提供此声明函，价格将不做相应扣除。</w:t>
      </w:r>
      <w:r>
        <w:rPr>
          <w:color w:val="000000" w:themeColor="text1"/>
        </w:rPr>
      </w:r>
      <w:r/>
    </w:p>
    <w:p>
      <w:pPr>
        <w:ind w:firstLine="42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3.中标/成交供应商为残疾人福利性单位的，此声明函将随中标/成交结果同时公告，接受社会监督。</w:t>
      </w:r>
      <w:r>
        <w:rPr>
          <w:color w:val="000000" w:themeColor="text1"/>
        </w:rPr>
      </w:r>
      <w:r/>
    </w:p>
    <w:p>
      <w:pPr>
        <w:ind w:firstLine="444"/>
        <w:pageBreakBefore w:val="0"/>
        <w:spacing w:line="360" w:lineRule="auto"/>
        <w:rPr>
          <w:rFonts w:ascii="Times New Roman" w:hAnsi="Times New Roman" w:eastAsia="宋体"/>
          <w:color w:val="000000" w:themeColor="text1"/>
          <w:spacing w:val="6"/>
          <w:szCs w:val="21"/>
          <w:highlight w:val="none"/>
        </w:rPr>
      </w:pPr>
      <w:r>
        <w:rPr>
          <w:rFonts w:ascii="Times New Roman" w:hAnsi="Times New Roman" w:eastAsia="宋体"/>
          <w:color w:val="000000" w:themeColor="text1"/>
          <w:spacing w:val="6"/>
          <w:szCs w:val="21"/>
          <w:highlight w:val="none"/>
        </w:rPr>
      </w:r>
      <w:r>
        <w:rPr>
          <w:color w:val="000000" w:themeColor="text1"/>
        </w:rPr>
      </w:r>
      <w:r/>
    </w:p>
    <w:p>
      <w:pPr>
        <w:ind w:right="1560" w:firstLine="420"/>
        <w:jc w:val="center"/>
        <w:pageBreakBefore w:val="0"/>
        <w:spacing w:line="360" w:lineRule="auto"/>
        <w:tabs>
          <w:tab w:val="left" w:pos="4860" w:leader="none"/>
        </w:tabs>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供应商全称（盖章）：</w:t>
      </w:r>
      <w:r>
        <w:rPr>
          <w:color w:val="000000" w:themeColor="text1"/>
        </w:rPr>
      </w:r>
      <w:r/>
    </w:p>
    <w:p>
      <w:pPr>
        <w:ind w:right="1560" w:firstLine="420"/>
        <w:jc w:val="center"/>
        <w:pageBreakBefore w:val="0"/>
        <w:spacing w:line="360" w:lineRule="auto"/>
        <w:tabs>
          <w:tab w:val="left" w:pos="4860" w:leader="none"/>
        </w:tabs>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日期：</w:t>
      </w:r>
      <w:r>
        <w:rPr>
          <w:color w:val="000000" w:themeColor="text1"/>
        </w:rPr>
      </w: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r/>
    </w:p>
    <w:p>
      <w:pPr>
        <w:jc w:val="center"/>
        <w:pageBreakBefore w:val="0"/>
        <w:spacing w:line="360" w:lineRule="auto"/>
        <w:rPr>
          <w:rFonts w:ascii="Times New Roman" w:hAnsi="Times New Roman" w:eastAsia="宋体"/>
          <w:b/>
          <w:bCs/>
          <w:color w:val="000000" w:themeColor="text1"/>
          <w:highlight w:val="none"/>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000000" w:themeColor="text1"/>
          <w:highlight w:val="none"/>
        </w:rPr>
      </w:r>
      <w:r>
        <w:rPr>
          <w:color w:val="000000" w:themeColor="text1"/>
        </w:rPr>
      </w:r>
      <w:r/>
    </w:p>
    <w:p>
      <w:pPr>
        <w:jc w:val="center"/>
        <w:pageBreakBefore w:val="0"/>
        <w:spacing w:line="360" w:lineRule="auto"/>
        <w:rPr>
          <w:rFonts w:ascii="Times New Roman" w:hAnsi="Times New Roman" w:eastAsia="宋体"/>
          <w:b/>
          <w:bCs/>
          <w:color w:val="000000" w:themeColor="text1"/>
          <w:sz w:val="24"/>
          <w:szCs w:val="24"/>
          <w:highlight w:val="none"/>
        </w:rPr>
      </w:pPr>
      <w:r>
        <w:rPr>
          <w:rFonts w:hint="eastAsia" w:ascii="Times New Roman" w:hAnsi="Times New Roman" w:eastAsia="宋体"/>
          <w:b/>
          <w:bCs/>
          <w:color w:val="000000" w:themeColor="text1"/>
          <w:sz w:val="24"/>
          <w:szCs w:val="24"/>
          <w:highlight w:val="none"/>
        </w:rPr>
        <w:t xml:space="preserve">关于符合本国产品标准的声明函</w:t>
      </w:r>
      <w:r>
        <w:rPr>
          <w:color w:val="000000" w:themeColor="text1"/>
        </w:rPr>
      </w:r>
      <w:r/>
    </w:p>
    <w:p>
      <w:pPr>
        <w:pStyle w:val="906"/>
        <w:ind w:firstLine="420"/>
        <w:pageBreakBefore w:val="0"/>
        <w:spacing w:line="360" w:lineRule="auto"/>
        <w:rPr>
          <w:rFonts w:ascii="Times New Roman" w:hAnsi="Times New Roman" w:eastAsia="宋体" w:cs="方正魏碑_GBK"/>
          <w:color w:val="000000" w:themeColor="text1"/>
          <w:highlight w:val="none"/>
        </w:rPr>
      </w:pPr>
      <w:r>
        <w:rPr>
          <w:rFonts w:ascii="Times New Roman" w:hAnsi="Times New Roman" w:eastAsia="宋体" w:cs="方正魏碑_GBK"/>
          <w:color w:val="000000" w:themeColor="text1"/>
          <w:highlight w:val="none"/>
        </w:rPr>
      </w:r>
      <w:r>
        <w:rPr>
          <w:color w:val="000000" w:themeColor="text1"/>
        </w:rPr>
      </w:r>
      <w:r/>
    </w:p>
    <w:p>
      <w:pPr>
        <w:pStyle w:val="906"/>
        <w:ind w:firstLine="420"/>
        <w:pageBreakBefore w:val="0"/>
        <w:spacing w:beforeAutospacing="0" w:afterAutospacing="0"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r/>
    </w:p>
    <w:p>
      <w:pPr>
        <w:pStyle w:val="906"/>
        <w:ind w:firstLine="420"/>
        <w:pageBreakBefore w:val="0"/>
        <w:spacing w:beforeAutospacing="0" w:afterAutospacing="0"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shd w:val="clear" w:color="auto" w:fill="ffffff"/>
        </w:rPr>
        <w:t xml:space="preserve">1.</w:t>
      </w:r>
      <w:r>
        <w:rPr>
          <w:rStyle w:val="911"/>
          <w:rFonts w:hint="eastAsia" w:ascii="Times New Roman" w:hAnsi="Times New Roman" w:eastAsia="宋体" w:cs="宋体"/>
          <w:i w:val="0"/>
          <w:color w:val="000000" w:themeColor="text1"/>
          <w:highlight w:val="none"/>
          <w:u w:val="single"/>
          <w:shd w:val="clear" w:color="auto" w:fill="ffffff"/>
        </w:rPr>
        <w:t xml:space="preserve">（产品名称1）</w:t>
      </w:r>
      <w:r>
        <w:rPr>
          <w:rStyle w:val="911"/>
          <w:rFonts w:hint="eastAsia" w:ascii="Times New Roman" w:hAnsi="Times New Roman" w:eastAsia="宋体" w:cs="宋体"/>
          <w:i w:val="0"/>
          <w:color w:val="000000" w:themeColor="text1"/>
          <w:highlight w:val="none"/>
          <w:shd w:val="clear" w:color="auto" w:fill="ffffff"/>
          <w:vertAlign w:val="superscript"/>
        </w:rPr>
        <w:t xml:space="preserve">1</w:t>
      </w:r>
      <w:r>
        <w:rPr>
          <w:rFonts w:hint="eastAsia" w:ascii="Times New Roman" w:hAnsi="Times New Roman" w:eastAsia="宋体" w:cs="宋体"/>
          <w:color w:val="000000" w:themeColor="text1"/>
          <w:highlight w:val="none"/>
          <w:shd w:val="clear" w:color="auto" w:fill="ffffff"/>
        </w:rPr>
        <w:t xml:space="preserve">，生产厂为</w:t>
      </w:r>
      <w:r>
        <w:rPr>
          <w:rStyle w:val="911"/>
          <w:rFonts w:hint="eastAsia" w:ascii="Times New Roman" w:hAnsi="Times New Roman" w:eastAsia="宋体" w:cs="宋体"/>
          <w:i w:val="0"/>
          <w:color w:val="000000" w:themeColor="text1"/>
          <w:highlight w:val="none"/>
          <w:u w:val="single"/>
          <w:shd w:val="clear" w:color="auto" w:fill="ffffff"/>
        </w:rPr>
        <w:t xml:space="preserve">（厂名）</w:t>
      </w:r>
      <w:r>
        <w:rPr>
          <w:rStyle w:val="911"/>
          <w:rFonts w:hint="eastAsia" w:ascii="Times New Roman" w:hAnsi="Times New Roman" w:eastAsia="宋体" w:cs="宋体"/>
          <w:i w:val="0"/>
          <w:color w:val="000000" w:themeColor="text1"/>
          <w:highlight w:val="none"/>
          <w:shd w:val="clear" w:color="auto" w:fill="ffffff"/>
          <w:vertAlign w:val="superscript"/>
        </w:rPr>
        <w:t xml:space="preserve">2</w:t>
      </w:r>
      <w:r>
        <w:rPr>
          <w:rFonts w:hint="eastAsia" w:ascii="Times New Roman" w:hAnsi="Times New Roman" w:eastAsia="宋体" w:cs="宋体"/>
          <w:color w:val="000000" w:themeColor="text1"/>
          <w:highlight w:val="none"/>
          <w:shd w:val="clear" w:color="auto" w:fill="ffffff"/>
        </w:rPr>
        <w:t xml:space="preserve">，厂址为</w:t>
      </w:r>
      <w:r>
        <w:rPr>
          <w:rStyle w:val="911"/>
          <w:rFonts w:hint="eastAsia" w:ascii="Times New Roman" w:hAnsi="Times New Roman" w:eastAsia="宋体" w:cs="宋体"/>
          <w:i w:val="0"/>
          <w:color w:val="000000" w:themeColor="text1"/>
          <w:highlight w:val="none"/>
          <w:u w:val="single"/>
          <w:shd w:val="clear" w:color="auto" w:fill="ffffff"/>
        </w:rPr>
        <w:t xml:space="preserve">（生产厂址）</w:t>
      </w:r>
      <w:r>
        <w:rPr>
          <w:rFonts w:hint="eastAsia" w:ascii="Times New Roman" w:hAnsi="Times New Roman" w:eastAsia="宋体" w:cs="宋体"/>
          <w:color w:val="000000" w:themeColor="text1"/>
          <w:highlight w:val="none"/>
          <w:shd w:val="clear" w:color="auto" w:fill="ffffff"/>
        </w:rPr>
        <w:t xml:space="preserve">。</w:t>
      </w:r>
      <w:r>
        <w:rPr>
          <w:rFonts w:hint="eastAsia" w:ascii="Times New Roman" w:hAnsi="Times New Roman" w:eastAsia="宋体" w:cs="宋体"/>
          <w:color w:val="000000" w:themeColor="text1"/>
          <w:highlight w:val="none"/>
          <w:u w:val="single"/>
          <w:shd w:val="clear" w:color="auto" w:fill="ffffff"/>
        </w:rPr>
        <w:t xml:space="preserve"> </w:t>
      </w:r>
      <w:r>
        <w:rPr>
          <w:rStyle w:val="911"/>
          <w:rFonts w:hint="eastAsia" w:ascii="Times New Roman" w:hAnsi="Times New Roman" w:eastAsia="宋体" w:cs="宋体"/>
          <w:i w:val="0"/>
          <w:color w:val="000000" w:themeColor="text1"/>
          <w:highlight w:val="none"/>
          <w:u w:val="single"/>
          <w:shd w:val="clear" w:color="auto" w:fill="ffffff"/>
        </w:rPr>
        <w:t xml:space="preserve">（产品名称1） </w:t>
      </w:r>
      <w:r>
        <w:rPr>
          <w:rFonts w:hint="eastAsia" w:ascii="Times New Roman" w:hAnsi="Times New Roman" w:eastAsia="宋体" w:cs="宋体"/>
          <w:color w:val="000000" w:themeColor="text1"/>
          <w:highlight w:val="none"/>
          <w:shd w:val="clear" w:color="auto" w:fill="ffffff"/>
        </w:rPr>
        <w:t xml:space="preserve">的中国境内生产的组件成本占比≥</w:t>
      </w:r>
      <w:r>
        <w:rPr>
          <w:rStyle w:val="911"/>
          <w:rFonts w:hint="eastAsia" w:ascii="Times New Roman" w:hAnsi="Times New Roman" w:eastAsia="宋体" w:cs="宋体"/>
          <w:i w:val="0"/>
          <w:color w:val="000000" w:themeColor="text1"/>
          <w:highlight w:val="none"/>
          <w:u w:val="single"/>
          <w:shd w:val="clear" w:color="auto" w:fill="ffffff"/>
        </w:rPr>
        <w:t xml:space="preserve">（规定比例）</w:t>
      </w:r>
      <w:r>
        <w:rPr>
          <w:rStyle w:val="911"/>
          <w:rFonts w:hint="eastAsia" w:ascii="Times New Roman" w:hAnsi="Times New Roman" w:eastAsia="宋体" w:cs="宋体"/>
          <w:i w:val="0"/>
          <w:color w:val="000000" w:themeColor="text1"/>
          <w:highlight w:val="none"/>
          <w:shd w:val="clear" w:color="auto" w:fill="ffffff"/>
          <w:vertAlign w:val="superscript"/>
        </w:rPr>
        <w:t xml:space="preserve">3</w:t>
      </w:r>
      <w:r>
        <w:rPr>
          <w:rFonts w:hint="eastAsia" w:ascii="Times New Roman" w:hAnsi="Times New Roman" w:eastAsia="宋体" w:cs="宋体"/>
          <w:color w:val="000000" w:themeColor="text1"/>
          <w:highlight w:val="none"/>
          <w:shd w:val="clear" w:color="auto" w:fill="ffffff"/>
        </w:rPr>
        <w:t xml:space="preserve">。</w:t>
      </w:r>
      <w:r>
        <w:rPr>
          <w:rStyle w:val="911"/>
          <w:rFonts w:hint="eastAsia" w:ascii="Times New Roman" w:hAnsi="Times New Roman" w:eastAsia="宋体" w:cs="宋体"/>
          <w:i w:val="0"/>
          <w:color w:val="000000" w:themeColor="text1"/>
          <w:highlight w:val="none"/>
          <w:u w:val="single"/>
          <w:shd w:val="clear" w:color="auto" w:fill="ffffff"/>
        </w:rPr>
        <w:t xml:space="preserve">（产品名称1）</w:t>
      </w:r>
      <w:r>
        <w:rPr>
          <w:rFonts w:hint="eastAsia" w:ascii="Times New Roman" w:hAnsi="Times New Roman" w:eastAsia="宋体" w:cs="宋体"/>
          <w:color w:val="000000" w:themeColor="text1"/>
          <w:highlight w:val="none"/>
          <w:shd w:val="clear" w:color="auto" w:fill="ffffff"/>
        </w:rPr>
        <w:t xml:space="preserve">的</w:t>
      </w:r>
      <w:r>
        <w:rPr>
          <w:rStyle w:val="911"/>
          <w:rFonts w:hint="eastAsia" w:ascii="Times New Roman" w:hAnsi="Times New Roman" w:eastAsia="宋体" w:cs="宋体"/>
          <w:i w:val="0"/>
          <w:color w:val="000000" w:themeColor="text1"/>
          <w:highlight w:val="none"/>
          <w:u w:val="single"/>
          <w:shd w:val="clear" w:color="auto" w:fill="ffffff"/>
        </w:rPr>
        <w:t xml:space="preserve">（关键组件）</w:t>
      </w:r>
      <w:r>
        <w:rPr>
          <w:rStyle w:val="911"/>
          <w:rFonts w:hint="eastAsia" w:ascii="Times New Roman" w:hAnsi="Times New Roman" w:eastAsia="宋体" w:cs="宋体"/>
          <w:i w:val="0"/>
          <w:color w:val="000000" w:themeColor="text1"/>
          <w:highlight w:val="none"/>
          <w:shd w:val="clear" w:color="auto" w:fill="ffffff"/>
          <w:vertAlign w:val="superscript"/>
        </w:rPr>
        <w:t xml:space="preserve">4</w:t>
      </w:r>
      <w:r>
        <w:rPr>
          <w:rFonts w:hint="eastAsia" w:ascii="Times New Roman" w:hAnsi="Times New Roman" w:eastAsia="宋体" w:cs="宋体"/>
          <w:color w:val="000000" w:themeColor="text1"/>
          <w:highlight w:val="none"/>
          <w:shd w:val="clear" w:color="auto" w:fill="ffffff"/>
        </w:rPr>
        <w:t xml:space="preserve">在中国境内生产。</w:t>
      </w:r>
      <w:r>
        <w:rPr>
          <w:rStyle w:val="911"/>
          <w:rFonts w:hint="eastAsia" w:ascii="Times New Roman" w:hAnsi="Times New Roman" w:eastAsia="宋体" w:cs="宋体"/>
          <w:i w:val="0"/>
          <w:color w:val="000000" w:themeColor="text1"/>
          <w:highlight w:val="none"/>
          <w:u w:val="single"/>
          <w:shd w:val="clear" w:color="auto" w:fill="ffffff"/>
        </w:rPr>
        <w:t xml:space="preserve">（产品名称1）</w:t>
      </w:r>
      <w:r>
        <w:rPr>
          <w:rFonts w:hint="eastAsia" w:ascii="Times New Roman" w:hAnsi="Times New Roman" w:eastAsia="宋体" w:cs="宋体"/>
          <w:color w:val="000000" w:themeColor="text1"/>
          <w:highlight w:val="none"/>
          <w:shd w:val="clear" w:color="auto" w:fill="ffffff"/>
        </w:rPr>
        <w:t xml:space="preserve">的</w:t>
      </w:r>
      <w:r>
        <w:rPr>
          <w:rStyle w:val="911"/>
          <w:rFonts w:hint="eastAsia" w:ascii="Times New Roman" w:hAnsi="Times New Roman" w:eastAsia="宋体" w:cs="宋体"/>
          <w:i w:val="0"/>
          <w:color w:val="000000" w:themeColor="text1"/>
          <w:highlight w:val="none"/>
          <w:u w:val="single"/>
          <w:shd w:val="clear" w:color="auto" w:fill="ffffff"/>
        </w:rPr>
        <w:t xml:space="preserve">（关键工序）</w:t>
      </w:r>
      <w:r>
        <w:rPr>
          <w:rStyle w:val="911"/>
          <w:rFonts w:hint="eastAsia" w:ascii="Times New Roman" w:hAnsi="Times New Roman" w:eastAsia="宋体" w:cs="宋体"/>
          <w:i w:val="0"/>
          <w:color w:val="000000" w:themeColor="text1"/>
          <w:highlight w:val="none"/>
          <w:shd w:val="clear" w:color="auto" w:fill="ffffff"/>
          <w:vertAlign w:val="superscript"/>
        </w:rPr>
        <w:t xml:space="preserve">5</w:t>
      </w:r>
      <w:r>
        <w:rPr>
          <w:rFonts w:hint="eastAsia" w:ascii="Times New Roman" w:hAnsi="Times New Roman" w:eastAsia="宋体" w:cs="宋体"/>
          <w:color w:val="000000" w:themeColor="text1"/>
          <w:highlight w:val="none"/>
          <w:shd w:val="clear" w:color="auto" w:fill="ffffff"/>
        </w:rPr>
        <w:t xml:space="preserve">在中国境内完成。</w:t>
      </w:r>
      <w:r>
        <w:rPr>
          <w:color w:val="000000" w:themeColor="text1"/>
        </w:rPr>
      </w:r>
      <w:r/>
    </w:p>
    <w:p>
      <w:pPr>
        <w:pStyle w:val="906"/>
        <w:ind w:firstLine="420"/>
        <w:pageBreakBefore w:val="0"/>
        <w:spacing w:beforeAutospacing="0" w:afterAutospacing="0"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000000" w:themeColor="text1"/>
          <w:highlight w:val="none"/>
          <w:shd w:val="clear" w:color="auto" w:fill="ffffff"/>
        </w:rPr>
        <w:t xml:space="preserve">2.</w:t>
      </w:r>
      <w:r>
        <w:rPr>
          <w:rStyle w:val="911"/>
          <w:rFonts w:hint="eastAsia" w:ascii="Times New Roman" w:hAnsi="Times New Roman" w:eastAsia="宋体" w:cs="宋体"/>
          <w:i w:val="0"/>
          <w:color w:val="000000" w:themeColor="text1"/>
          <w:highlight w:val="none"/>
          <w:u w:val="single"/>
          <w:shd w:val="clear" w:color="auto" w:fill="ffffff"/>
        </w:rPr>
        <w:t xml:space="preserve">（产品名称2）</w:t>
      </w:r>
      <w:r>
        <w:rPr>
          <w:rFonts w:hint="eastAsia" w:ascii="Times New Roman" w:hAnsi="Times New Roman" w:eastAsia="宋体" w:cs="宋体"/>
          <w:color w:val="000000" w:themeColor="text1"/>
          <w:highlight w:val="none"/>
          <w:shd w:val="clear" w:color="auto" w:fill="ffffff"/>
        </w:rPr>
        <w:t xml:space="preserve">，生产厂为</w:t>
      </w:r>
      <w:r>
        <w:rPr>
          <w:rStyle w:val="911"/>
          <w:rFonts w:hint="eastAsia" w:ascii="Times New Roman" w:hAnsi="Times New Roman" w:eastAsia="宋体" w:cs="宋体"/>
          <w:i w:val="0"/>
          <w:color w:val="000000" w:themeColor="text1"/>
          <w:highlight w:val="none"/>
          <w:u w:val="single"/>
          <w:shd w:val="clear" w:color="auto" w:fill="ffffff"/>
        </w:rPr>
        <w:t xml:space="preserve">（厂名）</w:t>
      </w:r>
      <w:r>
        <w:rPr>
          <w:rFonts w:hint="eastAsia" w:ascii="Times New Roman" w:hAnsi="Times New Roman" w:eastAsia="宋体" w:cs="宋体"/>
          <w:color w:val="000000" w:themeColor="text1"/>
          <w:highlight w:val="none"/>
          <w:shd w:val="clear" w:color="auto" w:fill="ffffff"/>
        </w:rPr>
        <w:t xml:space="preserve">，厂址为</w:t>
      </w:r>
      <w:r>
        <w:rPr>
          <w:rStyle w:val="911"/>
          <w:rFonts w:hint="eastAsia" w:ascii="Times New Roman" w:hAnsi="Times New Roman" w:eastAsia="宋体" w:cs="宋体"/>
          <w:i w:val="0"/>
          <w:color w:val="000000" w:themeColor="text1"/>
          <w:highlight w:val="none"/>
          <w:u w:val="single"/>
          <w:shd w:val="clear" w:color="auto" w:fill="ffffff"/>
        </w:rPr>
        <w:t xml:space="preserve">（生产厂址）</w:t>
      </w:r>
      <w:r>
        <w:rPr>
          <w:rFonts w:hint="eastAsia" w:ascii="Times New Roman" w:hAnsi="Times New Roman" w:eastAsia="宋体" w:cs="宋体"/>
          <w:color w:val="000000" w:themeColor="text1"/>
          <w:highlight w:val="none"/>
          <w:shd w:val="clear" w:color="auto" w:fill="ffffff"/>
        </w:rPr>
        <w:t xml:space="preserve">。</w:t>
      </w:r>
      <w:r>
        <w:rPr>
          <w:rStyle w:val="911"/>
          <w:rFonts w:hint="eastAsia" w:ascii="Times New Roman" w:hAnsi="Times New Roman" w:eastAsia="宋体" w:cs="宋体"/>
          <w:i w:val="0"/>
          <w:color w:val="000000" w:themeColor="text1"/>
          <w:highlight w:val="none"/>
          <w:u w:val="single"/>
          <w:shd w:val="clear" w:color="auto" w:fill="ffffff"/>
        </w:rPr>
        <w:t xml:space="preserve">（产品名称2）</w:t>
      </w:r>
      <w:r>
        <w:rPr>
          <w:rFonts w:hint="eastAsia" w:ascii="Times New Roman" w:hAnsi="Times New Roman" w:eastAsia="宋体" w:cs="宋体"/>
          <w:color w:val="000000" w:themeColor="text1"/>
          <w:highlight w:val="none"/>
          <w:shd w:val="clear" w:color="auto" w:fill="ffffff"/>
        </w:rPr>
        <w:t xml:space="preserve">的中国境内生产的组件成本占比≥</w:t>
      </w:r>
      <w:r>
        <w:rPr>
          <w:rStyle w:val="911"/>
          <w:rFonts w:hint="eastAsia" w:ascii="Times New Roman" w:hAnsi="Times New Roman" w:eastAsia="宋体" w:cs="宋体"/>
          <w:i w:val="0"/>
          <w:color w:val="000000" w:themeColor="text1"/>
          <w:highlight w:val="none"/>
          <w:u w:val="single"/>
          <w:shd w:val="clear" w:color="auto" w:fill="ffffff"/>
        </w:rPr>
        <w:t xml:space="preserve">（规定比例）</w:t>
      </w:r>
      <w:r>
        <w:rPr>
          <w:rFonts w:hint="eastAsia" w:ascii="Times New Roman" w:hAnsi="Times New Roman" w:eastAsia="宋体" w:cs="宋体"/>
          <w:color w:val="000000" w:themeColor="text1"/>
          <w:highlight w:val="none"/>
          <w:shd w:val="clear" w:color="auto" w:fill="ffffff"/>
        </w:rPr>
        <w:t xml:space="preserve">。</w:t>
      </w:r>
      <w:r>
        <w:rPr>
          <w:rStyle w:val="911"/>
          <w:rFonts w:hint="eastAsia" w:ascii="Times New Roman" w:hAnsi="Times New Roman" w:eastAsia="宋体" w:cs="宋体"/>
          <w:i w:val="0"/>
          <w:color w:val="000000" w:themeColor="text1"/>
          <w:highlight w:val="none"/>
          <w:u w:val="single"/>
          <w:shd w:val="clear" w:color="auto" w:fill="ffffff"/>
        </w:rPr>
        <w:t xml:space="preserve">（产品名称2）</w:t>
      </w:r>
      <w:r>
        <w:rPr>
          <w:rFonts w:hint="eastAsia" w:ascii="Times New Roman" w:hAnsi="Times New Roman" w:eastAsia="宋体" w:cs="宋体"/>
          <w:color w:val="000000" w:themeColor="text1"/>
          <w:highlight w:val="none"/>
          <w:shd w:val="clear" w:color="auto" w:fill="ffffff"/>
        </w:rPr>
        <w:t xml:space="preserve">的</w:t>
      </w:r>
      <w:r>
        <w:rPr>
          <w:rStyle w:val="911"/>
          <w:rFonts w:hint="eastAsia" w:ascii="Times New Roman" w:hAnsi="Times New Roman" w:eastAsia="宋体" w:cs="宋体"/>
          <w:i w:val="0"/>
          <w:color w:val="000000" w:themeColor="text1"/>
          <w:highlight w:val="none"/>
          <w:u w:val="single"/>
          <w:shd w:val="clear" w:color="auto" w:fill="ffffff"/>
        </w:rPr>
        <w:t xml:space="preserve">（关键组件）</w:t>
      </w:r>
      <w:r>
        <w:rPr>
          <w:rFonts w:hint="eastAsia" w:ascii="Times New Roman" w:hAnsi="Times New Roman" w:eastAsia="宋体" w:cs="宋体"/>
          <w:color w:val="000000" w:themeColor="text1"/>
          <w:highlight w:val="none"/>
          <w:shd w:val="clear" w:color="auto" w:fill="ffffff"/>
        </w:rPr>
        <w:t xml:space="preserve">在中国境内生产。</w:t>
      </w:r>
      <w:r>
        <w:rPr>
          <w:rStyle w:val="911"/>
          <w:rFonts w:hint="eastAsia" w:ascii="Times New Roman" w:hAnsi="Times New Roman" w:eastAsia="宋体" w:cs="宋体"/>
          <w:i w:val="0"/>
          <w:color w:val="000000" w:themeColor="text1"/>
          <w:highlight w:val="none"/>
          <w:u w:val="single"/>
          <w:shd w:val="clear" w:color="auto" w:fill="ffffff"/>
        </w:rPr>
        <w:t xml:space="preserve">（产品名称1）</w:t>
      </w:r>
      <w:r>
        <w:rPr>
          <w:rFonts w:hint="eastAsia" w:ascii="Times New Roman" w:hAnsi="Times New Roman" w:eastAsia="宋体" w:cs="宋体"/>
          <w:color w:val="000000" w:themeColor="text1"/>
          <w:highlight w:val="none"/>
          <w:shd w:val="clear" w:color="auto" w:fill="ffffff"/>
        </w:rPr>
        <w:t xml:space="preserve">的</w:t>
      </w:r>
      <w:r>
        <w:rPr>
          <w:rStyle w:val="911"/>
          <w:rFonts w:hint="eastAsia" w:ascii="Times New Roman" w:hAnsi="Times New Roman" w:eastAsia="宋体" w:cs="宋体"/>
          <w:i w:val="0"/>
          <w:color w:val="000000" w:themeColor="text1"/>
          <w:highlight w:val="none"/>
          <w:u w:val="single"/>
          <w:shd w:val="clear" w:color="auto" w:fill="ffffff"/>
        </w:rPr>
        <w:t xml:space="preserve">（关键工序）</w:t>
      </w:r>
      <w:r>
        <w:rPr>
          <w:rFonts w:hint="eastAsia" w:ascii="Times New Roman" w:hAnsi="Times New Roman" w:eastAsia="宋体" w:cs="宋体"/>
          <w:color w:val="000000" w:themeColor="text1"/>
          <w:highlight w:val="none"/>
          <w:shd w:val="clear" w:color="auto" w:fill="ffffff"/>
        </w:rPr>
        <w:t xml:space="preserve">在中国境内完成。</w:t>
      </w:r>
      <w:r>
        <w:rPr>
          <w:color w:val="000000" w:themeColor="text1"/>
        </w:rPr>
      </w:r>
      <w:r/>
    </w:p>
    <w:p>
      <w:pPr>
        <w:pStyle w:val="906"/>
        <w:ind w:firstLine="420"/>
        <w:pageBreakBefore w:val="0"/>
        <w:spacing w:beforeAutospacing="0" w:afterAutospacing="0"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shd w:val="clear" w:color="auto" w:fill="ffffff"/>
        </w:rPr>
        <w:t xml:space="preserve">……</w:t>
      </w:r>
      <w:r>
        <w:rPr>
          <w:color w:val="000000" w:themeColor="text1"/>
        </w:rPr>
      </w:r>
      <w:r/>
    </w:p>
    <w:p>
      <w:pPr>
        <w:pStyle w:val="906"/>
        <w:ind w:firstLine="420"/>
        <w:pageBreakBefore w:val="0"/>
        <w:spacing w:beforeAutospacing="0" w:afterAutospacing="0"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shd w:val="clear" w:color="auto" w:fill="ffffff"/>
        </w:rPr>
        <w:t xml:space="preserve">本公司（单位）对上述声明内容的真实性负责。如有虚假，愿承担相应法律责任。</w:t>
      </w:r>
      <w:r>
        <w:rPr>
          <w:color w:val="000000" w:themeColor="text1"/>
        </w:rPr>
      </w:r>
      <w:r/>
    </w:p>
    <w:p>
      <w:pPr>
        <w:pStyle w:val="906"/>
        <w:pageBreakBefore w:val="0"/>
        <w:spacing w:beforeAutospacing="0" w:afterAutospacing="0"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r>
      <w:r>
        <w:rPr>
          <w:color w:val="000000" w:themeColor="text1"/>
        </w:rPr>
      </w:r>
      <w:r/>
    </w:p>
    <w:p>
      <w:pPr>
        <w:pStyle w:val="906"/>
        <w:ind w:right="480" w:firstLine="3720"/>
        <w:pageBreakBefore w:val="0"/>
        <w:spacing w:beforeAutospacing="0" w:afterAutospacing="0"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shd w:val="clear" w:color="auto" w:fill="ffffff"/>
        </w:rPr>
        <w:t xml:space="preserve">公司（单位）名称（盖章）：　        </w:t>
      </w:r>
      <w:r>
        <w:rPr>
          <w:color w:val="000000" w:themeColor="text1"/>
        </w:rPr>
      </w:r>
      <w:r/>
    </w:p>
    <w:p>
      <w:pPr>
        <w:pStyle w:val="906"/>
        <w:jc w:val="center"/>
        <w:pageBreakBefore w:val="0"/>
        <w:spacing w:beforeAutospacing="0" w:afterAutospacing="0"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shd w:val="clear" w:color="auto" w:fill="ffffff"/>
        </w:rPr>
        <w:t xml:space="preserve">                                日期：　   年　  月　  日         </w:t>
      </w:r>
      <w:r>
        <w:rPr>
          <w:color w:val="000000" w:themeColor="text1"/>
        </w:rPr>
      </w:r>
      <w:r/>
    </w:p>
    <w:p>
      <w:pPr>
        <w:pStyle w:val="906"/>
        <w:pageBreakBefore w:val="0"/>
        <w:spacing w:beforeAutospacing="0" w:afterAutospacing="0" w:line="360" w:lineRule="auto"/>
        <w:rPr>
          <w:rFonts w:hint="eastAsia"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shd w:val="clear" w:color="auto" w:fill="ffffff"/>
        </w:rPr>
        <w:t xml:space="preserve">__________________</w:t>
      </w:r>
      <w:r>
        <w:rPr>
          <w:color w:val="000000" w:themeColor="text1"/>
        </w:rPr>
      </w:r>
      <w:r/>
    </w:p>
    <w:p>
      <w:pPr>
        <w:pStyle w:val="906"/>
        <w:pageBreakBefore w:val="0"/>
        <w:spacing w:beforeAutospacing="0" w:afterAutospacing="0" w:line="360" w:lineRule="auto"/>
        <w:rPr>
          <w:rFonts w:hint="eastAsia" w:ascii="Times New Roman" w:hAnsi="Times New Roman" w:eastAsia="宋体" w:cs="宋体"/>
          <w:color w:val="000000" w:themeColor="text1"/>
          <w:sz w:val="22"/>
          <w:highlight w:val="none"/>
        </w:rPr>
      </w:pPr>
      <w:r>
        <w:rPr>
          <w:rFonts w:hint="eastAsia" w:ascii="Times New Roman" w:hAnsi="Times New Roman" w:eastAsia="宋体" w:cs="宋体"/>
          <w:color w:val="000000" w:themeColor="text1"/>
          <w:sz w:val="22"/>
          <w:highlight w:val="none"/>
          <w:shd w:val="clear" w:color="auto" w:fill="ffffff"/>
        </w:rPr>
        <w:t xml:space="preserve">1.产品如有型号，请在“产品名称”栏一并填写。</w:t>
      </w:r>
      <w:r>
        <w:rPr>
          <w:color w:val="000000" w:themeColor="text1"/>
        </w:rPr>
      </w:r>
      <w:r/>
    </w:p>
    <w:p>
      <w:pPr>
        <w:pStyle w:val="906"/>
        <w:pageBreakBefore w:val="0"/>
        <w:spacing w:beforeAutospacing="0" w:afterAutospacing="0" w:line="360" w:lineRule="auto"/>
        <w:rPr>
          <w:rFonts w:hint="eastAsia" w:ascii="Times New Roman" w:hAnsi="Times New Roman" w:eastAsia="宋体" w:cs="宋体"/>
          <w:color w:val="000000" w:themeColor="text1"/>
          <w:sz w:val="22"/>
          <w:highlight w:val="none"/>
        </w:rPr>
      </w:pPr>
      <w:r>
        <w:rPr>
          <w:rFonts w:hint="eastAsia" w:ascii="Times New Roman" w:hAnsi="Times New Roman" w:eastAsia="宋体" w:cs="宋体"/>
          <w:color w:val="000000" w:themeColor="text1"/>
          <w:sz w:val="22"/>
          <w:highlight w:val="none"/>
          <w:shd w:val="clear" w:color="auto" w:fill="ffffff"/>
        </w:rPr>
        <w:t xml:space="preserve">2.生产厂名与厂址应与生产厂营业执照载明的相关信息保持一致。</w:t>
      </w:r>
      <w:r>
        <w:rPr>
          <w:color w:val="000000" w:themeColor="text1"/>
        </w:rPr>
      </w:r>
      <w:r/>
    </w:p>
    <w:p>
      <w:pPr>
        <w:pStyle w:val="906"/>
        <w:pageBreakBefore w:val="0"/>
        <w:spacing w:beforeAutospacing="0" w:afterAutospacing="0" w:line="360" w:lineRule="auto"/>
        <w:rPr>
          <w:rFonts w:hint="eastAsia" w:ascii="Times New Roman" w:hAnsi="Times New Roman" w:eastAsia="宋体" w:cs="宋体"/>
          <w:color w:val="000000" w:themeColor="text1"/>
          <w:sz w:val="22"/>
          <w:highlight w:val="none"/>
        </w:rPr>
      </w:pPr>
      <w:r>
        <w:rPr>
          <w:rFonts w:hint="eastAsia" w:ascii="Times New Roman" w:hAnsi="Times New Roman" w:eastAsia="宋体" w:cs="宋体"/>
          <w:color w:val="000000" w:themeColor="text1"/>
          <w:sz w:val="22"/>
          <w:highlight w:val="none"/>
          <w:shd w:val="clear" w:color="auto" w:fill="ffffff"/>
        </w:rPr>
        <w:t xml:space="preserve">3.该产品的中国境内生产的组件成本占比相关要求实施前，“规定比例”栏可不填，下同。</w:t>
      </w:r>
      <w:r>
        <w:rPr>
          <w:color w:val="000000" w:themeColor="text1"/>
        </w:rPr>
      </w:r>
      <w:r/>
    </w:p>
    <w:p>
      <w:pPr>
        <w:pStyle w:val="906"/>
        <w:pageBreakBefore w:val="0"/>
        <w:spacing w:beforeAutospacing="0" w:afterAutospacing="0" w:line="360" w:lineRule="auto"/>
        <w:rPr>
          <w:rFonts w:hint="eastAsia" w:ascii="Times New Roman" w:hAnsi="Times New Roman" w:eastAsia="宋体" w:cs="宋体"/>
          <w:color w:val="000000" w:themeColor="text1"/>
          <w:sz w:val="22"/>
          <w:highlight w:val="none"/>
        </w:rPr>
      </w:pPr>
      <w:r>
        <w:rPr>
          <w:rFonts w:hint="eastAsia" w:ascii="Times New Roman" w:hAnsi="Times New Roman" w:eastAsia="宋体" w:cs="宋体"/>
          <w:color w:val="000000" w:themeColor="text1"/>
          <w:sz w:val="22"/>
          <w:highlight w:val="none"/>
          <w:shd w:val="clear" w:color="auto" w:fill="ffffff"/>
        </w:rPr>
        <w:t xml:space="preserve">4.该产品的关键组件要求实施前，“关键组件”栏可不填，下同。</w:t>
      </w:r>
      <w:r>
        <w:rPr>
          <w:color w:val="000000" w:themeColor="text1"/>
        </w:rPr>
      </w:r>
      <w:r/>
    </w:p>
    <w:p>
      <w:pPr>
        <w:pStyle w:val="906"/>
        <w:pageBreakBefore w:val="0"/>
        <w:spacing w:beforeAutospacing="0" w:afterAutospacing="0" w:line="360" w:lineRule="auto"/>
        <w:rPr>
          <w:rFonts w:hint="eastAsia" w:ascii="Times New Roman" w:hAnsi="Times New Roman" w:eastAsia="宋体" w:cs="宋体"/>
          <w:color w:val="000000" w:themeColor="text1"/>
          <w:sz w:val="22"/>
          <w:highlight w:val="none"/>
          <w:shd w:val="clear" w:color="auto" w:fill="ffffff"/>
        </w:rPr>
      </w:pPr>
      <w:r>
        <w:rPr>
          <w:rFonts w:hint="eastAsia" w:ascii="Times New Roman" w:hAnsi="Times New Roman" w:eastAsia="宋体" w:cs="宋体"/>
          <w:color w:val="000000" w:themeColor="text1"/>
          <w:sz w:val="22"/>
          <w:highlight w:val="none"/>
          <w:shd w:val="clear" w:color="auto" w:fill="ffffff"/>
        </w:rPr>
        <w:t xml:space="preserve">5.该产品的关键工序要求实施前，“关键工序”栏可不填，下同。</w:t>
      </w:r>
      <w:r>
        <w:rPr>
          <w:color w:val="000000" w:themeColor="text1"/>
        </w:rPr>
      </w:r>
      <w:r/>
    </w:p>
    <w:p>
      <w:pPr>
        <w:pStyle w:val="906"/>
        <w:pageBreakBefore w:val="0"/>
        <w:spacing w:beforeAutospacing="0" w:afterAutospacing="0" w:line="360" w:lineRule="auto"/>
        <w:rPr>
          <w:rFonts w:hint="eastAsia" w:ascii="Times New Roman" w:hAnsi="Times New Roman" w:eastAsia="宋体" w:cs="宋体"/>
          <w:color w:val="000000" w:themeColor="text1"/>
          <w:sz w:val="22"/>
          <w:highlight w:val="none"/>
          <w:shd w:val="clear" w:color="auto" w:fill="ffffff"/>
        </w:rPr>
      </w:pPr>
      <w:r>
        <w:rPr>
          <w:rFonts w:hint="eastAsia" w:ascii="Times New Roman" w:hAnsi="Times New Roman" w:eastAsia="宋体" w:cs="宋体"/>
          <w:color w:val="000000" w:themeColor="text1"/>
          <w:sz w:val="22"/>
          <w:highlight w:val="none"/>
          <w:shd w:val="clear" w:color="auto" w:fill="ffffff"/>
        </w:rPr>
        <w:t xml:space="preserve">6.用斜线划除的地方无需填写。</w:t>
      </w:r>
      <w:r>
        <w:rPr>
          <w:color w:val="000000" w:themeColor="text1"/>
        </w:rPr>
      </w:r>
      <w:r/>
    </w:p>
    <w:p>
      <w:pPr>
        <w:jc w:val="left"/>
        <w:pageBreakBefore w:val="0"/>
        <w:spacing w:line="360" w:lineRule="auto"/>
        <w:widowControl/>
        <w:rPr>
          <w:rFonts w:ascii="Times New Roman" w:hAnsi="Times New Roman" w:eastAsia="宋体" w:cs="Arial"/>
          <w:b/>
          <w:bCs/>
          <w:color w:val="000000" w:themeColor="text1"/>
          <w:highlight w:val="none"/>
        </w:rPr>
      </w:pPr>
      <w:r>
        <w:rPr>
          <w:rFonts w:ascii="Times New Roman" w:hAnsi="Times New Roman" w:eastAsia="宋体" w:cs="Arial"/>
          <w:b/>
          <w:bCs/>
          <w:color w:val="000000" w:themeColor="text1"/>
          <w:highlight w:val="none"/>
        </w:rPr>
      </w:r>
      <w:r>
        <w:rPr>
          <w:color w:val="000000" w:themeColor="text1"/>
        </w:rPr>
      </w:r>
      <w:r/>
    </w:p>
    <w:p>
      <w:pPr>
        <w:pStyle w:val="887"/>
        <w:pageBreakBefore w:val="0"/>
        <w:spacing w:before="0" w:after="0" w:line="360" w:lineRule="auto"/>
        <w:rPr>
          <w:rFonts w:ascii="Times New Roman" w:hAnsi="Times New Roman" w:eastAsia="宋体"/>
          <w:color w:val="000000" w:themeColor="text1"/>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000000" w:themeColor="text1"/>
        </w:rPr>
      </w:r>
      <w:bookmarkStart w:id="80" w:name="_Toc19910"/>
      <w:r>
        <w:rPr>
          <w:color w:val="000000" w:themeColor="text1"/>
        </w:rPr>
      </w:r>
      <w:r/>
    </w:p>
    <w:p>
      <w:pPr>
        <w:pStyle w:val="887"/>
        <w:pageBreakBefore w:val="0"/>
        <w:spacing w:before="0" w:after="0" w:line="360" w:lineRule="auto"/>
        <w:rPr>
          <w:rFonts w:ascii="Times New Roman" w:hAnsi="Times New Roman" w:eastAsia="宋体"/>
          <w:color w:val="000000" w:themeColor="text1"/>
          <w:sz w:val="32"/>
          <w:highlight w:val="none"/>
        </w:rPr>
      </w:pPr>
      <w:r>
        <w:rPr>
          <w:color w:val="000000" w:themeColor="text1"/>
        </w:rPr>
      </w:r>
      <w:bookmarkStart w:id="81" w:name="_Toc24459"/>
      <w:r>
        <w:rPr>
          <w:color w:val="000000" w:themeColor="text1"/>
        </w:rPr>
      </w:r>
      <w:bookmarkStart w:id="82" w:name="_Toc24565"/>
      <w:r>
        <w:rPr>
          <w:color w:val="000000" w:themeColor="text1"/>
        </w:rPr>
      </w:r>
      <w:bookmarkStart w:id="83" w:name="_Toc29012"/>
      <w:r>
        <w:rPr>
          <w:color w:val="000000" w:themeColor="text1"/>
        </w:rPr>
      </w:r>
      <w:bookmarkStart w:id="84" w:name="_Toc8142"/>
      <w:r>
        <w:rPr>
          <w:rFonts w:hint="eastAsia" w:ascii="Times New Roman" w:hAnsi="Times New Roman" w:eastAsia="宋体"/>
          <w:color w:val="000000" w:themeColor="text1"/>
          <w:sz w:val="32"/>
          <w:highlight w:val="none"/>
        </w:rPr>
        <w:t xml:space="preserve">四、开标一览表</w:t>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r/>
    </w:p>
    <w:p>
      <w:pPr>
        <w:ind w:firstLine="48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项目名称：</w:t>
      </w:r>
      <w:r>
        <w:rPr>
          <w:color w:val="000000" w:themeColor="text1"/>
        </w:rPr>
      </w:r>
      <w:r/>
    </w:p>
    <w:p>
      <w:pPr>
        <w:ind w:firstLine="48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项目编号：</w:t>
      </w:r>
      <w:r>
        <w:rPr>
          <w:color w:val="000000" w:themeColor="text1"/>
        </w:rPr>
      </w:r>
      <w:r/>
    </w:p>
    <w:p>
      <w:pPr>
        <w:ind w:firstLine="480"/>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分包号（如有）：</w:t>
      </w:r>
      <w:r>
        <w:rPr>
          <w:color w:val="000000" w:themeColor="text1"/>
        </w:rPr>
      </w:r>
      <w:r/>
    </w:p>
    <w:p>
      <w:pPr>
        <w:ind w:firstLine="480"/>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bl>
      <w:tblPr>
        <w:tblStyle w:val="890"/>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94"/>
              <w:pageBreakBefore w:val="0"/>
              <w:spacing w:line="360" w:lineRule="auto"/>
              <w:rPr>
                <w:rFonts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投标服务名称</w:t>
            </w:r>
            <w:r>
              <w:rPr>
                <w:color w:val="000000" w:themeColor="text1"/>
              </w:rPr>
            </w:r>
            <w:r/>
          </w:p>
        </w:tc>
        <w:tc>
          <w:tcPr>
            <w:tcW w:w="6405" w:type="dxa"/>
            <w:vAlign w:val="center"/>
            <w:textDirection w:val="lrTb"/>
            <w:noWrap w:val="false"/>
          </w:tcPr>
          <w:p>
            <w:pPr>
              <w:jc w:val="center"/>
              <w:pageBreakBefore w:val="0"/>
              <w:spacing w:line="360" w:lineRule="auto"/>
              <w:rPr>
                <w:rFonts w:hint="eastAsia"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投标报价</w:t>
            </w:r>
            <w:r>
              <w:rPr>
                <w:rFonts w:hint="eastAsia" w:ascii="Times New Roman" w:hAnsi="Times New Roman" w:eastAsia="宋体"/>
                <w:color w:val="000000" w:themeColor="text1"/>
                <w:szCs w:val="21"/>
                <w:highlight w:val="none"/>
                <w:lang w:eastAsia="zh-CN"/>
              </w:rPr>
              <w:t xml:space="preserve">（</w:t>
            </w:r>
            <w:r>
              <w:rPr>
                <w:rFonts w:hint="eastAsia" w:ascii="Times New Roman" w:hAnsi="Times New Roman" w:eastAsia="宋体"/>
                <w:color w:val="000000" w:themeColor="text1"/>
                <w:szCs w:val="21"/>
                <w:highlight w:val="none"/>
                <w:lang w:val="en-US" w:eastAsia="zh-CN"/>
              </w:rPr>
              <w:t xml:space="preserve">按</w:t>
            </w:r>
            <w:r>
              <w:rPr>
                <w:rFonts w:hint="eastAsia" w:ascii="Times New Roman" w:hAnsi="Times New Roman" w:eastAsia="宋体"/>
                <w:color w:val="000000" w:themeColor="text1"/>
                <w:szCs w:val="21"/>
                <w:highlight w:val="none"/>
                <w:lang w:val="en-US" w:eastAsia="zh-CN"/>
              </w:rPr>
              <w:t xml:space="preserve">1</w:t>
            </w:r>
            <w:r>
              <w:rPr>
                <w:rFonts w:hint="eastAsia" w:ascii="Times New Roman" w:hAnsi="Times New Roman" w:eastAsia="宋体"/>
                <w:color w:val="000000" w:themeColor="text1"/>
                <w:szCs w:val="21"/>
                <w:highlight w:val="none"/>
                <w:lang w:val="en-US" w:eastAsia="zh-CN"/>
              </w:rPr>
              <w:t xml:space="preserve">年期报价</w:t>
            </w:r>
            <w:r>
              <w:rPr>
                <w:rFonts w:hint="eastAsia" w:ascii="Times New Roman" w:hAnsi="Times New Roman" w:eastAsia="宋体"/>
                <w:color w:val="000000" w:themeColor="text1"/>
                <w:szCs w:val="21"/>
                <w:highlight w:val="none"/>
                <w:lang w:eastAsia="zh-CN"/>
              </w:rPr>
              <w:t xml:space="preserve">）</w:t>
            </w:r>
            <w:r>
              <w:rPr>
                <w:color w:val="000000" w:themeColor="text1"/>
              </w:rPr>
            </w:r>
            <w:r/>
          </w:p>
        </w:tc>
      </w:tr>
      <w:tr>
        <w:trPr>
          <w:cantSplit/>
          <w:trHeight w:val="1697"/>
        </w:trPr>
        <w:tc>
          <w:tcPr>
            <w:tcW w:w="2481" w:type="dxa"/>
            <w:vAlign w:val="center"/>
            <w:textDirection w:val="lrTb"/>
            <w:noWrap w:val="false"/>
          </w:tcPr>
          <w:p>
            <w:pPr>
              <w:pStyle w:val="894"/>
              <w:pageBreakBefore w:val="0"/>
              <w:spacing w:line="360" w:lineRule="auto"/>
              <w:rPr>
                <w:rFonts w:ascii="Times New Roman" w:hAnsi="Times New Roman" w:eastAsia="宋体" w:cs="宋体"/>
                <w:color w:val="000000" w:themeColor="text1"/>
                <w:sz w:val="21"/>
                <w:szCs w:val="21"/>
                <w:highlight w:val="none"/>
              </w:rPr>
            </w:pPr>
            <w:r>
              <w:rPr>
                <w:rFonts w:ascii="Times New Roman" w:hAnsi="Times New Roman" w:eastAsia="宋体" w:cs="宋体"/>
                <w:color w:val="000000" w:themeColor="text1"/>
                <w:sz w:val="21"/>
                <w:szCs w:val="21"/>
                <w:highlight w:val="none"/>
              </w:rPr>
            </w:r>
            <w:r>
              <w:rPr>
                <w:color w:val="000000" w:themeColor="text1"/>
              </w:rPr>
            </w:r>
            <w:r/>
          </w:p>
        </w:tc>
        <w:tc>
          <w:tcPr>
            <w:tcW w:w="6405" w:type="dxa"/>
            <w:vAlign w:val="center"/>
            <w:textDirection w:val="lrTb"/>
            <w:noWrap w:val="false"/>
          </w:tcPr>
          <w:p>
            <w:pPr>
              <w:pStyle w:val="922"/>
              <w:ind w:firstLine="0"/>
              <w:pageBreakBefore w:val="0"/>
              <w:spacing w:before="0" w:after="0" w:line="360" w:lineRule="auto"/>
              <w:rPr>
                <w:rFonts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大写：</w:t>
            </w:r>
            <w:r>
              <w:rPr>
                <w:color w:val="000000" w:themeColor="text1"/>
              </w:rPr>
            </w:r>
            <w:r/>
          </w:p>
          <w:p>
            <w:pPr>
              <w:pStyle w:val="922"/>
              <w:ind w:firstLine="0"/>
              <w:pageBreakBefore w:val="0"/>
              <w:spacing w:before="0" w:after="0" w:line="360" w:lineRule="auto"/>
              <w:rPr>
                <w:rFonts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小写：（人民币）</w:t>
            </w:r>
            <w:r>
              <w:rPr>
                <w:color w:val="000000" w:themeColor="text1"/>
              </w:rPr>
            </w:r>
            <w:r/>
          </w:p>
          <w:p>
            <w:pPr>
              <w:pStyle w:val="922"/>
              <w:ind w:firstLine="0"/>
              <w:pageBreakBefore w:val="0"/>
              <w:spacing w:before="0" w:after="0" w:line="360" w:lineRule="auto"/>
              <w:rPr>
                <w:rFonts w:ascii="Times New Roman" w:hAnsi="Times New Roman" w:eastAsia="宋体" w:cs="宋体"/>
                <w:color w:val="000000" w:themeColor="text1"/>
                <w:sz w:val="21"/>
                <w:szCs w:val="21"/>
                <w:highlight w:val="none"/>
              </w:rPr>
            </w:pPr>
            <w:r>
              <w:rPr>
                <w:rFonts w:ascii="Times New Roman" w:hAnsi="Times New Roman" w:eastAsia="宋体" w:cs="宋体"/>
                <w:color w:val="000000" w:themeColor="text1"/>
                <w:sz w:val="21"/>
                <w:szCs w:val="21"/>
                <w:highlight w:val="none"/>
              </w:rPr>
            </w:r>
            <w:r>
              <w:rPr>
                <w:color w:val="000000" w:themeColor="text1"/>
              </w:rPr>
            </w:r>
            <w:r/>
          </w:p>
        </w:tc>
      </w:tr>
    </w:tbl>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p>
      <w:pPr>
        <w:ind w:firstLine="480"/>
        <w:pageBreakBefore w:val="0"/>
        <w:spacing w:line="360" w:lineRule="auto"/>
        <w:rPr>
          <w:rFonts w:ascii="Times New Roman" w:hAnsi="Times New Roman" w:eastAsia="宋体"/>
          <w:color w:val="000000" w:themeColor="text1"/>
          <w:sz w:val="32"/>
          <w:szCs w:val="32"/>
          <w:highlight w:val="none"/>
        </w:rPr>
      </w:pPr>
      <w:r>
        <w:rPr>
          <w:rFonts w:hint="eastAsia" w:ascii="Times New Roman" w:hAnsi="Times New Roman" w:eastAsia="宋体"/>
          <w:color w:val="000000" w:themeColor="text1"/>
          <w:szCs w:val="21"/>
          <w:highlight w:val="none"/>
        </w:rPr>
        <w:t xml:space="preserve">日期：</w:t>
      </w: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rPr>
        <w:t xml:space="preserve">年</w:t>
      </w: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rPr>
        <w:t xml:space="preserve">月</w:t>
      </w:r>
      <w:r>
        <w:rPr>
          <w:rFonts w:hint="eastAsia" w:ascii="Times New Roman" w:hAnsi="Times New Roman" w:eastAsia="宋体"/>
          <w:color w:val="000000" w:themeColor="text1"/>
          <w:szCs w:val="21"/>
          <w:highlight w:val="none"/>
          <w:lang w:val="en-US" w:eastAsia="zh-CN"/>
        </w:rPr>
        <w:t xml:space="preserve">  </w:t>
      </w:r>
      <w:r>
        <w:rPr>
          <w:rFonts w:hint="eastAsia" w:ascii="Times New Roman" w:hAnsi="Times New Roman" w:eastAsia="宋体"/>
          <w:color w:val="000000" w:themeColor="text1"/>
          <w:szCs w:val="21"/>
          <w:highlight w:val="none"/>
        </w:rPr>
        <w:t xml:space="preserve">日</w:t>
      </w:r>
      <w:r>
        <w:rPr>
          <w:color w:val="000000" w:themeColor="text1"/>
        </w:rPr>
      </w:r>
      <w:r/>
    </w:p>
    <w:p>
      <w:pPr>
        <w:jc w:val="both"/>
        <w:pageBreakBefore w:val="0"/>
        <w:spacing w:line="360" w:lineRule="auto"/>
        <w:rPr>
          <w:rFonts w:hint="eastAsia"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lang w:val="en-US" w:eastAsia="zh-CN"/>
        </w:rPr>
      </w:r>
      <w:r>
        <w:rPr>
          <w:color w:val="000000" w:themeColor="text1"/>
        </w:rPr>
      </w:r>
      <w:r/>
    </w:p>
    <w:p>
      <w:pPr>
        <w:pStyle w:val="962"/>
        <w:jc w:val="center"/>
        <w:pageBreakBefore w:val="0"/>
        <w:spacing w:after="0" w:line="360" w:lineRule="auto"/>
        <w:rPr>
          <w:rFonts w:hint="eastAsia" w:ascii="Times New Roman" w:hAnsi="Times New Roman" w:eastAsia="宋体"/>
          <w:b/>
          <w:bCs/>
          <w:color w:val="000000" w:themeColor="text1"/>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000000" w:themeColor="text1"/>
        </w:rPr>
      </w:r>
      <w:bookmarkStart w:id="85" w:name="_Toc17891"/>
      <w:r>
        <w:rPr>
          <w:color w:val="000000" w:themeColor="text1"/>
        </w:rPr>
      </w:r>
      <w:r/>
    </w:p>
    <w:p>
      <w:pPr>
        <w:pStyle w:val="962"/>
        <w:jc w:val="center"/>
        <w:pageBreakBefore w:val="0"/>
        <w:spacing w:after="0" w:line="360" w:lineRule="auto"/>
        <w:rPr>
          <w:rFonts w:ascii="Times New Roman" w:hAnsi="Times New Roman" w:eastAsia="宋体"/>
          <w:b/>
          <w:bCs/>
          <w:color w:val="000000" w:themeColor="text1"/>
          <w:sz w:val="24"/>
          <w:szCs w:val="24"/>
          <w:highlight w:val="none"/>
        </w:rPr>
      </w:pPr>
      <w:r>
        <w:rPr>
          <w:rFonts w:hint="eastAsia" w:ascii="Times New Roman" w:hAnsi="Times New Roman" w:eastAsia="宋体"/>
          <w:b/>
          <w:bCs/>
          <w:color w:val="000000" w:themeColor="text1"/>
          <w:sz w:val="32"/>
          <w:highlight w:val="none"/>
        </w:rPr>
        <w:t xml:space="preserve">五、分项报价表</w:t>
      </w:r>
      <w:bookmarkEnd w:id="85"/>
      <w:r>
        <w:rPr>
          <w:color w:val="000000" w:themeColor="text1"/>
        </w:rPr>
      </w:r>
      <w:r/>
    </w:p>
    <w:tbl>
      <w:tblPr>
        <w:tblStyle w:val="890"/>
        <w:tblW w:w="9407" w:type="dxa"/>
        <w:tblInd w:w="0" w:type="dxa"/>
        <w:tblLayout w:type="fixed"/>
        <w:tblCellMar>
          <w:left w:w="0" w:type="dxa"/>
          <w:top w:w="0" w:type="dxa"/>
          <w:right w:w="0" w:type="dxa"/>
          <w:bottom w:w="0" w:type="dxa"/>
        </w:tblCellMar>
        <w:tblLook w:val="04A0" w:firstRow="1" w:lastRow="0" w:firstColumn="1" w:lastColumn="0" w:noHBand="0" w:noVBand="1"/>
      </w:tblPr>
      <w:tblGrid>
        <w:gridCol w:w="611"/>
        <w:gridCol w:w="1472"/>
        <w:gridCol w:w="865"/>
        <w:gridCol w:w="1522"/>
        <w:gridCol w:w="1050"/>
        <w:gridCol w:w="1269"/>
        <w:gridCol w:w="2618"/>
      </w:tblGrid>
      <w:tr>
        <w:trPr>
          <w:trHeight w:val="820"/>
        </w:trPr>
        <w:tc>
          <w:tcPr>
            <w:gridSpan w:val="7"/>
            <w:tcBorders>
              <w:top w:val="none" w:color="000000" w:sz="4" w:space="0"/>
              <w:left w:val="none" w:color="000000" w:sz="4" w:space="0"/>
              <w:bottom w:val="none" w:color="000000" w:sz="4" w:space="0"/>
              <w:right w:val="none" w:color="000000" w:sz="4" w:space="0"/>
            </w:tcBorders>
            <w:tcMar>
              <w:left w:w="15" w:type="dxa"/>
              <w:top w:w="15" w:type="dxa"/>
              <w:right w:w="15" w:type="dxa"/>
            </w:tcMar>
            <w:tcW w:w="9407" w:type="dxa"/>
            <w:vAlign w:val="center"/>
            <w:textDirection w:val="lrTb"/>
            <w:noWrap/>
          </w:tcPr>
          <w:p>
            <w:pPr>
              <w:numPr>
                <w:ilvl w:val="0"/>
                <w:numId w:val="0"/>
              </w:numPr>
              <w:jc w:val="center"/>
              <w:keepLines w:val="0"/>
              <w:keepNext w:val="0"/>
              <w:pageBreakBefore w:val="0"/>
              <w:spacing w:line="360" w:lineRule="auto"/>
              <w:widowControl w:val="off"/>
              <w:rPr>
                <w:rFonts w:hint="eastAsia" w:ascii="Times New Roman" w:hAnsi="Times New Roman" w:eastAsia="宋体" w:cs="宋体"/>
                <w:i w:val="0"/>
                <w:color w:val="000000" w:themeColor="text1"/>
                <w:sz w:val="36"/>
                <w:szCs w:val="36"/>
                <w:highlight w:val="none"/>
                <w:u w:val="none"/>
              </w:rPr>
            </w:pPr>
            <w:r>
              <w:rPr>
                <w:rFonts w:hint="eastAsia" w:ascii="Times New Roman" w:hAnsi="Times New Roman" w:eastAsia="宋体" w:cs="宋体"/>
                <w:i w:val="0"/>
                <w:color w:val="000000" w:themeColor="text1"/>
                <w:sz w:val="30"/>
                <w:szCs w:val="30"/>
                <w:highlight w:val="none"/>
                <w:u w:val="none"/>
                <w:lang w:val="en-US" w:eastAsia="zh-CN" w:bidi="ar"/>
              </w:rPr>
              <w:t xml:space="preserve">1、瘦西湖景区2026年绿化养护项目采购清单汇总表</w:t>
            </w:r>
            <w:r>
              <w:rPr>
                <w:color w:val="000000" w:themeColor="text1"/>
              </w:rPr>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项目名称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数量</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单价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9"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合价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备注</w:t>
            </w:r>
            <w:r>
              <w:rPr>
                <w:color w:val="000000" w:themeColor="text1"/>
              </w:rPr>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绿化养护人工、机械费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627184.7</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9"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18"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单价=养护人工机械费询价分表/绿化面积</w:t>
            </w:r>
            <w:r>
              <w:rPr>
                <w:color w:val="000000" w:themeColor="text1"/>
              </w:rPr>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药剂费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1</w:t>
            </w:r>
            <w:r>
              <w:rPr>
                <w:color w:val="000000" w:themeColor="text1"/>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1050" w:type="dxa"/>
            <w:vAlign w:val="center"/>
            <w:textDirection w:val="lrTb"/>
            <w:noWrap/>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9"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18"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eastAsia="zh-CN"/>
              </w:rPr>
              <w:t xml:space="preserve">见药剂采购清单</w:t>
            </w:r>
            <w:r>
              <w:rPr>
                <w:color w:val="000000" w:themeColor="text1"/>
              </w:rPr>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合计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2"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9"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18" w:type="dxa"/>
            <w:vAlign w:val="center"/>
            <w:textDirection w:val="lrTb"/>
            <w:noWrap w:val="false"/>
          </w:tcPr>
          <w:p>
            <w:pP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r>
      <w:tr>
        <w:trPr>
          <w:trHeight w:val="500"/>
        </w:trPr>
        <w:tc>
          <w:tcPr>
            <w:gridSpan w:val="7"/>
            <w:tcBorders>
              <w:top w:val="none" w:color="000000" w:sz="4" w:space="0"/>
              <w:left w:val="none" w:color="000000" w:sz="4" w:space="0"/>
              <w:bottom w:val="none" w:color="000000" w:sz="4" w:space="0"/>
              <w:right w:val="none" w:color="000000" w:sz="4" w:space="0"/>
            </w:tcBorders>
            <w:tcMar>
              <w:left w:w="15" w:type="dxa"/>
              <w:top w:w="15" w:type="dxa"/>
              <w:right w:w="15" w:type="dxa"/>
            </w:tcMar>
            <w:tcW w:w="9407" w:type="dxa"/>
            <w:vAlign w:val="center"/>
            <w:textDirection w:val="lrTb"/>
            <w:noWrap/>
          </w:tcPr>
          <w:p>
            <w:pPr>
              <w:jc w:val="left"/>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注：</w:t>
            </w:r>
            <w:r>
              <w:rPr>
                <w:color w:val="000000" w:themeColor="text1"/>
              </w:rPr>
            </w:r>
            <w:r/>
          </w:p>
        </w:tc>
      </w:tr>
      <w:tr>
        <w:trPr>
          <w:trHeight w:val="500"/>
        </w:trPr>
        <w:tc>
          <w:tcPr>
            <w:gridSpan w:val="7"/>
            <w:tcBorders>
              <w:top w:val="none" w:color="000000" w:sz="4" w:space="0"/>
              <w:left w:val="none" w:color="000000" w:sz="4" w:space="0"/>
              <w:bottom w:val="none" w:color="000000" w:sz="4" w:space="0"/>
              <w:right w:val="none" w:color="000000" w:sz="4" w:space="0"/>
            </w:tcBorders>
            <w:tcMar>
              <w:left w:w="15" w:type="dxa"/>
              <w:top w:w="15" w:type="dxa"/>
              <w:right w:w="15" w:type="dxa"/>
            </w:tcMar>
            <w:tcW w:w="9407" w:type="dxa"/>
            <w:vAlign w:val="center"/>
            <w:textDirection w:val="lrTb"/>
            <w:noWrap/>
          </w:tcPr>
          <w:p>
            <w:pPr>
              <w:jc w:val="left"/>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1、绿化养护费报价为含税价。</w:t>
            </w:r>
            <w:r>
              <w:rPr>
                <w:color w:val="000000" w:themeColor="text1"/>
              </w:rPr>
            </w:r>
            <w:r/>
          </w:p>
        </w:tc>
      </w:tr>
      <w:tr>
        <w:trPr>
          <w:trHeight w:val="480"/>
        </w:trPr>
        <w:tc>
          <w:tcPr>
            <w:gridSpan w:val="7"/>
            <w:tcBorders>
              <w:top w:val="none" w:color="000000" w:sz="4" w:space="0"/>
              <w:left w:val="none" w:color="000000" w:sz="4" w:space="0"/>
              <w:bottom w:val="none" w:color="000000" w:sz="4" w:space="0"/>
              <w:right w:val="none" w:color="000000" w:sz="4" w:space="0"/>
            </w:tcBorders>
            <w:tcMar>
              <w:left w:w="15" w:type="dxa"/>
              <w:top w:w="15" w:type="dxa"/>
              <w:right w:w="15" w:type="dxa"/>
            </w:tcMar>
            <w:tcW w:w="9407" w:type="dxa"/>
            <w:vAlign w:val="center"/>
            <w:textDirection w:val="lrTb"/>
            <w:noWrap/>
          </w:tcPr>
          <w:p>
            <w:pPr>
              <w:jc w:val="left"/>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2、绿化养护面积结算时不再调整。</w:t>
            </w:r>
            <w:r>
              <w:rPr>
                <w:color w:val="000000" w:themeColor="text1"/>
              </w:rPr>
            </w:r>
            <w:r/>
          </w:p>
        </w:tc>
      </w:tr>
    </w:tbl>
    <w:p>
      <w:pPr>
        <w:numPr>
          <w:ilvl w:val="0"/>
          <w:numId w:val="0"/>
        </w:numPr>
        <w:keepLines w:val="0"/>
        <w:keepNext w:val="0"/>
        <w:pageBreakBefore w:val="0"/>
        <w:spacing w:line="360" w:lineRule="auto"/>
        <w:widowControl w:val="off"/>
        <w:rPr>
          <w:rFonts w:hint="eastAsia" w:ascii="Times New Roman" w:hAnsi="Times New Roman" w:eastAsia="宋体" w:cs="宋体"/>
          <w:b w:val="0"/>
          <w:bCs w:val="0"/>
          <w:color w:val="000000" w:themeColor="text1"/>
          <w:sz w:val="28"/>
          <w:szCs w:val="28"/>
          <w:highlight w:val="none"/>
        </w:rPr>
      </w:pPr>
      <w:r>
        <w:rPr>
          <w:rFonts w:hint="eastAsia" w:ascii="Times New Roman" w:hAnsi="Times New Roman" w:eastAsia="宋体" w:cs="宋体"/>
          <w:b w:val="0"/>
          <w:bCs w:val="0"/>
          <w:color w:val="000000" w:themeColor="text1"/>
          <w:sz w:val="28"/>
          <w:szCs w:val="28"/>
          <w:highlight w:val="none"/>
          <w:lang w:val="en-US" w:eastAsia="zh-CN"/>
        </w:rPr>
      </w:r>
      <w:r>
        <w:rPr>
          <w:color w:val="000000" w:themeColor="text1"/>
        </w:rPr>
      </w:r>
      <w:r/>
    </w:p>
    <w:p>
      <w:pPr>
        <w:numPr>
          <w:ilvl w:val="0"/>
          <w:numId w:val="0"/>
        </w:numPr>
        <w:keepLines w:val="0"/>
        <w:keepNext w:val="0"/>
        <w:pageBreakBefore w:val="0"/>
        <w:spacing w:line="360" w:lineRule="auto"/>
        <w:widowControl w:val="off"/>
        <w:rPr>
          <w:rFonts w:hint="eastAsia" w:ascii="Times New Roman" w:hAnsi="Times New Roman" w:eastAsia="宋体" w:cs="宋体"/>
          <w:b w:val="0"/>
          <w:bCs w:val="0"/>
          <w:color w:val="000000" w:themeColor="text1"/>
          <w:sz w:val="28"/>
          <w:szCs w:val="28"/>
          <w:highlight w:val="none"/>
        </w:rPr>
      </w:pPr>
      <w:r>
        <w:rPr>
          <w:rFonts w:hint="eastAsia" w:ascii="Times New Roman" w:hAnsi="Times New Roman" w:eastAsia="宋体" w:cs="宋体"/>
          <w:b w:val="0"/>
          <w:bCs w:val="0"/>
          <w:color w:val="000000" w:themeColor="text1"/>
          <w:sz w:val="28"/>
          <w:szCs w:val="28"/>
          <w:highlight w:val="none"/>
          <w:lang w:val="en-US" w:eastAsia="zh-CN"/>
        </w:rPr>
      </w:r>
      <w:r>
        <w:rPr>
          <w:color w:val="000000" w:themeColor="text1"/>
        </w:rPr>
      </w:r>
      <w:r/>
    </w:p>
    <w:p>
      <w:pPr>
        <w:numPr>
          <w:ilvl w:val="0"/>
          <w:numId w:val="0"/>
        </w:numPr>
        <w:keepLines w:val="0"/>
        <w:keepNext w:val="0"/>
        <w:pageBreakBefore w:val="0"/>
        <w:spacing w:line="360" w:lineRule="auto"/>
        <w:widowControl w:val="off"/>
        <w:rPr>
          <w:rFonts w:hint="eastAsia" w:ascii="Times New Roman" w:hAnsi="Times New Roman" w:eastAsia="宋体" w:cs="宋体"/>
          <w:b w:val="0"/>
          <w:bCs w:val="0"/>
          <w:color w:val="000000" w:themeColor="text1"/>
          <w:sz w:val="28"/>
          <w:szCs w:val="28"/>
          <w:highlight w:val="none"/>
        </w:rPr>
      </w:pPr>
      <w:r>
        <w:rPr>
          <w:rFonts w:hint="eastAsia" w:ascii="Times New Roman" w:hAnsi="Times New Roman" w:eastAsia="宋体" w:cs="宋体"/>
          <w:b w:val="0"/>
          <w:bCs w:val="0"/>
          <w:color w:val="000000" w:themeColor="text1"/>
          <w:sz w:val="28"/>
          <w:szCs w:val="28"/>
          <w:highlight w:val="none"/>
          <w:lang w:val="en-US" w:eastAsia="zh-CN"/>
        </w:rPr>
      </w:r>
      <w:r>
        <w:rPr>
          <w:color w:val="000000" w:themeColor="text1"/>
        </w:rPr>
      </w:r>
      <w:r/>
    </w:p>
    <w:p>
      <w:pPr>
        <w:numPr>
          <w:ilvl w:val="0"/>
          <w:numId w:val="0"/>
        </w:numPr>
        <w:keepLines w:val="0"/>
        <w:keepNext w:val="0"/>
        <w:pageBreakBefore w:val="0"/>
        <w:spacing w:line="360" w:lineRule="auto"/>
        <w:widowControl w:val="off"/>
        <w:rPr>
          <w:rFonts w:hint="eastAsia" w:ascii="Times New Roman" w:hAnsi="Times New Roman" w:eastAsia="宋体" w:cs="宋体"/>
          <w:b w:val="0"/>
          <w:bCs w:val="0"/>
          <w:color w:val="000000" w:themeColor="text1"/>
          <w:sz w:val="28"/>
          <w:szCs w:val="28"/>
          <w:highlight w:val="none"/>
        </w:rPr>
      </w:pPr>
      <w:r>
        <w:rPr>
          <w:rFonts w:hint="eastAsia" w:ascii="Times New Roman" w:hAnsi="Times New Roman" w:eastAsia="宋体" w:cs="宋体"/>
          <w:b w:val="0"/>
          <w:bCs w:val="0"/>
          <w:color w:val="000000" w:themeColor="text1"/>
          <w:sz w:val="28"/>
          <w:szCs w:val="28"/>
          <w:highlight w:val="none"/>
          <w:lang w:val="en-US" w:eastAsia="zh-CN"/>
        </w:rPr>
      </w:r>
      <w:r>
        <w:rPr>
          <w:color w:val="000000" w:themeColor="text1"/>
        </w:rPr>
      </w:r>
      <w:r/>
    </w:p>
    <w:p>
      <w:pPr>
        <w:numPr>
          <w:ilvl w:val="0"/>
          <w:numId w:val="0"/>
        </w:numPr>
        <w:keepLines w:val="0"/>
        <w:keepNext w:val="0"/>
        <w:pageBreakBefore w:val="0"/>
        <w:spacing w:line="360" w:lineRule="auto"/>
        <w:widowControl w:val="off"/>
        <w:rPr>
          <w:rFonts w:hint="eastAsia" w:ascii="Times New Roman" w:hAnsi="Times New Roman" w:eastAsia="宋体" w:cs="宋体"/>
          <w:b w:val="0"/>
          <w:bCs w:val="0"/>
          <w:color w:val="000000" w:themeColor="text1"/>
          <w:sz w:val="28"/>
          <w:szCs w:val="28"/>
          <w:highlight w:val="none"/>
        </w:rPr>
      </w:pPr>
      <w:r>
        <w:rPr>
          <w:rFonts w:hint="eastAsia" w:ascii="Times New Roman" w:hAnsi="Times New Roman" w:eastAsia="宋体" w:cs="宋体"/>
          <w:b w:val="0"/>
          <w:bCs w:val="0"/>
          <w:color w:val="000000" w:themeColor="text1"/>
          <w:sz w:val="28"/>
          <w:szCs w:val="28"/>
          <w:highlight w:val="none"/>
          <w:lang w:val="en-US" w:eastAsia="zh-CN"/>
        </w:rPr>
      </w:r>
      <w:r>
        <w:rPr>
          <w:color w:val="000000" w:themeColor="text1"/>
        </w:rPr>
      </w:r>
      <w:r/>
    </w:p>
    <w:p>
      <w:pPr>
        <w:numPr>
          <w:ilvl w:val="0"/>
          <w:numId w:val="0"/>
        </w:numPr>
        <w:keepLines w:val="0"/>
        <w:keepNext w:val="0"/>
        <w:pageBreakBefore w:val="0"/>
        <w:spacing w:line="360" w:lineRule="auto"/>
        <w:widowControl w:val="off"/>
        <w:rPr>
          <w:rFonts w:hint="eastAsia" w:ascii="Times New Roman" w:hAnsi="Times New Roman" w:eastAsia="宋体" w:cs="宋体"/>
          <w:b w:val="0"/>
          <w:bCs w:val="0"/>
          <w:color w:val="000000" w:themeColor="text1"/>
          <w:sz w:val="28"/>
          <w:szCs w:val="28"/>
          <w:highlight w:val="none"/>
        </w:rPr>
      </w:pPr>
      <w:r>
        <w:rPr>
          <w:rFonts w:hint="eastAsia" w:ascii="Times New Roman" w:hAnsi="Times New Roman" w:eastAsia="宋体" w:cs="宋体"/>
          <w:b w:val="0"/>
          <w:bCs w:val="0"/>
          <w:color w:val="000000" w:themeColor="text1"/>
          <w:sz w:val="28"/>
          <w:szCs w:val="28"/>
          <w:highlight w:val="none"/>
          <w:lang w:val="en-US" w:eastAsia="zh-CN"/>
        </w:rPr>
      </w:r>
      <w:r>
        <w:rPr>
          <w:color w:val="000000" w:themeColor="text1"/>
        </w:rPr>
      </w:r>
      <w:r/>
    </w:p>
    <w:p>
      <w:pPr>
        <w:pageBreakBefore w:val="0"/>
        <w:spacing w:line="360" w:lineRule="auto"/>
        <w:rPr>
          <w:rFonts w:hint="eastAsia" w:ascii="Times New Roman" w:hAnsi="Times New Roman" w:eastAsia="宋体" w:cs="宋体"/>
          <w:i w:val="0"/>
          <w:color w:val="000000" w:themeColor="text1"/>
          <w:sz w:val="32"/>
          <w:szCs w:val="32"/>
          <w:highlight w:val="none"/>
          <w:u w:val="none"/>
        </w:rPr>
      </w:pPr>
      <w:r>
        <w:rPr>
          <w:rFonts w:hint="eastAsia" w:ascii="Times New Roman" w:hAnsi="Times New Roman" w:eastAsia="宋体" w:cs="宋体"/>
          <w:i w:val="0"/>
          <w:color w:val="000000" w:themeColor="text1"/>
          <w:sz w:val="32"/>
          <w:szCs w:val="32"/>
          <w:highlight w:val="none"/>
          <w:u w:val="none"/>
          <w:lang w:val="en-US" w:eastAsia="zh-CN" w:bidi="ar"/>
        </w:rPr>
        <w:br w:type="page" w:clear="all"/>
      </w:r>
      <w:r>
        <w:rPr>
          <w:color w:val="000000" w:themeColor="text1"/>
        </w:rPr>
      </w:r>
      <w:r/>
    </w:p>
    <w:p>
      <w:pPr>
        <w:numPr>
          <w:ilvl w:val="0"/>
          <w:numId w:val="0"/>
        </w:numPr>
        <w:jc w:val="center"/>
        <w:keepLines w:val="0"/>
        <w:keepNext w:val="0"/>
        <w:pageBreakBefore w:val="0"/>
        <w:spacing w:line="360" w:lineRule="auto"/>
        <w:widowControl w:val="off"/>
        <w:rPr>
          <w:rFonts w:hint="eastAsia" w:ascii="Times New Roman" w:hAnsi="Times New Roman" w:eastAsia="宋体" w:cs="宋体"/>
          <w:b w:val="0"/>
          <w:bCs w:val="0"/>
          <w:color w:val="000000" w:themeColor="text1"/>
          <w:sz w:val="28"/>
          <w:szCs w:val="28"/>
          <w:highlight w:val="none"/>
        </w:rPr>
      </w:pPr>
      <w:r>
        <w:rPr>
          <w:rFonts w:hint="eastAsia" w:ascii="Times New Roman" w:hAnsi="Times New Roman" w:eastAsia="宋体" w:cs="宋体"/>
          <w:i w:val="0"/>
          <w:color w:val="000000" w:themeColor="text1"/>
          <w:sz w:val="30"/>
          <w:szCs w:val="30"/>
          <w:highlight w:val="none"/>
          <w:u w:val="none"/>
          <w:lang w:val="en-US" w:eastAsia="zh-CN" w:bidi="ar"/>
        </w:rPr>
        <w:t xml:space="preserve">2、瘦西湖景区2026年绿化养护人工机械采购清单分表</w:t>
      </w:r>
      <w:r>
        <w:rPr>
          <w:color w:val="000000" w:themeColor="text1"/>
        </w:rPr>
      </w:r>
      <w:r/>
    </w:p>
    <w:tbl>
      <w:tblPr>
        <w:tblStyle w:val="890"/>
        <w:tblW w:w="9407" w:type="dxa"/>
        <w:tblInd w:w="0" w:type="dxa"/>
        <w:tblLayout w:type="fixed"/>
        <w:tblCellMar>
          <w:left w:w="0" w:type="dxa"/>
          <w:top w:w="0" w:type="dxa"/>
          <w:right w:w="0" w:type="dxa"/>
          <w:bottom w:w="0" w:type="dxa"/>
        </w:tblCellMar>
        <w:tblLook w:val="04A0" w:firstRow="1" w:lastRow="0" w:firstColumn="1" w:lastColumn="0" w:noHBand="0" w:noVBand="1"/>
      </w:tblPr>
      <w:tblGrid>
        <w:gridCol w:w="765"/>
        <w:gridCol w:w="1169"/>
        <w:gridCol w:w="2032"/>
        <w:gridCol w:w="682"/>
        <w:gridCol w:w="926"/>
        <w:gridCol w:w="945"/>
        <w:gridCol w:w="1074"/>
        <w:gridCol w:w="1814"/>
      </w:tblGrid>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9"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项目名称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标准、内容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数量</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单价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4"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合价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4"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备注</w:t>
            </w:r>
            <w:r>
              <w:rPr>
                <w:color w:val="000000" w:themeColor="text1"/>
              </w:rPr>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1</w:t>
            </w:r>
            <w:r>
              <w:rPr>
                <w:color w:val="000000" w:themeColor="text1"/>
              </w:rPr>
            </w:r>
            <w:r/>
          </w:p>
        </w:tc>
        <w:tc>
          <w:tcPr>
            <w:tcBorders>
              <w:top w:val="none" w:color="000000" w:sz="4" w:space="0"/>
              <w:left w:val="none" w:color="000000" w:sz="4" w:space="0"/>
              <w:bottom w:val="single" w:color="000000" w:sz="4" w:space="0"/>
              <w:right w:val="none" w:color="000000" w:sz="4" w:space="0"/>
            </w:tcBorders>
            <w:tcMar>
              <w:left w:w="15" w:type="dxa"/>
              <w:top w:w="15" w:type="dxa"/>
              <w:right w:w="15" w:type="dxa"/>
            </w:tcMar>
            <w:tcW w:w="1169" w:type="dxa"/>
            <w:vAlign w:val="center"/>
            <w:textDirection w:val="lrTb"/>
            <w:noWrap/>
          </w:tcPr>
          <w:p>
            <w:pPr>
              <w:jc w:val="left"/>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养护人工</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养护人员年龄男60岁以下，女55岁以下</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工日</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15936</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4"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4"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rPr>
              <w:t xml:space="preserve">全园</w:t>
            </w:r>
            <w:r>
              <w:rPr>
                <w:color w:val="000000" w:themeColor="text1"/>
              </w:rPr>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9"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机械费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2"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浇水、割草、病虫害防治、修剪、垃圾运输清理等</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both"/>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627184.7</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4"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4"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eastAsia="zh-CN"/>
              </w:rPr>
              <w:t xml:space="preserve">全园</w:t>
            </w:r>
            <w:r>
              <w:rPr>
                <w:color w:val="000000" w:themeColor="text1"/>
              </w:rPr>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9"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管理费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5"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4"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4"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管理费=人工费*管理费率，费率自报</w:t>
            </w:r>
            <w:r>
              <w:rPr>
                <w:color w:val="000000" w:themeColor="text1"/>
              </w:rPr>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9"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利润</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5"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4"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4"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利润=人工费*利润率，费率自报</w:t>
            </w:r>
            <w:r>
              <w:rPr>
                <w:color w:val="000000" w:themeColor="text1"/>
              </w:rPr>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9"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税金</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5"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4"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4" w:type="dxa"/>
            <w:vAlign w:val="center"/>
            <w:textDirection w:val="lrTb"/>
            <w:noWrap w:val="false"/>
          </w:tcPr>
          <w:p>
            <w:pP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r>
      <w:tr>
        <w:trPr>
          <w:trHeight w:val="8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9"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合计</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2" w:type="dxa"/>
            <w:vAlign w:val="center"/>
            <w:textDirection w:val="lrTb"/>
            <w:noWrap w:val="false"/>
          </w:tcPr>
          <w:p>
            <w:pPr>
              <w:jc w:val="left"/>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2"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5" w:type="dxa"/>
            <w:vAlign w:val="center"/>
            <w:textDirection w:val="lrTb"/>
            <w:noWrap w:val="false"/>
          </w:tcPr>
          <w:p>
            <w:pPr>
              <w:jc w:val="cente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4"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 </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14" w:type="dxa"/>
            <w:vAlign w:val="center"/>
            <w:textDirection w:val="lrTb"/>
            <w:noWrap w:val="false"/>
          </w:tcPr>
          <w:p>
            <w:pPr>
              <w:pageBreakBefore w:val="0"/>
              <w:spacing w:line="360" w:lineRule="auto"/>
              <w:rPr>
                <w:rFonts w:hint="eastAsia" w:ascii="Times New Roman" w:hAnsi="Times New Roman" w:eastAsia="宋体" w:cs="宋体"/>
                <w:i w:val="0"/>
                <w:color w:val="000000" w:themeColor="text1"/>
                <w:sz w:val="21"/>
                <w:szCs w:val="21"/>
                <w:highlight w:val="none"/>
                <w:u w:val="none"/>
              </w:rPr>
            </w:pPr>
            <w:r>
              <w:rPr>
                <w:rFonts w:hint="eastAsia" w:ascii="Times New Roman" w:hAnsi="Times New Roman" w:eastAsia="宋体" w:cs="宋体"/>
                <w:i w:val="0"/>
                <w:color w:val="000000" w:themeColor="text1"/>
                <w:sz w:val="21"/>
                <w:szCs w:val="21"/>
                <w:highlight w:val="none"/>
                <w:u w:val="none"/>
              </w:rPr>
            </w:r>
            <w:r>
              <w:rPr>
                <w:color w:val="000000" w:themeColor="text1"/>
              </w:rPr>
            </w:r>
            <w:r/>
          </w:p>
        </w:tc>
      </w:tr>
      <w:tr>
        <w:trPr>
          <w:trHeight w:val="500"/>
        </w:trPr>
        <w:tc>
          <w:tcPr>
            <w:gridSpan w:val="8"/>
            <w:tcBorders>
              <w:top w:val="none" w:color="000000" w:sz="4" w:space="0"/>
              <w:left w:val="none" w:color="000000" w:sz="4" w:space="0"/>
              <w:bottom w:val="none" w:color="000000" w:sz="4" w:space="0"/>
              <w:right w:val="none" w:color="000000" w:sz="4" w:space="0"/>
            </w:tcBorders>
            <w:tcMar>
              <w:left w:w="15" w:type="dxa"/>
              <w:top w:w="15" w:type="dxa"/>
              <w:right w:w="15" w:type="dxa"/>
            </w:tcMar>
            <w:tcW w:w="9407" w:type="dxa"/>
            <w:vAlign w:val="center"/>
            <w:textDirection w:val="lrTb"/>
            <w:noWrap/>
          </w:tcPr>
          <w:p>
            <w:pPr>
              <w:jc w:val="left"/>
              <w:keepLines w:val="0"/>
              <w:keepNext w:val="0"/>
              <w:pageBreakBefore w:val="0"/>
              <w:spacing w:line="360" w:lineRule="auto"/>
              <w:widowControl/>
              <w:rPr>
                <w:rFonts w:hint="default"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注：1、绿化养护人员配置为招标人要求的为保证绿化养护质量标准的基本养护人数。若投标人为</w:t>
            </w:r>
            <w:r>
              <w:rPr>
                <w:rFonts w:hint="eastAsia" w:ascii="Times New Roman" w:hAnsi="Times New Roman" w:eastAsia="宋体"/>
                <w:color w:val="000000" w:themeColor="text1"/>
                <w:sz w:val="21"/>
                <w:szCs w:val="21"/>
                <w:highlight w:val="none"/>
                <w:lang w:val="en-US" w:eastAsia="zh-CN"/>
              </w:rPr>
              <w:t xml:space="preserve">保证</w:t>
            </w:r>
            <w:r>
              <w:rPr>
                <w:color w:val="000000" w:themeColor="text1"/>
              </w:rPr>
            </w:r>
            <w:r/>
          </w:p>
        </w:tc>
      </w:tr>
      <w:tr>
        <w:trPr>
          <w:trHeight w:val="500"/>
        </w:trPr>
        <w:tc>
          <w:tcPr>
            <w:gridSpan w:val="8"/>
            <w:tcBorders>
              <w:top w:val="none" w:color="000000" w:sz="4" w:space="0"/>
              <w:left w:val="none" w:color="000000" w:sz="4" w:space="0"/>
              <w:bottom w:val="none" w:color="000000" w:sz="4" w:space="0"/>
              <w:right w:val="none" w:color="000000" w:sz="4" w:space="0"/>
            </w:tcBorders>
            <w:tcMar>
              <w:left w:w="15" w:type="dxa"/>
              <w:top w:w="15" w:type="dxa"/>
              <w:right w:w="15" w:type="dxa"/>
            </w:tcMar>
            <w:tcW w:w="9407" w:type="dxa"/>
            <w:vAlign w:val="center"/>
            <w:textDirection w:val="lrTb"/>
            <w:noWrap/>
          </w:tcPr>
          <w:p>
            <w:pPr>
              <w:jc w:val="left"/>
              <w:keepLines w:val="0"/>
              <w:keepNext w:val="0"/>
              <w:pageBreakBefore w:val="0"/>
              <w:spacing w:line="360" w:lineRule="auto"/>
              <w:widowControl/>
              <w:rPr>
                <w:rFonts w:hint="eastAsia"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olor w:val="000000" w:themeColor="text1"/>
                <w:sz w:val="21"/>
                <w:szCs w:val="21"/>
                <w:highlight w:val="none"/>
                <w:lang w:val="en-US" w:eastAsia="zh-CN"/>
              </w:rPr>
              <w:t xml:space="preserve">达到绿化养护标准实际投入的养护人员数量超过本方案要求的人数，养护费用不增加。</w:t>
            </w:r>
            <w:r>
              <w:rPr>
                <w:color w:val="000000" w:themeColor="text1"/>
              </w:rPr>
            </w:r>
            <w:r/>
          </w:p>
        </w:tc>
      </w:tr>
      <w:tr>
        <w:trPr>
          <w:trHeight w:val="500"/>
        </w:trPr>
        <w:tc>
          <w:tcPr>
            <w:gridSpan w:val="8"/>
            <w:tcBorders>
              <w:top w:val="none" w:color="000000" w:sz="4" w:space="0"/>
              <w:left w:val="none" w:color="000000" w:sz="4" w:space="0"/>
              <w:bottom w:val="none" w:color="000000" w:sz="4" w:space="0"/>
              <w:right w:val="none" w:color="000000" w:sz="4" w:space="0"/>
            </w:tcBorders>
            <w:tcMar>
              <w:left w:w="15" w:type="dxa"/>
              <w:top w:w="15" w:type="dxa"/>
              <w:right w:w="15" w:type="dxa"/>
            </w:tcMar>
            <w:tcW w:w="9407" w:type="dxa"/>
            <w:vAlign w:val="center"/>
            <w:textDirection w:val="lrTb"/>
            <w:noWrap/>
          </w:tcPr>
          <w:p>
            <w:pPr>
              <w:jc w:val="left"/>
              <w:keepLines w:val="0"/>
              <w:keepNext w:val="0"/>
              <w:pageBreakBefore w:val="0"/>
              <w:spacing w:line="360" w:lineRule="auto"/>
              <w:widowControl/>
              <w:rPr>
                <w:rFonts w:hint="default" w:ascii="Times New Roman" w:hAnsi="Times New Roman" w:eastAsia="宋体" w:cs="宋体"/>
                <w:i w:val="0"/>
                <w:color w:val="000000" w:themeColor="text1"/>
                <w:sz w:val="21"/>
                <w:szCs w:val="21"/>
                <w:highlight w:val="none"/>
                <w:u w:val="none"/>
              </w:rPr>
              <w:suppressLineNumbers w:val="0"/>
            </w:pPr>
            <w:r>
              <w:rPr>
                <w:rFonts w:hint="eastAsia" w:ascii="Times New Roman" w:hAnsi="Times New Roman" w:eastAsia="宋体" w:cs="宋体"/>
                <w:i w:val="0"/>
                <w:color w:val="000000" w:themeColor="text1"/>
                <w:sz w:val="21"/>
                <w:szCs w:val="21"/>
                <w:highlight w:val="none"/>
                <w:u w:val="none"/>
                <w:lang w:val="en-US" w:eastAsia="zh-CN" w:bidi="ar"/>
              </w:rPr>
              <w:t xml:space="preserve">2、垃圾清理、机械费投标人根据采购需求自主报价。</w:t>
            </w:r>
            <w:r>
              <w:rPr>
                <w:color w:val="000000" w:themeColor="text1"/>
              </w:rPr>
            </w:r>
            <w:r/>
          </w:p>
        </w:tc>
      </w:tr>
    </w:tbl>
    <w:p>
      <w:pPr>
        <w:numPr>
          <w:ilvl w:val="0"/>
          <w:numId w:val="0"/>
        </w:numPr>
        <w:keepLines w:val="0"/>
        <w:keepNext w:val="0"/>
        <w:pageBreakBefore w:val="0"/>
        <w:spacing w:line="360" w:lineRule="auto"/>
        <w:widowControl w:val="off"/>
        <w:rPr>
          <w:rFonts w:hint="eastAsia" w:ascii="Times New Roman" w:hAnsi="Times New Roman" w:eastAsia="宋体" w:cs="宋体"/>
          <w:b w:val="0"/>
          <w:bCs w:val="0"/>
          <w:color w:val="000000" w:themeColor="text1"/>
          <w:sz w:val="28"/>
          <w:szCs w:val="28"/>
          <w:highlight w:val="none"/>
        </w:rPr>
      </w:pPr>
      <w:r>
        <w:rPr>
          <w:rFonts w:hint="eastAsia" w:ascii="Times New Roman" w:hAnsi="Times New Roman" w:eastAsia="宋体" w:cs="宋体"/>
          <w:i w:val="0"/>
          <w:color w:val="000000" w:themeColor="text1"/>
          <w:sz w:val="21"/>
          <w:szCs w:val="21"/>
          <w:highlight w:val="none"/>
          <w:u w:val="none"/>
          <w:lang w:val="en-US" w:eastAsia="zh-CN" w:bidi="ar"/>
        </w:rPr>
        <w:t xml:space="preserve">3、投标人的投标报价应包含人员工资并为全员缴纳社会保险，如人员工资低于扬州市最低工资标准的作无效报价处理或违背其他国家政策，作无效报价处理。投标人应在成本分析评分项中提供测算。</w:t>
      </w:r>
      <w:r>
        <w:rPr>
          <w:color w:val="000000" w:themeColor="text1"/>
        </w:rPr>
      </w:r>
      <w:r/>
    </w:p>
    <w:p>
      <w:pPr>
        <w:numPr>
          <w:ilvl w:val="0"/>
          <w:numId w:val="0"/>
        </w:numPr>
        <w:keepLines w:val="0"/>
        <w:keepNext w:val="0"/>
        <w:pageBreakBefore w:val="0"/>
        <w:spacing w:line="360" w:lineRule="auto"/>
        <w:widowControl w:val="off"/>
        <w:rPr>
          <w:rFonts w:hint="eastAsia" w:ascii="Times New Roman" w:hAnsi="Times New Roman" w:eastAsia="宋体" w:cs="宋体"/>
          <w:b w:val="0"/>
          <w:bCs w:val="0"/>
          <w:color w:val="000000" w:themeColor="text1"/>
          <w:sz w:val="28"/>
          <w:szCs w:val="28"/>
          <w:highlight w:val="none"/>
        </w:rPr>
      </w:pPr>
      <w:r>
        <w:rPr>
          <w:rFonts w:hint="eastAsia" w:ascii="Times New Roman" w:hAnsi="Times New Roman" w:eastAsia="宋体" w:cs="宋体"/>
          <w:b w:val="0"/>
          <w:bCs w:val="0"/>
          <w:color w:val="000000" w:themeColor="text1"/>
          <w:sz w:val="28"/>
          <w:szCs w:val="28"/>
          <w:highlight w:val="none"/>
          <w:lang w:val="en-US" w:eastAsia="zh-CN"/>
        </w:rPr>
      </w:r>
      <w:r>
        <w:rPr>
          <w:color w:val="000000" w:themeColor="text1"/>
        </w:rPr>
      </w:r>
      <w:r/>
    </w:p>
    <w:p>
      <w:pPr>
        <w:numPr>
          <w:ilvl w:val="0"/>
          <w:numId w:val="0"/>
        </w:numPr>
        <w:keepLines w:val="0"/>
        <w:keepNext w:val="0"/>
        <w:pageBreakBefore w:val="0"/>
        <w:spacing w:line="360" w:lineRule="auto"/>
        <w:widowControl w:val="off"/>
        <w:rPr>
          <w:rFonts w:hint="eastAsia" w:ascii="Times New Roman" w:hAnsi="Times New Roman" w:eastAsia="宋体" w:cs="宋体"/>
          <w:b w:val="0"/>
          <w:bCs w:val="0"/>
          <w:color w:val="000000" w:themeColor="text1"/>
          <w:sz w:val="28"/>
          <w:szCs w:val="28"/>
          <w:highlight w:val="none"/>
        </w:rPr>
      </w:pPr>
      <w:r>
        <w:rPr>
          <w:rFonts w:hint="eastAsia" w:ascii="Times New Roman" w:hAnsi="Times New Roman" w:eastAsia="宋体" w:cs="宋体"/>
          <w:b w:val="0"/>
          <w:bCs w:val="0"/>
          <w:color w:val="000000" w:themeColor="text1"/>
          <w:sz w:val="28"/>
          <w:szCs w:val="28"/>
          <w:highlight w:val="none"/>
          <w:lang w:val="en-US" w:eastAsia="zh-CN"/>
        </w:rPr>
      </w:r>
      <w:r>
        <w:rPr>
          <w:color w:val="000000" w:themeColor="text1"/>
        </w:rPr>
      </w:r>
      <w:r/>
    </w:p>
    <w:p>
      <w:pPr>
        <w:numPr>
          <w:ilvl w:val="0"/>
          <w:numId w:val="0"/>
        </w:numPr>
        <w:keepLines w:val="0"/>
        <w:keepNext w:val="0"/>
        <w:pageBreakBefore w:val="0"/>
        <w:spacing w:line="360" w:lineRule="auto"/>
        <w:widowControl w:val="off"/>
        <w:rPr>
          <w:rFonts w:hint="eastAsia" w:ascii="Times New Roman" w:hAnsi="Times New Roman" w:eastAsia="宋体" w:cs="宋体"/>
          <w:b w:val="0"/>
          <w:bCs w:val="0"/>
          <w:color w:val="000000" w:themeColor="text1"/>
          <w:sz w:val="28"/>
          <w:szCs w:val="28"/>
          <w:highlight w:val="none"/>
        </w:rPr>
      </w:pPr>
      <w:r>
        <w:rPr>
          <w:rFonts w:hint="eastAsia" w:ascii="Times New Roman" w:hAnsi="Times New Roman" w:eastAsia="宋体" w:cs="宋体"/>
          <w:b w:val="0"/>
          <w:bCs w:val="0"/>
          <w:color w:val="000000" w:themeColor="text1"/>
          <w:sz w:val="28"/>
          <w:szCs w:val="28"/>
          <w:highlight w:val="none"/>
          <w:lang w:val="en-US" w:eastAsia="zh-CN"/>
        </w:rPr>
      </w:r>
      <w:r>
        <w:rPr>
          <w:color w:val="000000" w:themeColor="text1"/>
        </w:rPr>
      </w:r>
      <w:r/>
    </w:p>
    <w:p>
      <w:pPr>
        <w:numPr>
          <w:ilvl w:val="0"/>
          <w:numId w:val="0"/>
        </w:numPr>
        <w:keepLines w:val="0"/>
        <w:keepNext w:val="0"/>
        <w:pageBreakBefore w:val="0"/>
        <w:spacing w:line="360" w:lineRule="auto"/>
        <w:widowControl w:val="off"/>
        <w:rPr>
          <w:rFonts w:hint="eastAsia" w:ascii="Times New Roman" w:hAnsi="Times New Roman" w:eastAsia="宋体" w:cs="宋体"/>
          <w:b w:val="0"/>
          <w:bCs w:val="0"/>
          <w:color w:val="000000" w:themeColor="text1"/>
          <w:sz w:val="28"/>
          <w:szCs w:val="28"/>
          <w:highlight w:val="none"/>
        </w:rPr>
      </w:pPr>
      <w:r>
        <w:rPr>
          <w:rFonts w:hint="eastAsia" w:ascii="Times New Roman" w:hAnsi="Times New Roman" w:eastAsia="宋体" w:cs="宋体"/>
          <w:b w:val="0"/>
          <w:bCs w:val="0"/>
          <w:color w:val="000000" w:themeColor="text1"/>
          <w:sz w:val="28"/>
          <w:szCs w:val="28"/>
          <w:highlight w:val="none"/>
          <w:lang w:val="en-US" w:eastAsia="zh-CN"/>
        </w:rPr>
      </w:r>
      <w:r>
        <w:rPr>
          <w:color w:val="000000" w:themeColor="text1"/>
        </w:rPr>
      </w:r>
      <w:r/>
    </w:p>
    <w:p>
      <w:pPr>
        <w:numPr>
          <w:ilvl w:val="0"/>
          <w:numId w:val="0"/>
        </w:numPr>
        <w:keepLines w:val="0"/>
        <w:keepNext w:val="0"/>
        <w:pageBreakBefore w:val="0"/>
        <w:spacing w:line="360" w:lineRule="auto"/>
        <w:widowControl w:val="off"/>
        <w:rPr>
          <w:rFonts w:hint="eastAsia" w:ascii="Times New Roman" w:hAnsi="Times New Roman" w:eastAsia="宋体" w:cs="宋体"/>
          <w:b w:val="0"/>
          <w:bCs w:val="0"/>
          <w:color w:val="000000" w:themeColor="text1"/>
          <w:sz w:val="28"/>
          <w:szCs w:val="28"/>
          <w:highlight w:val="none"/>
        </w:rPr>
      </w:pPr>
      <w:r>
        <w:rPr>
          <w:rFonts w:hint="eastAsia" w:ascii="Times New Roman" w:hAnsi="Times New Roman" w:eastAsia="宋体" w:cs="宋体"/>
          <w:b w:val="0"/>
          <w:bCs w:val="0"/>
          <w:color w:val="000000" w:themeColor="text1"/>
          <w:sz w:val="28"/>
          <w:szCs w:val="28"/>
          <w:highlight w:val="none"/>
          <w:lang w:val="en-US" w:eastAsia="zh-CN"/>
        </w:rPr>
      </w:r>
      <w:r>
        <w:rPr>
          <w:color w:val="000000" w:themeColor="text1"/>
        </w:rPr>
      </w:r>
      <w:r/>
    </w:p>
    <w:p>
      <w:pPr>
        <w:numPr>
          <w:ilvl w:val="0"/>
          <w:numId w:val="0"/>
        </w:numPr>
        <w:keepLines w:val="0"/>
        <w:keepNext w:val="0"/>
        <w:pageBreakBefore w:val="0"/>
        <w:spacing w:line="360" w:lineRule="auto"/>
        <w:widowControl w:val="off"/>
        <w:rPr>
          <w:rFonts w:hint="eastAsia" w:ascii="Times New Roman" w:hAnsi="Times New Roman" w:eastAsia="宋体" w:cs="宋体"/>
          <w:b w:val="0"/>
          <w:bCs w:val="0"/>
          <w:color w:val="000000" w:themeColor="text1"/>
          <w:sz w:val="28"/>
          <w:szCs w:val="28"/>
          <w:highlight w:val="none"/>
        </w:rPr>
      </w:pPr>
      <w:r>
        <w:rPr>
          <w:rFonts w:hint="eastAsia" w:ascii="Times New Roman" w:hAnsi="Times New Roman" w:eastAsia="宋体" w:cs="宋体"/>
          <w:b w:val="0"/>
          <w:bCs w:val="0"/>
          <w:color w:val="000000" w:themeColor="text1"/>
          <w:sz w:val="28"/>
          <w:szCs w:val="28"/>
          <w:highlight w:val="none"/>
          <w:lang w:val="en-US" w:eastAsia="zh-CN"/>
        </w:rPr>
      </w:r>
      <w:r>
        <w:rPr>
          <w:color w:val="000000" w:themeColor="text1"/>
        </w:rPr>
      </w:r>
      <w:r/>
    </w:p>
    <w:p>
      <w:pPr>
        <w:numPr>
          <w:ilvl w:val="0"/>
          <w:numId w:val="0"/>
        </w:numPr>
        <w:keepLines w:val="0"/>
        <w:keepNext w:val="0"/>
        <w:pageBreakBefore w:val="0"/>
        <w:spacing w:line="360" w:lineRule="auto"/>
        <w:widowControl w:val="off"/>
        <w:rPr>
          <w:rFonts w:hint="eastAsia" w:ascii="Times New Roman" w:hAnsi="Times New Roman" w:eastAsia="宋体" w:cs="宋体"/>
          <w:b w:val="0"/>
          <w:bCs w:val="0"/>
          <w:color w:val="000000" w:themeColor="text1"/>
          <w:sz w:val="28"/>
          <w:szCs w:val="28"/>
          <w:highlight w:val="none"/>
        </w:rPr>
      </w:pPr>
      <w:r>
        <w:rPr>
          <w:rFonts w:hint="eastAsia" w:ascii="Times New Roman" w:hAnsi="Times New Roman" w:eastAsia="宋体" w:cs="宋体"/>
          <w:b w:val="0"/>
          <w:bCs w:val="0"/>
          <w:color w:val="000000" w:themeColor="text1"/>
          <w:sz w:val="28"/>
          <w:szCs w:val="28"/>
          <w:highlight w:val="none"/>
          <w:lang w:val="en-US" w:eastAsia="zh-CN"/>
        </w:rPr>
      </w:r>
      <w:r>
        <w:rPr>
          <w:color w:val="000000" w:themeColor="text1"/>
        </w:rPr>
      </w:r>
      <w:r/>
    </w:p>
    <w:p>
      <w:pPr>
        <w:numPr>
          <w:ilvl w:val="0"/>
          <w:numId w:val="0"/>
        </w:numPr>
        <w:jc w:val="center"/>
        <w:keepLines w:val="0"/>
        <w:keepNext w:val="0"/>
        <w:pageBreakBefore w:val="0"/>
        <w:spacing w:line="360" w:lineRule="auto"/>
        <w:widowControl w:val="off"/>
        <w:rPr>
          <w:rFonts w:hint="eastAsia" w:ascii="Times New Roman" w:hAnsi="Times New Roman" w:eastAsia="宋体" w:cs="宋体"/>
          <w:b w:val="0"/>
          <w:bCs w:val="0"/>
          <w:color w:val="000000" w:themeColor="text1"/>
          <w:sz w:val="30"/>
          <w:szCs w:val="30"/>
          <w:highlight w:val="none"/>
        </w:rPr>
      </w:pPr>
      <w:r>
        <w:rPr>
          <w:rFonts w:hint="eastAsia" w:ascii="Times New Roman" w:hAnsi="Times New Roman" w:eastAsia="宋体" w:cs="宋体"/>
          <w:b w:val="0"/>
          <w:bCs w:val="0"/>
          <w:color w:val="000000" w:themeColor="text1"/>
          <w:sz w:val="30"/>
          <w:szCs w:val="30"/>
          <w:highlight w:val="none"/>
          <w:lang w:val="en-US" w:eastAsia="zh-CN"/>
        </w:rPr>
        <w:t xml:space="preserve">3、瘦西湖景区2026年绿化养护农药采购清单</w:t>
      </w:r>
      <w:r>
        <w:rPr>
          <w:color w:val="000000" w:themeColor="text1"/>
        </w:rPr>
      </w:r>
      <w:r/>
    </w:p>
    <w:tbl>
      <w:tblPr>
        <w:tblStyle w:val="890"/>
        <w:tblW w:w="874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515"/>
        <w:gridCol w:w="1716"/>
        <w:gridCol w:w="722"/>
        <w:gridCol w:w="887"/>
        <w:gridCol w:w="818"/>
        <w:gridCol w:w="1272"/>
        <w:gridCol w:w="1020"/>
      </w:tblGrid>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农药品种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规格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数量</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单价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合价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备注</w:t>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石硫合剂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圃卫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氯氰菊酯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溴氰菊酯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氟氯氰菊酯</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吡蚜酮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甲维盐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吡虫啉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啶虫脒</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甲维·啶虫脒</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毒·辛</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2KG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必治</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阿维菌素</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噻虫嗪</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噻虫·高氯氟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苏云金杆菌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辛硫高氯氟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天牛一插灵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11000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树虫康6号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6800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阿维·二嗪磷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1KG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螨克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红杀</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阿维·哒螨灵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敌死可（苯丁哒螨灵）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丹功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10kg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立克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秀剑套餐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2瓶装</w:t>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功尔</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矿物油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优乐净</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15G/袋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代森锰锌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甲基硫菌灵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多菌灵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百菌清</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三唑酮</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咪鲜胺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戊唑醇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戊唑咪鲜胺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苯醚甲环唑</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40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噁霜灵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41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甲霜恶霉灵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42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景翠（苯甲丙环唑）</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43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健致（精甲霜恶霉灵）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44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康圃（吡唑醚菌酯+戊唑醇）</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45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克静</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1kg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46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三灭</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47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秀功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48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朴绿</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firstLine="210"/>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firstLine="210"/>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49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根灵</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花盼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雨阳</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25mlX10瓶/盒</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盒</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植缘</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2gX6支/盒</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盒</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施它活</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1kg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抑蒸</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firstLine="210"/>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firstLine="210"/>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抗秀</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树动力套餐</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firstLine="210"/>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firstLine="210"/>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园动力</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ind w:firstLine="210"/>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firstLine="210"/>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润尔甲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100g</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default"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除草剂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包</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60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爱麦盛</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1套*4袋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135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61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绿美</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62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根盼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63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傻根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2.5L/瓶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箱</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6瓶/箱</w:t>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64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根多</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200ML</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30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65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糊涂</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500G/瓶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66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营养液</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1000ML*12袋</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100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12袋/桶</w:t>
            </w:r>
            <w:r>
              <w:rPr>
                <w:color w:val="000000" w:themeColor="text1"/>
              </w:rPr>
            </w:r>
            <w:r/>
          </w:p>
        </w:tc>
      </w:tr>
      <w:tr>
        <w:trPr>
          <w:trHeight w:val="32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合计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val="0"/>
                <w:iCs w:val="0"/>
                <w:color w:val="000000" w:themeColor="text1"/>
                <w:sz w:val="21"/>
                <w:szCs w:val="21"/>
                <w:highlight w:val="none"/>
                <w:u w:val="none"/>
              </w:rPr>
            </w:r>
            <w:r>
              <w:rPr>
                <w:color w:val="000000" w:themeColor="text1"/>
              </w:rPr>
            </w:r>
            <w:r/>
          </w:p>
        </w:tc>
      </w:tr>
      <w:tr>
        <w:trPr>
          <w:trHeight w:val="320"/>
        </w:trPr>
        <w:tc>
          <w:tcPr>
            <w:gridSpan w:val="8"/>
            <w:tcBorders>
              <w:top w:val="none" w:color="000000" w:sz="4" w:space="0"/>
              <w:left w:val="none" w:color="000000" w:sz="4" w:space="0"/>
              <w:bottom w:val="none" w:color="000000" w:sz="4" w:space="0"/>
              <w:right w:val="none" w:color="000000" w:sz="4" w:space="0"/>
            </w:tcBorders>
            <w:tcW w:w="8746" w:type="dxa"/>
            <w:vAlign w:val="center"/>
            <w:textDirection w:val="lrTb"/>
            <w:noWrap/>
          </w:tcPr>
          <w:p>
            <w:pPr>
              <w:jc w:val="left"/>
              <w:keepLines w:val="0"/>
              <w:keepNext w:val="0"/>
              <w:pageBreakBefore w:val="0"/>
              <w:spacing w:line="360" w:lineRule="auto"/>
              <w:widowControl/>
              <w:rPr>
                <w:rFonts w:hint="eastAsia" w:ascii="Times New Roman" w:hAnsi="Times New Roman" w:eastAsia="宋体" w:cs="宋体"/>
                <w:i w:val="0"/>
                <w:iCs w:val="0"/>
                <w:color w:val="000000" w:themeColor="text1"/>
                <w:sz w:val="21"/>
                <w:szCs w:val="21"/>
                <w:highlight w:val="none"/>
                <w:u w:val="none"/>
              </w:rPr>
              <w:suppressLineNumbers w:val="0"/>
            </w:pPr>
            <w:r>
              <w:rPr>
                <w:rFonts w:hint="eastAsia" w:ascii="Times New Roman" w:hAnsi="Times New Roman" w:eastAsia="宋体" w:cs="宋体"/>
                <w:i w:val="0"/>
                <w:iCs w:val="0"/>
                <w:color w:val="000000" w:themeColor="text1"/>
                <w:sz w:val="21"/>
                <w:szCs w:val="21"/>
                <w:highlight w:val="none"/>
                <w:u w:val="none"/>
                <w:lang w:val="en-US" w:eastAsia="zh-CN" w:bidi="ar"/>
              </w:rPr>
              <w:t xml:space="preserve">注：1、不允许同一种药剂尤其是杀菌剂连续反复使用，以防产生抗药性。</w:t>
            </w:r>
            <w:r>
              <w:rPr>
                <w:color w:val="000000" w:themeColor="text1"/>
              </w:rPr>
            </w:r>
            <w:r/>
          </w:p>
        </w:tc>
      </w:tr>
      <w:tr>
        <w:trPr>
          <w:trHeight w:val="320"/>
        </w:trPr>
        <w:tc>
          <w:tcPr>
            <w:gridSpan w:val="8"/>
            <w:tcBorders>
              <w:top w:val="none" w:color="000000" w:sz="4" w:space="0"/>
              <w:left w:val="none" w:color="000000" w:sz="4" w:space="0"/>
              <w:bottom w:val="none" w:color="000000" w:sz="4" w:space="0"/>
              <w:right w:val="none" w:color="000000" w:sz="4" w:space="0"/>
            </w:tcBorders>
            <w:tcW w:w="8746" w:type="dxa"/>
            <w:vAlign w:val="center"/>
            <w:textDirection w:val="lrTb"/>
            <w:noWrap/>
          </w:tcPr>
          <w:p>
            <w:pPr>
              <w:numPr>
                <w:ilvl w:val="0"/>
                <w:numId w:val="0"/>
              </w:numPr>
              <w:pageBreakBefore w:val="0"/>
              <w:spacing w:line="360" w:lineRule="auto"/>
              <w:rPr>
                <w:rFonts w:hint="eastAsia" w:ascii="Times New Roman" w:hAnsi="Times New Roman" w:eastAsia="宋体" w:cs="宋体"/>
                <w:i/>
                <w:iCs/>
                <w:color w:val="000000" w:themeColor="text1"/>
                <w:szCs w:val="21"/>
                <w:highlight w:val="none"/>
                <w:u w:val="single"/>
              </w:rPr>
            </w:pPr>
            <w:r>
              <w:rPr>
                <w:rFonts w:hint="eastAsia" w:ascii="Times New Roman" w:hAnsi="Times New Roman" w:eastAsia="宋体" w:cs="宋体"/>
                <w:i/>
                <w:iCs/>
                <w:color w:val="000000" w:themeColor="text1"/>
                <w:szCs w:val="21"/>
                <w:highlight w:val="none"/>
                <w:u w:val="single"/>
                <w:lang w:val="en-US" w:eastAsia="zh-CN"/>
              </w:rPr>
              <w:t xml:space="preserve">2、</w:t>
            </w:r>
            <w:r>
              <w:rPr>
                <w:rFonts w:hint="eastAsia" w:ascii="Times New Roman" w:hAnsi="Times New Roman" w:eastAsia="宋体" w:cs="宋体"/>
                <w:i/>
                <w:iCs/>
                <w:color w:val="000000" w:themeColor="text1"/>
                <w:szCs w:val="21"/>
                <w:highlight w:val="none"/>
                <w:u w:val="single"/>
              </w:rPr>
              <w:t xml:space="preserve">分项报价表中已注明的“数量”这一列的具体数字只可适当增加但不可减少。</w:t>
            </w:r>
            <w:r>
              <w:rPr>
                <w:color w:val="000000" w:themeColor="text1"/>
              </w:rPr>
            </w:r>
            <w:r/>
          </w:p>
          <w:p>
            <w:pPr>
              <w:pageBreakBefore w:val="0"/>
              <w:spacing w:line="360" w:lineRule="auto"/>
              <w:rPr>
                <w:rFonts w:hint="eastAsia" w:ascii="Times New Roman" w:hAnsi="Times New Roman" w:eastAsia="宋体" w:cs="宋体"/>
                <w:i/>
                <w:iCs/>
                <w:color w:val="000000" w:themeColor="text1"/>
                <w:szCs w:val="21"/>
                <w:highlight w:val="none"/>
                <w:u w:val="single"/>
              </w:rPr>
            </w:pPr>
            <w:r>
              <w:rPr>
                <w:rFonts w:hint="eastAsia" w:ascii="Times New Roman" w:hAnsi="Times New Roman" w:eastAsia="宋体" w:cs="宋体"/>
                <w:i/>
                <w:iCs/>
                <w:color w:val="000000" w:themeColor="text1"/>
                <w:szCs w:val="21"/>
                <w:highlight w:val="none"/>
                <w:u w:val="single"/>
                <w:lang w:val="en-US" w:eastAsia="zh-CN"/>
              </w:rPr>
              <w:t xml:space="preserve">3</w:t>
            </w:r>
            <w:r>
              <w:rPr>
                <w:rFonts w:hint="eastAsia" w:ascii="Times New Roman" w:hAnsi="Times New Roman" w:eastAsia="宋体" w:cs="宋体"/>
                <w:i/>
                <w:iCs/>
                <w:color w:val="000000" w:themeColor="text1"/>
                <w:szCs w:val="21"/>
                <w:highlight w:val="none"/>
                <w:u w:val="single"/>
              </w:rPr>
              <w:t xml:space="preserve">、分项报价表中（除其他费用可自行添加外）列明的项目不可修改。</w:t>
            </w:r>
            <w:r>
              <w:rPr>
                <w:color w:val="000000" w:themeColor="text1"/>
              </w:rPr>
            </w:r>
            <w:r/>
          </w:p>
          <w:p>
            <w:pPr>
              <w:pageBreakBefore w:val="0"/>
              <w:spacing w:line="360" w:lineRule="auto"/>
              <w:rPr>
                <w:rFonts w:hint="eastAsia" w:ascii="Times New Roman" w:hAnsi="Times New Roman" w:eastAsia="宋体" w:cs="宋体"/>
                <w:i/>
                <w:iCs/>
                <w:color w:val="000000" w:themeColor="text1"/>
                <w:szCs w:val="21"/>
                <w:highlight w:val="none"/>
                <w:u w:val="single"/>
              </w:rPr>
            </w:pPr>
            <w:r>
              <w:rPr>
                <w:rFonts w:hint="eastAsia" w:ascii="Times New Roman" w:hAnsi="Times New Roman" w:eastAsia="宋体" w:cs="宋体"/>
                <w:i/>
                <w:iCs/>
                <w:color w:val="000000" w:themeColor="text1"/>
                <w:szCs w:val="21"/>
                <w:highlight w:val="none"/>
                <w:u w:val="single"/>
                <w:lang w:val="en-US" w:eastAsia="zh-CN"/>
              </w:rPr>
              <w:t xml:space="preserve">4</w:t>
            </w:r>
            <w:r>
              <w:rPr>
                <w:rFonts w:hint="eastAsia" w:ascii="Times New Roman" w:hAnsi="Times New Roman" w:eastAsia="宋体" w:cs="宋体"/>
                <w:i/>
                <w:iCs/>
                <w:color w:val="000000" w:themeColor="text1"/>
                <w:szCs w:val="21"/>
                <w:highlight w:val="none"/>
                <w:u w:val="single"/>
              </w:rPr>
              <w:t xml:space="preserve">、分项报价表严禁总价让利。</w:t>
            </w:r>
            <w:r>
              <w:rPr>
                <w:color w:val="000000" w:themeColor="text1"/>
              </w:rPr>
            </w:r>
            <w:r/>
          </w:p>
          <w:p>
            <w:pPr>
              <w:pageBreakBefore w:val="0"/>
              <w:spacing w:line="360" w:lineRule="auto"/>
              <w:rPr>
                <w:rFonts w:hint="eastAsia" w:ascii="Times New Roman" w:hAnsi="Times New Roman" w:eastAsia="宋体" w:cs="宋体"/>
                <w:i w:val="0"/>
                <w:iCs w:val="0"/>
                <w:color w:val="000000" w:themeColor="text1"/>
                <w:sz w:val="21"/>
                <w:szCs w:val="21"/>
                <w:highlight w:val="none"/>
                <w:u w:val="none"/>
              </w:rPr>
            </w:pPr>
            <w:r>
              <w:rPr>
                <w:rFonts w:hint="eastAsia" w:ascii="Times New Roman" w:hAnsi="Times New Roman" w:eastAsia="宋体" w:cs="宋体"/>
                <w:i/>
                <w:iCs/>
                <w:color w:val="000000" w:themeColor="text1"/>
                <w:szCs w:val="21"/>
                <w:highlight w:val="none"/>
                <w:u w:val="single"/>
                <w:lang w:val="en-US" w:eastAsia="zh-CN"/>
              </w:rPr>
              <w:t xml:space="preserve">5</w:t>
            </w:r>
            <w:r>
              <w:rPr>
                <w:rFonts w:hint="eastAsia" w:ascii="Times New Roman" w:hAnsi="Times New Roman" w:eastAsia="宋体" w:cs="宋体"/>
                <w:i/>
                <w:iCs/>
                <w:color w:val="000000" w:themeColor="text1"/>
                <w:szCs w:val="21"/>
                <w:highlight w:val="none"/>
                <w:u w:val="single"/>
              </w:rPr>
              <w:t xml:space="preserve">、分项报价表中所列明的项目不接受赠送。</w:t>
            </w:r>
            <w:r>
              <w:rPr>
                <w:color w:val="000000" w:themeColor="text1"/>
              </w:rPr>
            </w:r>
            <w:r/>
          </w:p>
        </w:tc>
      </w:tr>
    </w:tbl>
    <w:p>
      <w:pPr>
        <w:pageBreakBefore w:val="0"/>
        <w:spacing w:line="360" w:lineRule="auto"/>
        <w:rPr>
          <w:rFonts w:ascii="Times New Roman" w:hAnsi="Times New Roman" w:eastAsia="宋体" w:cs="宋体"/>
          <w:color w:val="000000" w:themeColor="text1"/>
          <w:szCs w:val="21"/>
          <w:highlight w:val="none"/>
        </w:rPr>
      </w:pPr>
      <w:r>
        <w:rPr>
          <w:rFonts w:ascii="Times New Roman" w:hAnsi="Times New Roman" w:eastAsia="宋体" w:cs="宋体"/>
          <w:color w:val="000000" w:themeColor="text1"/>
          <w:szCs w:val="21"/>
          <w:highlight w:val="none"/>
        </w:rPr>
      </w:r>
      <w:r>
        <w:rPr>
          <w:color w:val="000000" w:themeColor="text1"/>
        </w:rPr>
      </w:r>
      <w:r/>
    </w:p>
    <w:p>
      <w:pPr>
        <w:jc w:val="left"/>
        <w:pageBreakBefore w:val="0"/>
        <w:spacing w:line="360" w:lineRule="auto"/>
        <w:widowControl/>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p>
      <w:pPr>
        <w:jc w:val="left"/>
        <w:pageBreakBefore w:val="0"/>
        <w:spacing w:line="360" w:lineRule="auto"/>
        <w:widowControl/>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p>
      <w:pPr>
        <w:pStyle w:val="887"/>
        <w:pageBreakBefore w:val="0"/>
        <w:spacing w:before="0" w:after="0" w:line="360" w:lineRule="auto"/>
        <w:rPr>
          <w:rFonts w:hint="eastAsia" w:ascii="Times New Roman" w:hAnsi="Times New Roman" w:eastAsia="宋体"/>
          <w:color w:val="000000" w:themeColor="text1"/>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000000" w:themeColor="text1"/>
        </w:rPr>
      </w:r>
      <w:bookmarkStart w:id="86" w:name="_Toc1749"/>
      <w:r>
        <w:rPr>
          <w:color w:val="000000" w:themeColor="text1"/>
        </w:rPr>
      </w:r>
      <w:bookmarkStart w:id="87" w:name="_Toc24125"/>
      <w:r>
        <w:rPr>
          <w:color w:val="000000" w:themeColor="text1"/>
        </w:rPr>
      </w:r>
      <w:bookmarkStart w:id="88" w:name="_Toc5967"/>
      <w:r>
        <w:rPr>
          <w:color w:val="000000" w:themeColor="text1"/>
        </w:rPr>
      </w:r>
      <w:r/>
    </w:p>
    <w:p>
      <w:pPr>
        <w:pStyle w:val="887"/>
        <w:pageBreakBefore w:val="0"/>
        <w:spacing w:before="0" w:after="0" w:line="360" w:lineRule="auto"/>
        <w:rPr>
          <w:rFonts w:ascii="Times New Roman" w:hAnsi="Times New Roman" w:eastAsia="宋体"/>
          <w:color w:val="000000" w:themeColor="text1"/>
          <w:sz w:val="32"/>
          <w:highlight w:val="none"/>
        </w:rPr>
      </w:pPr>
      <w:r>
        <w:rPr>
          <w:color w:val="000000" w:themeColor="text1"/>
        </w:rPr>
      </w:r>
      <w:bookmarkStart w:id="89" w:name="_Toc13073"/>
      <w:r>
        <w:rPr>
          <w:color w:val="000000" w:themeColor="text1"/>
        </w:rPr>
      </w:r>
      <w:bookmarkStart w:id="90" w:name="_Toc6564"/>
      <w:r>
        <w:rPr>
          <w:rFonts w:hint="eastAsia" w:ascii="Times New Roman" w:hAnsi="Times New Roman" w:eastAsia="宋体"/>
          <w:color w:val="000000" w:themeColor="text1"/>
          <w:sz w:val="32"/>
          <w:highlight w:val="none"/>
        </w:rPr>
        <w:t xml:space="preserve">六、技术参数响应及偏离表</w:t>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r/>
    </w:p>
    <w:tbl>
      <w:tblPr>
        <w:tblStyle w:val="890"/>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序号</w:t>
            </w:r>
            <w:r>
              <w:rPr>
                <w:color w:val="000000" w:themeColor="text1"/>
              </w:rPr>
            </w:r>
            <w:r/>
          </w:p>
        </w:tc>
        <w:tc>
          <w:tcPr>
            <w:tcW w:w="2551"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招标要求</w:t>
            </w:r>
            <w:r>
              <w:rPr>
                <w:color w:val="000000" w:themeColor="text1"/>
              </w:rPr>
            </w:r>
            <w:r/>
          </w:p>
        </w:tc>
        <w:tc>
          <w:tcPr>
            <w:tcW w:w="2701"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投标响应</w:t>
            </w:r>
            <w:r>
              <w:rPr>
                <w:color w:val="000000" w:themeColor="text1"/>
              </w:rPr>
            </w:r>
            <w:r/>
          </w:p>
        </w:tc>
        <w:tc>
          <w:tcPr>
            <w:tcW w:w="145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超出、符合或偏离</w:t>
            </w:r>
            <w:r>
              <w:rPr>
                <w:color w:val="000000" w:themeColor="text1"/>
              </w:rPr>
            </w:r>
            <w:r/>
          </w:p>
        </w:tc>
        <w:tc>
          <w:tcPr>
            <w:tcW w:w="1210"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证明材料</w:t>
            </w:r>
            <w:r>
              <w:rPr>
                <w:color w:val="000000" w:themeColor="text1"/>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255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2701"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458"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210"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bl>
    <w:p>
      <w:pPr>
        <w:pageBreakBefore w:val="0"/>
        <w:spacing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rPr>
      </w:r>
      <w:r/>
    </w:p>
    <w:p>
      <w:pPr>
        <w:pageBreakBefore w:val="0"/>
        <w:spacing w:line="360" w:lineRule="auto"/>
        <w:rPr>
          <w:rFonts w:ascii="Times New Roman" w:hAnsi="Times New Roman" w:eastAsia="宋体"/>
          <w:color w:val="000000" w:themeColor="text1"/>
          <w:sz w:val="24"/>
          <w:szCs w:val="24"/>
          <w:highlight w:val="none"/>
        </w:rPr>
      </w:pPr>
      <w:r>
        <w:rPr>
          <w:rFonts w:hint="eastAsia" w:ascii="Times New Roman" w:hAnsi="Times New Roman" w:eastAsia="宋体"/>
          <w:color w:val="000000" w:themeColor="text1"/>
          <w:sz w:val="24"/>
          <w:szCs w:val="24"/>
          <w:highlight w:val="none"/>
        </w:rPr>
        <w:t xml:space="preserve">注：1、按照基本技术要求详细填列。</w:t>
      </w:r>
      <w:r>
        <w:rPr>
          <w:color w:val="000000" w:themeColor="text1"/>
        </w:rPr>
      </w:r>
      <w:r/>
    </w:p>
    <w:p>
      <w:pPr>
        <w:ind w:firstLine="480"/>
        <w:pageBreakBefore w:val="0"/>
        <w:spacing w:line="360" w:lineRule="auto"/>
        <w:rPr>
          <w:rFonts w:ascii="Times New Roman" w:hAnsi="Times New Roman" w:eastAsia="宋体"/>
          <w:color w:val="000000" w:themeColor="text1"/>
          <w:sz w:val="24"/>
          <w:szCs w:val="24"/>
          <w:highlight w:val="none"/>
        </w:rPr>
      </w:pPr>
      <w:r>
        <w:rPr>
          <w:rFonts w:hint="eastAsia" w:ascii="Times New Roman" w:hAnsi="Times New Roman" w:eastAsia="宋体"/>
          <w:color w:val="000000" w:themeColor="text1"/>
          <w:sz w:val="24"/>
          <w:szCs w:val="24"/>
          <w:highlight w:val="none"/>
        </w:rPr>
        <w:t xml:space="preserve">2、行数不够，可自行添加。</w:t>
      </w:r>
      <w:r>
        <w:rPr>
          <w:color w:val="000000" w:themeColor="text1"/>
        </w:rPr>
      </w:r>
      <w:r/>
    </w:p>
    <w:p>
      <w:pPr>
        <w:jc w:val="center"/>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jc w:val="center"/>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jc w:val="center"/>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jc w:val="center"/>
        <w:pageBreakBefore w:val="0"/>
        <w:spacing w:line="360" w:lineRule="auto"/>
        <w:rPr>
          <w:rFonts w:ascii="Times New Roman" w:hAnsi="Times New Roman" w:eastAsia="宋体"/>
          <w:b/>
          <w:color w:val="000000" w:themeColor="text1"/>
          <w:sz w:val="36"/>
          <w:highlight w:val="none"/>
        </w:rPr>
      </w:pPr>
      <w:r>
        <w:rPr>
          <w:rFonts w:ascii="Times New Roman" w:hAnsi="Times New Roman" w:eastAsia="宋体"/>
          <w:b/>
          <w:color w:val="000000" w:themeColor="text1"/>
          <w:sz w:val="36"/>
          <w:highlight w:val="none"/>
        </w:rPr>
      </w:r>
      <w:r>
        <w:rPr>
          <w:color w:val="000000" w:themeColor="text1"/>
        </w:rPr>
      </w:r>
      <w:r/>
    </w:p>
    <w:p>
      <w:pPr>
        <w:pageBreakBefore w:val="0"/>
        <w:spacing w:line="360" w:lineRule="auto"/>
        <w:rPr>
          <w:rFonts w:ascii="Times New Roman" w:hAnsi="Times New Roman" w:eastAsia="宋体"/>
          <w:color w:val="000000" w:themeColor="text1"/>
          <w:sz w:val="32"/>
          <w:highlight w:val="none"/>
        </w:rPr>
      </w:pPr>
      <w:r>
        <w:rPr>
          <w:rFonts w:ascii="Times New Roman" w:hAnsi="Times New Roman" w:eastAsia="宋体"/>
          <w:color w:val="000000" w:themeColor="text1"/>
          <w:sz w:val="32"/>
          <w:highlight w:val="none"/>
        </w:rPr>
      </w:r>
      <w:r>
        <w:rPr>
          <w:color w:val="000000" w:themeColor="text1"/>
        </w:rPr>
      </w:r>
      <w:r/>
    </w:p>
    <w:p>
      <w:pPr>
        <w:pageBreakBefore w:val="0"/>
        <w:spacing w:line="360" w:lineRule="auto"/>
        <w:rPr>
          <w:rFonts w:ascii="Times New Roman" w:hAnsi="Times New Roman" w:eastAsia="宋体"/>
          <w:color w:val="000000" w:themeColor="text1"/>
          <w:sz w:val="32"/>
          <w:highlight w:val="none"/>
        </w:rPr>
      </w:pPr>
      <w:r>
        <w:rPr>
          <w:rFonts w:ascii="Times New Roman" w:hAnsi="Times New Roman" w:eastAsia="宋体"/>
          <w:color w:val="000000" w:themeColor="text1"/>
          <w:sz w:val="32"/>
          <w:highlight w:val="none"/>
        </w:rPr>
      </w:r>
      <w:r>
        <w:rPr>
          <w:color w:val="000000" w:themeColor="text1"/>
        </w:rPr>
      </w:r>
      <w:r/>
    </w:p>
    <w:p>
      <w:pPr>
        <w:pageBreakBefore w:val="0"/>
        <w:spacing w:line="360" w:lineRule="auto"/>
        <w:rPr>
          <w:rFonts w:ascii="Times New Roman" w:hAnsi="Times New Roman" w:eastAsia="宋体"/>
          <w:color w:val="000000" w:themeColor="text1"/>
          <w:sz w:val="32"/>
          <w:highlight w:val="none"/>
        </w:rPr>
      </w:pPr>
      <w:r>
        <w:rPr>
          <w:rFonts w:hint="eastAsia" w:ascii="Times New Roman" w:hAnsi="Times New Roman" w:eastAsia="宋体"/>
          <w:color w:val="000000" w:themeColor="text1"/>
          <w:sz w:val="32"/>
          <w:highlight w:val="none"/>
        </w:rPr>
        <w:br w:type="page" w:clear="all"/>
      </w:r>
      <w:r>
        <w:rPr>
          <w:color w:val="000000" w:themeColor="text1"/>
        </w:rPr>
      </w:r>
      <w:r/>
    </w:p>
    <w:p>
      <w:pPr>
        <w:pStyle w:val="887"/>
        <w:pageBreakBefore w:val="0"/>
        <w:spacing w:before="0" w:after="0" w:line="360" w:lineRule="auto"/>
        <w:rPr>
          <w:rFonts w:ascii="Times New Roman" w:hAnsi="Times New Roman" w:eastAsia="宋体"/>
          <w:color w:val="000000" w:themeColor="text1"/>
          <w:sz w:val="32"/>
          <w:highlight w:val="none"/>
        </w:rPr>
      </w:pPr>
      <w:r>
        <w:rPr>
          <w:color w:val="000000" w:themeColor="text1"/>
        </w:rPr>
      </w:r>
      <w:bookmarkStart w:id="91" w:name="_Hlt26955054"/>
      <w:r>
        <w:rPr>
          <w:color w:val="000000" w:themeColor="text1"/>
        </w:rPr>
      </w:r>
      <w:bookmarkEnd w:id="91"/>
      <w:r>
        <w:rPr>
          <w:color w:val="000000" w:themeColor="text1"/>
        </w:rPr>
      </w:r>
      <w:bookmarkStart w:id="92" w:name="_Toc16820"/>
      <w:r>
        <w:rPr>
          <w:color w:val="000000" w:themeColor="text1"/>
        </w:rPr>
      </w:r>
      <w:bookmarkStart w:id="93" w:name="_Toc31918"/>
      <w:r>
        <w:rPr>
          <w:color w:val="000000" w:themeColor="text1"/>
        </w:rPr>
      </w:r>
      <w:bookmarkStart w:id="94" w:name="_Toc13755"/>
      <w:r>
        <w:rPr>
          <w:color w:val="000000" w:themeColor="text1"/>
        </w:rPr>
      </w:r>
      <w:bookmarkStart w:id="95" w:name="_Toc28180"/>
      <w:r>
        <w:rPr>
          <w:color w:val="000000" w:themeColor="text1"/>
        </w:rPr>
      </w:r>
      <w:bookmarkStart w:id="96" w:name="_Toc17263"/>
      <w:r>
        <w:rPr>
          <w:rFonts w:hint="eastAsia" w:ascii="Times New Roman" w:hAnsi="Times New Roman" w:eastAsia="宋体"/>
          <w:color w:val="000000" w:themeColor="text1"/>
          <w:sz w:val="32"/>
          <w:highlight w:val="none"/>
        </w:rPr>
        <w:t xml:space="preserve">七、商务条款响应及偏离表</w:t>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r/>
    </w:p>
    <w:tbl>
      <w:tblPr>
        <w:tblStyle w:val="890"/>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color w:val="000000" w:themeColor="text1"/>
              </w:rPr>
            </w:r>
            <w:bookmarkStart w:id="97" w:name="_Hlt26671343"/>
            <w:r>
              <w:rPr>
                <w:color w:val="000000" w:themeColor="text1"/>
              </w:rPr>
            </w:r>
            <w:bookmarkEnd w:id="97"/>
            <w:r>
              <w:rPr>
                <w:color w:val="000000" w:themeColor="text1"/>
              </w:rPr>
            </w:r>
            <w:bookmarkStart w:id="98" w:name="_Hlt26671372"/>
            <w:r>
              <w:rPr>
                <w:color w:val="000000" w:themeColor="text1"/>
              </w:rPr>
            </w:r>
            <w:bookmarkEnd w:id="98"/>
            <w:r>
              <w:rPr>
                <w:color w:val="000000" w:themeColor="text1"/>
              </w:rPr>
            </w:r>
            <w:bookmarkStart w:id="99" w:name="_Hlt26782999"/>
            <w:r>
              <w:rPr>
                <w:color w:val="000000" w:themeColor="text1"/>
              </w:rPr>
            </w:r>
            <w:bookmarkEnd w:id="99"/>
            <w:r>
              <w:rPr>
                <w:color w:val="000000" w:themeColor="text1"/>
              </w:rPr>
            </w:r>
            <w:bookmarkStart w:id="100" w:name="_Hlt26609391"/>
            <w:r>
              <w:rPr>
                <w:color w:val="000000" w:themeColor="text1"/>
              </w:rPr>
            </w:r>
            <w:bookmarkEnd w:id="100"/>
            <w:r>
              <w:rPr>
                <w:color w:val="000000" w:themeColor="text1"/>
              </w:rPr>
            </w:r>
            <w:bookmarkStart w:id="101" w:name="_Hlt26580838"/>
            <w:r>
              <w:rPr>
                <w:color w:val="000000" w:themeColor="text1"/>
              </w:rPr>
            </w:r>
            <w:bookmarkEnd w:id="101"/>
            <w:r>
              <w:rPr>
                <w:color w:val="000000" w:themeColor="text1"/>
              </w:rPr>
            </w:r>
            <w:bookmarkStart w:id="102" w:name="_Hlt26955064"/>
            <w:r>
              <w:rPr>
                <w:color w:val="000000" w:themeColor="text1"/>
              </w:rPr>
            </w:r>
            <w:bookmarkEnd w:id="102"/>
            <w:r>
              <w:rPr>
                <w:color w:val="000000" w:themeColor="text1"/>
              </w:rPr>
            </w:r>
            <w:bookmarkStart w:id="103" w:name="_Hlt24879081"/>
            <w:r>
              <w:rPr>
                <w:color w:val="000000" w:themeColor="text1"/>
              </w:rPr>
            </w:r>
            <w:bookmarkEnd w:id="103"/>
            <w:r>
              <w:rPr>
                <w:color w:val="000000" w:themeColor="text1"/>
              </w:rPr>
            </w:r>
            <w:bookmarkStart w:id="104" w:name="_Hlt26955056"/>
            <w:r>
              <w:rPr>
                <w:color w:val="000000" w:themeColor="text1"/>
              </w:rPr>
            </w:r>
            <w:bookmarkEnd w:id="104"/>
            <w:r>
              <w:rPr>
                <w:rFonts w:hint="eastAsia" w:ascii="Times New Roman" w:hAnsi="Times New Roman" w:eastAsia="宋体"/>
                <w:color w:val="000000" w:themeColor="text1"/>
                <w:szCs w:val="21"/>
                <w:highlight w:val="none"/>
              </w:rPr>
              <w:t xml:space="preserve">项目</w:t>
            </w:r>
            <w:r>
              <w:rPr>
                <w:color w:val="000000" w:themeColor="text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招标文件要求</w:t>
            </w:r>
            <w:r>
              <w:rPr>
                <w:color w:val="000000" w:themeColor="text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是否响应</w:t>
            </w:r>
            <w:r>
              <w:rPr>
                <w:color w:val="000000" w:themeColor="text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投标人的承诺或说明</w:t>
            </w:r>
            <w:r>
              <w:rPr>
                <w:color w:val="000000" w:themeColor="text1"/>
              </w:rPr>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服务时间</w:t>
            </w:r>
            <w:r>
              <w:rPr>
                <w:color w:val="000000" w:themeColor="text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服务方式</w:t>
            </w:r>
            <w:r>
              <w:rPr>
                <w:color w:val="000000" w:themeColor="text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服务地点</w:t>
            </w:r>
            <w:r>
              <w:rPr>
                <w:color w:val="000000" w:themeColor="text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付款方式</w:t>
            </w:r>
            <w:r>
              <w:rPr>
                <w:color w:val="000000" w:themeColor="text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其他</w:t>
            </w:r>
            <w:r>
              <w:rPr>
                <w:color w:val="000000" w:themeColor="text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bl>
    <w:p>
      <w:pPr>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r/>
    </w:p>
    <w:p>
      <w:pPr>
        <w:pageBreakBefore w:val="0"/>
        <w:spacing w:line="360" w:lineRule="auto"/>
        <w:rPr>
          <w:rFonts w:ascii="Times New Roman" w:hAnsi="Times New Roman" w:eastAsia="宋体"/>
          <w:color w:val="000000" w:themeColor="text1"/>
          <w:sz w:val="30"/>
          <w:highlight w:val="none"/>
        </w:rPr>
      </w:pPr>
      <w:r>
        <w:rPr>
          <w:rFonts w:ascii="Times New Roman" w:hAnsi="Times New Roman" w:eastAsia="宋体"/>
          <w:color w:val="000000" w:themeColor="text1"/>
          <w:sz w:val="30"/>
          <w:highlight w:val="none"/>
        </w:rPr>
      </w:r>
      <w:r>
        <w:rPr>
          <w:color w:val="000000" w:themeColor="text1"/>
        </w:rPr>
      </w:r>
      <w:r/>
    </w:p>
    <w:p>
      <w:pPr>
        <w:pStyle w:val="892"/>
        <w:ind w:firstLine="480"/>
        <w:pageBreakBefore w:val="0"/>
        <w:spacing w:line="360" w:lineRule="auto"/>
        <w:rPr>
          <w:rFonts w:ascii="Times New Roman" w:hAnsi="Times New Roman" w:eastAsia="宋体"/>
          <w:color w:val="000000" w:themeColor="text1"/>
          <w:sz w:val="24"/>
          <w:highlight w:val="none"/>
        </w:rPr>
      </w:pPr>
      <w:r>
        <w:rPr>
          <w:color w:val="000000" w:themeColor="text1"/>
        </w:rPr>
      </w:r>
      <w:bookmarkStart w:id="105" w:name="_Hlt26609389"/>
      <w:r>
        <w:rPr>
          <w:color w:val="000000" w:themeColor="text1"/>
        </w:rPr>
      </w:r>
      <w:bookmarkEnd w:id="105"/>
      <w:r>
        <w:rPr>
          <w:color w:val="000000" w:themeColor="text1"/>
        </w:rPr>
      </w:r>
      <w:bookmarkStart w:id="106" w:name="_Hlt26671374"/>
      <w:r>
        <w:rPr>
          <w:color w:val="000000" w:themeColor="text1"/>
        </w:rPr>
      </w:r>
      <w:bookmarkEnd w:id="106"/>
      <w:r>
        <w:rPr>
          <w:color w:val="000000" w:themeColor="text1"/>
        </w:rPr>
      </w:r>
      <w:bookmarkStart w:id="107" w:name="_Hlt26955066"/>
      <w:r>
        <w:rPr>
          <w:color w:val="000000" w:themeColor="text1"/>
        </w:rPr>
      </w:r>
      <w:bookmarkEnd w:id="107"/>
      <w:r>
        <w:rPr>
          <w:color w:val="000000" w:themeColor="text1"/>
        </w:rPr>
      </w:r>
      <w:bookmarkStart w:id="108" w:name="_Toc462564146"/>
      <w:r>
        <w:rPr>
          <w:color w:val="000000" w:themeColor="text1"/>
        </w:rPr>
      </w:r>
      <w:r/>
    </w:p>
    <w:p>
      <w:pPr>
        <w:pStyle w:val="892"/>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r/>
    </w:p>
    <w:p>
      <w:pPr>
        <w:pStyle w:val="892"/>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r/>
    </w:p>
    <w:p>
      <w:pPr>
        <w:pStyle w:val="892"/>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r/>
    </w:p>
    <w:p>
      <w:pPr>
        <w:pStyle w:val="892"/>
        <w:ind w:firstLine="480"/>
        <w:pageBreakBefore w:val="0"/>
        <w:spacing w:line="360" w:lineRule="auto"/>
        <w:rPr>
          <w:rFonts w:ascii="Times New Roman" w:hAnsi="Times New Roman" w:eastAsia="宋体"/>
          <w:color w:val="000000" w:themeColor="text1"/>
          <w:sz w:val="24"/>
          <w:highlight w:val="none"/>
        </w:rPr>
      </w:pPr>
      <w:r>
        <w:rPr>
          <w:rFonts w:hint="eastAsia" w:ascii="Times New Roman" w:hAnsi="Times New Roman" w:eastAsia="宋体"/>
          <w:color w:val="000000" w:themeColor="text1"/>
          <w:sz w:val="24"/>
          <w:highlight w:val="none"/>
        </w:rPr>
        <w:t xml:space="preserve">.</w:t>
      </w:r>
      <w:r>
        <w:rPr>
          <w:color w:val="000000" w:themeColor="text1"/>
        </w:rPr>
      </w:r>
      <w:r/>
    </w:p>
    <w:p>
      <w:pPr>
        <w:pStyle w:val="892"/>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r/>
    </w:p>
    <w:p>
      <w:pPr>
        <w:pStyle w:val="892"/>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r/>
    </w:p>
    <w:p>
      <w:pPr>
        <w:pStyle w:val="892"/>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r/>
    </w:p>
    <w:p>
      <w:pPr>
        <w:pStyle w:val="892"/>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r/>
    </w:p>
    <w:p>
      <w:pPr>
        <w:pStyle w:val="892"/>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r/>
    </w:p>
    <w:p>
      <w:pPr>
        <w:pStyle w:val="892"/>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r/>
    </w:p>
    <w:p>
      <w:pPr>
        <w:pStyle w:val="892"/>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r/>
    </w:p>
    <w:p>
      <w:pPr>
        <w:pStyle w:val="892"/>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r/>
    </w:p>
    <w:p>
      <w:pPr>
        <w:pStyle w:val="892"/>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r/>
    </w:p>
    <w:p>
      <w:pPr>
        <w:pStyle w:val="892"/>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r/>
    </w:p>
    <w:p>
      <w:pPr>
        <w:pStyle w:val="892"/>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r/>
    </w:p>
    <w:p>
      <w:pPr>
        <w:pStyle w:val="892"/>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r/>
    </w:p>
    <w:p>
      <w:pPr>
        <w:pStyle w:val="892"/>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r>
        <w:rPr>
          <w:color w:val="000000" w:themeColor="text1"/>
        </w:rPr>
      </w:r>
      <w:r/>
    </w:p>
    <w:p>
      <w:pPr>
        <w:pStyle w:val="892"/>
        <w:ind w:firstLine="480"/>
        <w:pageBreakBefore w:val="0"/>
        <w:spacing w:line="360" w:lineRule="auto"/>
        <w:rPr>
          <w:rFonts w:ascii="Times New Roman" w:hAnsi="Times New Roman" w:eastAsia="宋体"/>
          <w:color w:val="000000" w:themeColor="text1"/>
          <w:sz w:val="24"/>
          <w:highlight w:val="none"/>
        </w:rPr>
      </w:pPr>
      <w:r>
        <w:rPr>
          <w:rFonts w:ascii="Times New Roman" w:hAnsi="Times New Roman" w:eastAsia="宋体"/>
          <w:color w:val="000000" w:themeColor="text1"/>
          <w:sz w:val="24"/>
          <w:highlight w:val="none"/>
        </w:rPr>
      </w:r>
      <w:bookmarkEnd w:id="108"/>
      <w:r>
        <w:rPr>
          <w:color w:val="000000" w:themeColor="text1"/>
        </w:rPr>
      </w:r>
      <w:r/>
    </w:p>
    <w:p>
      <w:pPr>
        <w:ind w:firstLine="422"/>
        <w:jc w:val="center"/>
        <w:pageBreakBefore w:val="0"/>
        <w:spacing w:line="360" w:lineRule="auto"/>
        <w:rPr>
          <w:rFonts w:ascii="Times New Roman" w:hAnsi="Times New Roman" w:eastAsia="宋体"/>
          <w:b/>
          <w:bCs/>
          <w:color w:val="000000" w:themeColor="text1"/>
          <w:szCs w:val="21"/>
          <w:highlight w:val="none"/>
        </w:rPr>
      </w:pPr>
      <w:r>
        <w:rPr>
          <w:rFonts w:hint="eastAsia" w:ascii="Times New Roman" w:hAnsi="Times New Roman" w:eastAsia="宋体" w:cs="宋体"/>
          <w:b/>
          <w:color w:val="000000" w:themeColor="text1"/>
          <w:sz w:val="32"/>
          <w:szCs w:val="32"/>
          <w:highlight w:val="none"/>
        </w:rPr>
        <w:t xml:space="preserve">八、拟投入人员一览表</w:t>
      </w:r>
      <w:r>
        <w:rPr>
          <w:color w:val="000000" w:themeColor="text1"/>
        </w:rPr>
      </w:r>
      <w:r/>
    </w:p>
    <w:tbl>
      <w:tblPr>
        <w:tblStyle w:val="890"/>
        <w:tblW w:w="8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序号</w:t>
            </w:r>
            <w:r>
              <w:rPr>
                <w:color w:val="000000" w:themeColor="text1"/>
              </w:rPr>
            </w:r>
            <w:r/>
          </w:p>
        </w:tc>
        <w:tc>
          <w:tcPr>
            <w:tcW w:w="743"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岗位</w:t>
            </w:r>
            <w:r>
              <w:rPr>
                <w:color w:val="000000" w:themeColor="text1"/>
              </w:rPr>
            </w:r>
            <w:r/>
          </w:p>
        </w:tc>
        <w:tc>
          <w:tcPr>
            <w:tcW w:w="744"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姓 名</w:t>
            </w:r>
            <w:r>
              <w:rPr>
                <w:color w:val="000000" w:themeColor="text1"/>
              </w:rPr>
            </w:r>
            <w:r/>
          </w:p>
        </w:tc>
        <w:tc>
          <w:tcPr>
            <w:tcW w:w="801"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性别</w:t>
            </w:r>
            <w:r>
              <w:rPr>
                <w:color w:val="000000" w:themeColor="text1"/>
              </w:rPr>
            </w:r>
            <w:r/>
          </w:p>
        </w:tc>
        <w:tc>
          <w:tcPr>
            <w:tcW w:w="727"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学历</w:t>
            </w:r>
            <w:r>
              <w:rPr>
                <w:color w:val="000000" w:themeColor="text1"/>
              </w:rPr>
            </w:r>
            <w:r/>
          </w:p>
        </w:tc>
        <w:tc>
          <w:tcPr>
            <w:tcW w:w="1365"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出生年月</w:t>
            </w:r>
            <w:r>
              <w:rPr>
                <w:color w:val="000000" w:themeColor="text1"/>
              </w:rPr>
            </w:r>
            <w:r/>
          </w:p>
        </w:tc>
        <w:tc>
          <w:tcPr>
            <w:tcW w:w="855"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专业</w:t>
            </w:r>
            <w:r>
              <w:rPr>
                <w:color w:val="000000" w:themeColor="text1"/>
              </w:rPr>
            </w:r>
            <w:r/>
          </w:p>
        </w:tc>
        <w:tc>
          <w:tcPr>
            <w:tcW w:w="1573"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证书及编号</w:t>
            </w:r>
            <w:r>
              <w:rPr>
                <w:color w:val="000000" w:themeColor="text1"/>
              </w:rPr>
            </w:r>
            <w:r/>
          </w:p>
        </w:tc>
        <w:tc>
          <w:tcPr>
            <w:tcW w:w="871"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hint="eastAsia" w:ascii="Times New Roman" w:hAnsi="Times New Roman" w:eastAsia="宋体"/>
                <w:color w:val="000000" w:themeColor="text1"/>
                <w:szCs w:val="21"/>
                <w:highlight w:val="none"/>
              </w:rPr>
              <w:t xml:space="preserve">备注</w:t>
            </w:r>
            <w:r>
              <w:rPr>
                <w:color w:val="000000" w:themeColor="text1"/>
              </w:rPr>
            </w:r>
            <w:r/>
          </w:p>
        </w:tc>
      </w:tr>
      <w:tr>
        <w:trPr>
          <w:jc w:val="center"/>
          <w:trHeight w:val="473"/>
        </w:trPr>
        <w:tc>
          <w:tcPr>
            <w:tcW w:w="676"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43"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44"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01"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27"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365"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55"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573"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71"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jc w:val="center"/>
          <w:trHeight w:val="473"/>
        </w:trPr>
        <w:tc>
          <w:tcPr>
            <w:tcW w:w="676"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43"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44"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01"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27"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365"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55"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573"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71"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jc w:val="center"/>
          <w:trHeight w:val="473"/>
        </w:trPr>
        <w:tc>
          <w:tcPr>
            <w:tcW w:w="676"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43"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44"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01"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27"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365"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55"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573"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71"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jc w:val="center"/>
          <w:trHeight w:val="473"/>
        </w:trPr>
        <w:tc>
          <w:tcPr>
            <w:tcW w:w="676"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43"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44"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01"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27"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365"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55"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573"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71"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jc w:val="center"/>
          <w:trHeight w:val="473"/>
        </w:trPr>
        <w:tc>
          <w:tcPr>
            <w:tcW w:w="676"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43"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44"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01"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27"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365"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55"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573"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71"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jc w:val="center"/>
          <w:trHeight w:val="473"/>
        </w:trPr>
        <w:tc>
          <w:tcPr>
            <w:tcW w:w="676"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43"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44"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01"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27"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365"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55"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573"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71"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jc w:val="center"/>
          <w:trHeight w:val="473"/>
        </w:trPr>
        <w:tc>
          <w:tcPr>
            <w:tcW w:w="676"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43"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44"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01"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27"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365"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55"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573"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71"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jc w:val="center"/>
          <w:trHeight w:val="473"/>
        </w:trPr>
        <w:tc>
          <w:tcPr>
            <w:tcW w:w="676"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43"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44"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01"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27"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365"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55"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573"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71"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r>
        <w:trPr>
          <w:jc w:val="center"/>
          <w:trHeight w:val="483"/>
        </w:trPr>
        <w:tc>
          <w:tcPr>
            <w:tcW w:w="676"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43"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44"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01"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727"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365"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55"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1573"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c>
          <w:tcPr>
            <w:tcW w:w="871" w:type="dxa"/>
            <w:vAlign w:val="center"/>
            <w:textDirection w:val="lrTb"/>
            <w:noWrap/>
          </w:tcPr>
          <w:p>
            <w:pPr>
              <w:jc w:val="center"/>
              <w:pageBreakBefore w:val="0"/>
              <w:spacing w:line="360" w:lineRule="auto"/>
              <w:rPr>
                <w:rFonts w:ascii="Times New Roman" w:hAnsi="Times New Roman" w:eastAsia="宋体"/>
                <w:color w:val="000000" w:themeColor="text1"/>
                <w:szCs w:val="21"/>
                <w:highlight w:val="none"/>
              </w:rPr>
            </w:pPr>
            <w:r>
              <w:rPr>
                <w:rFonts w:ascii="Times New Roman" w:hAnsi="Times New Roman" w:eastAsia="宋体"/>
                <w:color w:val="000000" w:themeColor="text1"/>
                <w:szCs w:val="21"/>
                <w:highlight w:val="none"/>
              </w:rPr>
            </w:r>
            <w:r>
              <w:rPr>
                <w:color w:val="000000" w:themeColor="text1"/>
              </w:rPr>
            </w:r>
            <w:r/>
          </w:p>
        </w:tc>
      </w:tr>
    </w:tbl>
    <w:p>
      <w:pPr>
        <w:pStyle w:val="968"/>
        <w:ind w:firstLine="0"/>
        <w:pageBreakBefore w:val="0"/>
        <w:spacing w:after="0" w:line="360" w:lineRule="auto"/>
        <w:rPr>
          <w:rFonts w:hint="eastAsia" w:ascii="Times New Roman" w:hAnsi="Times New Roman" w:eastAsia="宋体"/>
          <w:bCs/>
          <w:color w:val="000000" w:themeColor="text1"/>
          <w:highlight w:val="none"/>
        </w:rPr>
      </w:pPr>
      <w:r>
        <w:rPr>
          <w:rFonts w:hint="eastAsia" w:ascii="Times New Roman" w:hAnsi="Times New Roman" w:eastAsia="宋体"/>
          <w:bCs/>
          <w:color w:val="000000" w:themeColor="text1"/>
          <w:highlight w:val="none"/>
        </w:rPr>
      </w:r>
      <w:r>
        <w:rPr>
          <w:color w:val="000000" w:themeColor="text1"/>
        </w:rPr>
      </w:r>
      <w:r/>
    </w:p>
    <w:p>
      <w:pPr>
        <w:pageBreakBefore w:val="0"/>
        <w:spacing w:line="360" w:lineRule="auto"/>
        <w:rPr>
          <w:rFonts w:hint="eastAsia" w:ascii="Times New Roman" w:hAnsi="Times New Roman" w:eastAsia="宋体"/>
          <w:b/>
          <w:color w:val="000000" w:themeColor="text1"/>
          <w:highlight w:val="none"/>
        </w:rPr>
      </w:pPr>
      <w:r>
        <w:rPr>
          <w:rFonts w:hint="eastAsia" w:ascii="Times New Roman" w:hAnsi="Times New Roman" w:eastAsia="宋体"/>
          <w:b/>
          <w:color w:val="000000" w:themeColor="text1"/>
          <w:highlight w:val="none"/>
        </w:rPr>
        <w:br w:type="page" w:clear="all"/>
      </w:r>
      <w:r>
        <w:rPr>
          <w:color w:val="000000" w:themeColor="text1"/>
        </w:rPr>
      </w:r>
      <w:r/>
    </w:p>
    <w:p>
      <w:pPr>
        <w:jc w:val="center"/>
        <w:pageBreakBefore w:val="0"/>
        <w:spacing w:line="360" w:lineRule="auto"/>
        <w:rPr>
          <w:rFonts w:ascii="Times New Roman" w:hAnsi="Times New Roman" w:eastAsia="宋体"/>
          <w:b/>
          <w:color w:val="000000" w:themeColor="text1"/>
          <w:highlight w:val="none"/>
        </w:rPr>
      </w:pPr>
      <w:r>
        <w:rPr>
          <w:rFonts w:hint="eastAsia" w:ascii="Times New Roman" w:hAnsi="Times New Roman" w:eastAsia="宋体"/>
          <w:b/>
          <w:color w:val="000000" w:themeColor="text1"/>
          <w:highlight w:val="none"/>
        </w:rPr>
        <w:t xml:space="preserve">主要标的信息（中标后将公示）</w:t>
      </w:r>
      <w:r>
        <w:rPr>
          <w:color w:val="000000" w:themeColor="text1"/>
        </w:rPr>
      </w:r>
      <w:r/>
    </w:p>
    <w:p>
      <w:pPr>
        <w:pageBreakBefore w:val="0"/>
        <w:spacing w:line="360" w:lineRule="auto"/>
        <w:rPr>
          <w:rFonts w:ascii="Times New Roman" w:hAnsi="Times New Roman" w:eastAsia="宋体"/>
          <w:b/>
          <w:color w:val="000000" w:themeColor="text1"/>
          <w:highlight w:val="none"/>
        </w:rPr>
      </w:pPr>
      <w:r>
        <w:rPr>
          <w:rFonts w:hint="eastAsia" w:ascii="Times New Roman" w:hAnsi="Times New Roman" w:eastAsia="宋体"/>
          <w:color w:val="000000" w:themeColor="text1"/>
          <w:highlight w:val="none"/>
        </w:rPr>
        <w:t xml:space="preserve">投标人全称：</w:t>
      </w:r>
      <w:r>
        <w:rPr>
          <w:color w:val="000000" w:themeColor="text1"/>
        </w:rPr>
      </w:r>
      <w:r/>
    </w:p>
    <w:tbl>
      <w:tblPr>
        <w:tblStyle w:val="890"/>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货物类</w:t>
            </w:r>
            <w:r>
              <w:rPr>
                <w:color w:val="000000" w:themeColor="text1"/>
              </w:rPr>
            </w:r>
            <w:r/>
          </w:p>
        </w:tc>
        <w:tc>
          <w:tcPr>
            <w:tcW w:w="3780" w:type="dxa"/>
            <w:textDirection w:val="lrTb"/>
            <w:noWrap w:val="false"/>
          </w:tcPr>
          <w:p>
            <w:pPr>
              <w:jc w:val="center"/>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服务类</w:t>
            </w:r>
            <w:r>
              <w:rPr>
                <w:color w:val="000000" w:themeColor="text1"/>
              </w:rPr>
            </w:r>
            <w:r/>
          </w:p>
        </w:tc>
      </w:tr>
      <w:tr>
        <w:trPr>
          <w:trHeight w:val="3810"/>
        </w:trPr>
        <w:tc>
          <w:tcPr>
            <w:tcW w:w="3901" w:type="dxa"/>
            <w:textDirection w:val="lrTb"/>
            <w:noWrap w:val="false"/>
          </w:tcPr>
          <w:p>
            <w:pPr>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名称：</w:t>
            </w:r>
            <w:r>
              <w:rPr>
                <w:color w:val="000000" w:themeColor="text1"/>
              </w:rPr>
            </w:r>
            <w:r/>
          </w:p>
          <w:p>
            <w:pPr>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品牌（如有）：</w:t>
            </w:r>
            <w:r>
              <w:rPr>
                <w:color w:val="000000" w:themeColor="text1"/>
              </w:rPr>
            </w:r>
            <w:r/>
          </w:p>
          <w:p>
            <w:pPr>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规格型号：</w:t>
            </w:r>
            <w:r>
              <w:rPr>
                <w:color w:val="000000" w:themeColor="text1"/>
              </w:rPr>
            </w:r>
            <w:r/>
          </w:p>
          <w:p>
            <w:pPr>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数量：</w:t>
            </w:r>
            <w:r>
              <w:rPr>
                <w:color w:val="000000" w:themeColor="text1"/>
              </w:rPr>
            </w:r>
            <w:r/>
          </w:p>
          <w:p>
            <w:pPr>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单价：</w:t>
            </w:r>
            <w:r>
              <w:rPr>
                <w:color w:val="000000" w:themeColor="text1"/>
              </w:rPr>
            </w:r>
            <w:r/>
          </w:p>
        </w:tc>
        <w:tc>
          <w:tcPr>
            <w:tcW w:w="3780" w:type="dxa"/>
            <w:textDirection w:val="lrTb"/>
            <w:noWrap w:val="false"/>
          </w:tcPr>
          <w:p>
            <w:pPr>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名称：</w:t>
            </w:r>
            <w:r>
              <w:rPr>
                <w:color w:val="000000" w:themeColor="text1"/>
              </w:rPr>
            </w:r>
            <w:r/>
          </w:p>
          <w:p>
            <w:pPr>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服务范围：</w:t>
            </w:r>
            <w:r>
              <w:rPr>
                <w:color w:val="000000" w:themeColor="text1"/>
              </w:rPr>
            </w:r>
            <w:r/>
          </w:p>
          <w:p>
            <w:pPr>
              <w:pageBreakBefore w:val="0"/>
              <w:spacing w:line="360" w:lineRule="auto"/>
              <w:rPr>
                <w:rFonts w:ascii="Times New Roman" w:hAnsi="Times New Roman" w:eastAsia="宋体" w:cs="宋体"/>
                <w:color w:val="000000" w:themeColor="text1"/>
                <w:highlight w:val="none"/>
                <w:u w:val="single"/>
              </w:rPr>
            </w:pPr>
            <w:r>
              <w:rPr>
                <w:rFonts w:hint="eastAsia" w:ascii="Times New Roman" w:hAnsi="Times New Roman" w:eastAsia="宋体" w:cs="宋体"/>
                <w:color w:val="000000" w:themeColor="text1"/>
                <w:highlight w:val="none"/>
              </w:rPr>
              <w:t xml:space="preserve">服务要求：</w:t>
            </w:r>
            <w:r>
              <w:rPr>
                <w:color w:val="000000" w:themeColor="text1"/>
              </w:rPr>
            </w:r>
            <w:r/>
          </w:p>
          <w:p>
            <w:pPr>
              <w:pageBreakBefore w:val="0"/>
              <w:spacing w:line="360" w:lineRule="auto"/>
              <w:rPr>
                <w:rFonts w:ascii="Times New Roman" w:hAnsi="Times New Roman" w:eastAsia="宋体" w:cs="宋体"/>
                <w:color w:val="000000" w:themeColor="text1"/>
                <w:highlight w:val="none"/>
                <w:u w:val="single"/>
              </w:rPr>
            </w:pPr>
            <w:r>
              <w:rPr>
                <w:rFonts w:hint="eastAsia" w:ascii="Times New Roman" w:hAnsi="Times New Roman" w:eastAsia="宋体" w:cs="宋体"/>
                <w:color w:val="000000" w:themeColor="text1"/>
                <w:highlight w:val="none"/>
              </w:rPr>
              <w:t xml:space="preserve">服务时间：</w:t>
            </w:r>
            <w:r>
              <w:rPr>
                <w:color w:val="000000" w:themeColor="text1"/>
              </w:rPr>
            </w:r>
            <w:r/>
          </w:p>
          <w:p>
            <w:pPr>
              <w:pageBreakBefore w:val="0"/>
              <w:spacing w:line="360" w:lineRule="auto"/>
              <w:rPr>
                <w:rFonts w:ascii="Times New Roman" w:hAnsi="Times New Roman" w:eastAsia="宋体" w:cs="宋体"/>
                <w:color w:val="000000" w:themeColor="text1"/>
                <w:highlight w:val="none"/>
              </w:rPr>
            </w:pPr>
            <w:r>
              <w:rPr>
                <w:rFonts w:hint="eastAsia" w:ascii="Times New Roman" w:hAnsi="Times New Roman" w:eastAsia="宋体" w:cs="宋体"/>
                <w:color w:val="000000" w:themeColor="text1"/>
                <w:highlight w:val="none"/>
              </w:rPr>
              <w:t xml:space="preserve">服务标准：</w:t>
            </w:r>
            <w:r>
              <w:rPr>
                <w:color w:val="000000" w:themeColor="text1"/>
              </w:rPr>
            </w:r>
            <w:r/>
          </w:p>
        </w:tc>
      </w:tr>
    </w:tbl>
    <w:p>
      <w:pPr>
        <w:jc w:val="left"/>
        <w:pageBreakBefore w:val="0"/>
        <w:spacing w:line="360" w:lineRule="auto"/>
        <w:widowControl/>
        <w:rPr>
          <w:rFonts w:ascii="Times New Roman" w:hAnsi="Times New Roman" w:eastAsia="宋体" w:cs="宋体"/>
          <w:color w:val="000000" w:themeColor="text1"/>
          <w:sz w:val="24"/>
          <w:szCs w:val="24"/>
          <w:highlight w:val="none"/>
        </w:rPr>
      </w:pPr>
      <w:r>
        <w:rPr>
          <w:rFonts w:ascii="Times New Roman" w:hAnsi="Times New Roman" w:eastAsia="宋体" w:cs="宋体"/>
          <w:color w:val="000000" w:themeColor="text1"/>
          <w:sz w:val="24"/>
          <w:szCs w:val="24"/>
          <w:highlight w:val="none"/>
        </w:rPr>
        <w:br w:type="page" w:clear="all"/>
      </w:r>
      <w:r>
        <w:rPr>
          <w:color w:val="000000" w:themeColor="text1"/>
        </w:rPr>
      </w:r>
      <w:r/>
    </w:p>
    <w:p>
      <w:pPr>
        <w:ind w:firstLine="211"/>
        <w:jc w:val="center"/>
        <w:pageBreakBefore w:val="0"/>
        <w:spacing w:line="360" w:lineRule="auto"/>
        <w:rPr>
          <w:rFonts w:ascii="Times New Roman" w:hAnsi="Times New Roman" w:eastAsia="宋体"/>
          <w:b/>
          <w:color w:val="000000" w:themeColor="text1"/>
          <w:highlight w:val="none"/>
        </w:rPr>
      </w:pPr>
      <w:r>
        <w:rPr>
          <w:rFonts w:hint="eastAsia" w:ascii="Times New Roman" w:hAnsi="Times New Roman" w:eastAsia="宋体"/>
          <w:b/>
          <w:color w:val="000000" w:themeColor="text1"/>
          <w:highlight w:val="none"/>
        </w:rPr>
        <w:t xml:space="preserve">联合体协议（如有）</w:t>
      </w:r>
      <w:r>
        <w:rPr>
          <w:color w:val="000000" w:themeColor="text1"/>
        </w:rPr>
      </w:r>
      <w:r/>
    </w:p>
    <w:p>
      <w:pPr>
        <w:ind w:firstLine="211"/>
        <w:jc w:val="center"/>
        <w:pageBreakBefore w:val="0"/>
        <w:spacing w:line="360" w:lineRule="auto"/>
        <w:rPr>
          <w:rFonts w:ascii="Times New Roman" w:hAnsi="Times New Roman" w:eastAsia="宋体"/>
          <w:b/>
          <w:color w:val="000000" w:themeColor="text1"/>
          <w:highlight w:val="none"/>
        </w:rPr>
      </w:pPr>
      <w:r>
        <w:rPr>
          <w:rFonts w:ascii="Times New Roman" w:hAnsi="Times New Roman" w:eastAsia="宋体"/>
          <w:b/>
          <w:color w:val="000000" w:themeColor="text1"/>
          <w:highlight w:val="none"/>
        </w:rPr>
      </w:r>
      <w:r>
        <w:rPr>
          <w:color w:val="000000" w:themeColor="text1"/>
        </w:rPr>
      </w:r>
      <w:r/>
    </w:p>
    <w:p>
      <w:pPr>
        <w:pageBreakBefore w:val="0"/>
        <w:spacing w:line="360" w:lineRule="auto"/>
        <w:rPr>
          <w:rFonts w:ascii="Times New Roman" w:hAnsi="Times New Roman" w:eastAsia="宋体"/>
          <w:color w:val="000000" w:themeColor="text1"/>
          <w:highlight w:val="none"/>
        </w:rPr>
      </w:pPr>
      <w:r>
        <w:rPr>
          <w:rFonts w:hint="eastAsia" w:ascii="Times New Roman" w:hAnsi="Times New Roman" w:eastAsia="宋体"/>
          <w:color w:val="000000" w:themeColor="text1"/>
          <w:highlight w:val="none"/>
        </w:rPr>
        <w:t xml:space="preserve">（联合体中各供应商全称）在此达成以下协议：</w:t>
      </w:r>
      <w:r>
        <w:rPr>
          <w:color w:val="000000" w:themeColor="text1"/>
        </w:rPr>
      </w:r>
      <w:r/>
    </w:p>
    <w:p>
      <w:pPr>
        <w:ind w:firstLine="645"/>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1、我们</w:t>
      </w:r>
      <w:r>
        <w:rPr>
          <w:rFonts w:hint="eastAsia" w:ascii="Times New Roman" w:hAnsi="Times New Roman" w:eastAsia="宋体" w:cs="宋体"/>
          <w:color w:val="000000" w:themeColor="text1"/>
          <w:sz w:val="21"/>
          <w:szCs w:val="21"/>
          <w:highlight w:val="none"/>
          <w:u w:val="single"/>
        </w:rPr>
        <w:t xml:space="preserve"> （供应商1），（供应商2） ，……</w:t>
      </w:r>
      <w:r>
        <w:rPr>
          <w:rFonts w:hint="eastAsia" w:ascii="Times New Roman" w:hAnsi="Times New Roman" w:eastAsia="宋体" w:cs="宋体"/>
          <w:color w:val="000000" w:themeColor="text1"/>
          <w:sz w:val="21"/>
          <w:szCs w:val="21"/>
          <w:highlight w:val="none"/>
        </w:rPr>
        <w:t xml:space="preserve">自愿组成联合体，参加江苏省政府采购中心组织的采购编号为</w:t>
      </w:r>
      <w:r>
        <w:rPr>
          <w:rFonts w:hint="eastAsia" w:ascii="Times New Roman" w:hAnsi="Times New Roman" w:eastAsia="宋体" w:cs="宋体"/>
          <w:color w:val="000000" w:themeColor="text1"/>
          <w:sz w:val="21"/>
          <w:szCs w:val="21"/>
          <w:highlight w:val="none"/>
          <w:u w:val="single"/>
        </w:rPr>
        <w:t xml:space="preserve">（编号全称），（项目全称）</w:t>
      </w:r>
      <w:r>
        <w:rPr>
          <w:rFonts w:hint="eastAsia" w:ascii="Times New Roman" w:hAnsi="Times New Roman" w:eastAsia="宋体" w:cs="宋体"/>
          <w:color w:val="000000" w:themeColor="text1"/>
          <w:sz w:val="21"/>
          <w:szCs w:val="21"/>
          <w:highlight w:val="none"/>
        </w:rPr>
        <w:t xml:space="preserve">项目（采购包号：**）的政府采购活动，我联合体指定</w:t>
      </w:r>
      <w:r>
        <w:rPr>
          <w:rFonts w:hint="eastAsia" w:ascii="Times New Roman" w:hAnsi="Times New Roman" w:eastAsia="宋体" w:cs="宋体"/>
          <w:color w:val="000000" w:themeColor="text1"/>
          <w:sz w:val="21"/>
          <w:szCs w:val="21"/>
          <w:highlight w:val="none"/>
          <w:u w:val="single"/>
        </w:rPr>
        <w:t xml:space="preserve">（供应商*）</w:t>
      </w:r>
      <w:r>
        <w:rPr>
          <w:rFonts w:hint="eastAsia" w:ascii="Times New Roman" w:hAnsi="Times New Roman" w:eastAsia="宋体" w:cs="宋体"/>
          <w:color w:val="000000" w:themeColor="text1"/>
          <w:sz w:val="21"/>
          <w:szCs w:val="21"/>
          <w:highlight w:val="none"/>
        </w:rPr>
        <w:t xml:space="preserve">为牵头单位（牵头单位必须为联合体成员）。</w:t>
      </w:r>
      <w:r>
        <w:rPr>
          <w:color w:val="000000" w:themeColor="text1"/>
        </w:rPr>
      </w:r>
      <w:r/>
    </w:p>
    <w:p>
      <w:pPr>
        <w:ind w:firstLine="645"/>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color w:val="000000" w:themeColor="text1"/>
        </w:rPr>
      </w:r>
      <w:r/>
    </w:p>
    <w:p>
      <w:pPr>
        <w:ind w:firstLine="645"/>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3、其中</w:t>
      </w:r>
      <w:r>
        <w:rPr>
          <w:rFonts w:hint="eastAsia" w:ascii="Times New Roman" w:hAnsi="Times New Roman" w:eastAsia="宋体" w:cs="宋体"/>
          <w:color w:val="000000" w:themeColor="text1"/>
          <w:sz w:val="21"/>
          <w:szCs w:val="21"/>
          <w:highlight w:val="none"/>
          <w:u w:val="single"/>
        </w:rPr>
        <w:t xml:space="preserve">      </w:t>
      </w:r>
      <w:r>
        <w:rPr>
          <w:rFonts w:hint="eastAsia" w:ascii="Times New Roman" w:hAnsi="Times New Roman" w:eastAsia="宋体" w:cs="宋体"/>
          <w:color w:val="000000" w:themeColor="text1"/>
          <w:sz w:val="21"/>
          <w:szCs w:val="21"/>
          <w:highlight w:val="none"/>
        </w:rPr>
        <w:t xml:space="preserve">（小型、微型企业/残疾人福利性单位/监狱企业全称）为</w:t>
      </w:r>
      <w:r>
        <w:rPr>
          <w:rFonts w:hint="eastAsia" w:ascii="Times New Roman" w:hAnsi="Times New Roman" w:eastAsia="宋体" w:cs="宋体"/>
          <w:color w:val="000000" w:themeColor="text1"/>
          <w:sz w:val="21"/>
          <w:szCs w:val="21"/>
          <w:highlight w:val="none"/>
          <w:u w:val="single"/>
        </w:rPr>
        <w:t xml:space="preserve">    </w:t>
      </w:r>
      <w:r>
        <w:rPr>
          <w:rFonts w:hint="eastAsia" w:ascii="Times New Roman" w:hAnsi="Times New Roman" w:eastAsia="宋体" w:cs="宋体"/>
          <w:color w:val="000000" w:themeColor="text1"/>
          <w:sz w:val="21"/>
          <w:szCs w:val="21"/>
          <w:highlight w:val="none"/>
        </w:rPr>
        <w:t xml:space="preserve">（小型、微型企业/残疾人福利性单位/监狱企业）企业，且我们约定该公司/单位所承担的合同金额将占本项目合同总金额的</w:t>
      </w:r>
      <w:r>
        <w:rPr>
          <w:rFonts w:hint="eastAsia" w:ascii="Times New Roman" w:hAnsi="Times New Roman" w:eastAsia="宋体" w:cs="宋体"/>
          <w:color w:val="000000" w:themeColor="text1"/>
          <w:sz w:val="21"/>
          <w:szCs w:val="21"/>
          <w:highlight w:val="none"/>
          <w:u w:val="single"/>
        </w:rPr>
        <w:t xml:space="preserve">  </w:t>
      </w:r>
      <w:r>
        <w:rPr>
          <w:rFonts w:hint="eastAsia" w:ascii="Times New Roman" w:hAnsi="Times New Roman" w:eastAsia="宋体" w:cs="宋体"/>
          <w:color w:val="000000" w:themeColor="text1"/>
          <w:sz w:val="21"/>
          <w:szCs w:val="21"/>
          <w:highlight w:val="none"/>
        </w:rPr>
        <w:t xml:space="preserve"> %。</w:t>
      </w:r>
      <w:r>
        <w:rPr>
          <w:color w:val="000000" w:themeColor="text1"/>
        </w:rPr>
      </w:r>
      <w:r/>
    </w:p>
    <w:p>
      <w:pPr>
        <w:ind w:firstLine="645"/>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r>
      <w:r>
        <w:rPr>
          <w:color w:val="000000" w:themeColor="text1"/>
        </w:rPr>
      </w:r>
      <w:r/>
    </w:p>
    <w:p>
      <w:pPr>
        <w:ind w:firstLine="645"/>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                                          </w:t>
      </w:r>
      <w:r>
        <w:rPr>
          <w:color w:val="000000" w:themeColor="text1"/>
        </w:rPr>
      </w:r>
      <w:r/>
    </w:p>
    <w:p>
      <w:pPr>
        <w:ind w:firstLine="646"/>
        <w:jc w:val="right"/>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联合体中各供应商全称（公章）：     </w:t>
      </w:r>
      <w:r>
        <w:rPr>
          <w:color w:val="000000" w:themeColor="text1"/>
        </w:rPr>
      </w:r>
      <w:r/>
    </w:p>
    <w:p>
      <w:pPr>
        <w:ind w:firstLine="646"/>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                                  日期：</w:t>
      </w:r>
      <w:r>
        <w:rPr>
          <w:color w:val="000000" w:themeColor="text1"/>
        </w:rPr>
      </w:r>
      <w:r/>
    </w:p>
    <w:p>
      <w:pPr>
        <w:ind w:firstLine="645"/>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r>
      <w:r>
        <w:rPr>
          <w:color w:val="000000" w:themeColor="text1"/>
        </w:rPr>
      </w:r>
      <w:r/>
    </w:p>
    <w:p>
      <w:pPr>
        <w:ind w:firstLine="645"/>
        <w:pageBreakBefore w:val="0"/>
        <w:spacing w:line="360" w:lineRule="auto"/>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r>
      <w:r>
        <w:rPr>
          <w:color w:val="000000" w:themeColor="text1"/>
        </w:rPr>
      </w:r>
      <w:r/>
    </w:p>
    <w:p>
      <w:pPr>
        <w:pageBreakBefore w:val="0"/>
        <w:spacing w:line="360" w:lineRule="auto"/>
        <w:rPr>
          <w:rFonts w:ascii="Times New Roman" w:hAnsi="Times New Roman" w:eastAsia="宋体"/>
          <w:color w:val="000000" w:themeColor="text1"/>
          <w:highlight w:val="none"/>
        </w:rPr>
      </w:pPr>
      <w:r>
        <w:rPr>
          <w:rFonts w:hint="eastAsia" w:ascii="Times New Roman" w:hAnsi="Times New Roman" w:eastAsia="宋体" w:cs="宋体"/>
          <w:color w:val="000000" w:themeColor="text1"/>
          <w:sz w:val="21"/>
          <w:szCs w:val="21"/>
          <w:highlight w:val="none"/>
        </w:rPr>
        <w:t xml:space="preserve">备注：本招标文件中要求加盖CA电子签章的地方，仅需加盖牵头单位的CA电子签章。</w:t>
      </w:r>
      <w:r>
        <w:rPr>
          <w:color w:val="000000" w:themeColor="text1"/>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MingLiU">
    <w:panose1 w:val="020205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both"/>
    </w:pPr>
    <w:r>
      <w:rPr>
        <w:rFonts w:hint="eastAsia"/>
        <w:lang w:eastAsia="zh-CN"/>
      </w:rPr>
      <w:t xml:space="preserve">JSZC-321092-SWGC-G2026-0069号</w:t>
    </w:r>
    <w:r>
      <w:rPr>
        <w:rFonts w:hint="eastAsia"/>
        <w:lang w:val="en-US" w:eastAsia="zh-CN"/>
      </w:rPr>
      <w:t xml:space="preserve">                                  </w:t>
    </w:r>
    <w:r>
      <w:rPr>
        <w:rFonts w:hint="eastAsia"/>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both"/>
    </w:pPr>
    <w:r>
      <w:rPr>
        <w:rFonts w:hint="eastAsia"/>
        <w:lang w:eastAsia="zh-CN"/>
      </w:rPr>
      <w:t xml:space="preserve">JSZC-321092-SWGC-G2026-0069号</w:t>
    </w:r>
    <w:r>
      <w:tab/>
    </w:r>
    <w:r>
      <w:rPr>
        <w:rFonts w:hint="eastAsia"/>
        <w:lang w:val="en-US" w:eastAsia="zh-CN"/>
      </w:rPr>
      <w:t xml:space="preserve">                                    </w:t>
    </w:r>
    <w:r>
      <w:rPr>
        <w:rFonts w:hint="eastAsia"/>
      </w:rPr>
      <w:t xml:space="preserve">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9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53"/>
      <w:isLgl w:val="false"/>
      <w:suff w:val="tab"/>
      <w:lvlText w:val=""/>
      <w:lvlJc w:val="left"/>
      <w:pPr>
        <w:ind w:left="780" w:hanging="360"/>
        <w:tabs>
          <w:tab w:val="left" w:pos="780" w:leader="none"/>
        </w:tabs>
      </w:pPr>
      <w:rPr>
        <w:rFonts w:ascii="Wingdings" w:hAnsi="Wingdings"/>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26"/>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6">
    <w:multiLevelType w:val="hybridMultilevel"/>
    <w:lvl w:ilvl="0">
      <w:start w:val="1"/>
      <w:numFmt w:val="decimal"/>
      <w:pStyle w:val="956"/>
      <w:isLgl w:val="false"/>
      <w:suff w:val="tab"/>
      <w:lvlText w:val="%1"/>
      <w:lvlJc w:val="left"/>
      <w:pPr>
        <w:ind w:left="432" w:hanging="432"/>
      </w:pPr>
    </w:lvl>
    <w:lvl w:ilvl="1">
      <w:start w:val="1"/>
      <w:numFmt w:val="decimal"/>
      <w:pStyle w:val="957"/>
      <w:isLgl w:val="false"/>
      <w:suff w:val="tab"/>
      <w:lvlText w:val="%1.%2"/>
      <w:lvlJc w:val="left"/>
      <w:pPr>
        <w:ind w:left="576" w:hanging="576"/>
      </w:pPr>
    </w:lvl>
    <w:lvl w:ilvl="2">
      <w:start w:val="1"/>
      <w:numFmt w:val="decimal"/>
      <w:pStyle w:val="959"/>
      <w:isLgl w:val="false"/>
      <w:suff w:val="tab"/>
      <w:lvlText w:val="%1.%2.%3"/>
      <w:lvlJc w:val="left"/>
      <w:pPr>
        <w:ind w:left="1855"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num w:numId="1">
    <w:abstractNumId w:val="1"/>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6"/>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889"/>
    <w:link w:val="886"/>
    <w:uiPriority w:val="9"/>
    <w:rPr>
      <w:rFonts w:ascii="Arial" w:hAnsi="Arial" w:eastAsia="Arial" w:cs="Arial"/>
      <w:sz w:val="40"/>
      <w:szCs w:val="40"/>
    </w:rPr>
  </w:style>
  <w:style w:type="character" w:styleId="719">
    <w:name w:val="Heading 2 Char"/>
    <w:basedOn w:val="889"/>
    <w:link w:val="887"/>
    <w:uiPriority w:val="9"/>
    <w:rPr>
      <w:rFonts w:ascii="Arial" w:hAnsi="Arial" w:eastAsia="Arial" w:cs="Arial"/>
      <w:sz w:val="34"/>
    </w:rPr>
  </w:style>
  <w:style w:type="character" w:styleId="720">
    <w:name w:val="Heading 3 Char"/>
    <w:basedOn w:val="889"/>
    <w:link w:val="888"/>
    <w:uiPriority w:val="9"/>
    <w:rPr>
      <w:rFonts w:ascii="Arial" w:hAnsi="Arial" w:eastAsia="Arial" w:cs="Arial"/>
      <w:sz w:val="30"/>
      <w:szCs w:val="30"/>
    </w:rPr>
  </w:style>
  <w:style w:type="paragraph" w:styleId="721">
    <w:name w:val="Heading 4"/>
    <w:basedOn w:val="885"/>
    <w:next w:val="885"/>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basedOn w:val="889"/>
    <w:link w:val="721"/>
    <w:uiPriority w:val="9"/>
    <w:rPr>
      <w:rFonts w:ascii="Arial" w:hAnsi="Arial" w:eastAsia="Arial" w:cs="Arial"/>
      <w:b/>
      <w:bCs/>
      <w:sz w:val="26"/>
      <w:szCs w:val="26"/>
    </w:rPr>
  </w:style>
  <w:style w:type="paragraph" w:styleId="723">
    <w:name w:val="Heading 5"/>
    <w:basedOn w:val="885"/>
    <w:next w:val="885"/>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basedOn w:val="889"/>
    <w:link w:val="723"/>
    <w:uiPriority w:val="9"/>
    <w:rPr>
      <w:rFonts w:ascii="Arial" w:hAnsi="Arial" w:eastAsia="Arial" w:cs="Arial"/>
      <w:b/>
      <w:bCs/>
      <w:sz w:val="24"/>
      <w:szCs w:val="24"/>
    </w:rPr>
  </w:style>
  <w:style w:type="paragraph" w:styleId="725">
    <w:name w:val="Heading 6"/>
    <w:basedOn w:val="885"/>
    <w:next w:val="885"/>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basedOn w:val="889"/>
    <w:link w:val="725"/>
    <w:uiPriority w:val="9"/>
    <w:rPr>
      <w:rFonts w:ascii="Arial" w:hAnsi="Arial" w:eastAsia="Arial" w:cs="Arial"/>
      <w:b/>
      <w:bCs/>
      <w:sz w:val="22"/>
      <w:szCs w:val="22"/>
    </w:rPr>
  </w:style>
  <w:style w:type="paragraph" w:styleId="727">
    <w:name w:val="Heading 7"/>
    <w:basedOn w:val="885"/>
    <w:next w:val="885"/>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basedOn w:val="889"/>
    <w:link w:val="727"/>
    <w:uiPriority w:val="9"/>
    <w:rPr>
      <w:rFonts w:ascii="Arial" w:hAnsi="Arial" w:eastAsia="Arial" w:cs="Arial"/>
      <w:b/>
      <w:bCs/>
      <w:i/>
      <w:iCs/>
      <w:sz w:val="22"/>
      <w:szCs w:val="22"/>
    </w:rPr>
  </w:style>
  <w:style w:type="paragraph" w:styleId="729">
    <w:name w:val="Heading 8"/>
    <w:basedOn w:val="885"/>
    <w:next w:val="885"/>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basedOn w:val="889"/>
    <w:link w:val="729"/>
    <w:uiPriority w:val="9"/>
    <w:rPr>
      <w:rFonts w:ascii="Arial" w:hAnsi="Arial" w:eastAsia="Arial" w:cs="Arial"/>
      <w:i/>
      <w:iCs/>
      <w:sz w:val="22"/>
      <w:szCs w:val="22"/>
    </w:rPr>
  </w:style>
  <w:style w:type="paragraph" w:styleId="731">
    <w:name w:val="Heading 9"/>
    <w:basedOn w:val="885"/>
    <w:next w:val="885"/>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basedOn w:val="889"/>
    <w:link w:val="731"/>
    <w:uiPriority w:val="9"/>
    <w:rPr>
      <w:rFonts w:ascii="Arial" w:hAnsi="Arial" w:eastAsia="Arial" w:cs="Arial"/>
      <w:i/>
      <w:iCs/>
      <w:sz w:val="21"/>
      <w:szCs w:val="21"/>
    </w:rPr>
  </w:style>
  <w:style w:type="paragraph" w:styleId="733">
    <w:name w:val="Title"/>
    <w:basedOn w:val="885"/>
    <w:next w:val="885"/>
    <w:link w:val="734"/>
    <w:uiPriority w:val="10"/>
    <w:qFormat/>
    <w:pPr>
      <w:contextualSpacing/>
      <w:spacing w:before="300" w:after="200"/>
    </w:pPr>
    <w:rPr>
      <w:sz w:val="48"/>
      <w:szCs w:val="48"/>
    </w:rPr>
  </w:style>
  <w:style w:type="character" w:styleId="734">
    <w:name w:val="Title Char"/>
    <w:basedOn w:val="889"/>
    <w:link w:val="733"/>
    <w:uiPriority w:val="10"/>
    <w:rPr>
      <w:sz w:val="48"/>
      <w:szCs w:val="48"/>
    </w:rPr>
  </w:style>
  <w:style w:type="paragraph" w:styleId="735">
    <w:name w:val="Subtitle"/>
    <w:basedOn w:val="885"/>
    <w:next w:val="885"/>
    <w:link w:val="736"/>
    <w:uiPriority w:val="11"/>
    <w:qFormat/>
    <w:pPr>
      <w:spacing w:before="200" w:after="200"/>
    </w:pPr>
    <w:rPr>
      <w:sz w:val="24"/>
      <w:szCs w:val="24"/>
    </w:rPr>
  </w:style>
  <w:style w:type="character" w:styleId="736">
    <w:name w:val="Subtitle Char"/>
    <w:basedOn w:val="889"/>
    <w:link w:val="735"/>
    <w:uiPriority w:val="11"/>
    <w:rPr>
      <w:sz w:val="24"/>
      <w:szCs w:val="24"/>
    </w:rPr>
  </w:style>
  <w:style w:type="paragraph" w:styleId="737">
    <w:name w:val="Quote"/>
    <w:basedOn w:val="885"/>
    <w:next w:val="885"/>
    <w:link w:val="738"/>
    <w:uiPriority w:val="29"/>
    <w:qFormat/>
    <w:pPr>
      <w:ind w:left="720" w:right="720"/>
    </w:pPr>
    <w:rPr>
      <w:i/>
    </w:rPr>
  </w:style>
  <w:style w:type="character" w:styleId="738">
    <w:name w:val="Quote Char"/>
    <w:link w:val="737"/>
    <w:uiPriority w:val="29"/>
    <w:rPr>
      <w:i/>
    </w:rPr>
  </w:style>
  <w:style w:type="paragraph" w:styleId="739">
    <w:name w:val="Intense Quote"/>
    <w:basedOn w:val="885"/>
    <w:next w:val="885"/>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character" w:styleId="741">
    <w:name w:val="Header Char"/>
    <w:basedOn w:val="889"/>
    <w:link w:val="901"/>
    <w:uiPriority w:val="99"/>
  </w:style>
  <w:style w:type="character" w:styleId="742">
    <w:name w:val="Footer Char"/>
    <w:basedOn w:val="889"/>
    <w:link w:val="900"/>
    <w:uiPriority w:val="99"/>
  </w:style>
  <w:style w:type="paragraph" w:styleId="743">
    <w:name w:val="Caption"/>
    <w:basedOn w:val="885"/>
    <w:next w:val="885"/>
    <w:uiPriority w:val="35"/>
    <w:semiHidden/>
    <w:unhideWhenUsed/>
    <w:qFormat/>
    <w:pPr>
      <w:spacing w:line="276" w:lineRule="auto"/>
    </w:pPr>
    <w:rPr>
      <w:b/>
      <w:bCs/>
      <w:color w:val="4f81bd" w:themeColor="accent1"/>
      <w:sz w:val="18"/>
      <w:szCs w:val="18"/>
    </w:rPr>
  </w:style>
  <w:style w:type="character" w:styleId="744">
    <w:name w:val="Caption Char"/>
    <w:basedOn w:val="743"/>
    <w:link w:val="900"/>
    <w:uiPriority w:val="99"/>
  </w:style>
  <w:style w:type="table" w:styleId="745">
    <w:name w:val="Table Grid Light"/>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basedOn w:val="8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basedOn w:val="8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basedOn w:val="8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basedOn w:val="8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basedOn w:val="8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basedOn w:val="8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basedOn w:val="8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basedOn w:val="8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basedOn w:val="8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basedOn w:val="8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basedOn w:val="8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basedOn w:val="8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basedOn w:val="8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basedOn w:val="8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basedOn w:val="8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basedOn w:val="8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basedOn w:val="8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basedOn w:val="8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basedOn w:val="8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basedOn w:val="8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8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basedOn w:val="8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basedOn w:val="8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basedOn w:val="8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basedOn w:val="8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basedOn w:val="8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basedOn w:val="8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81">
    <w:name w:val="Grid Table 5 Dark - Accent 2"/>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2">
    <w:name w:val="Grid Table 5 Dark - Accent 3"/>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3">
    <w:name w:val="Grid Table 5 Dark- Accent 4"/>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4">
    <w:name w:val="Grid Table 5 Dark - Accent 5"/>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5">
    <w:name w:val="Grid Table 5 Dark - Accent 6"/>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6">
    <w:name w:val="Grid Table 6 Colorful"/>
    <w:basedOn w:val="8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basedOn w:val="8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basedOn w:val="8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basedOn w:val="8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basedOn w:val="8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basedOn w:val="8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2">
    <w:name w:val="Grid Table 6 Colorful - Accent 6"/>
    <w:basedOn w:val="8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3">
    <w:name w:val="Grid Table 7 Colorful"/>
    <w:basedOn w:val="8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basedOn w:val="8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basedOn w:val="8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basedOn w:val="8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basedOn w:val="8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basedOn w:val="8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basedOn w:val="8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basedOn w:val="8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basedOn w:val="89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basedOn w:val="89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basedOn w:val="89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basedOn w:val="89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basedOn w:val="89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basedOn w:val="89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basedOn w:val="8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basedOn w:val="8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basedOn w:val="8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basedOn w:val="8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basedOn w:val="8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basedOn w:val="8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basedOn w:val="8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basedOn w:val="8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6">
    <w:name w:val="List Table 3 - Accent 2"/>
    <w:basedOn w:val="8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7">
    <w:name w:val="List Table 3 - Accent 3"/>
    <w:basedOn w:val="8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8">
    <w:name w:val="List Table 3 - Accent 4"/>
    <w:basedOn w:val="8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9">
    <w:name w:val="List Table 3 - Accent 5"/>
    <w:basedOn w:val="8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20">
    <w:name w:val="List Table 3 - Accent 6"/>
    <w:basedOn w:val="8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1">
    <w:name w:val="List Table 4"/>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basedOn w:val="8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3">
    <w:name w:val="List Table 4 - Accent 2"/>
    <w:basedOn w:val="8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4">
    <w:name w:val="List Table 4 - Accent 3"/>
    <w:basedOn w:val="8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5">
    <w:name w:val="List Table 4 - Accent 4"/>
    <w:basedOn w:val="8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6">
    <w:name w:val="List Table 4 - Accent 5"/>
    <w:basedOn w:val="8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7">
    <w:name w:val="List Table 4 - Accent 6"/>
    <w:basedOn w:val="8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8">
    <w:name w:val="List Table 5 Dark"/>
    <w:basedOn w:val="8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basedOn w:val="8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basedOn w:val="8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basedOn w:val="8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basedOn w:val="8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basedOn w:val="8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basedOn w:val="8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basedOn w:val="8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basedOn w:val="8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7">
    <w:name w:val="List Table 6 Colorful - Accent 2"/>
    <w:basedOn w:val="8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8">
    <w:name w:val="List Table 6 Colorful - Accent 3"/>
    <w:basedOn w:val="8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9">
    <w:name w:val="List Table 6 Colorful - Accent 4"/>
    <w:basedOn w:val="8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0">
    <w:name w:val="List Table 6 Colorful - Accent 5"/>
    <w:basedOn w:val="8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41">
    <w:name w:val="List Table 6 Colorful - Accent 6"/>
    <w:basedOn w:val="8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2">
    <w:name w:val="List Table 7 Colorful"/>
    <w:basedOn w:val="8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basedOn w:val="8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4">
    <w:name w:val="List Table 7 Colorful - Accent 2"/>
    <w:basedOn w:val="8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5">
    <w:name w:val="List Table 7 Colorful - Accent 3"/>
    <w:basedOn w:val="8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6">
    <w:name w:val="List Table 7 Colorful - Accent 4"/>
    <w:basedOn w:val="8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7">
    <w:name w:val="List Table 7 Colorful - Accent 5"/>
    <w:basedOn w:val="8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8">
    <w:name w:val="List Table 7 Colorful - Accent 6"/>
    <w:basedOn w:val="8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9">
    <w:name w:val="Lined - Accent"/>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1">
    <w:name w:val="Lined - Accent 2"/>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2">
    <w:name w:val="Lined - Accent 3"/>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3">
    <w:name w:val="Lined - Accent 4"/>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4">
    <w:name w:val="Lined - Accent 5"/>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5">
    <w:name w:val="Lined - Accent 6"/>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6">
    <w:name w:val="Bordered &amp; Lined - Accent"/>
    <w:basedOn w:val="8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basedOn w:val="8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8">
    <w:name w:val="Bordered &amp; Lined - Accent 2"/>
    <w:basedOn w:val="8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9">
    <w:name w:val="Bordered &amp; Lined - Accent 3"/>
    <w:basedOn w:val="8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0">
    <w:name w:val="Bordered &amp; Lined - Accent 4"/>
    <w:basedOn w:val="8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1">
    <w:name w:val="Bordered &amp; Lined - Accent 5"/>
    <w:basedOn w:val="8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2">
    <w:name w:val="Bordered &amp; Lined - Accent 6"/>
    <w:basedOn w:val="8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3">
    <w:name w:val="Bordered"/>
    <w:basedOn w:val="8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basedOn w:val="8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basedOn w:val="8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basedOn w:val="8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basedOn w:val="8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basedOn w:val="8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basedOn w:val="8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0">
    <w:name w:val="footnote text"/>
    <w:basedOn w:val="885"/>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basedOn w:val="889"/>
    <w:uiPriority w:val="99"/>
    <w:unhideWhenUsed/>
    <w:rPr>
      <w:vertAlign w:val="superscript"/>
    </w:rPr>
  </w:style>
  <w:style w:type="paragraph" w:styleId="873">
    <w:name w:val="endnote text"/>
    <w:basedOn w:val="885"/>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basedOn w:val="889"/>
    <w:uiPriority w:val="99"/>
    <w:semiHidden/>
    <w:unhideWhenUsed/>
    <w:rPr>
      <w:vertAlign w:val="superscript"/>
    </w:r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91"/>
    <w:uiPriority w:val="0"/>
    <w:qFormat/>
    <w:pPr>
      <w:jc w:val="both"/>
      <w:widowControl w:val="off"/>
    </w:pPr>
    <w:rPr>
      <w:rFonts w:ascii="Calibri" w:hAnsi="Calibri" w:eastAsia="宋体" w:cs="Times New Roman"/>
      <w:sz w:val="21"/>
      <w:szCs w:val="22"/>
      <w:lang w:val="en-US" w:eastAsia="zh-CN" w:bidi="ar-SA"/>
    </w:rPr>
  </w:style>
  <w:style w:type="paragraph" w:styleId="886">
    <w:name w:val="Heading 1"/>
    <w:basedOn w:val="885"/>
    <w:next w:val="885"/>
    <w:uiPriority w:val="9"/>
    <w:qFormat/>
    <w:pPr>
      <w:keepLines/>
      <w:keepNext/>
      <w:spacing w:before="340" w:after="330" w:line="578" w:lineRule="auto"/>
      <w:outlineLvl w:val="0"/>
    </w:pPr>
    <w:rPr>
      <w:b/>
      <w:bCs/>
      <w:sz w:val="44"/>
      <w:szCs w:val="44"/>
    </w:rPr>
  </w:style>
  <w:style w:type="paragraph" w:styleId="887">
    <w:name w:val="Heading 2"/>
    <w:basedOn w:val="885"/>
    <w:next w:val="88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8">
    <w:name w:val="Heading 3"/>
    <w:basedOn w:val="885"/>
    <w:next w:val="885"/>
    <w:uiPriority w:val="0"/>
    <w:qFormat/>
    <w:pPr>
      <w:keepLines/>
      <w:keepNext/>
      <w:spacing w:before="260" w:after="260" w:line="416" w:lineRule="auto"/>
      <w:outlineLvl w:val="2"/>
    </w:pPr>
    <w:rPr>
      <w:b/>
      <w:bCs/>
      <w:sz w:val="32"/>
      <w:szCs w:val="32"/>
    </w:rPr>
  </w:style>
  <w:style w:type="character" w:styleId="889" w:default="1">
    <w:name w:val="Default Paragraph Font"/>
    <w:uiPriority w:val="1"/>
    <w:unhideWhenUsed/>
    <w:qFormat/>
  </w:style>
  <w:style w:type="table" w:styleId="890" w:default="1">
    <w:name w:val="Normal Table"/>
    <w:uiPriority w:val="99"/>
    <w:semiHidden/>
    <w:unhideWhenUsed/>
    <w:qFormat/>
    <w:tblPr>
      <w:tblCellMar>
        <w:left w:w="108" w:type="dxa"/>
        <w:top w:w="0" w:type="dxa"/>
        <w:right w:w="108" w:type="dxa"/>
        <w:bottom w:w="0" w:type="dxa"/>
      </w:tblCellMar>
    </w:tblPr>
  </w:style>
  <w:style w:type="paragraph" w:styleId="891">
    <w:name w:val="List Bullet 2"/>
    <w:basedOn w:val="885"/>
    <w:uiPriority w:val="0"/>
    <w:qFormat/>
    <w:pPr>
      <w:numPr>
        <w:ilvl w:val="0"/>
        <w:numId w:val="1"/>
      </w:numPr>
    </w:pPr>
  </w:style>
  <w:style w:type="paragraph" w:styleId="892">
    <w:name w:val="Normal Indent"/>
    <w:basedOn w:val="885"/>
    <w:uiPriority w:val="0"/>
    <w:unhideWhenUsed/>
    <w:qFormat/>
    <w:pPr>
      <w:ind w:firstLine="420"/>
    </w:pPr>
  </w:style>
  <w:style w:type="paragraph" w:styleId="893">
    <w:name w:val="annotation text"/>
    <w:basedOn w:val="885"/>
    <w:link w:val="933"/>
    <w:uiPriority w:val="0"/>
    <w:qFormat/>
    <w:pPr>
      <w:jc w:val="left"/>
    </w:pPr>
  </w:style>
  <w:style w:type="paragraph" w:styleId="894">
    <w:name w:val="Body Text"/>
    <w:basedOn w:val="885"/>
    <w:next w:val="885"/>
    <w:uiPriority w:val="0"/>
    <w:qFormat/>
    <w:rPr>
      <w:rFonts w:ascii="楷体_GB2312" w:hAnsi="Arial" w:eastAsia="楷体_GB2312"/>
      <w:sz w:val="28"/>
      <w:szCs w:val="28"/>
    </w:rPr>
  </w:style>
  <w:style w:type="paragraph" w:styleId="895">
    <w:name w:val="Body Text Indent"/>
    <w:basedOn w:val="885"/>
    <w:next w:val="896"/>
    <w:uiPriority w:val="0"/>
    <w:qFormat/>
    <w:pPr>
      <w:ind w:left="420"/>
      <w:spacing w:after="120"/>
    </w:pPr>
    <w:rPr>
      <w:rFonts w:ascii="等线" w:hAnsi="等线" w:eastAsia="等线"/>
    </w:rPr>
  </w:style>
  <w:style w:type="paragraph" w:styleId="896">
    <w:name w:val="envelope return"/>
    <w:basedOn w:val="885"/>
    <w:uiPriority w:val="99"/>
    <w:unhideWhenUsed/>
    <w:qFormat/>
    <w:rPr>
      <w:rFonts w:ascii="Arial" w:hAnsi="Arial"/>
    </w:rPr>
  </w:style>
  <w:style w:type="paragraph" w:styleId="897">
    <w:name w:val="Plain Text"/>
    <w:basedOn w:val="885"/>
    <w:uiPriority w:val="99"/>
    <w:qFormat/>
    <w:rPr>
      <w:rFonts w:ascii="宋体" w:hAnsi="Courier New"/>
      <w:sz w:val="20"/>
      <w:szCs w:val="21"/>
    </w:rPr>
  </w:style>
  <w:style w:type="paragraph" w:styleId="898">
    <w:name w:val="Body Text Indent 2"/>
    <w:basedOn w:val="885"/>
    <w:uiPriority w:val="0"/>
    <w:qFormat/>
    <w:pPr>
      <w:ind w:left="640"/>
      <w:spacing w:after="120" w:line="480" w:lineRule="auto"/>
    </w:pPr>
    <w:rPr>
      <w:rFonts w:eastAsia="仿宋_GB2312"/>
      <w:sz w:val="32"/>
      <w:szCs w:val="28"/>
    </w:rPr>
  </w:style>
  <w:style w:type="paragraph" w:styleId="899">
    <w:name w:val="Balloon Text"/>
    <w:basedOn w:val="885"/>
    <w:link w:val="924"/>
    <w:uiPriority w:val="0"/>
    <w:qFormat/>
    <w:rPr>
      <w:sz w:val="18"/>
      <w:szCs w:val="18"/>
    </w:rPr>
  </w:style>
  <w:style w:type="paragraph" w:styleId="900">
    <w:name w:val="Footer"/>
    <w:basedOn w:val="885"/>
    <w:uiPriority w:val="99"/>
    <w:unhideWhenUsed/>
    <w:qFormat/>
    <w:pPr>
      <w:jc w:val="left"/>
      <w:tabs>
        <w:tab w:val="center" w:pos="4153" w:leader="none"/>
        <w:tab w:val="right" w:pos="8306" w:leader="none"/>
      </w:tabs>
    </w:pPr>
    <w:rPr>
      <w:sz w:val="18"/>
      <w:szCs w:val="18"/>
    </w:rPr>
  </w:style>
  <w:style w:type="paragraph" w:styleId="901">
    <w:name w:val="Header"/>
    <w:basedOn w:val="88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2">
    <w:name w:val="toc 1"/>
    <w:basedOn w:val="885"/>
    <w:next w:val="885"/>
    <w:uiPriority w:val="39"/>
    <w:unhideWhenUsed/>
    <w:qFormat/>
  </w:style>
  <w:style w:type="paragraph" w:styleId="903">
    <w:name w:val="toc 2"/>
    <w:basedOn w:val="885"/>
    <w:next w:val="885"/>
    <w:uiPriority w:val="0"/>
    <w:qFormat/>
    <w:pPr>
      <w:ind w:left="420"/>
    </w:pPr>
  </w:style>
  <w:style w:type="paragraph" w:styleId="904">
    <w:name w:val="Body Text 2"/>
    <w:basedOn w:val="885"/>
    <w:uiPriority w:val="0"/>
    <w:qFormat/>
    <w:pPr>
      <w:spacing w:after="120" w:line="480" w:lineRule="auto"/>
    </w:pPr>
  </w:style>
  <w:style w:type="paragraph" w:styleId="905">
    <w:name w:val="Message Header"/>
    <w:basedOn w:val="885"/>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06">
    <w:name w:val="Normal (Web)"/>
    <w:basedOn w:val="885"/>
    <w:uiPriority w:val="0"/>
    <w:qFormat/>
    <w:rPr>
      <w:rFonts w:ascii="Times New Roman" w:hAnsi="Times New Roman"/>
      <w:sz w:val="24"/>
    </w:rPr>
  </w:style>
  <w:style w:type="paragraph" w:styleId="907">
    <w:name w:val="annotation subject"/>
    <w:basedOn w:val="893"/>
    <w:next w:val="893"/>
    <w:link w:val="934"/>
    <w:uiPriority w:val="0"/>
    <w:qFormat/>
    <w:rPr>
      <w:b/>
      <w:bCs/>
    </w:rPr>
  </w:style>
  <w:style w:type="paragraph" w:styleId="908">
    <w:name w:val="Body Text First Indent 2"/>
    <w:basedOn w:val="895"/>
    <w:uiPriority w:val="0"/>
    <w:qFormat/>
    <w:pPr>
      <w:ind w:firstLine="420"/>
      <w:spacing w:before="100" w:beforeAutospacing="1"/>
    </w:pPr>
    <w:rPr>
      <w:rFonts w:ascii="Times New Roman" w:hAnsi="Times New Roman" w:eastAsia="宋体"/>
      <w:sz w:val="20"/>
      <w:szCs w:val="21"/>
    </w:rPr>
  </w:style>
  <w:style w:type="table" w:styleId="909">
    <w:name w:val="Table Grid"/>
    <w:basedOn w:val="8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0">
    <w:name w:val="Strong"/>
    <w:uiPriority w:val="0"/>
    <w:qFormat/>
    <w:rPr>
      <w:b/>
    </w:rPr>
  </w:style>
  <w:style w:type="character" w:styleId="911">
    <w:name w:val="Emphasis"/>
    <w:uiPriority w:val="0"/>
    <w:qFormat/>
    <w:rPr>
      <w:i/>
    </w:rPr>
  </w:style>
  <w:style w:type="character" w:styleId="912">
    <w:name w:val="Hyperlink"/>
    <w:basedOn w:val="889"/>
    <w:uiPriority w:val="0"/>
    <w:qFormat/>
    <w:rPr>
      <w:color w:val="0000ff"/>
      <w:u w:val="single"/>
    </w:rPr>
  </w:style>
  <w:style w:type="character" w:styleId="913">
    <w:name w:val="annotation reference"/>
    <w:basedOn w:val="889"/>
    <w:uiPriority w:val="0"/>
    <w:qFormat/>
    <w:rPr>
      <w:sz w:val="21"/>
      <w:szCs w:val="21"/>
    </w:rPr>
  </w:style>
  <w:style w:type="paragraph" w:styleId="914" w:customStyle="1">
    <w:name w:val="正文1"/>
    <w:basedOn w:val="885"/>
    <w:next w:val="915"/>
    <w:uiPriority w:val="0"/>
    <w:qFormat/>
    <w:pPr>
      <w:jc w:val="left"/>
      <w:spacing w:line="360" w:lineRule="atLeast"/>
    </w:pPr>
    <w:rPr>
      <w:rFonts w:ascii="宋体" w:hAnsiTheme="minorHAnsi" w:eastAsiaTheme="minorEastAsia" w:cstheme="minorBidi"/>
      <w:sz w:val="24"/>
      <w:szCs w:val="20"/>
    </w:rPr>
  </w:style>
  <w:style w:type="paragraph" w:styleId="915" w:customStyle="1">
    <w:name w:val="正文文本1"/>
    <w:basedOn w:val="914"/>
    <w:next w:val="916"/>
    <w:uiPriority w:val="0"/>
    <w:qFormat/>
    <w:pPr>
      <w:spacing w:after="120"/>
    </w:pPr>
    <w:rPr>
      <w:lang w:eastAsia="en-US"/>
    </w:rPr>
  </w:style>
  <w:style w:type="paragraph" w:styleId="916" w:customStyle="1">
    <w:name w:val="一级条标题"/>
    <w:basedOn w:val="917"/>
    <w:next w:val="9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7" w:customStyle="1">
    <w:name w:val="章标题"/>
    <w:next w:val="88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8" w:customStyle="1">
    <w:name w:val="段"/>
    <w:basedOn w:val="914"/>
    <w:next w:val="885"/>
    <w:uiPriority w:val="0"/>
    <w:qFormat/>
    <w:pPr>
      <w:ind w:firstLine="200"/>
      <w:widowControl/>
    </w:pPr>
    <w:rPr>
      <w:sz w:val="20"/>
    </w:rPr>
  </w:style>
  <w:style w:type="paragraph" w:styleId="919" w:customStyle="1">
    <w:name w:val="正文（缩进）"/>
    <w:basedOn w:val="885"/>
    <w:uiPriority w:val="0"/>
    <w:qFormat/>
    <w:pPr>
      <w:ind w:firstLine="480"/>
      <w:spacing w:before="156" w:after="156"/>
    </w:pPr>
  </w:style>
  <w:style w:type="paragraph" w:styleId="920" w:customStyle="1">
    <w:name w:val="首行缩进"/>
    <w:basedOn w:val="885"/>
    <w:uiPriority w:val="0"/>
    <w:qFormat/>
    <w:pPr>
      <w:ind w:firstLine="420"/>
      <w:spacing w:line="360" w:lineRule="auto"/>
    </w:pPr>
  </w:style>
  <w:style w:type="paragraph" w:styleId="921" w:customStyle="1">
    <w:name w:val="Default"/>
    <w:uiPriority w:val="0"/>
    <w:qFormat/>
    <w:pPr>
      <w:widowControl w:val="off"/>
    </w:pPr>
    <w:rPr>
      <w:rFonts w:ascii="微软雅黑" w:hAnsi="Times New Roman" w:eastAsia="微软雅黑" w:cs="微软雅黑"/>
      <w:color w:val="000000"/>
      <w:sz w:val="24"/>
      <w:szCs w:val="24"/>
      <w:lang w:val="en-US" w:eastAsia="zh-CN" w:bidi="ar-SA"/>
    </w:rPr>
  </w:style>
  <w:style w:type="paragraph" w:styleId="922" w:customStyle="1">
    <w:name w:val="普通正文"/>
    <w:basedOn w:val="885"/>
    <w:uiPriority w:val="0"/>
    <w:qFormat/>
    <w:pPr>
      <w:ind w:firstLine="480"/>
      <w:jc w:val="left"/>
      <w:spacing w:before="120" w:after="120" w:line="360" w:lineRule="auto"/>
    </w:pPr>
    <w:rPr>
      <w:rFonts w:ascii="Arial" w:hAnsi="Arial"/>
      <w:sz w:val="24"/>
      <w:szCs w:val="24"/>
    </w:rPr>
  </w:style>
  <w:style w:type="paragraph" w:styleId="923" w:customStyle="1">
    <w:name w:val="Char"/>
    <w:basedOn w:val="885"/>
    <w:uiPriority w:val="0"/>
    <w:qFormat/>
    <w:pPr>
      <w:ind w:firstLine="200"/>
      <w:tabs>
        <w:tab w:val="left" w:pos="360" w:leader="none"/>
      </w:tabs>
    </w:pPr>
    <w:rPr>
      <w:rFonts w:ascii="Times New Roman" w:hAnsi="Times New Roman"/>
      <w:sz w:val="28"/>
      <w:szCs w:val="30"/>
    </w:rPr>
  </w:style>
  <w:style w:type="character" w:styleId="924" w:customStyle="1">
    <w:name w:val="批注框文本 字符"/>
    <w:basedOn w:val="889"/>
    <w:link w:val="899"/>
    <w:uiPriority w:val="0"/>
    <w:qFormat/>
    <w:rPr>
      <w:sz w:val="18"/>
      <w:szCs w:val="18"/>
    </w:rPr>
  </w:style>
  <w:style w:type="paragraph" w:styleId="925" w:customStyle="1">
    <w:name w:val="Table Paragraph"/>
    <w:basedOn w:val="885"/>
    <w:uiPriority w:val="1"/>
    <w:qFormat/>
    <w:rPr>
      <w:rFonts w:ascii="Noto Sans CJK JP Regular" w:hAnsi="Noto Sans CJK JP Regular" w:eastAsia="Noto Sans CJK JP Regular" w:cs="Noto Sans CJK JP Regular"/>
    </w:rPr>
  </w:style>
  <w:style w:type="paragraph" w:styleId="926" w:customStyle="1">
    <w:name w:val="正文（1）"/>
    <w:basedOn w:val="885"/>
    <w:uiPriority w:val="0"/>
    <w:qFormat/>
    <w:pPr>
      <w:numPr>
        <w:ilvl w:val="0"/>
        <w:numId w:val="2"/>
      </w:numPr>
      <w:ind w:firstLine="200"/>
    </w:pPr>
    <w:rPr>
      <w:szCs w:val="24"/>
    </w:rPr>
  </w:style>
  <w:style w:type="paragraph" w:styleId="927" w:customStyle="1">
    <w:name w:val="朱-正文"/>
    <w:basedOn w:val="885"/>
    <w:uiPriority w:val="0"/>
    <w:qFormat/>
    <w:pPr>
      <w:ind w:firstLine="200"/>
    </w:pPr>
    <w:rPr>
      <w:rFonts w:ascii="Times New Roman"/>
      <w:color w:val="000000"/>
      <w:szCs w:val="24"/>
      <w:lang w:val="en-GB"/>
    </w:rPr>
  </w:style>
  <w:style w:type="paragraph" w:styleId="928" w:customStyle="1">
    <w:name w:val="GP正文(首行缩进)"/>
    <w:basedOn w:val="885"/>
    <w:uiPriority w:val="0"/>
    <w:qFormat/>
    <w:pPr>
      <w:ind w:firstLine="480"/>
      <w:jc w:val="left"/>
    </w:pPr>
    <w:rPr>
      <w:rFonts w:ascii="Times New Roman" w:hAnsi="宋体"/>
      <w:sz w:val="24"/>
      <w:szCs w:val="24"/>
    </w:rPr>
  </w:style>
  <w:style w:type="character" w:styleId="929" w:customStyle="1">
    <w:name w:val="font71"/>
    <w:basedOn w:val="889"/>
    <w:uiPriority w:val="0"/>
    <w:qFormat/>
    <w:rPr>
      <w:rFonts w:hint="eastAsia" w:ascii="宋体" w:hAnsi="宋体" w:eastAsia="宋体" w:cs="宋体"/>
      <w:color w:val="ff0000"/>
      <w:sz w:val="21"/>
      <w:szCs w:val="21"/>
      <w:u w:val="none"/>
    </w:rPr>
  </w:style>
  <w:style w:type="character" w:styleId="930" w:customStyle="1">
    <w:name w:val="font41"/>
    <w:basedOn w:val="889"/>
    <w:uiPriority w:val="0"/>
    <w:qFormat/>
    <w:rPr>
      <w:rFonts w:hint="eastAsia" w:ascii="宋体" w:hAnsi="宋体" w:eastAsia="宋体" w:cs="宋体"/>
      <w:color w:val="000000"/>
      <w:sz w:val="21"/>
      <w:szCs w:val="21"/>
      <w:u w:val="none"/>
    </w:rPr>
  </w:style>
  <w:style w:type="paragraph" w:styleId="931">
    <w:name w:val="List Paragraph"/>
    <w:basedOn w:val="885"/>
    <w:uiPriority w:val="0"/>
    <w:qFormat/>
    <w:pPr>
      <w:ind w:firstLine="420"/>
    </w:pPr>
  </w:style>
  <w:style w:type="paragraph" w:styleId="932" w:customStyle="1">
    <w:name w:val="列出段落2"/>
    <w:basedOn w:val="885"/>
    <w:uiPriority w:val="34"/>
    <w:qFormat/>
    <w:pPr>
      <w:ind w:firstLine="420"/>
    </w:pPr>
    <w:rPr>
      <w:rFonts w:ascii="宋体"/>
      <w:color w:val="404040"/>
    </w:rPr>
  </w:style>
  <w:style w:type="character" w:styleId="933" w:customStyle="1">
    <w:name w:val="批注文字 字符"/>
    <w:basedOn w:val="889"/>
    <w:link w:val="893"/>
    <w:uiPriority w:val="0"/>
    <w:qFormat/>
    <w:rPr>
      <w:rFonts w:ascii="Calibri" w:hAnsi="Calibri"/>
      <w:sz w:val="21"/>
      <w:szCs w:val="22"/>
    </w:rPr>
  </w:style>
  <w:style w:type="character" w:styleId="934" w:customStyle="1">
    <w:name w:val="批注主题 字符"/>
    <w:basedOn w:val="933"/>
    <w:link w:val="907"/>
    <w:uiPriority w:val="0"/>
    <w:qFormat/>
    <w:rPr>
      <w:rFonts w:ascii="Calibri" w:hAnsi="Calibri"/>
      <w:b/>
      <w:bCs/>
      <w:sz w:val="21"/>
      <w:szCs w:val="22"/>
    </w:rPr>
  </w:style>
  <w:style w:type="paragraph" w:styleId="935" w:customStyle="1">
    <w:name w:val="列表段落1"/>
    <w:basedOn w:val="885"/>
    <w:uiPriority w:val="0"/>
    <w:qFormat/>
    <w:pPr>
      <w:ind w:firstLine="200"/>
    </w:pPr>
    <w:rPr>
      <w:rFonts w:cs="宋体"/>
    </w:rPr>
  </w:style>
  <w:style w:type="character" w:styleId="936" w:customStyle="1">
    <w:name w:val="font51"/>
    <w:basedOn w:val="889"/>
    <w:uiPriority w:val="0"/>
    <w:qFormat/>
    <w:rPr>
      <w:rFonts w:hint="eastAsia" w:ascii="宋体" w:hAnsi="宋体" w:eastAsia="宋体" w:cs="宋体"/>
      <w:color w:val="000000"/>
      <w:sz w:val="24"/>
      <w:szCs w:val="24"/>
      <w:u w:val="none"/>
      <w:vertAlign w:val="subscript"/>
    </w:rPr>
  </w:style>
  <w:style w:type="character" w:styleId="937" w:customStyle="1">
    <w:name w:val="font61"/>
    <w:basedOn w:val="889"/>
    <w:uiPriority w:val="0"/>
    <w:qFormat/>
    <w:rPr>
      <w:rFonts w:hint="eastAsia" w:ascii="宋体" w:hAnsi="宋体" w:eastAsia="宋体" w:cs="宋体"/>
      <w:color w:val="000000"/>
      <w:sz w:val="24"/>
      <w:szCs w:val="24"/>
      <w:u w:val="none"/>
    </w:rPr>
  </w:style>
  <w:style w:type="character" w:styleId="938" w:customStyle="1">
    <w:name w:val="font01"/>
    <w:basedOn w:val="889"/>
    <w:uiPriority w:val="0"/>
    <w:qFormat/>
    <w:rPr>
      <w:rFonts w:hint="eastAsia" w:ascii="宋体" w:hAnsi="宋体" w:eastAsia="宋体" w:cs="宋体"/>
      <w:color w:val="000000"/>
      <w:sz w:val="24"/>
      <w:szCs w:val="24"/>
      <w:u w:val="none"/>
    </w:rPr>
  </w:style>
  <w:style w:type="character" w:styleId="939" w:customStyle="1">
    <w:name w:val="font81"/>
    <w:basedOn w:val="889"/>
    <w:uiPriority w:val="0"/>
    <w:qFormat/>
    <w:rPr>
      <w:rFonts w:ascii="微软雅黑" w:hAnsi="微软雅黑" w:eastAsia="微软雅黑" w:cs="微软雅黑"/>
      <w:color w:val="000000"/>
      <w:sz w:val="24"/>
      <w:szCs w:val="24"/>
      <w:u w:val="none"/>
    </w:rPr>
  </w:style>
  <w:style w:type="character" w:styleId="940" w:customStyle="1">
    <w:name w:val="font91"/>
    <w:basedOn w:val="889"/>
    <w:uiPriority w:val="0"/>
    <w:qFormat/>
    <w:rPr>
      <w:rFonts w:ascii="Segoe UI Symbol" w:hAnsi="Segoe UI Symbol" w:eastAsia="Segoe UI Symbol" w:cs="Segoe UI Symbol"/>
      <w:color w:val="000000"/>
      <w:sz w:val="24"/>
      <w:szCs w:val="24"/>
      <w:u w:val="none"/>
    </w:rPr>
  </w:style>
  <w:style w:type="character" w:styleId="941" w:customStyle="1">
    <w:name w:val="font101"/>
    <w:basedOn w:val="889"/>
    <w:uiPriority w:val="0"/>
    <w:qFormat/>
    <w:rPr>
      <w:rFonts w:ascii="Calibri" w:hAnsi="Calibri" w:cs="Calibri"/>
      <w:color w:val="000000"/>
      <w:sz w:val="24"/>
      <w:szCs w:val="24"/>
      <w:u w:val="none"/>
    </w:rPr>
  </w:style>
  <w:style w:type="paragraph" w:styleId="942" w:customStyle="1">
    <w:name w:val="TableItem"/>
    <w:uiPriority w:val="0"/>
    <w:qFormat/>
    <w:rPr>
      <w:rFonts w:ascii="Verdana" w:hAnsi="Verdana" w:cs="Verdana" w:eastAsiaTheme="minorEastAsia"/>
      <w:b/>
      <w:bCs/>
      <w:color w:val="548235" w:themeColor="accent6" w:themeShade="BF"/>
      <w:spacing w:val="-10"/>
      <w:sz w:val="16"/>
      <w:szCs w:val="28"/>
      <w:lang w:val="en-US" w:eastAsia="zh-CN" w:bidi="ar-SA"/>
    </w:rPr>
  </w:style>
  <w:style w:type="paragraph" w:styleId="943" w:customStyle="1">
    <w:name w:val="TableEmphasis"/>
    <w:basedOn w:val="885"/>
    <w:uiPriority w:val="0"/>
    <w:qFormat/>
    <w:rPr>
      <w:rFonts w:ascii="Times New Roman" w:hAnsi="Times New Roman" w:eastAsia="Times New Roman"/>
      <w:b/>
      <w:bCs/>
      <w:color w:val="3333ff"/>
      <w:sz w:val="16"/>
      <w:szCs w:val="18"/>
    </w:rPr>
  </w:style>
  <w:style w:type="paragraph" w:styleId="944" w:customStyle="1">
    <w:name w:val="修订1"/>
    <w:hidden/>
    <w:uiPriority w:val="99"/>
    <w:unhideWhenUsed/>
    <w:qFormat/>
    <w:rPr>
      <w:rFonts w:ascii="Calibri" w:hAnsi="Calibri" w:eastAsia="宋体" w:cs="Times New Roman"/>
      <w:sz w:val="21"/>
      <w:szCs w:val="22"/>
      <w:lang w:val="en-US" w:eastAsia="zh-CN" w:bidi="ar-SA"/>
    </w:rPr>
  </w:style>
  <w:style w:type="paragraph" w:styleId="945" w:customStyle="1">
    <w:name w:val="修订2"/>
    <w:hidden/>
    <w:uiPriority w:val="99"/>
    <w:semiHidden/>
    <w:qFormat/>
    <w:rPr>
      <w:rFonts w:ascii="Calibri" w:hAnsi="Calibri" w:eastAsia="宋体" w:cs="Times New Roman"/>
      <w:sz w:val="21"/>
      <w:szCs w:val="22"/>
      <w:lang w:val="en-US" w:eastAsia="zh-CN" w:bidi="ar-SA"/>
    </w:rPr>
  </w:style>
  <w:style w:type="character" w:styleId="946" w:customStyle="1">
    <w:name w:val="font11"/>
    <w:basedOn w:val="889"/>
    <w:uiPriority w:val="0"/>
    <w:qFormat/>
    <w:rPr>
      <w:rFonts w:hint="eastAsia" w:ascii="宋体" w:hAnsi="宋体" w:eastAsia="宋体" w:cs="宋体"/>
      <w:color w:val="000000"/>
      <w:sz w:val="24"/>
      <w:szCs w:val="24"/>
      <w:u w:val="none"/>
    </w:rPr>
  </w:style>
  <w:style w:type="character" w:styleId="947" w:customStyle="1">
    <w:name w:val="font21"/>
    <w:basedOn w:val="889"/>
    <w:uiPriority w:val="0"/>
    <w:qFormat/>
    <w:rPr>
      <w:rFonts w:ascii="Segoe UI Symbol" w:hAnsi="Segoe UI Symbol" w:eastAsia="Segoe UI Symbol" w:cs="Segoe UI Symbol"/>
      <w:color w:val="000000"/>
      <w:sz w:val="24"/>
      <w:szCs w:val="24"/>
      <w:u w:val="none"/>
    </w:rPr>
  </w:style>
  <w:style w:type="character" w:styleId="948" w:customStyle="1">
    <w:name w:val="NormalCharacter"/>
    <w:uiPriority w:val="0"/>
    <w:semiHidden/>
    <w:qFormat/>
  </w:style>
  <w:style w:type="paragraph" w:styleId="949" w:customStyle="1">
    <w:name w:val="日期1"/>
    <w:basedOn w:val="885"/>
    <w:next w:val="885"/>
    <w:uiPriority w:val="0"/>
    <w:qFormat/>
    <w:pPr>
      <w:ind w:left="100"/>
    </w:pPr>
    <w:rPr>
      <w:rFonts w:ascii="Times New Roman" w:hAnsi="Times New Roman" w:eastAsia="楷体_GB2312"/>
      <w:b/>
      <w:bCs/>
      <w:sz w:val="32"/>
    </w:rPr>
  </w:style>
  <w:style w:type="paragraph" w:styleId="950" w:customStyle="1">
    <w:name w:val="正文文本缩进1"/>
    <w:basedOn w:val="885"/>
    <w:next w:val="951"/>
    <w:uiPriority w:val="0"/>
    <w:qFormat/>
    <w:pPr>
      <w:ind w:left="420"/>
      <w:spacing w:after="120"/>
    </w:pPr>
    <w:rPr>
      <w:rFonts w:ascii="Times New Roman" w:hAnsi="Times New Roman"/>
      <w:sz w:val="20"/>
      <w:szCs w:val="24"/>
    </w:rPr>
  </w:style>
  <w:style w:type="paragraph" w:styleId="951" w:customStyle="1">
    <w:name w:val="寄信人地址1"/>
    <w:basedOn w:val="885"/>
    <w:uiPriority w:val="0"/>
    <w:qFormat/>
    <w:rPr>
      <w:rFonts w:ascii="Arial" w:hAnsi="Arial"/>
    </w:rPr>
  </w:style>
  <w:style w:type="paragraph" w:styleId="952" w:customStyle="1">
    <w:name w:val="BodyText"/>
    <w:basedOn w:val="885"/>
    <w:uiPriority w:val="0"/>
    <w:qFormat/>
    <w:rPr>
      <w:rFonts w:ascii="楷体_GB2312" w:hAnsi="Arial" w:eastAsia="楷体_GB2312"/>
      <w:sz w:val="28"/>
      <w:szCs w:val="28"/>
    </w:rPr>
  </w:style>
  <w:style w:type="paragraph" w:styleId="953" w:customStyle="1">
    <w:name w:val="UserStyle_0"/>
    <w:basedOn w:val="885"/>
    <w:uiPriority w:val="0"/>
    <w:qFormat/>
    <w:pPr>
      <w:numPr>
        <w:ilvl w:val="0"/>
        <w:numId w:val="3"/>
      </w:numPr>
    </w:pPr>
  </w:style>
  <w:style w:type="character" w:styleId="954" w:customStyle="1">
    <w:name w:val="htd0"/>
    <w:uiPriority w:val="0"/>
    <w:qFormat/>
  </w:style>
  <w:style w:type="paragraph" w:styleId="955"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956" w:customStyle="1">
    <w:name w:val="样式11"/>
    <w:basedOn w:val="886"/>
    <w:uiPriority w:val="0"/>
    <w:qFormat/>
    <w:pPr>
      <w:numPr>
        <w:ilvl w:val="0"/>
        <w:numId w:val="4"/>
      </w:numPr>
      <w:jc w:val="left"/>
      <w:spacing w:before="0" w:after="0"/>
    </w:pPr>
    <w:rPr>
      <w:rFonts w:ascii="黑体" w:hAnsi="黑体" w:eastAsia="黑体"/>
      <w:sz w:val="28"/>
      <w:szCs w:val="28"/>
      <w:lang w:val="zh-CN"/>
    </w:rPr>
  </w:style>
  <w:style w:type="paragraph" w:styleId="957" w:customStyle="1">
    <w:name w:val="样式12"/>
    <w:basedOn w:val="956"/>
    <w:uiPriority w:val="0"/>
    <w:qFormat/>
    <w:pPr>
      <w:numPr>
        <w:ilvl w:val="1"/>
      </w:numPr>
      <w:tabs>
        <w:tab w:val="left" w:pos="567" w:leader="none"/>
      </w:tabs>
      <w:outlineLvl w:val="1"/>
    </w:pPr>
  </w:style>
  <w:style w:type="paragraph" w:styleId="958" w:customStyle="1">
    <w:name w:val="表11"/>
    <w:basedOn w:val="885"/>
    <w:uiPriority w:val="0"/>
    <w:qFormat/>
    <w:pPr>
      <w:jc w:val="center"/>
      <w:tabs>
        <w:tab w:val="left" w:pos="4020" w:leader="none"/>
      </w:tabs>
    </w:pPr>
    <w:rPr>
      <w:rFonts w:ascii="黑体" w:hAnsi="黑体"/>
      <w:szCs w:val="24"/>
      <w:lang w:val="zh-CN"/>
    </w:rPr>
  </w:style>
  <w:style w:type="paragraph" w:styleId="959" w:customStyle="1">
    <w:name w:val="样式13"/>
    <w:basedOn w:val="957"/>
    <w:uiPriority w:val="0"/>
    <w:qFormat/>
    <w:pPr>
      <w:numPr>
        <w:ilvl w:val="2"/>
      </w:numPr>
      <w:ind w:left="510" w:hanging="170"/>
      <w:outlineLvl w:val="2"/>
    </w:pPr>
    <w:rPr>
      <w:sz w:val="24"/>
    </w:rPr>
  </w:style>
  <w:style w:type="paragraph" w:styleId="96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1" w:customStyle="1">
    <w:name w:val="其他"/>
    <w:basedOn w:val="885"/>
    <w:uiPriority w:val="0"/>
    <w:qFormat/>
    <w:pPr>
      <w:spacing w:line="266" w:lineRule="exact"/>
      <w:shd w:val="clear" w:color="auto" w:fill="ffffff"/>
    </w:pPr>
    <w:rPr>
      <w:rFonts w:ascii="MingLiU" w:hAnsi="MingLiU" w:eastAsia="MingLiU" w:cs="MingLiU"/>
      <w:sz w:val="20"/>
      <w:szCs w:val="20"/>
      <w:lang w:val="zh-CN" w:bidi="zh-CN"/>
    </w:rPr>
  </w:style>
  <w:style w:type="paragraph" w:styleId="962" w:customStyle="1">
    <w:name w:val="Body text|1"/>
    <w:basedOn w:val="885"/>
    <w:uiPriority w:val="0"/>
    <w:qFormat/>
    <w:pPr>
      <w:spacing w:after="220"/>
    </w:pPr>
    <w:rPr>
      <w:rFonts w:cs="宋体"/>
      <w:sz w:val="22"/>
      <w:lang w:val="zh-TW" w:eastAsia="zh-TW" w:bidi="zh-TW"/>
    </w:rPr>
  </w:style>
  <w:style w:type="paragraph" w:styleId="963" w:customStyle="1">
    <w:name w:val="Other|1"/>
    <w:basedOn w:val="885"/>
    <w:uiPriority w:val="0"/>
    <w:qFormat/>
    <w:pPr>
      <w:jc w:val="center"/>
    </w:pPr>
    <w:rPr>
      <w:rFonts w:cs="宋体"/>
      <w:sz w:val="20"/>
      <w:szCs w:val="20"/>
      <w:lang w:val="zh-TW" w:eastAsia="zh-TW" w:bidi="zh-TW"/>
    </w:rPr>
  </w:style>
  <w:style w:type="paragraph" w:styleId="964" w:customStyle="1">
    <w:name w:val="Table Text"/>
    <w:basedOn w:val="885"/>
    <w:uiPriority w:val="0"/>
    <w:semiHidden/>
    <w:qFormat/>
    <w:rPr>
      <w:rFonts w:ascii="宋体" w:hAnsi="宋体" w:cs="宋体"/>
      <w:sz w:val="24"/>
      <w:szCs w:val="24"/>
      <w:lang w:eastAsia="en-US"/>
    </w:rPr>
  </w:style>
  <w:style w:type="paragraph" w:styleId="965" w:customStyle="1">
    <w:name w:val="表内文字居左"/>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966" w:customStyle="1">
    <w:name w:val="纯文本1"/>
    <w:basedOn w:val="885"/>
    <w:uiPriority w:val="99"/>
    <w:qFormat/>
    <w:rPr>
      <w:rFonts w:ascii="宋体" w:hAnsi="Courier New"/>
      <w:sz w:val="20"/>
      <w:szCs w:val="21"/>
    </w:rPr>
  </w:style>
  <w:style w:type="paragraph" w:styleId="967" w:customStyle="1">
    <w:name w:val="2"/>
    <w:next w:val="885"/>
    <w:uiPriority w:val="0"/>
    <w:qFormat/>
    <w:pPr>
      <w:jc w:val="both"/>
      <w:widowControl w:val="off"/>
    </w:pPr>
    <w:rPr>
      <w:rFonts w:ascii="Times New Roman" w:hAnsi="Times New Roman" w:eastAsia="宋体" w:cs="Times New Roman"/>
      <w:color w:val="ff0000"/>
      <w:sz w:val="21"/>
      <w:szCs w:val="24"/>
      <w:lang w:val="en-US" w:eastAsia="zh-CN" w:bidi="ar-SA"/>
    </w:rPr>
  </w:style>
  <w:style w:type="paragraph" w:styleId="968" w:customStyle="1">
    <w:name w:val="正文首行缩进 21"/>
    <w:basedOn w:val="950"/>
    <w:next w:val="969"/>
    <w:uiPriority w:val="0"/>
    <w:qFormat/>
    <w:pPr>
      <w:ind w:firstLine="420"/>
    </w:pPr>
  </w:style>
  <w:style w:type="paragraph" w:styleId="969" w:customStyle="1">
    <w:name w:val="正文首行缩进1"/>
    <w:basedOn w:val="970"/>
    <w:next w:val="885"/>
    <w:uiPriority w:val="0"/>
    <w:qFormat/>
    <w:pPr>
      <w:ind w:firstLine="425"/>
      <w:spacing w:before="100" w:after="100" w:line="360" w:lineRule="atLeast"/>
    </w:pPr>
    <w:rPr>
      <w:rFonts w:ascii="Times New Roman" w:hAnsi="Times New Roman" w:eastAsia="宋体"/>
    </w:rPr>
  </w:style>
  <w:style w:type="paragraph" w:styleId="970" w:customStyle="1">
    <w:name w:val="正文文本11"/>
    <w:basedOn w:val="885"/>
    <w:next w:val="885"/>
    <w:uiPriority w:val="99"/>
    <w:unhideWhenUsed/>
    <w:qFormat/>
    <w:rPr>
      <w:rFonts w:ascii="楷体_GB2312" w:hAnsi="Arial" w:eastAsia="楷体_GB2312"/>
      <w:sz w:val="28"/>
      <w:szCs w:val="28"/>
    </w:rPr>
  </w:style>
  <w:style w:type="paragraph" w:styleId="971" w:customStyle="1">
    <w:name w:val="正文空2格  1."/>
    <w:basedOn w:val="885"/>
    <w:uiPriority w:val="0"/>
    <w:qFormat/>
    <w:pPr>
      <w:ind w:firstLine="480"/>
    </w:pPr>
    <w:rPr>
      <w:rFonts w:cs="宋体"/>
      <w:sz w:val="28"/>
      <w:szCs w:val="20"/>
    </w:rPr>
  </w:style>
  <w:style w:type="numbering" w:styleId="9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E9FA21-C106-4CB5-BE3B-0237D6F2D952}"/>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李韦林</cp:lastModifiedBy>
  <cp:revision>8</cp:revision>
  <dcterms:created xsi:type="dcterms:W3CDTF">2023-11-29T03:36:00Z</dcterms:created>
  <dcterms:modified xsi:type="dcterms:W3CDTF">2026-06-01T09:22:40Z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012AAAA58E584023A4D7E917272CFFC7_13</vt:lpwstr>
  </property>
  <property fmtid="{D5CDD505-2E9C-101B-9397-08002B2CF9AE}" pid="4" name="KSOTemplateDocerSaveRecord">
    <vt:lpwstr>eyJoZGlkIjoiMDYwN2NkZDAzMTBkNTllNGY2YWY0NzczNWEwMjM1OWIiLCJ1c2VySWQiOiIzMDc2NjU2NDYifQ==</vt:lpwstr>
  </property>
</Properties>
</file>