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0"/>
        <w:jc w:val="both"/>
        <w:rPr>
          <w:rFonts w:hint="eastAsia" w:eastAsia="黑体"/>
          <w:b/>
          <w:bCs/>
          <w:color w:val="000000"/>
          <w:sz w:val="84"/>
        </w:rPr>
      </w:pPr>
      <w:r>
        <w:rPr>
          <w:rFonts w:hint="eastAsia" w:eastAsia="黑体"/>
          <w:b/>
          <w:bCs/>
          <w:color w:val="000000"/>
          <w:sz w:val="84"/>
        </w:rPr>
      </w:r>
      <w:r/>
    </w:p>
    <w:p>
      <w:pPr>
        <w:pStyle w:val="993"/>
        <w:ind w:firstLine="0"/>
        <w:jc w:val="center"/>
        <w:rPr>
          <w:rFonts w:hint="eastAsia" w:eastAsia="黑体"/>
          <w:b/>
          <w:bCs/>
          <w:color w:val="000000"/>
          <w:sz w:val="84"/>
        </w:rPr>
      </w:pPr>
      <w:r>
        <w:rPr>
          <w:rFonts w:hint="eastAsia" w:eastAsia="黑体"/>
          <w:b/>
          <w:bCs/>
          <w:color w:val="000000"/>
          <w:sz w:val="84"/>
        </w:rPr>
        <w:t xml:space="preserve">招　标　文　件</w:t>
      </w:r>
      <w:r/>
    </w:p>
    <w:p>
      <w:pPr>
        <w:pStyle w:val="993"/>
        <w:ind w:left="0" w:firstLine="1285"/>
        <w:jc w:val="both"/>
        <w:rPr>
          <w:rFonts w:hint="eastAsia"/>
          <w:b/>
          <w:bCs/>
          <w:color w:val="000000"/>
          <w:sz w:val="32"/>
        </w:rPr>
      </w:pPr>
      <w:r>
        <w:rPr>
          <w:rFonts w:hint="eastAsia"/>
          <w:b/>
          <w:bCs/>
          <w:color w:val="000000"/>
          <w:sz w:val="32"/>
        </w:rPr>
      </w:r>
      <w:r/>
    </w:p>
    <w:p>
      <w:pPr>
        <w:pStyle w:val="993"/>
        <w:ind w:left="0" w:firstLine="1285"/>
        <w:jc w:val="both"/>
        <w:rPr>
          <w:rFonts w:hint="eastAsia"/>
          <w:b/>
          <w:bCs/>
          <w:color w:val="000000"/>
          <w:sz w:val="32"/>
        </w:rPr>
      </w:pPr>
      <w:r>
        <w:rPr>
          <w:rFonts w:hint="eastAsia"/>
          <w:b/>
          <w:bCs/>
          <w:color w:val="000000"/>
          <w:sz w:val="32"/>
        </w:rPr>
      </w:r>
      <w:r/>
    </w:p>
    <w:p>
      <w:pPr>
        <w:pStyle w:val="993"/>
        <w:ind w:left="0" w:firstLine="1285"/>
        <w:jc w:val="both"/>
        <w:rPr>
          <w:rFonts w:hint="eastAsia"/>
          <w:b/>
          <w:bCs/>
          <w:color w:val="000000"/>
          <w:sz w:val="32"/>
        </w:rPr>
      </w:pPr>
      <w:r>
        <w:rPr>
          <w:rFonts w:hint="eastAsia"/>
          <w:b/>
          <w:bCs/>
          <w:color w:val="000000"/>
          <w:sz w:val="32"/>
        </w:rPr>
      </w:r>
      <w:r/>
    </w:p>
    <w:p>
      <w:pPr>
        <w:pStyle w:val="993"/>
        <w:ind w:left="0" w:firstLine="1285"/>
        <w:jc w:val="both"/>
        <w:rPr>
          <w:rFonts w:hint="eastAsia"/>
          <w:b/>
          <w:bCs/>
          <w:color w:val="000000"/>
          <w:sz w:val="32"/>
        </w:rPr>
      </w:pPr>
      <w:r>
        <w:rPr>
          <w:rFonts w:hint="eastAsia"/>
          <w:b/>
          <w:bCs/>
          <w:color w:val="000000"/>
          <w:sz w:val="32"/>
        </w:rPr>
      </w:r>
      <w:r/>
    </w:p>
    <w:p>
      <w:pPr>
        <w:pStyle w:val="993"/>
        <w:ind w:left="0" w:firstLine="1285"/>
        <w:jc w:val="both"/>
        <w:rPr>
          <w:rFonts w:hint="eastAsia"/>
          <w:b/>
          <w:bCs/>
          <w:color w:val="000000"/>
          <w:sz w:val="32"/>
        </w:rPr>
      </w:pPr>
      <w:r>
        <w:rPr>
          <w:rFonts w:hint="eastAsia"/>
          <w:b/>
          <w:bCs/>
          <w:color w:val="000000"/>
          <w:sz w:val="32"/>
        </w:rPr>
      </w:r>
      <w:r/>
    </w:p>
    <w:p>
      <w:pPr>
        <w:pStyle w:val="993"/>
        <w:ind w:left="0" w:firstLine="1285"/>
        <w:jc w:val="both"/>
        <w:rPr>
          <w:rFonts w:hint="eastAsia"/>
          <w:b/>
          <w:bCs/>
          <w:color w:val="000000"/>
          <w:sz w:val="32"/>
        </w:rPr>
      </w:pPr>
      <w:r>
        <w:rPr>
          <w:rFonts w:hint="eastAsia"/>
          <w:b/>
          <w:bCs/>
          <w:color w:val="000000"/>
          <w:sz w:val="32"/>
        </w:rPr>
      </w:r>
      <w:r/>
    </w:p>
    <w:p>
      <w:pPr>
        <w:pStyle w:val="993"/>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：2026扬州高邮大运河半程马拉松赛事服务项目</w:t>
      </w:r>
      <w:r/>
    </w:p>
    <w:p>
      <w:pPr>
        <w:ind w:firstLine="1285"/>
        <w:rPr>
          <w:rFonts w:hint="eastAsia"/>
          <w:b/>
          <w:bCs/>
          <w:color w:val="000000"/>
          <w:sz w:val="32"/>
        </w:rPr>
      </w:pPr>
      <w:r>
        <w:rPr>
          <w:rFonts w:hint="eastAsia"/>
          <w:b/>
          <w:bCs/>
          <w:color w:val="000000"/>
          <w:sz w:val="32"/>
        </w:rPr>
        <w:t xml:space="preserve">项目编号：JSZC-321084-JZCG-G2026-0016</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b/>
          <w:color w:val="000000"/>
          <w:sz w:val="30"/>
          <w:szCs w:val="30"/>
        </w:rPr>
      </w:pPr>
      <w:r>
        <w:rPr>
          <w:rFonts w:hint="eastAsia" w:ascii="宋体" w:hAnsi="宋体" w:eastAsia="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993"/>
        <w:ind w:firstLine="0"/>
        <w:spacing w:before="0" w:after="0"/>
        <w:rPr>
          <w:rFonts w:hint="eastAsia" w:ascii="宋体" w:hAnsi="宋体"/>
          <w:color w:val="000000"/>
        </w:rPr>
      </w:pPr>
      <w:r>
        <w:rPr>
          <w:rFonts w:hint="eastAsia" w:ascii="宋体" w:hAnsi="宋体"/>
          <w:color w:val="000000"/>
        </w:rPr>
      </w:r>
      <w:r/>
    </w:p>
    <w:p>
      <w:pPr>
        <w:pStyle w:val="993"/>
        <w:ind w:firstLine="0"/>
        <w:spacing w:before="0" w:after="0"/>
        <w:rPr>
          <w:rFonts w:hint="eastAsia" w:ascii="宋体" w:hAnsi="宋体"/>
          <w:color w:val="000000"/>
        </w:rPr>
      </w:pPr>
      <w:r>
        <w:rPr>
          <w:rFonts w:hint="eastAsia" w:ascii="宋体" w:hAnsi="宋体"/>
          <w:color w:val="000000"/>
        </w:rPr>
      </w:r>
      <w:r/>
    </w:p>
    <w:p>
      <w:pPr>
        <w:pStyle w:val="993"/>
        <w:ind w:firstLine="0"/>
        <w:spacing w:before="0" w:after="0"/>
        <w:rPr>
          <w:rFonts w:hint="eastAsia" w:ascii="宋体" w:hAnsi="宋体"/>
          <w:color w:val="000000"/>
        </w:rPr>
      </w:pPr>
      <w:r>
        <w:rPr>
          <w:rFonts w:hint="eastAsia" w:ascii="宋体" w:hAnsi="宋体"/>
          <w:color w:val="000000"/>
        </w:rPr>
      </w:r>
      <w:r/>
    </w:p>
    <w:p>
      <w:pPr>
        <w:pStyle w:val="993"/>
        <w:ind w:firstLine="0"/>
        <w:spacing w:before="0" w:after="0"/>
        <w:rPr>
          <w:rFonts w:hint="eastAsia" w:ascii="宋体" w:hAnsi="宋体"/>
          <w:color w:val="000000"/>
        </w:rPr>
      </w:pPr>
      <w:r>
        <w:rPr>
          <w:rFonts w:hint="eastAsia" w:ascii="宋体" w:hAnsi="宋体"/>
          <w:color w:val="000000"/>
        </w:rPr>
      </w:r>
      <w:r/>
    </w:p>
    <w:p>
      <w:pPr>
        <w:pStyle w:val="993"/>
        <w:ind w:firstLine="0"/>
        <w:jc w:val="center"/>
        <w:rPr>
          <w:rFonts w:hint="default"/>
          <w:b/>
          <w:bCs/>
          <w:color w:val="000000"/>
          <w:sz w:val="32"/>
          <w:lang w:val="en-US" w:eastAsia="zh-CN"/>
        </w:rPr>
      </w:pPr>
      <w:r>
        <w:rPr>
          <w:rFonts w:hint="eastAsia"/>
          <w:b/>
          <w:bCs/>
          <w:color w:val="000000"/>
          <w:sz w:val="32"/>
          <w:lang w:val="en-US" w:eastAsia="zh-CN"/>
        </w:rPr>
        <w:t xml:space="preserve">扬州市公共资源交易中心高邮分中心</w:t>
      </w:r>
      <w:r/>
    </w:p>
    <w:p>
      <w:pPr>
        <w:pStyle w:val="993"/>
        <w:ind w:firstLine="0"/>
        <w:jc w:val="center"/>
        <w:rPr>
          <w:rFonts w:hint="eastAsia"/>
          <w:color w:val="000000"/>
        </w:rPr>
      </w:pPr>
      <w:r>
        <w:rPr>
          <w:rFonts w:hint="eastAsia"/>
          <w:b/>
          <w:bCs/>
          <w:color w:val="000000"/>
          <w:sz w:val="32"/>
          <w:u w:val="single"/>
          <w:lang w:val="en-US" w:eastAsia="zh-CN"/>
        </w:rPr>
        <w:t xml:space="preserve"> 2026 </w:t>
      </w:r>
      <w:r>
        <w:rPr>
          <w:rFonts w:hint="eastAsia"/>
          <w:b/>
          <w:bCs/>
          <w:color w:val="000000"/>
          <w:sz w:val="32"/>
        </w:rPr>
        <w:t xml:space="preserve">年</w:t>
      </w:r>
      <w:r>
        <w:rPr>
          <w:rFonts w:hint="eastAsia"/>
          <w:b/>
          <w:bCs/>
          <w:color w:val="000000"/>
          <w:sz w:val="32"/>
          <w:u w:val="single"/>
          <w:lang w:val="en-US" w:eastAsia="zh-CN"/>
        </w:rPr>
        <w:t xml:space="preserve"> 6 </w:t>
      </w:r>
      <w:r>
        <w:rPr>
          <w:rFonts w:hint="eastAsia"/>
          <w:b/>
          <w:bCs/>
          <w:color w:val="000000"/>
          <w:sz w:val="32"/>
        </w:rPr>
        <w:t xml:space="preserve">月</w:t>
      </w:r>
      <w:r>
        <w:rPr>
          <w:rFonts w:hint="eastAsia"/>
          <w:color w:val="000000"/>
        </w:rPr>
        <w:t xml:space="preserve">       </w:t>
      </w:r>
      <w:r/>
    </w:p>
    <w:p>
      <w:pPr>
        <w:jc w:val="center"/>
        <w:spacing w:line="480" w:lineRule="auto"/>
        <w:rPr>
          <w:rFonts w:hint="eastAsia"/>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16938516"/>
      <w:r/>
      <w:bookmarkStart w:id="2" w:name="_Toc479757206"/>
      <w:r/>
      <w:bookmarkStart w:id="3" w:name="_Toc523127445"/>
      <w:r/>
      <w:bookmarkStart w:id="4" w:name="_Toc20823272"/>
      <w:r/>
      <w:bookmarkStart w:id="5" w:name="_Toc513029200"/>
      <w:r/>
      <w:r/>
    </w:p>
    <w:p>
      <w:pPr>
        <w:jc w:val="center"/>
        <w:spacing w:line="480" w:lineRule="auto"/>
        <w:rPr>
          <w:rFonts w:hint="eastAsia"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14</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17</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31</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34</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06"/>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[高邮市文体广电和旅游局]</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就[2026扬州高邮大运河半程马拉松赛事服务项目](JSZC-321084-JZCG-G2026-0016)项目进行公开招标采购，欢迎符合条件的供应商投标。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2026扬州高邮大运河半程马拉松赛事服务项目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7</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14 </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09"/>
        <w:ind w:firstLine="498"/>
        <w:spacing w:before="145" w:after="145" w:line="400" w:lineRule="exact"/>
        <w:rPr>
          <w:color w:val="000000"/>
        </w:rPr>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w:t>
      </w:r>
      <w:r>
        <w:rPr>
          <w:rFonts w:hint="eastAsia" w:ascii="宋体" w:hAnsi="宋体"/>
          <w:color w:val="000000"/>
          <w:sz w:val="24"/>
          <w:szCs w:val="24"/>
          <w:highlight w:val="none"/>
        </w:rPr>
        <w:t xml:space="preserve">目编号：JSZC-321084-JZCG-G2026-0016</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2.项目名称：2026扬州高邮大运河半程马拉松赛事服务项目</w:t>
      </w:r>
      <w:bookmarkEnd w:id="11"/>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120</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108</w:t>
            </w:r>
            <w:r/>
          </w:p>
        </w:tc>
      </w:tr>
    </w:tbl>
    <w:p>
      <w:pPr>
        <w:spacing w:line="240" w:lineRule="auto"/>
        <w:rPr>
          <w:rFonts w:hint="eastAsia" w:ascii="宋体" w:hAnsi="宋体"/>
          <w:color w:val="000000"/>
          <w:sz w:val="24"/>
          <w:szCs w:val="24"/>
        </w:rPr>
      </w:pPr>
      <w:r>
        <w:rPr>
          <w:rFonts w:hint="eastAsia" w:ascii="宋体" w:hAnsi="宋体"/>
          <w:color w:val="000000"/>
          <w:sz w:val="24"/>
          <w:szCs w:val="24"/>
        </w:rPr>
      </w:r>
      <w:r/>
    </w:p>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本次招标项目主要采购服务包括：赛事整体策划、竞赛组织、赛事宣传推广、赛事安全保障、赛事医疗保障、赛事志愿服务、赛事后勤保障、跑者服务、配套活动组织、赛事市场开发以及协议内的其他工作，并承担全部市场开发费用及约定的赛事运营等相关费用。（详细内容见本招标文件第四章）  </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6.合同履行期限：合同签订后150天完成服务并提交成果。</w:t>
      </w:r>
      <w:r/>
    </w:p>
    <w:p>
      <w:pPr>
        <w:pStyle w:val="909"/>
        <w:ind w:firstLine="498"/>
        <w:spacing w:before="145" w:after="145" w:line="400" w:lineRule="exact"/>
        <w:rPr>
          <w:color w:val="000000"/>
        </w:rPr>
      </w:pPr>
      <w:r/>
      <w:bookmarkStart w:id="12" w:name="_Toc35393622"/>
      <w:r/>
      <w:bookmarkStart w:id="13" w:name="_Toc28359080"/>
      <w:r/>
      <w:bookmarkStart w:id="14" w:name="_Toc38985264"/>
      <w:r/>
      <w:bookmarkStart w:id="15" w:name="_Toc35393791"/>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623"/>
      <w:r/>
      <w:bookmarkStart w:id="18" w:name="_Toc38985265"/>
      <w:r/>
      <w:bookmarkStart w:id="19" w:name="_Toc35393792"/>
      <w:r/>
      <w:bookmarkStart w:id="20" w:name="_Toc28359004"/>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2024或2025年度</w:t>
      </w:r>
      <w:r>
        <w:rPr>
          <w:rFonts w:hint="eastAsia" w:ascii="宋体" w:hAnsi="宋体"/>
          <w:color w:val="000000"/>
          <w:sz w:val="24"/>
          <w:szCs w:val="24"/>
        </w:rPr>
        <w:t xml:space="preserve">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30"/>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30"/>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spacing w:line="240" w:lineRule="auto"/>
        <w:rPr>
          <w:rFonts w:hint="eastAsia"/>
          <w:b/>
          <w:bCs/>
          <w:color w:val="000000"/>
          <w:sz w:val="32"/>
          <w:szCs w:val="32"/>
        </w:rPr>
      </w:pPr>
      <w:r>
        <w:rPr>
          <w:rFonts w:hint="eastAsia"/>
          <w:b/>
          <w:bCs/>
          <w:color w:val="000000"/>
          <w:sz w:val="32"/>
          <w:szCs w:val="32"/>
        </w:rPr>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bookmarkEnd w:id="18"/>
      <w:bookmarkEnd w:id="19"/>
      <w:bookmarkEnd w:id="20"/>
      <w:bookmarkEnd w:id="21"/>
      <w:r/>
    </w:p>
    <w:p>
      <w:pPr>
        <w:pStyle w:val="909"/>
        <w:ind w:firstLine="498"/>
        <w:spacing w:before="145" w:after="145" w:line="400" w:lineRule="exact"/>
        <w:rPr>
          <w:color w:val="000000"/>
        </w:rPr>
      </w:pPr>
      <w:r/>
      <w:bookmarkStart w:id="22" w:name="_Toc28359082"/>
      <w:r/>
      <w:bookmarkStart w:id="23" w:name="_Toc28359005"/>
      <w:r/>
      <w:bookmarkStart w:id="24" w:name="_Toc35393793"/>
      <w:r/>
      <w:bookmarkStart w:id="25" w:name="_Toc35393624"/>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u w:val="none"/>
        </w:rPr>
        <w:t xml:space="preserve">1.</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7</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14</w:t>
      </w:r>
      <w:r>
        <w:rPr>
          <w:rFonts w:hint="eastAsia" w:ascii="宋体" w:hAnsi="宋体"/>
          <w:bCs/>
          <w:color w:val="000000"/>
          <w:sz w:val="24"/>
          <w:szCs w:val="24"/>
          <w:highlight w:val="none"/>
          <w:u w:val="single"/>
        </w:rPr>
        <w:t xml:space="preserve">日9点30分</w:t>
      </w:r>
      <w:r>
        <w:rPr>
          <w:rFonts w:hint="eastAsia" w:ascii="宋体" w:hAnsi="宋体"/>
          <w:bCs/>
          <w:color w:val="000000"/>
          <w:sz w:val="24"/>
          <w:szCs w:val="24"/>
          <w:highlight w:val="none"/>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35393794"/>
      <w:r/>
      <w:bookmarkStart w:id="29" w:name="_Toc28359007"/>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09"/>
        <w:ind w:firstLine="498"/>
        <w:spacing w:before="145" w:after="145" w:line="400" w:lineRule="exact"/>
        <w:rPr>
          <w:color w:val="000000"/>
        </w:rPr>
      </w:pPr>
      <w:r/>
      <w:bookmarkStart w:id="32" w:name="_Toc35393795"/>
      <w:r/>
      <w:bookmarkStart w:id="33" w:name="_Toc38985268"/>
      <w:r/>
      <w:bookmarkStart w:id="34" w:name="_Toc35393626"/>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09"/>
        <w:ind w:firstLine="498"/>
        <w:spacing w:before="145" w:after="145" w:line="400" w:lineRule="exact"/>
        <w:rPr>
          <w:color w:val="000000"/>
        </w:rPr>
      </w:pPr>
      <w:r/>
      <w:bookmarkStart w:id="35" w:name="_Toc35393627"/>
      <w:r/>
      <w:bookmarkStart w:id="36" w:name="_Toc28359008"/>
      <w:r/>
      <w:bookmarkStart w:id="37" w:name="_Toc28359085"/>
      <w:r/>
      <w:bookmarkStart w:id="38" w:name="_Toc38985269"/>
      <w:r/>
      <w:bookmarkStart w:id="39" w:name="_Toc35393796"/>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高邮市文体广电和旅游局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高邮市海潮东路40号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杨浩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lang w:val="en-US" w:eastAsia="zh-CN"/>
        </w:rPr>
        <w:t xml:space="preserve"> 18752558448 </w:t>
      </w:r>
      <w:r/>
    </w:p>
    <w:p>
      <w:pPr>
        <w:ind w:left="1079" w:hanging="300"/>
        <w:jc w:val="left"/>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lang w:eastAsia="zh-CN"/>
        </w:rPr>
        <w:t xml:space="preserve">扬州市公共资源交易中心高邮分中心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w:t>
      </w:r>
      <w:r>
        <w:rPr>
          <w:rFonts w:hint="eastAsia" w:ascii="宋体" w:hAnsi="宋体" w:eastAsia="宋体" w:cs="Times New Roman"/>
          <w:sz w:val="24"/>
          <w:szCs w:val="24"/>
          <w:u w:val="single"/>
          <w:lang w:eastAsia="zh-CN"/>
        </w:rPr>
        <w:t xml:space="preserve">高邮市海潮东路</w:t>
      </w:r>
      <w:r>
        <w:rPr>
          <w:rFonts w:hint="eastAsia" w:ascii="宋体" w:hAnsi="宋体" w:eastAsia="宋体" w:cs="Times New Roman"/>
          <w:sz w:val="24"/>
          <w:szCs w:val="24"/>
          <w:u w:val="single"/>
          <w:lang w:val="en-US" w:eastAsia="zh-CN"/>
        </w:rPr>
        <w:t xml:space="preserve">997号</w:t>
      </w:r>
      <w:r>
        <w:rPr>
          <w:rFonts w:hint="eastAsia" w:ascii="宋体" w:hAnsi="宋体"/>
          <w:color w:val="000000"/>
          <w:sz w:val="24"/>
          <w:szCs w:val="24"/>
          <w:u w:val="single"/>
          <w:lang w:val="en-US" w:eastAsia="zh-CN"/>
        </w:rPr>
        <w:t xml:space="preserve">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周宇 张睿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0514-84656160 </w:t>
      </w:r>
      <w:bookmarkEnd w:id="40"/>
      <w:bookmarkEnd w:id="41"/>
      <w:r/>
    </w:p>
    <w:p>
      <w:pPr>
        <w:pStyle w:val="909"/>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907"/>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eastAsia="黑体"/>
          <w:color w:val="000000"/>
        </w:rPr>
        <w:t xml:space="preserve">投标人须知</w:t>
      </w:r>
      <w:bookmarkEnd w:id="45"/>
      <w:r/>
      <w:bookmarkEnd w:id="46"/>
      <w:r/>
      <w:bookmarkEnd w:id="47"/>
      <w:r/>
      <w:bookmarkEnd w:id="48"/>
      <w:r/>
      <w:r/>
    </w:p>
    <w:p>
      <w:pPr>
        <w:pStyle w:val="909"/>
        <w:ind w:firstLine="498"/>
        <w:spacing w:before="145" w:after="145" w:line="400" w:lineRule="exact"/>
        <w:rPr>
          <w:rFonts w:hint="eastAsia"/>
          <w:color w:val="000000"/>
        </w:rPr>
      </w:pPr>
      <w:r/>
      <w:bookmarkStart w:id="49" w:name="_Toc20823275"/>
      <w:r/>
      <w:bookmarkStart w:id="50" w:name="_Toc16938519"/>
      <w:r/>
      <w:bookmarkStart w:id="51" w:name="_Toc120614214"/>
      <w:r/>
      <w:bookmarkStart w:id="52" w:name="_Toc513029203"/>
      <w:r>
        <w:rPr>
          <w:rFonts w:hint="eastAsia"/>
          <w:color w:val="000000"/>
        </w:rPr>
        <w:t xml:space="preserve">一、总则</w:t>
      </w:r>
      <w:bookmarkEnd w:id="49"/>
      <w:r/>
      <w:bookmarkEnd w:id="50"/>
      <w:r/>
      <w:bookmarkEnd w:id="51"/>
      <w:r/>
      <w:bookmarkEnd w:id="52"/>
      <w:r/>
      <w:r/>
    </w:p>
    <w:p>
      <w:pPr>
        <w:pStyle w:val="910"/>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10"/>
        <w:ind w:firstLine="420"/>
        <w:spacing w:before="0" w:after="0" w:line="400" w:lineRule="exact"/>
        <w:rPr>
          <w:rFonts w:hint="eastAsia"/>
          <w:b w:val="0"/>
          <w:bCs w:val="0"/>
          <w:color w:val="000000"/>
        </w:rPr>
      </w:pPr>
      <w:r/>
      <w:bookmarkStart w:id="58" w:name="_Toc16938521"/>
      <w:r/>
      <w:bookmarkStart w:id="59" w:name="_Toc20823277"/>
      <w:r/>
      <w:bookmarkStart w:id="60" w:name="_Toc513029205"/>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10"/>
        <w:ind w:firstLine="420"/>
        <w:spacing w:before="0" w:after="0" w:line="400" w:lineRule="exact"/>
        <w:rPr>
          <w:rFonts w:hint="eastAsia"/>
          <w:b w:val="0"/>
          <w:bCs w:val="0"/>
          <w:color w:val="000000"/>
        </w:rPr>
      </w:pPr>
      <w:r/>
      <w:bookmarkStart w:id="61" w:name="_Toc20823278"/>
      <w:r/>
      <w:bookmarkStart w:id="62" w:name="_Toc16938522"/>
      <w:r/>
      <w:bookmarkStart w:id="63" w:name="_Toc513029206"/>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10"/>
        <w:ind w:firstLine="420"/>
        <w:spacing w:before="0" w:after="0" w:line="400" w:lineRule="exact"/>
        <w:rPr>
          <w:rFonts w:hint="eastAsia"/>
          <w:b w:val="0"/>
          <w:bCs w:val="0"/>
          <w:color w:val="000000"/>
        </w:rPr>
      </w:pPr>
      <w:r/>
      <w:bookmarkStart w:id="64" w:name="_Toc20823279"/>
      <w:r/>
      <w:bookmarkStart w:id="65" w:name="_Toc462564067"/>
      <w:r/>
      <w:bookmarkStart w:id="66" w:name="_Toc513029207"/>
      <w:r/>
      <w:bookmarkStart w:id="67" w:name="_Toc16938523"/>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10"/>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09"/>
        <w:ind w:firstLine="321"/>
        <w:spacing w:before="145" w:after="145" w:line="400" w:lineRule="exact"/>
        <w:rPr>
          <w:rFonts w:hint="eastAsia"/>
          <w:color w:val="000000"/>
        </w:rPr>
      </w:pPr>
      <w:r/>
      <w:bookmarkStart w:id="68" w:name="_Toc20823281"/>
      <w:r/>
      <w:bookmarkStart w:id="69" w:name="_Toc120614215"/>
      <w:r/>
      <w:bookmarkStart w:id="70" w:name="_Toc16938525"/>
      <w:r/>
      <w:bookmarkStart w:id="71" w:name="_Toc513029209"/>
      <w:r>
        <w:rPr>
          <w:rFonts w:hint="eastAsia"/>
          <w:color w:val="000000"/>
        </w:rPr>
        <w:t xml:space="preserve">二、招标文件</w:t>
      </w:r>
      <w:bookmarkEnd w:id="68"/>
      <w:r/>
      <w:bookmarkEnd w:id="69"/>
      <w:r/>
      <w:bookmarkEnd w:id="70"/>
      <w:r/>
      <w:bookmarkEnd w:id="71"/>
      <w:r/>
      <w:r/>
    </w:p>
    <w:p>
      <w:pPr>
        <w:pStyle w:val="910"/>
        <w:ind w:firstLine="420"/>
        <w:spacing w:before="0" w:after="0" w:line="400" w:lineRule="exact"/>
        <w:rPr>
          <w:rFonts w:hint="eastAsia"/>
          <w:b w:val="0"/>
          <w:bCs w:val="0"/>
          <w:color w:val="000000"/>
        </w:rPr>
      </w:pPr>
      <w:r/>
      <w:bookmarkStart w:id="72" w:name="_Toc513029210"/>
      <w:r/>
      <w:bookmarkStart w:id="73" w:name="_Toc20823282"/>
      <w:r/>
      <w:bookmarkStart w:id="74" w:name="_Toc16938526"/>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0"/>
        <w:ind w:firstLine="560"/>
        <w:spacing w:before="0" w:after="0" w:line="400" w:lineRule="exact"/>
        <w:rPr>
          <w:rFonts w:hint="eastAsia"/>
          <w:b w:val="0"/>
          <w:bCs w:val="0"/>
          <w:color w:val="000000"/>
        </w:rPr>
      </w:pPr>
      <w:r/>
      <w:bookmarkStart w:id="75" w:name="_Toc16938528"/>
      <w:r/>
      <w:bookmarkStart w:id="76" w:name="_Toc513029212"/>
      <w:r/>
      <w:bookmarkStart w:id="77" w:name="_Toc20823284"/>
      <w:r/>
      <w:bookmarkStart w:id="78" w:name="_Toc462564071"/>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09"/>
        <w:ind w:firstLine="482"/>
        <w:spacing w:before="145" w:after="145" w:line="400" w:lineRule="exact"/>
        <w:rPr>
          <w:rFonts w:hint="eastAsia"/>
          <w:color w:val="000000"/>
        </w:rPr>
      </w:pPr>
      <w:r/>
      <w:bookmarkStart w:id="79" w:name="_Toc120614216"/>
      <w:r/>
      <w:bookmarkStart w:id="80" w:name="_Toc16938529"/>
      <w:r/>
      <w:bookmarkStart w:id="81" w:name="_Toc513029213"/>
      <w:r/>
      <w:bookmarkStart w:id="82" w:name="_Toc462564072"/>
      <w:r/>
      <w:bookmarkStart w:id="83" w:name="_Toc20823285"/>
      <w:r>
        <w:rPr>
          <w:rFonts w:hint="eastAsia"/>
          <w:color w:val="000000"/>
        </w:rPr>
        <w:t xml:space="preserve">三、投标文件的编制</w:t>
      </w:r>
      <w:bookmarkEnd w:id="79"/>
      <w:r/>
      <w:bookmarkEnd w:id="80"/>
      <w:r/>
      <w:bookmarkEnd w:id="81"/>
      <w:r/>
      <w:bookmarkEnd w:id="82"/>
      <w:r/>
      <w:bookmarkEnd w:id="83"/>
      <w:r/>
      <w:r/>
    </w:p>
    <w:p>
      <w:pPr>
        <w:pStyle w:val="910"/>
        <w:ind w:firstLine="560"/>
        <w:spacing w:before="0" w:after="0" w:line="400" w:lineRule="exact"/>
        <w:rPr>
          <w:rFonts w:hint="eastAsia"/>
          <w:bCs w:val="0"/>
          <w:color w:val="000000"/>
        </w:rPr>
      </w:pPr>
      <w:r/>
      <w:bookmarkStart w:id="84" w:name="_Toc462564073"/>
      <w:r/>
      <w:bookmarkStart w:id="85" w:name="_Toc513029214"/>
      <w:r/>
      <w:bookmarkStart w:id="86" w:name="_Toc16938530"/>
      <w:r/>
      <w:bookmarkStart w:id="87" w:name="_Toc20823286"/>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10"/>
        <w:ind w:firstLine="420"/>
        <w:spacing w:before="0" w:after="0" w:line="400" w:lineRule="exact"/>
        <w:rPr>
          <w:rFonts w:hint="eastAsia"/>
          <w:b w:val="0"/>
          <w:bCs w:val="0"/>
          <w:color w:val="000000"/>
        </w:rPr>
      </w:pPr>
      <w:r/>
      <w:bookmarkStart w:id="88" w:name="_Toc20823287"/>
      <w:r/>
      <w:bookmarkStart w:id="89" w:name="_Toc513029215"/>
      <w:r/>
      <w:bookmarkStart w:id="90" w:name="_Toc16938531"/>
      <w:r/>
      <w:bookmarkStart w:id="91" w:name="_Toc462564074"/>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750"/>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10"/>
        <w:ind w:firstLine="420"/>
        <w:spacing w:before="0" w:after="0" w:line="400" w:lineRule="exact"/>
        <w:rPr>
          <w:rFonts w:hint="eastAsia"/>
          <w:b w:val="0"/>
          <w:bCs w:val="0"/>
          <w:color w:val="000000"/>
        </w:rPr>
      </w:pPr>
      <w:r/>
      <w:bookmarkStart w:id="92" w:name="_Hlt26954838"/>
      <w:r/>
      <w:bookmarkEnd w:id="92"/>
      <w:r/>
      <w:bookmarkStart w:id="93" w:name="_Hlt26668975"/>
      <w:r/>
      <w:bookmarkEnd w:id="93"/>
      <w:r/>
      <w:bookmarkStart w:id="94" w:name="_Hlt26670360"/>
      <w:r/>
      <w:bookmarkEnd w:id="94"/>
      <w:r/>
      <w:bookmarkStart w:id="95" w:name="_Toc49090509"/>
      <w:r/>
      <w:bookmarkStart w:id="96" w:name="_Toc14577357"/>
      <w:r/>
      <w:bookmarkStart w:id="97" w:name="_Toc513029219"/>
      <w:r/>
      <w:bookmarkStart w:id="98" w:name="_Toc49090507"/>
      <w:r/>
      <w:bookmarkStart w:id="99" w:name="_Toc513029216"/>
      <w:r/>
      <w:bookmarkStart w:id="100"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1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10"/>
        <w:ind w:firstLine="420"/>
        <w:spacing w:before="0" w:after="0" w:line="400" w:lineRule="exact"/>
        <w:rPr>
          <w:rFonts w:hint="eastAsia"/>
          <w:b w:val="0"/>
          <w:bCs w:val="0"/>
          <w:color w:val="000000"/>
        </w:rPr>
      </w:pPr>
      <w:r/>
      <w:bookmarkStart w:id="106" w:name="_Hlt26668983"/>
      <w:r/>
      <w:bookmarkEnd w:id="106"/>
      <w:r/>
      <w:bookmarkStart w:id="107" w:name="_Hlt26670425"/>
      <w:r/>
      <w:bookmarkEnd w:id="107"/>
      <w:r/>
      <w:bookmarkStart w:id="108" w:name="_Hlt26670486"/>
      <w:r/>
      <w:bookmarkEnd w:id="108"/>
      <w:r/>
      <w:bookmarkStart w:id="109" w:name="_Hlt26954846"/>
      <w:r/>
      <w:bookmarkEnd w:id="109"/>
      <w:r/>
      <w:bookmarkStart w:id="110" w:name="_Hlt26954844"/>
      <w:r/>
      <w:bookmarkEnd w:id="110"/>
      <w:r/>
      <w:bookmarkStart w:id="111" w:name="_Hlt26954842"/>
      <w:r/>
      <w:bookmarkEnd w:id="111"/>
      <w:r/>
      <w:bookmarkStart w:id="112" w:name="_Hlt26954731"/>
      <w:r/>
      <w:bookmarkEnd w:id="112"/>
      <w:r/>
      <w:bookmarkStart w:id="113" w:name="_Hlt26670403"/>
      <w:r/>
      <w:bookmarkEnd w:id="113"/>
      <w:r/>
      <w:bookmarkStart w:id="114" w:name="_Hlt26670482"/>
      <w:r/>
      <w:bookmarkEnd w:id="114"/>
      <w:r/>
      <w:bookmarkStart w:id="115" w:name="_Hlt26954848"/>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1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bookmarkEnd w:id="117"/>
      <w:r/>
    </w:p>
    <w:p>
      <w:pPr>
        <w:pStyle w:val="910"/>
        <w:ind w:firstLine="420"/>
        <w:spacing w:before="0" w:after="0" w:line="400" w:lineRule="exact"/>
        <w:rPr>
          <w:rFonts w:hint="eastAsia"/>
          <w:b w:val="0"/>
          <w:bCs w:val="0"/>
          <w:color w:val="00000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1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09"/>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120614217"/>
      <w:r/>
      <w:bookmarkStart w:id="126" w:name="_Toc20823296"/>
      <w:r/>
      <w:bookmarkStart w:id="127" w:name="_Toc513029224"/>
      <w:r/>
      <w:bookmarkStart w:id="128" w:name="_Toc16938540"/>
      <w:r>
        <w:rPr>
          <w:rFonts w:hint="eastAsia"/>
          <w:color w:val="000000"/>
        </w:rPr>
        <w:t xml:space="preserve">四、投标文件的递交</w:t>
      </w:r>
      <w:bookmarkEnd w:id="125"/>
      <w:r/>
      <w:bookmarkEnd w:id="126"/>
      <w:r/>
      <w:bookmarkEnd w:id="127"/>
      <w:r/>
      <w:bookmarkEnd w:id="128"/>
      <w:r/>
      <w:r/>
    </w:p>
    <w:p>
      <w:pPr>
        <w:pStyle w:val="910"/>
        <w:ind w:firstLine="560"/>
        <w:spacing w:before="0" w:after="0" w:line="400" w:lineRule="exact"/>
        <w:rPr>
          <w:rFonts w:hint="eastAsia" w:ascii="黑体"/>
          <w:b w:val="0"/>
          <w:bCs w:val="0"/>
          <w:color w:val="000000"/>
        </w:rPr>
      </w:pPr>
      <w:r/>
      <w:bookmarkStart w:id="129" w:name="_Toc20823297"/>
      <w:r/>
      <w:bookmarkStart w:id="130" w:name="_Toc16938541"/>
      <w:r/>
      <w:bookmarkStart w:id="131" w:name="_Toc462564084"/>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910"/>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10"/>
        <w:ind w:firstLine="420"/>
        <w:spacing w:before="0" w:after="0" w:line="400" w:lineRule="exact"/>
        <w:rPr>
          <w:rFonts w:hint="eastAsia"/>
          <w:b w:val="0"/>
          <w:bCs w:val="0"/>
          <w:color w:val="000000"/>
        </w:rPr>
      </w:pPr>
      <w:r/>
      <w:bookmarkStart w:id="136" w:name="_Toc20823299"/>
      <w:r/>
      <w:bookmarkStart w:id="137" w:name="_Toc513029227"/>
      <w:r/>
      <w:bookmarkStart w:id="138"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10"/>
        <w:ind w:firstLine="420"/>
        <w:spacing w:before="0" w:after="0" w:line="400" w:lineRule="exact"/>
        <w:rPr>
          <w:rFonts w:hint="eastAsia"/>
          <w:b w:val="0"/>
          <w:bCs w:val="0"/>
          <w:color w:val="000000"/>
        </w:rPr>
      </w:pPr>
      <w:r/>
      <w:bookmarkStart w:id="139" w:name="_Toc20823300"/>
      <w:r/>
      <w:bookmarkStart w:id="140" w:name="_Toc513029228"/>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09"/>
        <w:ind w:firstLine="482"/>
        <w:spacing w:before="145" w:after="145" w:line="400" w:lineRule="exact"/>
        <w:rPr>
          <w:rFonts w:hint="eastAsia"/>
          <w:color w:val="000000"/>
        </w:rPr>
      </w:pPr>
      <w:r/>
      <w:bookmarkStart w:id="142" w:name="_Toc20823301"/>
      <w:r/>
      <w:bookmarkStart w:id="143" w:name="_Toc120614218"/>
      <w:r/>
      <w:bookmarkStart w:id="144" w:name="_Toc16938545"/>
      <w:r/>
      <w:bookmarkStart w:id="145" w:name="_Toc513029229"/>
      <w:r>
        <w:rPr>
          <w:rFonts w:hint="eastAsia"/>
          <w:color w:val="000000"/>
        </w:rPr>
        <w:t xml:space="preserve">五、开标与评标</w:t>
      </w:r>
      <w:bookmarkEnd w:id="142"/>
      <w:r/>
      <w:bookmarkEnd w:id="143"/>
      <w:r/>
      <w:bookmarkEnd w:id="144"/>
      <w:r/>
      <w:bookmarkEnd w:id="145"/>
      <w:r/>
      <w:r/>
    </w:p>
    <w:p>
      <w:pPr>
        <w:pStyle w:val="910"/>
        <w:ind w:firstLine="420"/>
        <w:spacing w:before="0" w:after="0" w:line="400" w:lineRule="exact"/>
        <w:rPr>
          <w:rFonts w:hint="eastAsia"/>
          <w:b w:val="0"/>
          <w:bCs w:val="0"/>
          <w:color w:val="000000"/>
        </w:rPr>
      </w:pPr>
      <w:r/>
      <w:bookmarkStart w:id="146" w:name="_Toc16938546"/>
      <w:r/>
      <w:bookmarkStart w:id="147" w:name="_Toc513029230"/>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10"/>
        <w:ind w:firstLine="420"/>
        <w:spacing w:before="0" w:after="0" w:line="400" w:lineRule="exact"/>
        <w:rPr>
          <w:rFonts w:hint="eastAsia"/>
          <w:b w:val="0"/>
          <w:bCs w:val="0"/>
          <w:color w:val="000000"/>
        </w:rPr>
      </w:pPr>
      <w:r/>
      <w:bookmarkStart w:id="149" w:name="_Toc513029231"/>
      <w:r/>
      <w:bookmarkStart w:id="150" w:name="_Toc16938547"/>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10"/>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bookmarkEnd w:id="150"/>
      <w:bookmarkEnd w:id="151"/>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10"/>
        <w:ind w:firstLine="420"/>
        <w:spacing w:before="0" w:after="0" w:line="400" w:lineRule="exact"/>
        <w:rPr>
          <w:rFonts w:hint="eastAsia"/>
          <w:b w:val="0"/>
          <w:bCs w:val="0"/>
          <w:color w:val="000000"/>
        </w:rPr>
      </w:pPr>
      <w:r/>
      <w:bookmarkStart w:id="152" w:name="_Toc513029232"/>
      <w:r/>
      <w:bookmarkStart w:id="153" w:name="_Toc20823304"/>
      <w:r/>
      <w:bookmarkStart w:id="154"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10"/>
        <w:ind w:firstLine="420"/>
        <w:spacing w:before="0" w:after="0" w:line="400" w:lineRule="exact"/>
        <w:rPr>
          <w:rFonts w:hint="eastAsia"/>
          <w:b w:val="0"/>
          <w:bCs w:val="0"/>
          <w:color w:val="000000"/>
        </w:rPr>
      </w:pPr>
      <w:r/>
      <w:bookmarkStart w:id="155" w:name="_Toc20823305"/>
      <w:r/>
      <w:bookmarkStart w:id="156" w:name="_Toc16938549"/>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10"/>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20823307"/>
      <w:r/>
      <w:bookmarkStart w:id="162" w:name="_Toc16938551"/>
      <w:r/>
      <w:bookmarkStart w:id="163" w:name="_Toc513029235"/>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 异常低价投标（响应）</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.1.10.3投标（响应）报价低于采购项目最高限价 45% 的，即投标（响应）报价&lt;采购项目最高限价×45% ；</w:t>
      </w:r>
      <w:r/>
      <w:r>
        <w:rPr>
          <w:rFonts w:hint="eastAsia" w:ascii="宋体" w:hAnsi="宋体"/>
          <w:bCs/>
          <w:color w:val="ff0000"/>
          <w:sz w:val="24"/>
          <w:highlight w:val="yellow"/>
        </w:rPr>
      </w:r>
      <w:r/>
      <w:r>
        <w:rPr>
          <w:rFonts w:hint="eastAsia" w:ascii="宋体" w:hAnsi="宋体"/>
          <w:bCs/>
          <w:color w:val="ff0000"/>
          <w:sz w:val="24"/>
        </w:rP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.1.10.4评审委员会认定的供应商报价过低、有可能影响产品质量或者不能诚信履约的其他情形。</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w:t>
      </w:r>
      <w:r>
        <w:rPr>
          <w:rFonts w:hint="eastAsia" w:ascii="宋体" w:hAnsi="宋体"/>
          <w:bCs/>
          <w:color w:val="ff0000"/>
          <w:sz w:val="24"/>
          <w:lang w:val="en-US" w:eastAsia="zh-CN"/>
        </w:rPr>
        <w:t xml:space="preserve">5</w:t>
      </w:r>
      <w:r>
        <w:rPr>
          <w:rFonts w:hint="eastAsia" w:ascii="宋体" w:hAnsi="宋体"/>
          <w:bCs/>
          <w:color w:val="ff0000"/>
          <w:sz w:val="24"/>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09"/>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910"/>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1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1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09"/>
        <w:spacing w:before="145" w:after="145" w:line="400" w:lineRule="exact"/>
        <w:rPr>
          <w:rFonts w:hint="eastAsia"/>
          <w:color w:val="000000"/>
        </w:rPr>
      </w:pPr>
      <w:r/>
      <w:bookmarkStart w:id="169" w:name="_Toc120614220"/>
      <w:r/>
      <w:bookmarkStart w:id="170" w:name="_Toc16938552"/>
      <w:r/>
      <w:bookmarkStart w:id="171" w:name="_Toc513029236"/>
      <w:r/>
      <w:bookmarkStart w:id="172" w:name="_Toc20823308"/>
      <w:r>
        <w:rPr>
          <w:rFonts w:hint="eastAsia"/>
          <w:color w:val="000000"/>
        </w:rPr>
        <w:t xml:space="preserve">七、授予合同</w:t>
      </w:r>
      <w:bookmarkEnd w:id="169"/>
      <w:r/>
      <w:bookmarkEnd w:id="170"/>
      <w:bookmarkEnd w:id="171"/>
      <w:bookmarkEnd w:id="172"/>
      <w:r/>
    </w:p>
    <w:p>
      <w:pPr>
        <w:pStyle w:val="910"/>
        <w:ind w:firstLine="600"/>
        <w:spacing w:before="0" w:after="0" w:line="400" w:lineRule="exact"/>
        <w:rPr>
          <w:rFonts w:hint="eastAsia" w:ascii="黑体" w:hAnsi="宋体" w:cs="Times New Roman"/>
          <w:b w:val="0"/>
          <w:color w:val="000000"/>
          <w:sz w:val="30"/>
          <w:szCs w:val="30"/>
        </w:rPr>
      </w:pPr>
      <w:r/>
      <w:bookmarkStart w:id="173" w:name="_Toc16938553"/>
      <w:r/>
      <w:bookmarkStart w:id="174" w:name="_Toc20823309"/>
      <w:r/>
      <w:bookmarkStart w:id="175"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bookmarkEnd w:id="174"/>
      <w:bookmarkEnd w:id="175"/>
      <w:r/>
    </w:p>
    <w:p>
      <w:pPr>
        <w:pStyle w:val="910"/>
        <w:ind w:firstLine="600"/>
        <w:spacing w:before="0" w:after="0" w:line="400" w:lineRule="exact"/>
        <w:rPr>
          <w:rFonts w:ascii="黑体" w:hAnsi="宋体" w:cs="Times New Roman"/>
          <w:b w:val="0"/>
          <w:color w:val="000000"/>
          <w:sz w:val="30"/>
          <w:szCs w:val="30"/>
        </w:rPr>
      </w:pPr>
      <w:r/>
      <w:bookmarkStart w:id="176" w:name="_Toc479757207"/>
      <w:r/>
      <w:bookmarkStart w:id="177" w:name="_Toc513029242"/>
      <w:r/>
      <w:bookmarkStart w:id="178" w:name="_Toc20823314"/>
      <w:r/>
      <w:bookmarkStart w:id="179" w:name="_Toc16938558"/>
      <w:r/>
      <w:bookmarkStart w:id="180" w:name="_Toc120614221"/>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08"/>
        <w:spacing w:line="400" w:lineRule="exact"/>
        <w:rPr>
          <w:rFonts w:hint="eastAsia" w:ascii="宋体" w:hAnsi="宋体"/>
          <w:bCs/>
          <w:color w:val="000000"/>
          <w:sz w:val="24"/>
          <w:lang w:eastAsia="zh-CN"/>
        </w:rPr>
      </w:pPr>
      <w:r>
        <w:rPr>
          <w:rFonts w:hint="eastAsia" w:ascii="宋体" w:hAnsi="宋体"/>
          <w:bCs/>
          <w:color w:val="000000"/>
          <w:sz w:val="24"/>
        </w:rPr>
        <w:t xml:space="preserve">中标供应商可凭政府采购合同办理融资贷款，详情请见江苏政府采购网“政采贷”专栏</w:t>
      </w:r>
      <w:r>
        <w:rPr>
          <w:rFonts w:hint="eastAsia" w:ascii="宋体" w:hAnsi="宋体"/>
          <w:bCs/>
          <w:color w:val="000000"/>
          <w:sz w:val="24"/>
          <w:lang w:eastAsia="zh-CN"/>
        </w:rPr>
        <w:t xml:space="preserve">。</w:t>
      </w:r>
      <w:r/>
    </w:p>
    <w:p>
      <w:pPr>
        <w:jc w:val="center"/>
        <w:rPr>
          <w:rFonts w:hint="eastAsia" w:ascii="宋体" w:hAnsi="宋体"/>
          <w:bCs/>
          <w:color w:val="000000"/>
          <w:sz w:val="24"/>
          <w:lang w:eastAsia="zh-CN"/>
        </w:rPr>
      </w:pPr>
      <w:r>
        <w:rPr>
          <w:rFonts w:hint="eastAsia" w:ascii="宋体" w:hAnsi="宋体"/>
          <w:bCs/>
          <w:color w:val="000000"/>
          <w:sz w:val="24"/>
          <w:lang w:eastAsia="zh-CN"/>
        </w:rPr>
        <w:br w:type="page" w:clear="all"/>
      </w:r>
      <w: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r>
        <w:rPr>
          <w:rFonts w:hint="eastAsia" w:ascii="宋体" w:hAnsi="宋体"/>
          <w:bCs/>
          <w:color w:val="000000"/>
          <w:sz w:val="24"/>
          <w:lang w:eastAsia="zh-CN"/>
        </w:rPr>
      </w:r>
    </w:p>
    <w:p>
      <w:pPr>
        <w:jc w:val="center"/>
        <w:spacing w:before="145" w:after="145"/>
        <w:rPr>
          <w:rFonts w:ascii="宋体" w:hAnsi="宋体"/>
          <w:b/>
          <w:bCs/>
          <w:color w:val="000000"/>
          <w:sz w:val="30"/>
          <w:szCs w:val="20"/>
        </w:rPr>
        <w:outlineLvl w:val="0"/>
      </w:pPr>
      <w:r/>
      <w:bookmarkStart w:id="181" w:name="_Toc20823315"/>
      <w:r/>
      <w:bookmarkStart w:id="182" w:name="_Toc513029243"/>
      <w:r/>
      <w:bookmarkStart w:id="183" w:name="_Toc16938559"/>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2026扬州高邮大运河半程马拉松赛事服务项目</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943"/>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43"/>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43"/>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43"/>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43"/>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43"/>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43"/>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943"/>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943"/>
        <w:spacing w:before="120" w:after="120"/>
        <w:rPr>
          <w:rFonts w:hAnsi="宋体"/>
          <w:color w:val="000000"/>
          <w:sz w:val="24"/>
          <w:szCs w:val="24"/>
        </w:rPr>
      </w:pPr>
      <w:r>
        <w:rPr>
          <w:rFonts w:hint="eastAsia" w:hAnsi="宋体"/>
          <w:color w:val="000000"/>
          <w:sz w:val="24"/>
          <w:szCs w:val="24"/>
        </w:rPr>
        <w:t xml:space="preserve">1.5 履行地点：</w:t>
      </w:r>
      <w:r/>
    </w:p>
    <w:p>
      <w:pPr>
        <w:pStyle w:val="94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43"/>
        <w:spacing w:before="120" w:after="120"/>
        <w:rPr>
          <w:rFonts w:hAnsi="宋体"/>
          <w:b/>
          <w:color w:val="000000"/>
          <w:sz w:val="24"/>
          <w:szCs w:val="24"/>
        </w:rPr>
      </w:pPr>
      <w:r>
        <w:rPr>
          <w:rFonts w:hAnsi="宋体"/>
          <w:b/>
          <w:color w:val="000000"/>
          <w:sz w:val="24"/>
          <w:szCs w:val="24"/>
        </w:rPr>
        <w:t xml:space="preserve">二、合同金额</w:t>
      </w:r>
      <w:r/>
    </w:p>
    <w:p>
      <w:pPr>
        <w:pStyle w:val="943"/>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43"/>
        <w:spacing w:before="120" w:after="120"/>
        <w:rPr>
          <w:rFonts w:hAnsi="宋体"/>
          <w:b/>
          <w:color w:val="000000"/>
          <w:sz w:val="24"/>
          <w:szCs w:val="24"/>
        </w:rPr>
      </w:pPr>
      <w:r>
        <w:rPr>
          <w:rFonts w:hAnsi="宋体"/>
          <w:b/>
          <w:color w:val="000000"/>
          <w:sz w:val="24"/>
          <w:szCs w:val="24"/>
        </w:rPr>
        <w:t xml:space="preserve">三、技术资料</w:t>
      </w:r>
      <w:r/>
    </w:p>
    <w:p>
      <w:pPr>
        <w:pStyle w:val="943"/>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43"/>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3"/>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43"/>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3"/>
        <w:spacing w:before="120" w:after="120"/>
        <w:rPr>
          <w:rFonts w:hAnsi="宋体"/>
          <w:color w:val="000000"/>
          <w:sz w:val="24"/>
          <w:szCs w:val="24"/>
          <w:u w:val="single"/>
        </w:rPr>
      </w:pPr>
      <w:r>
        <w:rPr>
          <w:rFonts w:hAnsi="宋体"/>
          <w:b/>
          <w:color w:val="000000"/>
          <w:sz w:val="24"/>
          <w:szCs w:val="24"/>
        </w:rPr>
        <w:t xml:space="preserve">五、产权担保</w:t>
      </w:r>
      <w:r/>
    </w:p>
    <w:p>
      <w:pPr>
        <w:pStyle w:val="943"/>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43"/>
        <w:ind w:left="410" w:hanging="410"/>
        <w:spacing w:before="120" w:after="120"/>
        <w:rPr>
          <w:rFonts w:hAnsi="宋体"/>
          <w:b/>
          <w:color w:val="000000"/>
          <w:sz w:val="24"/>
          <w:szCs w:val="24"/>
        </w:rPr>
      </w:pPr>
      <w:r>
        <w:rPr>
          <w:rFonts w:hAnsi="宋体"/>
          <w:b/>
          <w:color w:val="000000"/>
          <w:sz w:val="24"/>
          <w:szCs w:val="24"/>
        </w:rPr>
        <w:t xml:space="preserve">六、履约保证金</w:t>
      </w:r>
      <w:r/>
    </w:p>
    <w:p>
      <w:pPr>
        <w:spacing w:before="145" w:after="145"/>
        <w:rPr>
          <w:rFonts w:hint="default" w:hAnsi="宋体"/>
          <w:color w:val="0000ff"/>
          <w:sz w:val="24"/>
          <w:szCs w:val="24"/>
          <w:lang w:val="en-US" w:eastAsia="zh-CN"/>
        </w:rPr>
      </w:pPr>
      <w:r>
        <w:rPr>
          <w:rFonts w:hint="eastAsia" w:hAnsi="宋体"/>
          <w:color w:val="000000" w:themeColor="text1"/>
          <w:sz w:val="24"/>
          <w:szCs w:val="24"/>
          <w:lang w:val="en-US" w:eastAsia="zh-CN"/>
          <w14:textFill>
            <w14:solidFill>
              <w14:schemeClr w14:val="tx1"/>
            </w14:solidFill>
          </w14:textFill>
        </w:rPr>
        <w:t xml:space="preserve">6.1 乙方可以自主选择支票、汇票、本票、保函（电子保函）等非现金形式缴纳中标金额的</w:t>
      </w:r>
      <w:r>
        <w:rPr>
          <w:rFonts w:hint="eastAsia" w:hAnsi="宋体"/>
          <w:color w:val="000000" w:themeColor="text1"/>
          <w:sz w:val="24"/>
          <w:szCs w:val="24"/>
          <w:u w:val="single"/>
          <w:lang w:val="en-US" w:eastAsia="zh-CN"/>
          <w14:textFill>
            <w14:solidFill>
              <w14:schemeClr w14:val="tx1"/>
            </w14:solidFill>
          </w14:textFill>
        </w:rPr>
        <w:t xml:space="preserve">10%</w:t>
      </w:r>
      <w:r>
        <w:rPr>
          <w:rFonts w:hint="eastAsia" w:hAnsi="宋体"/>
          <w:color w:val="000000" w:themeColor="text1"/>
          <w:sz w:val="24"/>
          <w:szCs w:val="24"/>
          <w:lang w:val="en-US" w:eastAsia="zh-CN"/>
          <w14:textFill>
            <w14:solidFill>
              <w14:schemeClr w14:val="tx1"/>
            </w14:solidFill>
          </w14:textFill>
        </w:rPr>
        <w:t xml:space="preserve">作为本合同的履约保证金。若供应商选择电子保函，可登录“江苏政府采购网”“保险保函”栏目“一站式电子保函（保险）综合服务平台”办理。</w:t>
      </w:r>
      <w:r/>
    </w:p>
    <w:p>
      <w:pPr>
        <w:pStyle w:val="943"/>
        <w:ind w:left="408" w:hanging="408"/>
        <w:spacing w:before="120" w:after="120"/>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943"/>
        <w:ind w:left="408" w:hanging="408"/>
        <w:spacing w:before="120" w:after="120"/>
        <w:rPr>
          <w:rFonts w:hint="eastAsia" w:hAnsi="宋体" w:eastAsia="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rPr>
          <w:rFonts w:hint="eastAsia" w:hAnsi="宋体"/>
          <w:color w:val="000000" w:themeColor="text1"/>
          <w:sz w:val="24"/>
          <w:szCs w:val="24"/>
          <w:lang w:val="en-US" w:eastAsia="zh-CN"/>
          <w14:textFill>
            <w14:solidFill>
              <w14:schemeClr w14:val="tx1"/>
            </w14:solidFill>
          </w14:textFill>
        </w:rPr>
        <w:t xml:space="preserve">按照乙方缴纳的方式进行退还。</w:t>
      </w:r>
      <w:r/>
    </w:p>
    <w:p>
      <w:pPr>
        <w:pStyle w:val="943"/>
        <w:ind w:left="408" w:hanging="408"/>
        <w:spacing w:before="120" w:after="120"/>
        <w:rPr>
          <w:rFonts w:hint="default" w:hAnsi="宋体"/>
          <w:color w:val="000000" w:themeColor="text1"/>
          <w:sz w:val="24"/>
          <w:szCs w:val="24"/>
          <w:lang w:val="en-US"/>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rPr>
          <w:rFonts w:hint="eastAsia" w:hAnsi="宋体"/>
          <w:color w:val="000000" w:themeColor="text1"/>
          <w:sz w:val="24"/>
          <w:szCs w:val="24"/>
          <w:lang w:val="en-US" w:eastAsia="zh-CN"/>
          <w14:textFill>
            <w14:solidFill>
              <w14:schemeClr w14:val="tx1"/>
            </w14:solidFill>
          </w14:textFill>
        </w:rPr>
        <w:t xml:space="preserve">项目期满考核合格后15日内。</w:t>
      </w:r>
      <w:r/>
    </w:p>
    <w:p>
      <w:pPr>
        <w:pStyle w:val="943"/>
        <w:ind w:left="408" w:hanging="408"/>
        <w:spacing w:before="120" w:after="120"/>
        <w:rPr>
          <w:rFonts w:hint="default" w:hAnsi="宋体"/>
          <w:color w:val="000000" w:themeColor="text1"/>
          <w:sz w:val="24"/>
          <w:szCs w:val="24"/>
          <w:lang w:val="en-US"/>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rPr>
          <w:rFonts w:hint="eastAsia" w:hAnsi="宋体"/>
          <w:color w:val="000000" w:themeColor="text1"/>
          <w:sz w:val="24"/>
          <w:szCs w:val="24"/>
          <w:lang w:val="en-US" w:eastAsia="zh-CN"/>
          <w14:textFill>
            <w14:solidFill>
              <w14:schemeClr w14:val="tx1"/>
            </w14:solidFill>
          </w14:textFill>
        </w:rPr>
        <w:t xml:space="preserve">乙方在履约期间未给甲方造成损失或造成的损失经扣除后存有结余的。</w:t>
      </w:r>
      <w:r/>
    </w:p>
    <w:p>
      <w:pPr>
        <w:pStyle w:val="943"/>
        <w:ind w:left="408" w:hanging="408"/>
        <w:spacing w:before="120" w:after="120"/>
        <w:rPr>
          <w:rFonts w:hint="default" w:hAnsi="宋体"/>
          <w:color w:val="000000" w:themeColor="text1"/>
          <w:sz w:val="24"/>
          <w:szCs w:val="24"/>
          <w:lang w:val="en-US" w:eastAsia="zh-CN"/>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rPr>
          <w:rFonts w:hint="eastAsia" w:hAnsi="宋体"/>
          <w:color w:val="000000" w:themeColor="text1"/>
          <w:sz w:val="24"/>
          <w:szCs w:val="24"/>
          <w:lang w:val="en-US" w:eastAsia="zh-CN"/>
          <w14:textFill>
            <w14:solidFill>
              <w14:schemeClr w14:val="tx1"/>
            </w14:solidFill>
          </w14:textFill>
        </w:rPr>
        <w:t xml:space="preserve">乙方不履行合同或履行该合同不符合合同约定不足以弥补乙方违约造成甲方损失的。</w:t>
      </w:r>
      <w:r/>
    </w:p>
    <w:p>
      <w:pPr>
        <w:pStyle w:val="943"/>
        <w:ind w:left="408" w:hanging="408"/>
        <w:spacing w:before="120" w:after="120"/>
        <w:rPr>
          <w:rFonts w:hint="eastAsia" w:ascii="宋体" w:hAnsi="宋体" w:eastAsia="宋体" w:cs="宋体"/>
          <w:color w:val="000000" w:themeColor="text1"/>
          <w:sz w:val="24"/>
          <w:szCs w:val="24"/>
          <w:shd w:val="clear" w:color="auto" w:fill="ffff00"/>
          <w:lang w:val="en-US"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6.2.5履约保证金逾期退还的违约责任：按中国人民银行同期贷款基准利率上浮20%后的利率支付超期资金占用费，但因乙方自身原因导致无法及时退还的除外。</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43"/>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943"/>
        <w:ind w:firstLine="480"/>
        <w:spacing w:before="120" w:after="120"/>
        <w:rPr>
          <w:rFonts w:hint="eastAsia" w:hAnsi="宋体"/>
          <w:sz w:val="24"/>
          <w:szCs w:val="24"/>
          <w:u w:val="single"/>
        </w:rPr>
      </w:pPr>
      <w:r>
        <w:rPr>
          <w:rFonts w:hint="eastAsia" w:hAnsi="宋体"/>
          <w:sz w:val="24"/>
          <w:szCs w:val="24"/>
          <w:u w:val="single"/>
        </w:rPr>
        <w:t xml:space="preserve">1期: 合同签订后，</w:t>
      </w:r>
      <w:r>
        <w:rPr>
          <w:rFonts w:hint="eastAsia" w:hAnsi="宋体"/>
          <w:sz w:val="24"/>
          <w:szCs w:val="24"/>
          <w:u w:val="single"/>
          <w:lang w:val="en-US" w:eastAsia="zh-CN"/>
        </w:rPr>
        <w:t xml:space="preserve">甲方</w:t>
      </w:r>
      <w:r>
        <w:rPr>
          <w:rFonts w:hint="eastAsia" w:hAnsi="宋体"/>
          <w:sz w:val="24"/>
          <w:szCs w:val="24"/>
          <w:u w:val="single"/>
        </w:rPr>
        <w:t xml:space="preserve">自收到发票后10个工作日内支付合同价款的30%；</w:t>
      </w:r>
      <w:r/>
    </w:p>
    <w:p>
      <w:pPr>
        <w:pStyle w:val="943"/>
        <w:ind w:firstLine="480"/>
        <w:spacing w:before="120" w:after="120"/>
        <w:rPr>
          <w:rFonts w:hint="eastAsia" w:hAnsi="宋体"/>
          <w:sz w:val="24"/>
          <w:szCs w:val="24"/>
          <w:u w:val="single"/>
        </w:rPr>
      </w:pPr>
      <w:r>
        <w:rPr>
          <w:rFonts w:hint="eastAsia" w:hAnsi="宋体"/>
          <w:sz w:val="24"/>
          <w:szCs w:val="24"/>
          <w:u w:val="single"/>
        </w:rPr>
        <w:t xml:space="preserve">2期：赛事服务完成后，</w:t>
      </w:r>
      <w:r>
        <w:rPr>
          <w:rFonts w:hint="eastAsia" w:hAnsi="宋体"/>
          <w:sz w:val="24"/>
          <w:szCs w:val="24"/>
          <w:u w:val="single"/>
          <w:lang w:val="en-US" w:eastAsia="zh-CN"/>
        </w:rPr>
        <w:t xml:space="preserve">甲方</w:t>
      </w:r>
      <w:r>
        <w:rPr>
          <w:rFonts w:hint="eastAsia" w:hAnsi="宋体"/>
          <w:sz w:val="24"/>
          <w:szCs w:val="24"/>
          <w:u w:val="single"/>
        </w:rPr>
        <w:t xml:space="preserve">自收到发票后10个工作日内支付合同价款的50%；</w:t>
      </w:r>
      <w:r/>
    </w:p>
    <w:p>
      <w:pPr>
        <w:pStyle w:val="943"/>
        <w:ind w:firstLine="480"/>
        <w:spacing w:before="120" w:after="120"/>
        <w:rPr>
          <w:rFonts w:hint="eastAsia" w:ascii="宋体" w:hAnsi="宋体"/>
          <w:color w:val="000000"/>
          <w:sz w:val="24"/>
          <w:szCs w:val="24"/>
        </w:rPr>
      </w:pPr>
      <w:r>
        <w:rPr>
          <w:rFonts w:hint="eastAsia" w:hAnsi="宋体"/>
          <w:sz w:val="24"/>
          <w:szCs w:val="24"/>
          <w:u w:val="single"/>
        </w:rPr>
        <w:t xml:space="preserve">3期：赛事完成并提交赛事评估报告后，采购人自收到发票后10个工作日内支付合同价款的20%。</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4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43"/>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943"/>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3"/>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43"/>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43"/>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3"/>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4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4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4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4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43"/>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4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43"/>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4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4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4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43"/>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43"/>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4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43"/>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43"/>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43"/>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43"/>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43"/>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43"/>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943"/>
        <w:jc w:val="center"/>
        <w:spacing w:before="120" w:after="120" w:line="0" w:lineRule="atLeast"/>
        <w:rPr>
          <w:color w:val="000000"/>
        </w:rPr>
      </w:pPr>
      <w:r>
        <w:rPr>
          <w:rFonts w:hint="eastAsia"/>
          <w:color w:val="000000"/>
        </w:rPr>
        <w:t xml:space="preserve">                                        </w:t>
      </w:r>
      <w:r>
        <w:rPr>
          <w:rFonts w:hint="eastAsia"/>
          <w:color w:val="000000"/>
          <w:sz w:val="24"/>
          <w:szCs w:val="24"/>
        </w:rPr>
        <w:t xml:space="preserve"> </w:t>
      </w:r>
      <w:r/>
      <w:r>
        <w:rPr>
          <w:color w:val="000000"/>
        </w:rPr>
      </w:r>
    </w:p>
    <w:p>
      <w:pPr>
        <w:pStyle w:val="943"/>
        <w:jc w:val="center"/>
        <w:spacing w:before="120" w:after="120" w:line="0" w:lineRule="atLeast"/>
        <w:rPr>
          <w:rFonts w:hint="eastAsia" w:hAnsi="宋体"/>
          <w:i w:val="0"/>
          <w:iCs w:val="0"/>
          <w:color w:val="000000"/>
          <w:sz w:val="24"/>
          <w:szCs w:val="24"/>
          <w:u w:val="none"/>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20823346"/>
      <w:r/>
      <w:bookmarkStart w:id="186" w:name="_Toc120614244"/>
      <w:r/>
      <w:bookmarkStart w:id="187" w:name="_Toc16938590"/>
      <w:r/>
      <w:bookmarkStart w:id="188" w:name="_Hlt16619350"/>
      <w:r/>
      <w:bookmarkStart w:id="189" w:name="_Toc462564139"/>
      <w:r/>
      <w:bookmarkStart w:id="190" w:name="_Toc479757211"/>
      <w:r>
        <w:rPr>
          <w:rFonts w:ascii="黑体" w:eastAsia="黑体"/>
          <w:bCs/>
          <w:color w:val="000000"/>
          <w:sz w:val="44"/>
        </w:rPr>
        <w:br w:type="page" w:clear="all"/>
      </w:r>
      <w:bookmarkEnd w:id="185"/>
      <w:r/>
      <w:bookmarkEnd w:id="186"/>
      <w:r/>
      <w:bookmarkEnd w:id="187"/>
      <w:r/>
      <w:bookmarkEnd w:id="188"/>
      <w:r/>
      <w:bookmarkStart w:id="191" w:name="_Toc26554093"/>
      <w:r/>
      <w:bookmarkStart w:id="192" w:name="_Toc120614281"/>
      <w:r/>
      <w:bookmarkStart w:id="193" w:name="_Toc49090575"/>
      <w:r>
        <w:rPr>
          <w:rFonts w:hint="eastAsia" w:ascii="黑体" w:eastAsia="黑体"/>
          <w:bCs/>
          <w:i w:val="0"/>
          <w:iCs w:val="0"/>
          <w:color w:val="000000"/>
          <w:sz w:val="44"/>
          <w:u w:val="none"/>
        </w:rPr>
        <w:t xml:space="preserve">第四章 采购需求</w:t>
      </w:r>
      <w:r/>
    </w:p>
    <w:p>
      <w:pPr>
        <w:numPr>
          <w:ilvl w:val="0"/>
          <w:numId w:val="0"/>
        </w:numPr>
        <w:ind w:left="495" w:hanging="495"/>
        <w:jc w:val="both"/>
        <w:spacing w:line="0" w:lineRule="atLeast"/>
        <w:rPr>
          <w:rFonts w:ascii="宋体" w:hAnsi="宋体"/>
          <w:i w:val="0"/>
          <w:iCs w:val="0"/>
          <w:color w:val="000000"/>
          <w:sz w:val="24"/>
          <w:szCs w:val="24"/>
          <w:u w:val="none"/>
        </w:rPr>
      </w:pPr>
      <w:r>
        <w:rPr>
          <w:rFonts w:hint="default" w:ascii="宋体" w:hAnsi="宋体"/>
          <w:b/>
          <w:bCs w:val="0"/>
          <w:i w:val="0"/>
          <w:iCs w:val="0"/>
          <w:color w:val="000000"/>
          <w:sz w:val="24"/>
          <w:szCs w:val="24"/>
          <w:u w:val="none"/>
          <w:lang w:val="en-US" w:eastAsia="zh-CN" w:bidi="ar-SA"/>
        </w:rPr>
        <w:t xml:space="preserve">一、</w:t>
      </w:r>
      <w:r>
        <w:rPr>
          <w:rFonts w:hint="eastAsia" w:ascii="宋体" w:hAnsi="宋体"/>
          <w:b/>
          <w:bCs w:val="0"/>
          <w:i w:val="0"/>
          <w:iCs w:val="0"/>
          <w:color w:val="000000"/>
          <w:sz w:val="24"/>
          <w:szCs w:val="24"/>
          <w:u w:val="none"/>
        </w:rPr>
        <w:t xml:space="preserve">项目属性:</w:t>
      </w:r>
      <w:r>
        <w:rPr>
          <w:rFonts w:hint="eastAsia" w:ascii="宋体" w:hAnsi="宋体"/>
          <w:b/>
          <w:bCs w:val="0"/>
          <w:i w:val="0"/>
          <w:iCs w:val="0"/>
          <w:color w:val="000000"/>
          <w:sz w:val="24"/>
          <w:szCs w:val="24"/>
          <w:u w:val="none"/>
          <w:lang w:val="en-US" w:eastAsia="zh-CN"/>
        </w:rPr>
        <w:t xml:space="preserve">服务</w:t>
      </w:r>
      <w:r>
        <w:rPr>
          <w:rFonts w:hint="eastAsia" w:ascii="宋体" w:hAnsi="宋体"/>
          <w:b/>
          <w:bCs w:val="0"/>
          <w:i w:val="0"/>
          <w:iCs w:val="0"/>
          <w:color w:val="000000"/>
          <w:sz w:val="24"/>
          <w:szCs w:val="24"/>
          <w:u w:val="none"/>
        </w:rPr>
        <w:t xml:space="preserve">类项目</w:t>
      </w:r>
      <w:r/>
    </w:p>
    <w:p>
      <w:pPr>
        <w:ind w:firstLine="480"/>
        <w:spacing w:line="360" w:lineRule="auto"/>
        <w:rPr>
          <w:rFonts w:ascii="Times New Roman" w:hAnsi="Times New Roman"/>
          <w:bCs/>
          <w:i w:val="0"/>
          <w:iCs w:val="0"/>
          <w:sz w:val="24"/>
          <w:szCs w:val="24"/>
          <w:u w:val="none"/>
        </w:rPr>
      </w:pPr>
      <w:r>
        <w:rPr>
          <w:rFonts w:hint="eastAsia" w:ascii="Times New Roman" w:hAnsi="Times New Roman"/>
          <w:bCs/>
          <w:i w:val="0"/>
          <w:iCs w:val="0"/>
          <w:sz w:val="24"/>
          <w:szCs w:val="24"/>
          <w:u w:val="none"/>
        </w:rPr>
        <w:t xml:space="preserve">1</w:t>
      </w:r>
      <w:r>
        <w:rPr>
          <w:rFonts w:ascii="Times New Roman" w:hAnsi="Times New Roman"/>
          <w:bCs/>
          <w:i w:val="0"/>
          <w:iCs w:val="0"/>
          <w:sz w:val="24"/>
          <w:szCs w:val="24"/>
          <w:u w:val="none"/>
        </w:rPr>
        <w:t xml:space="preserve">. </w:t>
      </w:r>
      <w:r>
        <w:rPr>
          <w:rFonts w:hint="eastAsia" w:ascii="Times New Roman" w:hAnsi="Times New Roman"/>
          <w:bCs/>
          <w:i w:val="0"/>
          <w:iCs w:val="0"/>
          <w:sz w:val="24"/>
          <w:szCs w:val="24"/>
          <w:u w:val="none"/>
        </w:rPr>
        <w:t xml:space="preserve">如本项目采购产品被财政部、国家发改委、生态环境部等列入“节能产品</w:t>
      </w:r>
      <w:r>
        <w:rPr>
          <w:rFonts w:hint="eastAsia"/>
          <w:bCs/>
          <w:i w:val="0"/>
          <w:iCs w:val="0"/>
          <w:sz w:val="24"/>
          <w:szCs w:val="24"/>
          <w:u w:val="none"/>
          <w:lang w:val="en-US" w:eastAsia="zh-CN"/>
        </w:rPr>
        <w:t xml:space="preserve">政府采购</w:t>
      </w:r>
      <w:r>
        <w:rPr>
          <w:rFonts w:hint="eastAsia" w:ascii="Times New Roman" w:hAnsi="Times New Roman"/>
          <w:bCs/>
          <w:i w:val="0"/>
          <w:iCs w:val="0"/>
          <w:sz w:val="24"/>
          <w:szCs w:val="24"/>
          <w:u w:val="none"/>
        </w:rPr>
        <w:t xml:space="preserve">品目清单”强制采购范围，投标文件中必须提供国家确定的认证机构出具的、处于有效期之内的该节能产品认证证书。</w:t>
      </w:r>
      <w:r>
        <w:rPr>
          <w:rFonts w:hint="eastAsia" w:ascii="Times New Roman" w:hAnsi="Times New Roman"/>
          <w:bCs/>
          <w:i w:val="0"/>
          <w:iCs w:val="0"/>
          <w:sz w:val="24"/>
          <w:szCs w:val="24"/>
          <w:highlight w:val="none"/>
          <w:u w:val="none"/>
        </w:rPr>
        <w:t xml:space="preserve">本项目强制节能产品有： </w:t>
      </w:r>
      <w:r>
        <w:rPr>
          <w:rFonts w:hint="eastAsia"/>
          <w:bCs/>
          <w:i w:val="0"/>
          <w:iCs w:val="0"/>
          <w:sz w:val="24"/>
          <w:szCs w:val="24"/>
          <w:highlight w:val="none"/>
          <w:u w:val="none"/>
          <w:lang w:val="en-US" w:eastAsia="zh-CN"/>
        </w:rPr>
        <w:t xml:space="preserve">无</w:t>
      </w:r>
      <w:r>
        <w:rPr>
          <w:rFonts w:hint="eastAsia" w:ascii="Times New Roman" w:hAnsi="Times New Roman"/>
          <w:bCs/>
          <w:i w:val="0"/>
          <w:iCs w:val="0"/>
          <w:sz w:val="24"/>
          <w:szCs w:val="24"/>
          <w:highlight w:val="none"/>
          <w:u w:val="none"/>
          <w:lang w:val="en-US" w:eastAsia="zh-CN"/>
        </w:rPr>
        <w:t xml:space="preserve"> </w:t>
      </w:r>
      <w:r>
        <w:rPr>
          <w:rFonts w:hint="eastAsia" w:ascii="Times New Roman" w:hAnsi="Times New Roman"/>
          <w:bCs/>
          <w:i w:val="0"/>
          <w:iCs w:val="0"/>
          <w:sz w:val="24"/>
          <w:szCs w:val="24"/>
          <w:highlight w:val="none"/>
          <w:u w:val="none"/>
          <w:lang w:eastAsia="zh-CN"/>
        </w:rPr>
        <w:t xml:space="preserve">。</w:t>
      </w:r>
      <w:r/>
    </w:p>
    <w:p>
      <w:pPr>
        <w:ind w:firstLine="480"/>
        <w:spacing w:line="360" w:lineRule="auto"/>
        <w:rPr>
          <w:bCs/>
          <w:i w:val="0"/>
          <w:iCs w:val="0"/>
          <w:sz w:val="24"/>
          <w:szCs w:val="24"/>
          <w:u w:val="none"/>
        </w:rPr>
      </w:pPr>
      <w:r>
        <w:rPr>
          <w:rFonts w:ascii="Times New Roman" w:hAnsi="Times New Roman"/>
          <w:bCs/>
          <w:i w:val="0"/>
          <w:iCs w:val="0"/>
          <w:sz w:val="24"/>
          <w:szCs w:val="24"/>
          <w:u w:val="none"/>
        </w:rPr>
        <w:t xml:space="preserve">2.</w:t>
      </w:r>
      <w:r>
        <w:rPr>
          <w:bCs/>
          <w:i w:val="0"/>
          <w:iCs w:val="0"/>
          <w:sz w:val="24"/>
          <w:szCs w:val="24"/>
          <w:u w:val="none"/>
        </w:rPr>
        <w:t xml:space="preserve"> </w:t>
      </w:r>
      <w:r>
        <w:rPr>
          <w:rFonts w:hint="eastAsia"/>
          <w:bCs/>
          <w:i w:val="0"/>
          <w:iCs w:val="0"/>
          <w:sz w:val="24"/>
          <w:szCs w:val="24"/>
          <w:u w:val="none"/>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i w:val="0"/>
          <w:iCs w:val="0"/>
          <w:color w:val="000000"/>
          <w:sz w:val="24"/>
          <w:szCs w:val="24"/>
          <w:u w:val="none"/>
        </w:rPr>
      </w:pPr>
      <w:r>
        <w:rPr>
          <w:rFonts w:ascii="宋体" w:hAnsi="宋体"/>
          <w:i w:val="0"/>
          <w:iCs w:val="0"/>
          <w:color w:val="000000"/>
          <w:sz w:val="24"/>
          <w:szCs w:val="24"/>
          <w:u w:val="none"/>
        </w:rPr>
        <w:t xml:space="preserve">3</w:t>
      </w:r>
      <w:r>
        <w:rPr>
          <w:rFonts w:hint="eastAsia" w:ascii="宋体" w:hAnsi="宋体"/>
          <w:i w:val="0"/>
          <w:iCs w:val="0"/>
          <w:color w:val="000000"/>
          <w:sz w:val="24"/>
          <w:szCs w:val="24"/>
          <w:u w:val="none"/>
        </w:rPr>
        <w:t xml:space="preserve">.</w:t>
      </w:r>
      <w:r>
        <w:rPr>
          <w:rFonts w:ascii="宋体" w:hAnsi="宋体"/>
          <w:i w:val="0"/>
          <w:iCs w:val="0"/>
          <w:color w:val="000000"/>
          <w:sz w:val="24"/>
          <w:szCs w:val="24"/>
          <w:u w:val="none"/>
        </w:rPr>
        <w:t xml:space="preserve"> </w:t>
      </w:r>
      <w:r>
        <w:rPr>
          <w:rFonts w:hint="eastAsia" w:ascii="宋体" w:hAnsi="宋体"/>
          <w:i w:val="0"/>
          <w:iCs w:val="0"/>
          <w:color w:val="000000"/>
          <w:sz w:val="24"/>
          <w:szCs w:val="24"/>
          <w:u w:val="none"/>
        </w:rPr>
        <w:t xml:space="preserve">采购</w:t>
      </w:r>
      <w:r>
        <w:rPr>
          <w:rFonts w:ascii="宋体" w:hAnsi="宋体"/>
          <w:i w:val="0"/>
          <w:iCs w:val="0"/>
          <w:color w:val="000000"/>
          <w:sz w:val="24"/>
          <w:szCs w:val="24"/>
          <w:u w:val="none"/>
        </w:rPr>
        <w:t xml:space="preserve">标的清单</w:t>
      </w:r>
      <w:r/>
    </w:p>
    <w:tbl>
      <w:tblPr>
        <w:tblStyle w:val="7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i w:val="0"/>
                <w:iCs w:val="0"/>
                <w:sz w:val="24"/>
                <w:szCs w:val="24"/>
                <w:u w:val="none"/>
              </w:rPr>
            </w:pPr>
            <w:r>
              <w:rPr>
                <w:rFonts w:hint="eastAsia" w:ascii="宋体" w:hAnsi="宋体"/>
                <w:i w:val="0"/>
                <w:iCs w:val="0"/>
                <w:sz w:val="24"/>
                <w:szCs w:val="24"/>
                <w:u w:val="none"/>
              </w:rPr>
              <w:t xml:space="preserve">采购包号</w:t>
            </w:r>
            <w:r/>
          </w:p>
        </w:tc>
        <w:tc>
          <w:tcPr>
            <w:tcW w:w="3124" w:type="dxa"/>
            <w:vAlign w:val="center"/>
            <w:textDirection w:val="lrTb"/>
            <w:noWrap w:val="false"/>
          </w:tcPr>
          <w:p>
            <w:pPr>
              <w:jc w:val="center"/>
              <w:spacing w:line="0" w:lineRule="atLeast"/>
              <w:rPr>
                <w:rFonts w:ascii="宋体" w:hAnsi="宋体"/>
                <w:i w:val="0"/>
                <w:iCs w:val="0"/>
                <w:sz w:val="24"/>
                <w:szCs w:val="24"/>
                <w:u w:val="none"/>
              </w:rPr>
            </w:pPr>
            <w:r>
              <w:rPr>
                <w:rFonts w:hint="eastAsia" w:ascii="宋体" w:hAnsi="宋体"/>
                <w:i w:val="0"/>
                <w:iCs w:val="0"/>
                <w:sz w:val="24"/>
                <w:szCs w:val="24"/>
                <w:u w:val="none"/>
              </w:rPr>
              <w:t xml:space="preserve">采购</w:t>
            </w:r>
            <w:r>
              <w:rPr>
                <w:rFonts w:ascii="宋体" w:hAnsi="宋体"/>
                <w:i w:val="0"/>
                <w:iCs w:val="0"/>
                <w:sz w:val="24"/>
                <w:szCs w:val="24"/>
                <w:u w:val="none"/>
              </w:rPr>
              <w:t xml:space="preserve">标的</w:t>
            </w:r>
            <w:r/>
          </w:p>
        </w:tc>
        <w:tc>
          <w:tcPr>
            <w:tcW w:w="3022" w:type="dxa"/>
            <w:vAlign w:val="center"/>
            <w:textDirection w:val="lrTb"/>
            <w:noWrap w:val="false"/>
          </w:tcPr>
          <w:p>
            <w:pPr>
              <w:jc w:val="center"/>
              <w:spacing w:line="0" w:lineRule="atLeast"/>
              <w:rPr>
                <w:rFonts w:ascii="宋体" w:hAnsi="宋体"/>
                <w:i w:val="0"/>
                <w:iCs w:val="0"/>
                <w:sz w:val="24"/>
                <w:szCs w:val="24"/>
                <w:u w:val="none"/>
              </w:rPr>
            </w:pPr>
            <w:r>
              <w:rPr>
                <w:rFonts w:hint="eastAsia" w:ascii="宋体" w:hAnsi="宋体"/>
                <w:i w:val="0"/>
                <w:iCs w:val="0"/>
                <w:sz w:val="24"/>
                <w:szCs w:val="24"/>
                <w:u w:val="none"/>
              </w:rPr>
              <w:t xml:space="preserve">对应中</w:t>
            </w:r>
            <w:r>
              <w:rPr>
                <w:rFonts w:ascii="宋体" w:hAnsi="宋体"/>
                <w:i w:val="0"/>
                <w:iCs w:val="0"/>
                <w:sz w:val="24"/>
                <w:szCs w:val="24"/>
                <w:u w:val="none"/>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i w:val="0"/>
                <w:iCs w:val="0"/>
                <w:sz w:val="24"/>
                <w:szCs w:val="24"/>
                <w:u w:val="none"/>
              </w:rPr>
            </w:pPr>
            <w:r>
              <w:rPr>
                <w:rFonts w:hint="eastAsia" w:ascii="宋体" w:hAnsi="宋体"/>
                <w:i w:val="0"/>
                <w:iCs w:val="0"/>
                <w:sz w:val="24"/>
                <w:szCs w:val="24"/>
                <w:u w:val="none"/>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i w:val="0"/>
                <w:iCs w:val="0"/>
                <w:sz w:val="24"/>
                <w:szCs w:val="24"/>
                <w:u w:val="none"/>
              </w:rPr>
            </w:pPr>
            <w:r>
              <w:rPr>
                <w:rFonts w:hint="eastAsia" w:ascii="宋体" w:hAnsi="宋体"/>
                <w:i w:val="0"/>
                <w:iCs w:val="0"/>
                <w:sz w:val="24"/>
                <w:szCs w:val="24"/>
                <w:u w:val="none"/>
              </w:rPr>
              <w:t xml:space="preserve">2026扬州高邮大运河半程马拉松赛事服务项目</w:t>
            </w:r>
            <w:r/>
          </w:p>
        </w:tc>
        <w:tc>
          <w:tcPr>
            <w:tcW w:w="3022" w:type="dxa"/>
            <w:vAlign w:val="center"/>
            <w:textDirection w:val="lrTb"/>
            <w:noWrap w:val="false"/>
          </w:tcPr>
          <w:p>
            <w:pPr>
              <w:jc w:val="center"/>
              <w:spacing w:line="0" w:lineRule="atLeast"/>
              <w:rPr>
                <w:rFonts w:ascii="宋体" w:hAnsi="宋体"/>
                <w:i w:val="0"/>
                <w:iCs w:val="0"/>
                <w:sz w:val="24"/>
                <w:szCs w:val="24"/>
                <w:u w:val="none"/>
              </w:rPr>
            </w:pPr>
            <w:r>
              <w:rPr>
                <w:rFonts w:hint="eastAsia" w:ascii="宋体" w:hAnsi="宋体"/>
                <w:i w:val="0"/>
                <w:iCs w:val="0"/>
                <w:sz w:val="24"/>
                <w:szCs w:val="24"/>
                <w:u w:val="none"/>
              </w:rPr>
              <w:t xml:space="preserve">其他未列明行业</w:t>
            </w:r>
            <w:r/>
          </w:p>
        </w:tc>
      </w:tr>
    </w:tbl>
    <w:p>
      <w:pPr>
        <w:pStyle w:val="750"/>
        <w:ind w:left="0" w:right="0" w:firstLine="482"/>
        <w:jc w:val="both"/>
        <w:keepLines w:val="0"/>
        <w:keepNext w:val="0"/>
        <w:spacing w:before="0" w:beforeAutospacing="0" w:after="0" w:afterAutospacing="0" w:line="0" w:lineRule="atLeast"/>
        <w:widowControl w:val="off"/>
        <w:rPr>
          <w:rFonts w:hint="eastAsia" w:ascii="宋体" w:hAnsi="宋体" w:eastAsia="宋体" w:cs="宋体"/>
          <w:b/>
          <w:bCs/>
          <w:i w:val="0"/>
          <w:iCs w:val="0"/>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r>
      <w:r/>
    </w:p>
    <w:p>
      <w:pPr>
        <w:pStyle w:val="750"/>
        <w:numPr>
          <w:ilvl w:val="0"/>
          <w:numId w:val="6"/>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u w:val="none"/>
        </w:rPr>
        <w:t xml:space="preserve">本次招标项目主要采购服务包括：</w:t>
      </w:r>
      <w:r>
        <w:rPr>
          <w:rFonts w:hint="eastAsia" w:ascii="宋体" w:hAnsi="宋体" w:eastAsia="宋体" w:cs="宋体"/>
          <w:b w:val="0"/>
          <w:bCs w:val="0"/>
          <w:i w:val="0"/>
          <w:iCs w:val="0"/>
          <w:color w:val="000000"/>
          <w:sz w:val="24"/>
          <w:szCs w:val="24"/>
          <w:u w:val="none"/>
        </w:rPr>
        <w:t xml:space="preserve">赛事整体策划、竞赛组织、赛事宣传推广、赛事安全保障、赛事医疗保障、赛事志愿服务、赛事后勤保障、跑者服务、配套活动组织、赛事市场开发以及协议内的其他工作，并承担全部市场开发费用及约定的赛事运营等相关费用。</w:t>
      </w:r>
      <w:r/>
    </w:p>
    <w:p>
      <w:pPr>
        <w:pStyle w:val="723"/>
        <w:ind w:left="0" w:right="0"/>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eastAsia="zh-CN"/>
        </w:rPr>
        <w:t xml:space="preserve">三</w:t>
      </w:r>
      <w:r>
        <w:rPr>
          <w:rFonts w:hint="eastAsia" w:ascii="宋体" w:hAnsi="宋体" w:eastAsia="宋体" w:cs="宋体"/>
          <w:b/>
          <w:bCs/>
          <w:i w:val="0"/>
          <w:iCs w:val="0"/>
          <w:sz w:val="24"/>
          <w:szCs w:val="24"/>
          <w:highlight w:val="none"/>
          <w:u w:val="none"/>
        </w:rPr>
        <w:t xml:space="preserve">、赛事整体策划</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根据“</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”组委会制定的</w:t>
      </w:r>
      <w:r>
        <w:rPr>
          <w:rFonts w:hint="eastAsia" w:ascii="宋体" w:hAnsi="宋体" w:eastAsia="宋体" w:cs="宋体"/>
          <w:i w:val="0"/>
          <w:iCs w:val="0"/>
          <w:sz w:val="24"/>
          <w:szCs w:val="24"/>
          <w:highlight w:val="none"/>
          <w:u w:val="none"/>
          <w:lang w:eastAsia="zh-CN"/>
        </w:rPr>
        <w:t xml:space="preserve">202</w:t>
      </w:r>
      <w:r>
        <w:rPr>
          <w:rFonts w:hint="eastAsia" w:ascii="宋体" w:hAnsi="宋体" w:eastAsia="宋体" w:cs="宋体"/>
          <w:i w:val="0"/>
          <w:iCs w:val="0"/>
          <w:sz w:val="24"/>
          <w:szCs w:val="24"/>
          <w:highlight w:val="none"/>
          <w:u w:val="none"/>
          <w:lang w:val="en-US" w:eastAsia="zh-CN"/>
        </w:rPr>
        <w:t xml:space="preserve">6</w:t>
      </w:r>
      <w:r>
        <w:rPr>
          <w:rFonts w:hint="eastAsia" w:ascii="宋体" w:hAnsi="宋体" w:eastAsia="宋体" w:cs="宋体"/>
          <w:i w:val="0"/>
          <w:iCs w:val="0"/>
          <w:sz w:val="24"/>
          <w:szCs w:val="24"/>
          <w:highlight w:val="none"/>
          <w:u w:val="none"/>
        </w:rPr>
        <w:t xml:space="preserve">年“</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”总体方案，按照</w:t>
      </w: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000人规模细化制定运营执行方案及各专项方案，报组委会审定后执行，</w:t>
      </w:r>
      <w:r>
        <w:rPr>
          <w:rFonts w:hint="eastAsia" w:ascii="宋体" w:hAnsi="宋体" w:eastAsia="宋体" w:cs="宋体"/>
          <w:i w:val="0"/>
          <w:iCs w:val="0"/>
          <w:sz w:val="24"/>
          <w:szCs w:val="24"/>
          <w:highlight w:val="none"/>
          <w:u w:val="none"/>
          <w:lang w:val="en-US" w:eastAsia="zh-CN"/>
        </w:rPr>
        <w:t xml:space="preserve">按</w:t>
      </w:r>
      <w:r>
        <w:rPr>
          <w:rFonts w:hint="eastAsia" w:ascii="宋体" w:hAnsi="宋体" w:eastAsia="宋体" w:cs="宋体"/>
          <w:i w:val="0"/>
          <w:iCs w:val="0"/>
          <w:sz w:val="24"/>
          <w:szCs w:val="24"/>
          <w:highlight w:val="none"/>
          <w:u w:val="none"/>
        </w:rPr>
        <w:t xml:space="preserve">照“B类”赛事标准办赛，打造广大跑者认可的国内知名半程马拉松赛事。赛事总体运营要求：</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1.本文件提出的是最低限度的基本技术要求，并未对所有技术细节作出规定，中标人应提供符合本技术要求和国家标准、行业标准的优质产品及服务；</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2.中标人必须参照中国田径协会“B类”赛事级别，根据双方分工约定开展赛事运营工作；</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3.协议期内中标人必须在 2 周内，配置一支固定的工作团队，团队配置工作人员数量不得低于5人，其中应包括本项目的主要负责人，以及竞赛、报名工作、宣传推广、活动策划组织、市场开发等相关条口的主要负责人，该工作团队需积极响应和配合采购人开展“扬州高邮大运河马拉松”赛事相关的筹备、调研、宣传、客服、品牌维护及推广活动等相关工作。（协议期内中标人必须在项目所在地固定保留一支工作团队。工作团队需按“赛时运行”和“赛事筹备及赛后保障”两个阶段配置：</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（1）“赛时运行”是指“扬州高邮大运河马拉松”赛前 1 个月至赛后 1 周的时间段内，赛前1 个月该工作团队配置工作人员数量不得低于15人，赛后运营人数不得低于10人；</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赛事筹备及赛后保障”是指除去“赛时运行”以外的其它时间段，在该时间段内，该工作团队应配置的工作人员数量5人，其中应包括本项目的主要负责人，以及竞赛、宣传推广、活动策划组织、市场开发等相关条口的主要负责人，该工作团队需积极响应和配合采购人开展“扬州高邮大运河马拉松”赛事相关的筹备、调研、宣传、客服、品牌维护及推广活动等相关工作；）</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4.中标人充分考虑本项目合同实施期间可能发生的一切费用及政策风险，并承担由此而带来的风险；</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5.中标人应确保安全生产，做好相关安全措施，对服务人员的人身安全、物资安全及周边环境的安全负有全责。在项目实施过程中出现中标人原因造成的生产事故，由中标人承担一切责任。中标人所完成的搭建与布置项目在使用过程中出现重大责任事故，给组委会造成重大经济和声誉损失，中标人应负相应法律责任，并负责消除不良影响，如组委会承担了任何责任，可向中标人全额追偿；</w:t>
      </w:r>
      <w:r/>
    </w:p>
    <w:p>
      <w:pPr>
        <w:ind w:left="0" w:right="0" w:firstLine="480"/>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6.中标人不得将赛事核心版块（竞赛组织、安全保障、医疗保障、志愿者组织管理、选手服务）进行转包；</w:t>
      </w:r>
      <w:r/>
    </w:p>
    <w:p>
      <w:pPr>
        <w:pStyle w:val="723"/>
        <w:ind w:left="0" w:right="0"/>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eastAsia="zh-CN"/>
        </w:rPr>
        <w:t xml:space="preserve">四</w:t>
      </w:r>
      <w:r>
        <w:rPr>
          <w:rFonts w:hint="eastAsia" w:ascii="宋体" w:hAnsi="宋体" w:eastAsia="宋体" w:cs="宋体"/>
          <w:b/>
          <w:bCs/>
          <w:i w:val="0"/>
          <w:iCs w:val="0"/>
          <w:sz w:val="24"/>
          <w:szCs w:val="24"/>
          <w:highlight w:val="none"/>
          <w:u w:val="none"/>
        </w:rPr>
        <w:t xml:space="preserve">、竞赛组织</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（一）赛事认证</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按照《2024中国田径协会路跑管理文件汇编》等规定要求，按照中国田协赛事标准进行备案（如赛前办法有更新，则按照更新后办法执行）。 </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 赛后按照中国田径协会和江苏省体育局等监管单位要求，在规定时间内完成相关数据和材料的整理报送；</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2.及时关注并申请参加中国田径协会各类路跑赛事年度评选和征集活动。</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（二）风险评估及赛事陈述</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1.风险评估：对赛事进行风险评估，获得有资质的第三方单位出具的风险评估报告；</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color w:val="000000"/>
          <w:sz w:val="24"/>
          <w:szCs w:val="24"/>
          <w:u w:val="none"/>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2.赛事陈述：申报通过江苏省体育局、扬州市体育局相关部门组织的赛事陈述，并根据相关意见建议整改到位。</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（三）赛事报名费用及奖金</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1.赛事报名费用（单位：人民币）：报名费用由</w:t>
      </w:r>
      <w:r>
        <w:rPr>
          <w:rFonts w:hint="eastAsia" w:ascii="宋体" w:hAnsi="宋体" w:eastAsia="宋体" w:cs="宋体"/>
          <w:b w:val="0"/>
          <w:bCs w:val="0"/>
          <w:i w:val="0"/>
          <w:iCs w:val="0"/>
          <w:sz w:val="24"/>
          <w:szCs w:val="24"/>
          <w:highlight w:val="none"/>
          <w:u w:val="none"/>
          <w:lang w:eastAsia="zh-CN"/>
        </w:rPr>
        <w:t xml:space="preserve">中标人</w:t>
      </w:r>
      <w:r>
        <w:rPr>
          <w:rFonts w:hint="eastAsia" w:ascii="宋体" w:hAnsi="宋体" w:eastAsia="宋体" w:cs="宋体"/>
          <w:b w:val="0"/>
          <w:bCs w:val="0"/>
          <w:i w:val="0"/>
          <w:iCs w:val="0"/>
          <w:sz w:val="24"/>
          <w:szCs w:val="24"/>
          <w:highlight w:val="none"/>
          <w:u w:val="none"/>
        </w:rPr>
        <w:t xml:space="preserve">收取，归属</w:t>
      </w:r>
      <w:r>
        <w:rPr>
          <w:rFonts w:hint="eastAsia" w:ascii="宋体" w:hAnsi="宋体" w:eastAsia="宋体" w:cs="宋体"/>
          <w:b w:val="0"/>
          <w:bCs w:val="0"/>
          <w:i w:val="0"/>
          <w:iCs w:val="0"/>
          <w:sz w:val="24"/>
          <w:szCs w:val="24"/>
          <w:highlight w:val="none"/>
          <w:u w:val="none"/>
          <w:lang w:eastAsia="zh-CN"/>
        </w:rPr>
        <w:t xml:space="preserve">中标人</w:t>
      </w:r>
      <w:r>
        <w:rPr>
          <w:rFonts w:hint="eastAsia" w:ascii="宋体" w:hAnsi="宋体" w:eastAsia="宋体" w:cs="宋体"/>
          <w:b w:val="0"/>
          <w:bCs w:val="0"/>
          <w:i w:val="0"/>
          <w:iCs w:val="0"/>
          <w:sz w:val="24"/>
          <w:szCs w:val="24"/>
          <w:highlight w:val="none"/>
          <w:u w:val="none"/>
        </w:rPr>
        <w:t xml:space="preserve">（公益报名费除外），用于</w:t>
      </w:r>
      <w:r>
        <w:rPr>
          <w:rFonts w:hint="eastAsia" w:ascii="宋体" w:hAnsi="宋体" w:eastAsia="宋体" w:cs="宋体"/>
          <w:b w:val="0"/>
          <w:bCs w:val="0"/>
          <w:i w:val="0"/>
          <w:iCs w:val="0"/>
          <w:sz w:val="24"/>
          <w:szCs w:val="24"/>
          <w:highlight w:val="none"/>
          <w:u w:val="none"/>
          <w:lang w:eastAsia="zh-CN"/>
        </w:rPr>
        <w:t xml:space="preserve">中标人</w:t>
      </w:r>
      <w:r>
        <w:rPr>
          <w:rFonts w:hint="eastAsia" w:ascii="宋体" w:hAnsi="宋体" w:eastAsia="宋体" w:cs="宋体"/>
          <w:b w:val="0"/>
          <w:bCs w:val="0"/>
          <w:i w:val="0"/>
          <w:iCs w:val="0"/>
          <w:sz w:val="24"/>
          <w:szCs w:val="24"/>
          <w:highlight w:val="none"/>
          <w:u w:val="none"/>
        </w:rPr>
        <w:t xml:space="preserve">合理安排补充赛事费用。</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半程马拉松项目：</w:t>
      </w:r>
      <w:r>
        <w:rPr>
          <w:rFonts w:hint="eastAsia" w:ascii="宋体" w:hAnsi="宋体" w:eastAsia="宋体" w:cs="宋体"/>
          <w:b w:val="0"/>
          <w:bCs w:val="0"/>
          <w:i w:val="0"/>
          <w:iCs w:val="0"/>
          <w:sz w:val="24"/>
          <w:szCs w:val="24"/>
          <w:highlight w:val="none"/>
          <w:u w:val="none"/>
          <w:lang w:val="en-US" w:eastAsia="zh-CN"/>
        </w:rPr>
        <w:t xml:space="preserve">120</w:t>
      </w:r>
      <w:r>
        <w:rPr>
          <w:rFonts w:hint="eastAsia" w:ascii="宋体" w:hAnsi="宋体" w:eastAsia="宋体" w:cs="宋体"/>
          <w:b w:val="0"/>
          <w:bCs w:val="0"/>
          <w:i w:val="0"/>
          <w:iCs w:val="0"/>
          <w:sz w:val="24"/>
          <w:szCs w:val="24"/>
          <w:highlight w:val="none"/>
          <w:u w:val="none"/>
        </w:rPr>
        <w:t xml:space="preserve">元/人</w:t>
      </w:r>
      <w:r/>
    </w:p>
    <w:p>
      <w:pPr>
        <w:numPr>
          <w:ilvl w:val="0"/>
          <w:numId w:val="0"/>
        </w:numPr>
        <w:ind w:left="0" w:right="0" w:firstLine="480"/>
        <w:jc w:val="left"/>
        <w:pageBreakBefore w:val="0"/>
        <w:spacing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赛事奖金：本次赛事由</w:t>
      </w:r>
      <w:r>
        <w:rPr>
          <w:rFonts w:hint="eastAsia" w:ascii="宋体" w:hAnsi="宋体" w:eastAsia="宋体" w:cs="宋体"/>
          <w:b w:val="0"/>
          <w:bCs w:val="0"/>
          <w:i w:val="0"/>
          <w:iCs w:val="0"/>
          <w:sz w:val="24"/>
          <w:szCs w:val="24"/>
          <w:highlight w:val="none"/>
          <w:u w:val="none"/>
          <w:lang w:eastAsia="zh-CN"/>
        </w:rPr>
        <w:t xml:space="preserve">中标人</w:t>
      </w:r>
      <w:r>
        <w:rPr>
          <w:rFonts w:hint="eastAsia" w:ascii="宋体" w:hAnsi="宋体" w:eastAsia="宋体" w:cs="宋体"/>
          <w:b w:val="0"/>
          <w:bCs w:val="0"/>
          <w:i w:val="0"/>
          <w:iCs w:val="0"/>
          <w:sz w:val="24"/>
          <w:szCs w:val="24"/>
          <w:highlight w:val="none"/>
          <w:u w:val="none"/>
        </w:rPr>
        <w:t xml:space="preserve">承担全额奖金</w:t>
      </w:r>
      <w:r>
        <w:rPr>
          <w:rFonts w:hint="eastAsia" w:ascii="宋体" w:hAnsi="宋体" w:eastAsia="宋体" w:cs="宋体"/>
          <w:b w:val="0"/>
          <w:bCs w:val="0"/>
          <w:i w:val="0"/>
          <w:iCs w:val="0"/>
          <w:sz w:val="24"/>
          <w:szCs w:val="24"/>
          <w:highlight w:val="none"/>
          <w:u w:val="none"/>
          <w:lang w:eastAsia="zh-CN"/>
        </w:rPr>
        <w:t xml:space="preserve">及税金</w:t>
      </w:r>
      <w:r>
        <w:rPr>
          <w:rFonts w:hint="eastAsia" w:ascii="宋体" w:hAnsi="宋体" w:eastAsia="宋体" w:cs="宋体"/>
          <w:b w:val="0"/>
          <w:bCs w:val="0"/>
          <w:i w:val="0"/>
          <w:iCs w:val="0"/>
          <w:sz w:val="24"/>
          <w:szCs w:val="24"/>
          <w:highlight w:val="none"/>
          <w:u w:val="none"/>
        </w:rPr>
        <w:t xml:space="preserve">，</w:t>
      </w:r>
      <w:r>
        <w:rPr>
          <w:rFonts w:hint="eastAsia" w:ascii="宋体" w:hAnsi="宋体" w:eastAsia="宋体" w:cs="宋体"/>
          <w:b w:val="0"/>
          <w:bCs w:val="0"/>
          <w:i w:val="0"/>
          <w:iCs w:val="0"/>
          <w:sz w:val="24"/>
          <w:szCs w:val="24"/>
          <w:highlight w:val="none"/>
          <w:u w:val="none"/>
          <w:lang w:eastAsia="zh-CN"/>
        </w:rPr>
        <w:t xml:space="preserve">需由中标人提供</w:t>
      </w:r>
      <w:r>
        <w:rPr>
          <w:rFonts w:hint="eastAsia" w:ascii="宋体" w:hAnsi="宋体" w:eastAsia="宋体" w:cs="宋体"/>
          <w:b w:val="0"/>
          <w:bCs w:val="0"/>
          <w:i w:val="0"/>
          <w:iCs w:val="0"/>
          <w:sz w:val="24"/>
          <w:szCs w:val="24"/>
          <w:highlight w:val="none"/>
          <w:u w:val="none"/>
        </w:rPr>
        <w:t xml:space="preserve">完税证明</w:t>
      </w:r>
      <w:r>
        <w:rPr>
          <w:rFonts w:hint="eastAsia" w:ascii="宋体" w:hAnsi="宋体" w:eastAsia="宋体" w:cs="宋体"/>
          <w:b w:val="0"/>
          <w:bCs w:val="0"/>
          <w:i w:val="0"/>
          <w:iCs w:val="0"/>
          <w:sz w:val="24"/>
          <w:szCs w:val="24"/>
          <w:highlight w:val="none"/>
          <w:u w:val="none"/>
          <w:lang w:eastAsia="zh-CN"/>
        </w:rPr>
        <w:t xml:space="preserve">，总额不得少于</w:t>
      </w:r>
      <w:r>
        <w:rPr>
          <w:rFonts w:hint="eastAsia" w:ascii="宋体" w:hAnsi="宋体" w:eastAsia="宋体" w:cs="宋体"/>
          <w:b w:val="0"/>
          <w:bCs w:val="0"/>
          <w:i w:val="0"/>
          <w:iCs w:val="0"/>
          <w:sz w:val="24"/>
          <w:szCs w:val="24"/>
          <w:highlight w:val="none"/>
          <w:u w:val="none"/>
          <w:lang w:val="en-US" w:eastAsia="zh-CN"/>
        </w:rPr>
        <w:t xml:space="preserve">6万元，具体奖励名次和金额由赛事规程设定</w:t>
      </w:r>
      <w:r>
        <w:rPr>
          <w:rFonts w:hint="eastAsia" w:ascii="宋体" w:hAnsi="宋体" w:eastAsia="宋体" w:cs="宋体"/>
          <w:b w:val="0"/>
          <w:bCs w:val="0"/>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（四）路线规划</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路线规划必须按照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1.符合中国田协马拉松赛事要求，起终点直线距离不超过总距离50%，起终点间海拔下降与赛道总距离的比例不超过千分之一；</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2.起点出发直段、终点冲刺直段不少于200米（</w:t>
      </w:r>
      <w:r>
        <w:rPr>
          <w:rFonts w:hint="eastAsia" w:ascii="宋体" w:hAnsi="宋体" w:eastAsia="宋体" w:cs="宋体"/>
          <w:i w:val="0"/>
          <w:iCs w:val="0"/>
          <w:sz w:val="24"/>
          <w:szCs w:val="24"/>
          <w:highlight w:val="none"/>
          <w:u w:val="none"/>
          <w:lang w:eastAsia="zh-CN"/>
        </w:rPr>
        <w:t xml:space="preserve">经中国田协“</w:t>
      </w:r>
      <w:r>
        <w:rPr>
          <w:rFonts w:hint="eastAsia" w:ascii="宋体" w:hAnsi="宋体" w:eastAsia="宋体" w:cs="宋体"/>
          <w:i w:val="0"/>
          <w:iCs w:val="0"/>
          <w:sz w:val="24"/>
          <w:szCs w:val="24"/>
          <w:highlight w:val="none"/>
          <w:u w:val="none"/>
          <w:lang w:val="en-US" w:eastAsia="zh-CN"/>
        </w:rPr>
        <w:t xml:space="preserve">B</w:t>
      </w:r>
      <w:r>
        <w:rPr>
          <w:rFonts w:hint="eastAsia" w:ascii="宋体" w:hAnsi="宋体" w:eastAsia="宋体" w:cs="宋体"/>
          <w:i w:val="0"/>
          <w:iCs w:val="0"/>
          <w:sz w:val="24"/>
          <w:szCs w:val="24"/>
          <w:highlight w:val="none"/>
          <w:u w:val="none"/>
          <w:lang w:eastAsia="zh-CN"/>
        </w:rPr>
        <w:t xml:space="preserve">”级及以上资质丈量员丈量赛道并出具丈量报告</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（五）临建设施</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临建设施必须按照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1.临建设施是指因为举办“</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”赛事必须现场临时布置到位并在赛后拆除的各类器材设施和设备，包括帐篷、篷房、安保围栏、路障、龙门架、拱门、隔离栏、临时厕所、安检设施、医疗设施、赛事指挥设施、家具白电、消防设施等；</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2.赛事所有临建设施，在比赛日前</w:t>
      </w:r>
      <w:r>
        <w:rPr>
          <w:rFonts w:hint="eastAsia" w:ascii="宋体" w:hAnsi="宋体" w:eastAsia="宋体" w:cs="宋体"/>
          <w:i w:val="0"/>
          <w:iCs w:val="0"/>
          <w:sz w:val="24"/>
          <w:szCs w:val="24"/>
          <w:highlight w:val="none"/>
          <w:u w:val="none"/>
          <w:lang w:val="en-US" w:eastAsia="zh-CN"/>
        </w:rPr>
        <w:t xml:space="preserve">40天</w:t>
      </w:r>
      <w:r>
        <w:rPr>
          <w:rFonts w:hint="eastAsia" w:ascii="宋体" w:hAnsi="宋体" w:eastAsia="宋体" w:cs="宋体"/>
          <w:i w:val="0"/>
          <w:iCs w:val="0"/>
          <w:sz w:val="24"/>
          <w:szCs w:val="24"/>
          <w:highlight w:val="none"/>
          <w:u w:val="none"/>
        </w:rPr>
        <w:t xml:space="preserve">将相关设计方案报组委会审定后执行；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3.赛事所有临建设施须符合国家安全生产的各项标准，并在现场安装过程中依法规范操作，并对可能发生的安全生产事故承担全部责任。</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4.赛事所有临建设施须在赛后24小时内及时撤除。</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（六）赛道保障及搭建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赛道保障及搭建必须按照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1.赛道所有标识及搭建方案，需在比赛日之前</w:t>
      </w:r>
      <w:r>
        <w:rPr>
          <w:rFonts w:hint="eastAsia" w:ascii="宋体" w:hAnsi="宋体" w:eastAsia="宋体" w:cs="宋体"/>
          <w:i w:val="0"/>
          <w:iCs w:val="0"/>
          <w:sz w:val="24"/>
          <w:szCs w:val="24"/>
          <w:highlight w:val="none"/>
          <w:u w:val="none"/>
          <w:lang w:val="en-US" w:eastAsia="zh-CN"/>
        </w:rPr>
        <w:t xml:space="preserve">40天</w:t>
      </w:r>
      <w:r>
        <w:rPr>
          <w:rFonts w:hint="eastAsia" w:ascii="宋体" w:hAnsi="宋体" w:eastAsia="宋体" w:cs="宋体"/>
          <w:i w:val="0"/>
          <w:iCs w:val="0"/>
          <w:sz w:val="24"/>
          <w:szCs w:val="24"/>
          <w:highlight w:val="none"/>
          <w:u w:val="none"/>
        </w:rPr>
        <w:t xml:space="preserve">报组委会审定后执行，包括景观标识的制作种类、材料材质、安装部位和工作进度计划；</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2.饮/用水站、饮料站：每5公里确保设置1个饮/用水站或饮料站，严格按照中国田协要求设置桌布颜色，饮/用水站总数不少于</w:t>
      </w:r>
      <w:r>
        <w:rPr>
          <w:rFonts w:hint="eastAsia" w:ascii="宋体" w:hAnsi="宋体" w:eastAsia="宋体" w:cs="宋体"/>
          <w:i w:val="0"/>
          <w:iCs w:val="0"/>
          <w:sz w:val="24"/>
          <w:szCs w:val="24"/>
          <w:highlight w:val="none"/>
          <w:u w:val="none"/>
          <w:lang w:val="en-US" w:eastAsia="zh-CN"/>
        </w:rPr>
        <w:t xml:space="preserve">8</w:t>
      </w:r>
      <w:r>
        <w:rPr>
          <w:rFonts w:hint="eastAsia" w:ascii="宋体" w:hAnsi="宋体" w:eastAsia="宋体" w:cs="宋体"/>
          <w:i w:val="0"/>
          <w:iCs w:val="0"/>
          <w:sz w:val="24"/>
          <w:szCs w:val="24"/>
          <w:highlight w:val="none"/>
          <w:u w:val="none"/>
        </w:rPr>
        <w:t xml:space="preserve">个，饮用水总数不少于</w:t>
      </w:r>
      <w:r>
        <w:rPr>
          <w:rFonts w:hint="eastAsia" w:ascii="宋体" w:hAnsi="宋体" w:eastAsia="宋体" w:cs="宋体"/>
          <w:i w:val="0"/>
          <w:iCs w:val="0"/>
          <w:color w:val="ff0000"/>
          <w:sz w:val="24"/>
          <w:szCs w:val="24"/>
          <w:highlight w:val="none"/>
          <w:u w:val="none"/>
          <w:lang w:val="en-US" w:eastAsia="zh-CN"/>
        </w:rPr>
        <w:t xml:space="preserve">16</w:t>
      </w:r>
      <w:r>
        <w:rPr>
          <w:rFonts w:hint="eastAsia" w:ascii="宋体" w:hAnsi="宋体" w:eastAsia="宋体" w:cs="宋体"/>
          <w:i w:val="0"/>
          <w:iCs w:val="0"/>
          <w:color w:val="ff0000"/>
          <w:sz w:val="24"/>
          <w:szCs w:val="24"/>
          <w:highlight w:val="none"/>
          <w:u w:val="none"/>
        </w:rPr>
        <w:t xml:space="preserve">000瓶</w:t>
      </w:r>
      <w:r>
        <w:rPr>
          <w:rFonts w:hint="eastAsia" w:ascii="宋体" w:hAnsi="宋体" w:eastAsia="宋体" w:cs="宋体"/>
          <w:i w:val="0"/>
          <w:iCs w:val="0"/>
          <w:sz w:val="24"/>
          <w:szCs w:val="24"/>
          <w:highlight w:val="none"/>
          <w:u w:val="none"/>
        </w:rPr>
        <w:t xml:space="preserve">，饮用水约500-550ml/瓶，饮料站不少于</w:t>
      </w:r>
      <w:r>
        <w:rPr>
          <w:rFonts w:hint="eastAsia" w:ascii="宋体" w:hAnsi="宋体" w:eastAsia="宋体"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个，饮料总数不少于</w:t>
      </w:r>
      <w:r>
        <w:rPr>
          <w:rFonts w:hint="eastAsia" w:ascii="宋体" w:hAnsi="宋体" w:eastAsia="宋体" w:cs="宋体"/>
          <w:i w:val="0"/>
          <w:iCs w:val="0"/>
          <w:color w:val="ff0000"/>
          <w:sz w:val="24"/>
          <w:szCs w:val="24"/>
          <w:highlight w:val="none"/>
          <w:u w:val="none"/>
          <w:lang w:val="en-US" w:eastAsia="zh-CN"/>
        </w:rPr>
        <w:t xml:space="preserve">12000</w:t>
      </w:r>
      <w:r>
        <w:rPr>
          <w:rFonts w:hint="eastAsia" w:ascii="宋体" w:hAnsi="宋体" w:eastAsia="宋体" w:cs="宋体"/>
          <w:i w:val="0"/>
          <w:iCs w:val="0"/>
          <w:color w:val="ff0000"/>
          <w:sz w:val="24"/>
          <w:szCs w:val="24"/>
          <w:highlight w:val="none"/>
          <w:u w:val="none"/>
        </w:rPr>
        <w:t xml:space="preserve">瓶</w:t>
      </w:r>
      <w:r>
        <w:rPr>
          <w:rFonts w:hint="eastAsia" w:ascii="宋体" w:hAnsi="宋体" w:eastAsia="宋体" w:cs="宋体"/>
          <w:i w:val="0"/>
          <w:iCs w:val="0"/>
          <w:sz w:val="24"/>
          <w:szCs w:val="24"/>
          <w:highlight w:val="none"/>
          <w:u w:val="none"/>
        </w:rPr>
        <w:t xml:space="preserve">，饮料约500-550ml/瓶，用水站需配备海绵块，海绵块总数不少于</w:t>
      </w:r>
      <w:r>
        <w:rPr>
          <w:rFonts w:hint="eastAsia" w:ascii="宋体" w:hAnsi="宋体" w:eastAsia="宋体" w:cs="宋体"/>
          <w:i w:val="0"/>
          <w:iCs w:val="0"/>
          <w:color w:val="ff0000"/>
          <w:sz w:val="24"/>
          <w:szCs w:val="24"/>
          <w:highlight w:val="none"/>
          <w:u w:val="none"/>
          <w:lang w:val="en-US" w:eastAsia="zh-CN"/>
        </w:rPr>
        <w:t xml:space="preserve">10</w:t>
      </w:r>
      <w:r>
        <w:rPr>
          <w:rFonts w:hint="eastAsia" w:ascii="宋体" w:hAnsi="宋体" w:eastAsia="宋体" w:cs="宋体"/>
          <w:i w:val="0"/>
          <w:iCs w:val="0"/>
          <w:color w:val="ff0000"/>
          <w:sz w:val="24"/>
          <w:szCs w:val="24"/>
          <w:highlight w:val="none"/>
          <w:u w:val="none"/>
        </w:rPr>
        <w:t xml:space="preserve">000块</w:t>
      </w:r>
      <w:r>
        <w:rPr>
          <w:rFonts w:hint="eastAsia" w:ascii="宋体" w:hAnsi="宋体" w:eastAsia="宋体" w:cs="宋体"/>
          <w:i w:val="0"/>
          <w:iCs w:val="0"/>
          <w:sz w:val="24"/>
          <w:szCs w:val="24"/>
          <w:highlight w:val="none"/>
          <w:u w:val="none"/>
        </w:rPr>
        <w:t xml:space="preserve">（根据路线实际情况及跑者需求，按照组委会要求可适量增加）；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3.能量站：能量站不少于4个，能量胶总数不少于</w:t>
      </w:r>
      <w:r>
        <w:rPr>
          <w:rFonts w:hint="eastAsia" w:ascii="宋体" w:hAnsi="宋体" w:eastAsia="宋体" w:cs="宋体"/>
          <w:i w:val="0"/>
          <w:iCs w:val="0"/>
          <w:sz w:val="24"/>
          <w:szCs w:val="24"/>
          <w:highlight w:val="none"/>
          <w:u w:val="none"/>
          <w:lang w:val="en-US" w:eastAsia="zh-CN"/>
        </w:rPr>
        <w:t xml:space="preserve">10</w:t>
      </w:r>
      <w:r>
        <w:rPr>
          <w:rFonts w:hint="eastAsia" w:ascii="宋体" w:hAnsi="宋体" w:eastAsia="宋体" w:cs="宋体"/>
          <w:i w:val="0"/>
          <w:iCs w:val="0"/>
          <w:sz w:val="24"/>
          <w:szCs w:val="24"/>
          <w:highlight w:val="none"/>
          <w:u w:val="none"/>
        </w:rPr>
        <w:t xml:space="preserve">000支，盐丸总数不少于</w:t>
      </w:r>
      <w:r>
        <w:rPr>
          <w:rFonts w:hint="eastAsia" w:ascii="宋体" w:hAnsi="宋体" w:eastAsia="宋体" w:cs="宋体"/>
          <w:i w:val="0"/>
          <w:iCs w:val="0"/>
          <w:sz w:val="24"/>
          <w:szCs w:val="24"/>
          <w:highlight w:val="none"/>
          <w:u w:val="none"/>
          <w:lang w:val="en-US" w:eastAsia="zh-CN"/>
        </w:rPr>
        <w:t xml:space="preserve">10</w:t>
      </w:r>
      <w:r>
        <w:rPr>
          <w:rFonts w:hint="eastAsia" w:ascii="宋体" w:hAnsi="宋体" w:eastAsia="宋体" w:cs="宋体"/>
          <w:i w:val="0"/>
          <w:iCs w:val="0"/>
          <w:sz w:val="24"/>
          <w:szCs w:val="24"/>
          <w:highlight w:val="none"/>
          <w:u w:val="none"/>
        </w:rPr>
        <w:t xml:space="preserve">000个（根据路线实际情况及跑者需求，按照组委会要求可适量增加）；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4.喷淋点：喷淋点不少于4组，每组喷淋头不少于4只，每组至少配备</w:t>
      </w:r>
      <w:r>
        <w:rPr>
          <w:rFonts w:hint="eastAsia" w:ascii="宋体" w:hAnsi="宋体" w:eastAsia="宋体" w:cs="宋体"/>
          <w:i w:val="0"/>
          <w:iCs w:val="0"/>
          <w:sz w:val="24"/>
          <w:szCs w:val="24"/>
          <w:highlight w:val="none"/>
          <w:u w:val="none"/>
          <w:lang w:val="en-US" w:eastAsia="zh-CN"/>
        </w:rPr>
        <w:t xml:space="preserve">12</w:t>
      </w:r>
      <w:r>
        <w:rPr>
          <w:rFonts w:hint="eastAsia" w:ascii="宋体" w:hAnsi="宋体" w:eastAsia="宋体" w:cs="宋体"/>
          <w:i w:val="0"/>
          <w:iCs w:val="0"/>
          <w:sz w:val="24"/>
          <w:szCs w:val="24"/>
          <w:highlight w:val="none"/>
          <w:u w:val="none"/>
        </w:rPr>
        <w:t xml:space="preserve">0桶6升/桶纯净水（根据路线实际情况及跑者需求，按照组委会要求可适量增加）；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5.医疗点：相关配置不低于中国田径协会《马拉松赛事现场医疗保障人员配置要求》《马拉松赛事现场医疗保障设施设备配置要求》执行（根据路线实际情况及跑者需求，按照组委会要求可适量增加）；</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6.AED分区：每</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公里1个分区，每个分区配备电动自行车或自行车，共</w:t>
      </w:r>
      <w:r>
        <w:rPr>
          <w:rFonts w:hint="eastAsia" w:ascii="宋体" w:hAnsi="宋体" w:eastAsia="宋体" w:cs="宋体"/>
          <w:i w:val="0"/>
          <w:iCs w:val="0"/>
          <w:sz w:val="24"/>
          <w:szCs w:val="24"/>
          <w:highlight w:val="none"/>
          <w:u w:val="none"/>
          <w:lang w:val="en-US" w:eastAsia="zh-CN"/>
        </w:rPr>
        <w:t xml:space="preserve">21</w:t>
      </w:r>
      <w:r>
        <w:rPr>
          <w:rFonts w:hint="eastAsia" w:ascii="宋体" w:hAnsi="宋体" w:eastAsia="宋体" w:cs="宋体"/>
          <w:i w:val="0"/>
          <w:iCs w:val="0"/>
          <w:sz w:val="24"/>
          <w:szCs w:val="24"/>
          <w:highlight w:val="none"/>
          <w:u w:val="none"/>
          <w:lang w:eastAsia="zh-CN"/>
        </w:rPr>
        <w:t xml:space="preserve">辆</w:t>
      </w:r>
      <w:r>
        <w:rPr>
          <w:rFonts w:hint="eastAsia" w:ascii="宋体" w:hAnsi="宋体" w:eastAsia="宋体" w:cs="宋体"/>
          <w:i w:val="0"/>
          <w:iCs w:val="0"/>
          <w:sz w:val="24"/>
          <w:szCs w:val="24"/>
          <w:highlight w:val="none"/>
          <w:u w:val="none"/>
        </w:rPr>
        <w:t xml:space="preserve">，AED总数量不少于4</w:t>
      </w:r>
      <w:r>
        <w:rPr>
          <w:rFonts w:hint="eastAsia" w:ascii="宋体" w:hAnsi="宋体" w:eastAsia="宋体"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部</w:t>
      </w:r>
      <w:r>
        <w:rPr>
          <w:rFonts w:hint="eastAsia" w:ascii="宋体" w:hAnsi="宋体" w:eastAsia="宋体" w:cs="宋体"/>
          <w:i w:val="0"/>
          <w:iCs w:val="0"/>
          <w:sz w:val="24"/>
          <w:szCs w:val="24"/>
          <w:highlight w:val="none"/>
          <w:u w:val="none"/>
          <w:lang w:eastAsia="zh-CN"/>
        </w:rPr>
        <w:t xml:space="preserve">，医疗对讲机不少于</w:t>
      </w:r>
      <w:r>
        <w:rPr>
          <w:rFonts w:hint="eastAsia" w:ascii="宋体" w:hAnsi="宋体" w:eastAsia="宋体" w:cs="宋体"/>
          <w:i w:val="0"/>
          <w:iCs w:val="0"/>
          <w:sz w:val="24"/>
          <w:szCs w:val="24"/>
          <w:highlight w:val="none"/>
          <w:u w:val="none"/>
          <w:lang w:val="en-US" w:eastAsia="zh-CN"/>
        </w:rPr>
        <w:t xml:space="preserve">50部</w:t>
      </w:r>
      <w:r>
        <w:rPr>
          <w:rFonts w:hint="eastAsia" w:ascii="宋体" w:hAnsi="宋体" w:eastAsia="宋体" w:cs="宋体"/>
          <w:i w:val="0"/>
          <w:iCs w:val="0"/>
          <w:sz w:val="24"/>
          <w:szCs w:val="24"/>
          <w:highlight w:val="none"/>
          <w:u w:val="none"/>
        </w:rPr>
        <w:t xml:space="preserve">；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7.移动厕所：移动厕所设置不低于中国田径协会相关要求；（移动厕所：沿途厕所应至少每5公里间隔摆放，起点出发后在2公里、4公里增加厕所摆放，沿途厕所应至少按途经总人数的600:1计算总数，厕所应设在饮料站和饮水/用水站至少10米之后；）</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8.赛事保洁：配合当地政府做好赛事保洁工作（比赛前三天至比赛当天），包括但不限于参赛装备发放、嘉年华、赛道、完赛装备发放、赛后拉伸、赛后展示等区域。在确保不影响运动员参赛的情况下，及时迅速清理赛道起终点及补给点垃圾，在各站点设置垃圾箱，站点实行不间断循环保洁（比赛当天不少于4次），专人对道路、人行道进行不间断循环保洁（比赛当天不少于4次）；</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9.赛道隔离：根据赛道实际情况及赛事需求，赛道采取硬隔离加软隔离方式，</w:t>
      </w:r>
      <w:r>
        <w:rPr>
          <w:rFonts w:hint="eastAsia" w:ascii="宋体" w:hAnsi="宋体" w:eastAsia="宋体" w:cs="宋体"/>
          <w:i w:val="0"/>
          <w:iCs w:val="0"/>
          <w:sz w:val="24"/>
          <w:szCs w:val="24"/>
          <w:highlight w:val="none"/>
          <w:u w:val="none"/>
          <w:lang w:eastAsia="zh-CN"/>
        </w:rPr>
        <w:t xml:space="preserve">市区必须要硬隔离（铁马或铁质隔离栏），</w:t>
      </w:r>
      <w:r>
        <w:rPr>
          <w:rFonts w:hint="eastAsia" w:ascii="宋体" w:hAnsi="宋体" w:eastAsia="宋体" w:cs="宋体"/>
          <w:i w:val="0"/>
          <w:iCs w:val="0"/>
          <w:sz w:val="24"/>
          <w:szCs w:val="24"/>
          <w:highlight w:val="none"/>
          <w:u w:val="none"/>
        </w:rPr>
        <w:t xml:space="preserve">确保赛道安全有序；</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10.指示牌：高度不低于2.5米，核心内容信息位置高度不低于2米，数量不少于</w:t>
      </w:r>
      <w:r>
        <w:rPr>
          <w:rFonts w:hint="eastAsia" w:ascii="宋体" w:hAnsi="宋体" w:eastAsia="宋体" w:cs="宋体"/>
          <w:i w:val="0"/>
          <w:iCs w:val="0"/>
          <w:sz w:val="24"/>
          <w:szCs w:val="24"/>
          <w:highlight w:val="none"/>
          <w:u w:val="none"/>
          <w:lang w:val="en-US" w:eastAsia="zh-CN"/>
        </w:rPr>
        <w:t xml:space="preserve">100</w:t>
      </w:r>
      <w:r>
        <w:rPr>
          <w:rFonts w:hint="eastAsia" w:ascii="宋体" w:hAnsi="宋体" w:eastAsia="宋体" w:cs="宋体"/>
          <w:i w:val="0"/>
          <w:iCs w:val="0"/>
          <w:sz w:val="24"/>
          <w:szCs w:val="24"/>
          <w:highlight w:val="none"/>
          <w:u w:val="none"/>
        </w:rPr>
        <w:t xml:space="preserve">个，根据组委会要求设计、制作、搭建；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11.设备看护：所有临建设备、物资等需配备安保力量进行看护，包括但不限于赛前装备物资、赛道补给物资、完赛物资等存放区域。</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（七）起点布置</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起点布置必须按照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》中的有关要求执行。制定起点布置专项方案，报组委会审定后执行。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1.起点安检：结合起点场地条件和参赛选手数量，设置足量安检通道；</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2.起点门：按照组委会要求，根据起点实际情况搭建起点门（需便于及时拆/撤除），遮挡起点门的交通指示牌开赛前须拆除；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3.起点医疗点：需覆盖整个起跑区域（如起跑区域太长难以覆盖服务，配备足够数量的AED、电动自行车和对讲机，以便医疗人员能迅速到达）；</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4.男女更衣室：配备</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个男女更衣室；</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5.主席台：搭建主席台（根据起点实际情况确定搭建规格），配地毯；</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6.主背景：根据主席台尺寸及现场实际情况搭建主背景，配备专业音响和话筒设备；</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7.起点大屏：在主席台对面搭建约3</w:t>
      </w: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平方米LED大屏（大屏需符合户外参数要求）；</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8.领操台：不少于</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个（需配备领操员</w:t>
      </w:r>
      <w:r>
        <w:rPr>
          <w:rFonts w:hint="eastAsia" w:ascii="宋体" w:hAnsi="宋体" w:eastAsia="宋体" w:cs="宋体"/>
          <w:i w:val="0"/>
          <w:iCs w:val="0"/>
          <w:color w:val="ff0000"/>
          <w:sz w:val="24"/>
          <w:szCs w:val="24"/>
          <w:highlight w:val="none"/>
          <w:u w:val="none"/>
          <w:lang w:val="en-US" w:eastAsia="zh-CN"/>
        </w:rPr>
        <w:t xml:space="preserve">8</w:t>
      </w:r>
      <w:r>
        <w:rPr>
          <w:rFonts w:hint="eastAsia" w:ascii="宋体" w:hAnsi="宋体" w:eastAsia="宋体" w:cs="宋体"/>
          <w:i w:val="0"/>
          <w:iCs w:val="0"/>
          <w:color w:val="ff0000"/>
          <w:sz w:val="24"/>
          <w:szCs w:val="24"/>
          <w:highlight w:val="none"/>
          <w:u w:val="none"/>
        </w:rPr>
        <w:t xml:space="preserve">名</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9.摄像台：</w:t>
      </w:r>
      <w:r>
        <w:rPr>
          <w:rFonts w:hint="eastAsia" w:ascii="宋体" w:hAnsi="宋体" w:eastAsia="宋体" w:cs="宋体"/>
          <w:i w:val="0"/>
          <w:iCs w:val="0"/>
          <w:sz w:val="24"/>
          <w:szCs w:val="24"/>
          <w:highlight w:val="none"/>
          <w:u w:val="none"/>
          <w:lang w:val="en-US" w:eastAsia="zh-CN"/>
        </w:rPr>
        <w:t xml:space="preserve">1.5米高度2个</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10.嘉宾室：配直播电视机、</w:t>
      </w:r>
      <w:r>
        <w:rPr>
          <w:rFonts w:hint="eastAsia" w:ascii="宋体" w:hAnsi="宋体" w:eastAsia="宋体" w:cs="宋体"/>
          <w:i w:val="0"/>
          <w:iCs w:val="0"/>
          <w:sz w:val="24"/>
          <w:szCs w:val="24"/>
          <w:highlight w:val="none"/>
          <w:u w:val="none"/>
          <w:lang w:eastAsia="zh-CN"/>
        </w:rPr>
        <w:t xml:space="preserve">饮用水</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11.观摩区：设置能够容纳</w:t>
      </w:r>
      <w:r>
        <w:rPr>
          <w:rFonts w:hint="eastAsia" w:ascii="宋体" w:hAnsi="宋体" w:eastAsia="宋体" w:cs="宋体"/>
          <w:i w:val="0"/>
          <w:iCs w:val="0"/>
          <w:sz w:val="24"/>
          <w:szCs w:val="24"/>
          <w:highlight w:val="none"/>
          <w:u w:val="none"/>
          <w:lang w:val="en-US" w:eastAsia="zh-CN"/>
        </w:rPr>
        <w:t xml:space="preserve">30</w:t>
      </w:r>
      <w:r>
        <w:rPr>
          <w:rFonts w:hint="eastAsia" w:ascii="宋体" w:hAnsi="宋体" w:eastAsia="宋体" w:cs="宋体"/>
          <w:i w:val="0"/>
          <w:iCs w:val="0"/>
          <w:sz w:val="24"/>
          <w:szCs w:val="24"/>
          <w:highlight w:val="none"/>
          <w:u w:val="none"/>
        </w:rPr>
        <w:t xml:space="preserve">人的嘉宾</w:t>
      </w:r>
      <w:r>
        <w:rPr>
          <w:rFonts w:hint="eastAsia" w:ascii="宋体" w:hAnsi="宋体" w:eastAsia="宋体" w:cs="宋体"/>
          <w:i w:val="0"/>
          <w:iCs w:val="0"/>
          <w:sz w:val="24"/>
          <w:szCs w:val="24"/>
          <w:highlight w:val="none"/>
          <w:u w:val="none"/>
          <w:lang w:eastAsia="zh-CN"/>
        </w:rPr>
        <w:t xml:space="preserve">室，能容纳</w:t>
      </w:r>
      <w:r>
        <w:rPr>
          <w:rFonts w:hint="eastAsia" w:ascii="宋体" w:hAnsi="宋体" w:eastAsia="宋体" w:cs="宋体"/>
          <w:i w:val="0"/>
          <w:iCs w:val="0"/>
          <w:sz w:val="24"/>
          <w:szCs w:val="24"/>
          <w:highlight w:val="none"/>
          <w:u w:val="none"/>
          <w:lang w:val="en-US" w:eastAsia="zh-CN"/>
        </w:rPr>
        <w:t xml:space="preserve">100人的</w:t>
      </w:r>
      <w:r>
        <w:rPr>
          <w:rFonts w:hint="eastAsia" w:ascii="宋体" w:hAnsi="宋体" w:eastAsia="宋体" w:cs="宋体"/>
          <w:i w:val="0"/>
          <w:iCs w:val="0"/>
          <w:sz w:val="24"/>
          <w:szCs w:val="24"/>
          <w:highlight w:val="none"/>
          <w:u w:val="none"/>
        </w:rPr>
        <w:t xml:space="preserve">观摩区；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12.厕所设置：男性人数占比大于等于60%、女性人数占比小于等于40%，厕所比例不低于60:1；男性人数占比小于等于60%，女性人数占比大于等于40%，厕所比例不低于50:1；</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.存衣区：按照不高于1：300的比例配备统一规格的帐篷，每个帐篷需配备置放300个存包的区域。</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.综合指挥部：配直播电视机、</w:t>
      </w:r>
      <w:r>
        <w:rPr>
          <w:rFonts w:hint="eastAsia" w:ascii="宋体" w:hAnsi="宋体" w:eastAsia="宋体" w:cs="宋体"/>
          <w:i w:val="0"/>
          <w:iCs w:val="0"/>
          <w:sz w:val="24"/>
          <w:szCs w:val="24"/>
          <w:highlight w:val="none"/>
          <w:u w:val="none"/>
          <w:lang w:eastAsia="zh-CN"/>
        </w:rPr>
        <w:t xml:space="preserve">医疗点画面、无人机监控道路的实时画面、</w:t>
      </w:r>
      <w:r>
        <w:rPr>
          <w:rFonts w:hint="eastAsia" w:ascii="宋体" w:hAnsi="宋体" w:eastAsia="宋体" w:cs="宋体"/>
          <w:i w:val="0"/>
          <w:iCs w:val="0"/>
          <w:sz w:val="24"/>
          <w:szCs w:val="24"/>
          <w:highlight w:val="none"/>
          <w:u w:val="none"/>
        </w:rPr>
        <w:t xml:space="preserve">饮水。</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（八）终点布置</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终点布置必须按照</w:t>
      </w:r>
      <w:r>
        <w:rPr>
          <w:rFonts w:hint="eastAsia" w:ascii="宋体" w:hAnsi="宋体" w:eastAsia="宋体" w:cs="宋体"/>
          <w:i w:val="0"/>
          <w:iCs w:val="0"/>
          <w:sz w:val="24"/>
          <w:szCs w:val="24"/>
          <w:highlight w:val="none"/>
          <w:u w:val="none"/>
          <w:lang w:eastAsia="zh-CN"/>
        </w:rPr>
        <w:t xml:space="preserve">中国田径协会《路跑赛事起终点管理规范》</w:t>
      </w:r>
      <w:r>
        <w:rPr>
          <w:rFonts w:hint="eastAsia" w:ascii="宋体" w:hAnsi="宋体" w:eastAsia="宋体" w:cs="宋体"/>
          <w:i w:val="0"/>
          <w:iCs w:val="0"/>
          <w:sz w:val="24"/>
          <w:szCs w:val="24"/>
          <w:highlight w:val="none"/>
          <w:u w:val="none"/>
        </w:rPr>
        <w:t xml:space="preserve">和《</w:t>
      </w:r>
      <w:r>
        <w:rPr>
          <w:rFonts w:hint="eastAsia" w:ascii="宋体" w:hAnsi="宋体" w:eastAsia="宋体" w:cs="宋体"/>
          <w:i w:val="0"/>
          <w:iCs w:val="0"/>
          <w:sz w:val="24"/>
          <w:szCs w:val="24"/>
          <w:highlight w:val="none"/>
          <w:u w:val="none"/>
          <w:lang w:eastAsia="zh-CN"/>
        </w:rPr>
        <w:t xml:space="preserve">2024中国田径协会路跑管理文件汇编</w:t>
      </w:r>
      <w:r>
        <w:rPr>
          <w:rFonts w:hint="eastAsia" w:ascii="宋体" w:hAnsi="宋体" w:eastAsia="宋体" w:cs="宋体"/>
          <w:i w:val="0"/>
          <w:iCs w:val="0"/>
          <w:sz w:val="24"/>
          <w:szCs w:val="24"/>
          <w:highlight w:val="none"/>
          <w:u w:val="none"/>
        </w:rPr>
        <w:t xml:space="preserve">》中的有关要求执行。制定终点布置专项方案，并报组委会审定后执行。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1.终点门：根据终点实际情况搭建半程马拉松项目终点门（需便于及时拆/撤除），遮挡终点门的交通指示牌开赛前须拆除；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2.颁奖台：根据终点现场情况搭建颁奖台和背景板，配备专业音响和话筒设备；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3.嘉宾室：配直播电视机、</w:t>
      </w:r>
      <w:r>
        <w:rPr>
          <w:rFonts w:hint="eastAsia" w:ascii="宋体" w:hAnsi="宋体" w:eastAsia="宋体" w:cs="宋体"/>
          <w:i w:val="0"/>
          <w:iCs w:val="0"/>
          <w:sz w:val="24"/>
          <w:szCs w:val="24"/>
          <w:highlight w:val="none"/>
          <w:u w:val="none"/>
          <w:lang w:eastAsia="zh-CN"/>
        </w:rPr>
        <w:t xml:space="preserve">饮用水</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4.赛后控制中心：设控制中心；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5.赛后编排信息中心：设TIC中心；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6.摄像区：2米×2米×1.5米（高）2个可移动式摄像台，2米×2米×1米（高）1 个可移动式摄像台</w:t>
      </w:r>
      <w:r>
        <w:rPr>
          <w:rFonts w:hint="eastAsia" w:ascii="宋体" w:hAnsi="宋体" w:eastAsia="宋体" w:cs="宋体"/>
          <w:i w:val="0"/>
          <w:iCs w:val="0"/>
          <w:sz w:val="24"/>
          <w:szCs w:val="24"/>
          <w:highlight w:val="none"/>
          <w:u w:val="none"/>
          <w:lang w:eastAsia="zh-CN"/>
        </w:rPr>
        <w:t xml:space="preserve">（设置终点摄像隔离区）</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.完赛物资（包括但不限于毛巾、水、奖牌和完赛包）领取区：按照不少于</w:t>
      </w:r>
      <w:r>
        <w:rPr>
          <w:rFonts w:hint="eastAsia" w:ascii="宋体" w:hAnsi="宋体" w:eastAsia="宋体" w:cs="宋体"/>
          <w:i w:val="0"/>
          <w:iCs w:val="0"/>
          <w:color w:val="ff0000"/>
          <w:sz w:val="24"/>
          <w:szCs w:val="24"/>
          <w:highlight w:val="none"/>
          <w:u w:val="none"/>
          <w:lang w:val="en-US" w:eastAsia="zh-CN"/>
        </w:rPr>
        <w:t xml:space="preserve">5</w:t>
      </w:r>
      <w:r>
        <w:rPr>
          <w:rFonts w:hint="eastAsia" w:ascii="宋体" w:hAnsi="宋体" w:eastAsia="宋体" w:cs="宋体"/>
          <w:i w:val="0"/>
          <w:iCs w:val="0"/>
          <w:color w:val="ff0000"/>
          <w:sz w:val="24"/>
          <w:szCs w:val="24"/>
          <w:highlight w:val="none"/>
          <w:u w:val="none"/>
        </w:rPr>
        <w:t xml:space="preserve">个通道需求搭建</w:t>
      </w:r>
      <w:r>
        <w:rPr>
          <w:rFonts w:hint="eastAsia" w:ascii="宋体" w:hAnsi="宋体" w:eastAsia="宋体" w:cs="宋体"/>
          <w:i w:val="0"/>
          <w:iCs w:val="0"/>
          <w:sz w:val="24"/>
          <w:szCs w:val="24"/>
          <w:highlight w:val="none"/>
          <w:u w:val="none"/>
        </w:rPr>
        <w:t xml:space="preserve">；原则上平均每条通道的领取人数</w:t>
      </w:r>
      <w:r>
        <w:rPr>
          <w:rFonts w:hint="eastAsia" w:ascii="宋体" w:hAnsi="宋体" w:eastAsia="宋体" w:cs="宋体"/>
          <w:i w:val="0"/>
          <w:iCs w:val="0"/>
          <w:color w:val="ff0000"/>
          <w:sz w:val="24"/>
          <w:szCs w:val="24"/>
          <w:highlight w:val="none"/>
          <w:u w:val="none"/>
        </w:rPr>
        <w:t xml:space="preserve">不超过</w:t>
      </w:r>
      <w:r>
        <w:rPr>
          <w:rFonts w:hint="eastAsia" w:ascii="宋体" w:hAnsi="宋体" w:eastAsia="宋体" w:cs="宋体"/>
          <w:i w:val="0"/>
          <w:iCs w:val="0"/>
          <w:color w:val="ff0000"/>
          <w:sz w:val="24"/>
          <w:szCs w:val="24"/>
          <w:highlight w:val="none"/>
          <w:u w:val="none"/>
          <w:lang w:val="en-US" w:eastAsia="zh-CN"/>
        </w:rPr>
        <w:t xml:space="preserve">10</w:t>
      </w:r>
      <w:r>
        <w:rPr>
          <w:rFonts w:hint="eastAsia" w:ascii="宋体" w:hAnsi="宋体" w:eastAsia="宋体" w:cs="宋体"/>
          <w:i w:val="0"/>
          <w:iCs w:val="0"/>
          <w:color w:val="ff0000"/>
          <w:sz w:val="24"/>
          <w:szCs w:val="24"/>
          <w:highlight w:val="none"/>
          <w:u w:val="none"/>
        </w:rPr>
        <w:t xml:space="preserve">00人</w:t>
      </w:r>
      <w:r>
        <w:rPr>
          <w:rFonts w:hint="eastAsia" w:ascii="宋体" w:hAnsi="宋体" w:eastAsia="宋体" w:cs="宋体"/>
          <w:i w:val="0"/>
          <w:iCs w:val="0"/>
          <w:sz w:val="24"/>
          <w:szCs w:val="24"/>
          <w:highlight w:val="none"/>
          <w:u w:val="none"/>
        </w:rPr>
        <w:t xml:space="preserve">，有条件的情况下可增设备用通道；</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8</w:t>
      </w:r>
      <w:r>
        <w:rPr>
          <w:rFonts w:hint="eastAsia" w:ascii="宋体" w:hAnsi="宋体" w:eastAsia="宋体" w:cs="宋体"/>
          <w:i w:val="0"/>
          <w:iCs w:val="0"/>
          <w:sz w:val="24"/>
          <w:szCs w:val="24"/>
          <w:highlight w:val="none"/>
          <w:u w:val="none"/>
        </w:rPr>
        <w:t xml:space="preserve">.冰敷区：设置</w:t>
      </w:r>
      <w:r>
        <w:rPr>
          <w:rFonts w:hint="eastAsia" w:ascii="宋体" w:hAnsi="宋体" w:eastAsia="宋体" w:cs="宋体"/>
          <w:i w:val="0"/>
          <w:iCs w:val="0"/>
          <w:color w:val="ff0000"/>
          <w:sz w:val="24"/>
          <w:szCs w:val="24"/>
          <w:highlight w:val="none"/>
          <w:u w:val="none"/>
        </w:rPr>
        <w:t xml:space="preserve">不少于</w:t>
      </w:r>
      <w:r>
        <w:rPr>
          <w:rFonts w:hint="eastAsia" w:ascii="宋体" w:hAnsi="宋体" w:eastAsia="宋体" w:cs="宋体"/>
          <w:i w:val="0"/>
          <w:iCs w:val="0"/>
          <w:color w:val="ff0000"/>
          <w:sz w:val="24"/>
          <w:szCs w:val="24"/>
          <w:highlight w:val="none"/>
          <w:u w:val="none"/>
          <w:lang w:val="en-US" w:eastAsia="zh-CN"/>
        </w:rPr>
        <w:t xml:space="preserve">2</w:t>
      </w:r>
      <w:r>
        <w:rPr>
          <w:rFonts w:hint="eastAsia" w:ascii="宋体" w:hAnsi="宋体" w:eastAsia="宋体" w:cs="宋体"/>
          <w:i w:val="0"/>
          <w:iCs w:val="0"/>
          <w:color w:val="ff0000"/>
          <w:sz w:val="24"/>
          <w:szCs w:val="24"/>
          <w:highlight w:val="none"/>
          <w:u w:val="none"/>
        </w:rPr>
        <w:t xml:space="preserve">00平方米区域</w:t>
      </w:r>
      <w:r>
        <w:rPr>
          <w:rFonts w:hint="eastAsia" w:ascii="宋体" w:hAnsi="宋体" w:eastAsia="宋体" w:cs="宋体"/>
          <w:i w:val="0"/>
          <w:iCs w:val="0"/>
          <w:sz w:val="24"/>
          <w:szCs w:val="24"/>
          <w:highlight w:val="none"/>
          <w:u w:val="none"/>
        </w:rPr>
        <w:t xml:space="preserve">，配备座椅；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w:t>
      </w:r>
      <w:r>
        <w:rPr>
          <w:rFonts w:hint="eastAsia" w:ascii="宋体" w:hAnsi="宋体" w:eastAsia="宋体" w:cs="宋体"/>
          <w:i w:val="0"/>
          <w:iCs w:val="0"/>
          <w:sz w:val="24"/>
          <w:szCs w:val="24"/>
          <w:highlight w:val="none"/>
          <w:u w:val="none"/>
        </w:rPr>
        <w:t xml:space="preserve">.拉伸区：设置2个区域，</w:t>
      </w:r>
      <w:r>
        <w:rPr>
          <w:rFonts w:hint="eastAsia" w:ascii="宋体" w:hAnsi="宋体" w:eastAsia="宋体" w:cs="宋体"/>
          <w:i w:val="0"/>
          <w:iCs w:val="0"/>
          <w:color w:val="ff0000"/>
          <w:sz w:val="24"/>
          <w:szCs w:val="24"/>
          <w:highlight w:val="none"/>
          <w:u w:val="none"/>
        </w:rPr>
        <w:t xml:space="preserve">各不少于</w:t>
      </w:r>
      <w:r>
        <w:rPr>
          <w:rFonts w:hint="eastAsia" w:ascii="宋体" w:hAnsi="宋体" w:eastAsia="宋体" w:cs="宋体"/>
          <w:i w:val="0"/>
          <w:iCs w:val="0"/>
          <w:color w:val="ff0000"/>
          <w:sz w:val="24"/>
          <w:szCs w:val="24"/>
          <w:highlight w:val="none"/>
          <w:u w:val="none"/>
          <w:lang w:val="en-US" w:eastAsia="zh-CN"/>
        </w:rPr>
        <w:t xml:space="preserve">2</w:t>
      </w:r>
      <w:r>
        <w:rPr>
          <w:rFonts w:hint="eastAsia" w:ascii="宋体" w:hAnsi="宋体" w:eastAsia="宋体" w:cs="宋体"/>
          <w:i w:val="0"/>
          <w:iCs w:val="0"/>
          <w:color w:val="ff0000"/>
          <w:sz w:val="24"/>
          <w:szCs w:val="24"/>
          <w:highlight w:val="none"/>
          <w:u w:val="none"/>
        </w:rPr>
        <w:t xml:space="preserve">00平方米</w:t>
      </w:r>
      <w:r>
        <w:rPr>
          <w:rFonts w:hint="eastAsia" w:ascii="宋体" w:hAnsi="宋体" w:eastAsia="宋体" w:cs="宋体"/>
          <w:i w:val="0"/>
          <w:iCs w:val="0"/>
          <w:sz w:val="24"/>
          <w:szCs w:val="24"/>
          <w:highlight w:val="none"/>
          <w:u w:val="none"/>
        </w:rPr>
        <w:t xml:space="preserve">，配备瑜伽垫</w:t>
      </w:r>
      <w:r>
        <w:rPr>
          <w:rFonts w:hint="eastAsia" w:ascii="宋体" w:hAnsi="宋体" w:eastAsia="宋体" w:cs="宋体"/>
          <w:i w:val="0"/>
          <w:iCs w:val="0"/>
          <w:sz w:val="24"/>
          <w:szCs w:val="24"/>
          <w:highlight w:val="none"/>
          <w:u w:val="none"/>
          <w:lang w:eastAsia="zh-CN"/>
        </w:rPr>
        <w:t xml:space="preserve">，示范员不少于</w:t>
      </w:r>
      <w:r>
        <w:rPr>
          <w:rFonts w:hint="eastAsia" w:ascii="宋体" w:hAnsi="宋体" w:eastAsia="宋体" w:cs="宋体"/>
          <w:i w:val="0"/>
          <w:iCs w:val="0"/>
          <w:sz w:val="24"/>
          <w:szCs w:val="24"/>
          <w:highlight w:val="none"/>
          <w:u w:val="none"/>
          <w:lang w:val="en-US" w:eastAsia="zh-CN"/>
        </w:rPr>
        <w:t xml:space="preserve">4人</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0</w:t>
      </w:r>
      <w:r>
        <w:rPr>
          <w:rFonts w:hint="eastAsia" w:ascii="宋体" w:hAnsi="宋体" w:eastAsia="宋体" w:cs="宋体"/>
          <w:i w:val="0"/>
          <w:iCs w:val="0"/>
          <w:sz w:val="24"/>
          <w:szCs w:val="24"/>
          <w:highlight w:val="none"/>
          <w:u w:val="none"/>
        </w:rPr>
        <w:t xml:space="preserve">.疏散接驳区：按疏散线路设置不同的接驳区域；</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.医疗室：根据主管部门要求，在终点配备医疗室；</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.展示区：根据市场开发情况和组委会要求，负责搭建赞助商、非遗文化等展示区域，展示区相关设施不得影响终点冲刺等竞赛关键环节、赛事组织、赛事安全、医疗保障的正常运转；</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（九）赛前装备领取</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策划参赛包领取流线设计，制定场地搭建方案，报组委会审定后执行。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1.参赛手册或画报：负责设计制作参赛指南、秩序册等，报组委会审定后执行；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2.检录区：检录区设置人脸识别，并配有身份证扫描仪根据报名人数，至少安排3个普通通道和1个人工通道；</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3.咨询台：设置2个咨询台；</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4.号码布（含芯片）领取区：根据报名人数和分区规则，安排号码布领取台，每个领取台原则上分配不超过</w:t>
      </w:r>
      <w:r>
        <w:rPr>
          <w:rFonts w:hint="eastAsia" w:ascii="宋体" w:hAnsi="宋体" w:eastAsia="宋体" w:cs="宋体"/>
          <w:i w:val="0"/>
          <w:iCs w:val="0"/>
          <w:color w:val="ff0000"/>
          <w:sz w:val="24"/>
          <w:szCs w:val="24"/>
          <w:highlight w:val="none"/>
          <w:u w:val="none"/>
          <w:lang w:val="en-US" w:eastAsia="zh-CN"/>
        </w:rPr>
        <w:t xml:space="preserve">5</w:t>
      </w:r>
      <w:r>
        <w:rPr>
          <w:rFonts w:hint="eastAsia" w:ascii="宋体" w:hAnsi="宋体" w:eastAsia="宋体" w:cs="宋体"/>
          <w:i w:val="0"/>
          <w:iCs w:val="0"/>
          <w:color w:val="ff0000"/>
          <w:sz w:val="24"/>
          <w:szCs w:val="24"/>
          <w:highlight w:val="none"/>
          <w:u w:val="none"/>
        </w:rPr>
        <w:t xml:space="preserve">00个号码布</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5.参赛服领取区：根据参赛服装尺码设置领取台；</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6.参赛包领取区：根据参赛物资准备参赛包，包括但不限于盐丸、能量棒、保温毯、一次性雨衣、赞助商物资等；</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7.芯片检测区：至少设置2个芯片检测台；</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8.现场展示：装备发放现场配套组织赞助商、媒体宣传等展示活动；</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9.现场保障：做好装备发放现场所需的网络布线、信息设备、通讯保障、信息安全等现场保障工作；</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10.现场标牌展示：现场需搭建装备发放领取流程图、线路图、公交接驳图、起点布局图、终点布局图、参赛声明等，要求图形文字清晰，内容详尽，便于选手现场查看，根据现场实际需要合理安排数量。</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（十）裁判员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1.做好技术官员、裁判员的对接及接待工作；</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2.对讲机：</w:t>
      </w:r>
      <w:r>
        <w:rPr>
          <w:rFonts w:hint="eastAsia" w:ascii="宋体" w:hAnsi="宋体" w:eastAsia="宋体" w:cs="宋体"/>
          <w:i w:val="0"/>
          <w:iCs w:val="0"/>
          <w:sz w:val="24"/>
          <w:szCs w:val="24"/>
          <w:highlight w:val="none"/>
          <w:u w:val="none"/>
          <w:lang w:eastAsia="zh-CN"/>
        </w:rPr>
        <w:t xml:space="preserve">不少于</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0台（包括裁判员、工作人员，须为4G新式标准，满足赛事相关</w:t>
      </w:r>
      <w:r>
        <w:rPr>
          <w:rFonts w:hint="eastAsia" w:ascii="宋体" w:hAnsi="宋体" w:eastAsia="宋体" w:cs="宋体"/>
          <w:i w:val="0"/>
          <w:iCs w:val="0"/>
          <w:sz w:val="24"/>
          <w:szCs w:val="24"/>
          <w:highlight w:val="none"/>
          <w:u w:val="none"/>
          <w:lang w:eastAsia="zh-CN"/>
        </w:rPr>
        <w:t xml:space="preserve">要求</w:t>
      </w:r>
      <w:r>
        <w:rPr>
          <w:rFonts w:hint="eastAsia" w:ascii="宋体" w:hAnsi="宋体" w:eastAsia="宋体" w:cs="宋体"/>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sz w:val="24"/>
          <w:szCs w:val="24"/>
          <w:highlight w:val="none"/>
          <w:u w:val="none"/>
          <w:lang w:val="en-US" w:eastAsia="zh-CN"/>
        </w:rPr>
        <w:t xml:space="preserve">3</w:t>
      </w:r>
      <w:r>
        <w:rPr>
          <w:rFonts w:hint="eastAsia" w:ascii="宋体" w:hAnsi="宋体" w:eastAsia="宋体" w:cs="宋体"/>
          <w:i w:val="0"/>
          <w:iCs w:val="0"/>
          <w:color w:val="ff0000"/>
          <w:sz w:val="24"/>
          <w:szCs w:val="24"/>
          <w:highlight w:val="none"/>
          <w:u w:val="none"/>
        </w:rPr>
        <w:t xml:space="preserve">.赛事总管：具有中国田协B类赛事认证要求的资格和执行经验；</w:t>
      </w:r>
      <w:r/>
    </w:p>
    <w:p>
      <w:pPr>
        <w:numPr>
          <w:ilvl w:val="0"/>
          <w:numId w:val="0"/>
        </w:numPr>
        <w:ind w:left="0" w:right="0" w:firstLine="480"/>
        <w:jc w:val="left"/>
        <w:pageBreakBefore w:val="0"/>
        <w:spacing w:line="360" w:lineRule="auto"/>
        <w:widowControl/>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sz w:val="24"/>
          <w:szCs w:val="24"/>
          <w:highlight w:val="none"/>
          <w:u w:val="none"/>
          <w:lang w:val="en-US" w:eastAsia="zh-CN"/>
        </w:rPr>
        <w:t xml:space="preserve">4</w:t>
      </w:r>
      <w:r>
        <w:rPr>
          <w:rFonts w:hint="eastAsia" w:ascii="宋体" w:hAnsi="宋体" w:eastAsia="宋体" w:cs="宋体"/>
          <w:i w:val="0"/>
          <w:iCs w:val="0"/>
          <w:color w:val="ff0000"/>
          <w:sz w:val="24"/>
          <w:szCs w:val="24"/>
          <w:highlight w:val="none"/>
          <w:u w:val="none"/>
        </w:rPr>
        <w:t xml:space="preserve">.其他主要岗位：发令、检录、起终点、检查、计时、饮水饮料必须为国家级田径裁判，以上岗位必须由省体育局业务主管部门选派；</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4.省派裁判：6人；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市派裁判：</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0人；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6</w:t>
      </w:r>
      <w:r>
        <w:rPr>
          <w:rFonts w:hint="eastAsia" w:ascii="宋体" w:hAnsi="宋体" w:eastAsia="宋体" w:cs="宋体"/>
          <w:i w:val="0"/>
          <w:iCs w:val="0"/>
          <w:sz w:val="24"/>
          <w:szCs w:val="24"/>
          <w:highlight w:val="none"/>
          <w:u w:val="none"/>
        </w:rPr>
        <w:t xml:space="preserve">.</w:t>
      </w:r>
      <w:r>
        <w:rPr>
          <w:rFonts w:hint="eastAsia" w:ascii="宋体" w:hAnsi="宋体" w:eastAsia="宋体" w:cs="宋体"/>
          <w:i w:val="0"/>
          <w:iCs w:val="0"/>
          <w:sz w:val="24"/>
          <w:szCs w:val="24"/>
          <w:highlight w:val="none"/>
          <w:u w:val="none"/>
          <w:lang w:eastAsia="zh-CN"/>
        </w:rPr>
        <w:t xml:space="preserve">本地</w:t>
      </w:r>
      <w:r>
        <w:rPr>
          <w:rFonts w:hint="eastAsia" w:ascii="宋体" w:hAnsi="宋体" w:eastAsia="宋体" w:cs="宋体"/>
          <w:i w:val="0"/>
          <w:iCs w:val="0"/>
          <w:sz w:val="24"/>
          <w:szCs w:val="24"/>
          <w:highlight w:val="none"/>
          <w:u w:val="none"/>
        </w:rPr>
        <w:t xml:space="preserve">裁判：</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0人；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rPr>
        <w:t xml:space="preserve">.负责编写制作技术官员手册；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8</w:t>
      </w:r>
      <w:r>
        <w:rPr>
          <w:rFonts w:hint="eastAsia" w:ascii="宋体" w:hAnsi="宋体" w:eastAsia="宋体" w:cs="宋体"/>
          <w:i w:val="0"/>
          <w:iCs w:val="0"/>
          <w:sz w:val="24"/>
          <w:szCs w:val="24"/>
          <w:highlight w:val="none"/>
          <w:u w:val="none"/>
        </w:rPr>
        <w:t xml:space="preserve">.负责裁判员劳务费和省裁判差旅费；</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w:t>
      </w:r>
      <w:r>
        <w:rPr>
          <w:rFonts w:hint="eastAsia" w:ascii="宋体" w:hAnsi="宋体" w:eastAsia="宋体" w:cs="宋体"/>
          <w:i w:val="0"/>
          <w:iCs w:val="0"/>
          <w:sz w:val="24"/>
          <w:szCs w:val="24"/>
          <w:highlight w:val="none"/>
          <w:u w:val="none"/>
        </w:rPr>
        <w:t xml:space="preserve">.裁判员评优：赛后协助开展裁判员评优并制作发放证书；</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10</w:t>
      </w:r>
      <w:r>
        <w:rPr>
          <w:rFonts w:hint="eastAsia" w:ascii="宋体" w:hAnsi="宋体" w:eastAsia="宋体" w:cs="宋体"/>
          <w:i w:val="0"/>
          <w:iCs w:val="0"/>
          <w:sz w:val="24"/>
          <w:szCs w:val="24"/>
          <w:highlight w:val="none"/>
          <w:u w:val="none"/>
        </w:rPr>
        <w:t xml:space="preserve">.组织裁判员培训：赛前协助组织全体裁判员参加的裁判员培训；</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rPr>
        <w:t xml:space="preserve">.组织裁判员会议：赛前协助组织裁判员会议并落实相关会议要求；</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.组织技术会议：赛前协助组织技术会议并落实相关会议要求。</w:t>
      </w:r>
      <w:r/>
    </w:p>
    <w:p>
      <w:pPr>
        <w:numPr>
          <w:ilvl w:val="0"/>
          <w:numId w:val="0"/>
        </w:numPr>
        <w:ind w:left="0" w:right="0" w:firstLine="480"/>
        <w:jc w:val="left"/>
        <w:pageBreakBefore w:val="0"/>
        <w:spacing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（十一）赛事保险</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根据风险识别和管理的要求，为赛时全客户群购买人身和财产损失保险（含猝死险），其中全客户群包括但不限于参赛运动员、裁判员、工作人员、受邀嘉宾、志愿者、观众，依据田协规定，保险额度不低于50万元，并尽可能提高保额；</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w:t>
      </w:r>
      <w:r>
        <w:rPr>
          <w:rFonts w:hint="eastAsia" w:ascii="宋体" w:hAnsi="宋体" w:eastAsia="宋体" w:cs="宋体"/>
          <w:i w:val="0"/>
          <w:iCs w:val="0"/>
          <w:sz w:val="24"/>
          <w:szCs w:val="24"/>
          <w:highlight w:val="none"/>
          <w:u w:val="none"/>
          <w:lang w:eastAsia="zh-CN"/>
        </w:rPr>
        <w:t xml:space="preserve">中标人</w:t>
      </w:r>
      <w:r>
        <w:rPr>
          <w:rFonts w:hint="eastAsia" w:ascii="宋体" w:hAnsi="宋体" w:eastAsia="宋体" w:cs="宋体"/>
          <w:i w:val="0"/>
          <w:iCs w:val="0"/>
          <w:sz w:val="24"/>
          <w:szCs w:val="24"/>
          <w:highlight w:val="none"/>
          <w:u w:val="none"/>
        </w:rPr>
        <w:t xml:space="preserve">需在比赛日之前的1个月内将保险方案报组委会审定后执行，并在比赛日之前采购完成，承担相关经费；</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3.工作人员及志愿者根据岗位安排保险生效时间最少应当包括比赛日之前的两天和比赛日之后的一天，共计约4天。参赛选手保险生效时间为比赛当日。保险有效地域为</w:t>
      </w:r>
      <w:r>
        <w:rPr>
          <w:rFonts w:hint="eastAsia" w:ascii="宋体" w:hAnsi="宋体" w:eastAsia="宋体" w:cs="宋体"/>
          <w:i w:val="0"/>
          <w:iCs w:val="0"/>
          <w:sz w:val="24"/>
          <w:szCs w:val="24"/>
          <w:highlight w:val="none"/>
          <w:u w:val="none"/>
          <w:lang w:eastAsia="zh-CN"/>
        </w:rPr>
        <w:t xml:space="preserve">高邮</w:t>
      </w:r>
      <w:r>
        <w:rPr>
          <w:rFonts w:hint="eastAsia" w:ascii="宋体" w:hAnsi="宋体" w:eastAsia="宋体" w:cs="宋体"/>
          <w:i w:val="0"/>
          <w:iCs w:val="0"/>
          <w:sz w:val="24"/>
          <w:szCs w:val="24"/>
          <w:highlight w:val="none"/>
          <w:u w:val="none"/>
        </w:rPr>
        <w:t xml:space="preserve">市行政区域范围；（保险生效时间最少应当包括比赛日之前的两天和比赛日之后的一天，共计约4天。保险有效地域为</w:t>
      </w:r>
      <w:r>
        <w:rPr>
          <w:rFonts w:hint="eastAsia" w:ascii="宋体" w:hAnsi="宋体" w:eastAsia="宋体" w:cs="宋体"/>
          <w:i w:val="0"/>
          <w:iCs w:val="0"/>
          <w:sz w:val="24"/>
          <w:szCs w:val="24"/>
          <w:highlight w:val="none"/>
          <w:u w:val="none"/>
          <w:lang w:eastAsia="zh-CN"/>
        </w:rPr>
        <w:t xml:space="preserve">高邮</w:t>
      </w:r>
      <w:r>
        <w:rPr>
          <w:rFonts w:hint="eastAsia" w:ascii="宋体" w:hAnsi="宋体" w:eastAsia="宋体" w:cs="宋体"/>
          <w:i w:val="0"/>
          <w:iCs w:val="0"/>
          <w:sz w:val="24"/>
          <w:szCs w:val="24"/>
          <w:highlight w:val="none"/>
          <w:u w:val="none"/>
        </w:rPr>
        <w:t xml:space="preserve">市行政区域范围；）</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w:t>
      </w:r>
      <w:r>
        <w:rPr>
          <w:rFonts w:hint="eastAsia" w:ascii="宋体" w:hAnsi="宋体" w:eastAsia="宋体" w:cs="宋体"/>
          <w:i w:val="0"/>
          <w:iCs w:val="0"/>
          <w:sz w:val="24"/>
          <w:szCs w:val="24"/>
          <w:highlight w:val="none"/>
          <w:u w:val="none"/>
          <w:lang w:eastAsia="zh-CN"/>
        </w:rPr>
        <w:t xml:space="preserve">中标人</w:t>
      </w:r>
      <w:r>
        <w:rPr>
          <w:rFonts w:hint="eastAsia" w:ascii="宋体" w:hAnsi="宋体" w:eastAsia="宋体" w:cs="宋体"/>
          <w:i w:val="0"/>
          <w:iCs w:val="0"/>
          <w:sz w:val="24"/>
          <w:szCs w:val="24"/>
          <w:highlight w:val="none"/>
          <w:u w:val="none"/>
        </w:rPr>
        <w:t xml:space="preserve">还应负责为“</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”赛事等配套活动购买公众责任险，并承担相关经费；</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5.购买赛事取消险，由组委会和</w:t>
      </w:r>
      <w:r>
        <w:rPr>
          <w:rFonts w:hint="eastAsia" w:ascii="宋体" w:hAnsi="宋体" w:eastAsia="宋体" w:cs="宋体"/>
          <w:i w:val="0"/>
          <w:iCs w:val="0"/>
          <w:sz w:val="24"/>
          <w:szCs w:val="24"/>
          <w:highlight w:val="none"/>
          <w:u w:val="none"/>
          <w:lang w:eastAsia="zh-CN"/>
        </w:rPr>
        <w:t xml:space="preserve">中标人</w:t>
      </w:r>
      <w:r>
        <w:rPr>
          <w:rFonts w:hint="eastAsia" w:ascii="宋体" w:hAnsi="宋体" w:eastAsia="宋体" w:cs="宋体"/>
          <w:i w:val="0"/>
          <w:iCs w:val="0"/>
          <w:sz w:val="24"/>
          <w:szCs w:val="24"/>
          <w:highlight w:val="none"/>
          <w:u w:val="none"/>
        </w:rPr>
        <w:t xml:space="preserve">商议后确定，如赛事受不可抗力影响导致比赛取消的，由此产生的所有相关运营成本及风险由赛事运营单位自行承担。被取消的年度运营权自动顺延一年。</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（十二）知识产权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”的所有权和一切知识产权（包括现有和未来产生的）均归组委会所有，</w:t>
      </w:r>
      <w:r>
        <w:rPr>
          <w:rFonts w:hint="eastAsia" w:ascii="宋体" w:hAnsi="宋体" w:eastAsia="宋体" w:cs="宋体"/>
          <w:i w:val="0"/>
          <w:iCs w:val="0"/>
          <w:sz w:val="24"/>
          <w:szCs w:val="24"/>
          <w:highlight w:val="none"/>
          <w:u w:val="none"/>
          <w:lang w:eastAsia="zh-CN"/>
        </w:rPr>
        <w:t xml:space="preserve">中标人</w:t>
      </w:r>
      <w:r>
        <w:rPr>
          <w:rFonts w:hint="eastAsia" w:ascii="宋体" w:hAnsi="宋体" w:eastAsia="宋体" w:cs="宋体"/>
          <w:i w:val="0"/>
          <w:iCs w:val="0"/>
          <w:sz w:val="24"/>
          <w:szCs w:val="24"/>
          <w:highlight w:val="none"/>
          <w:u w:val="none"/>
        </w:rPr>
        <w:t xml:space="preserve">在组委会的指导下共同做好赛事的品牌保护和知识管理；</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w:t>
      </w:r>
      <w:r>
        <w:rPr>
          <w:rFonts w:hint="eastAsia" w:ascii="宋体" w:hAnsi="宋体" w:eastAsia="宋体" w:cs="宋体"/>
          <w:i w:val="0"/>
          <w:iCs w:val="0"/>
          <w:sz w:val="24"/>
          <w:szCs w:val="24"/>
          <w:highlight w:val="none"/>
          <w:u w:val="none"/>
          <w:lang w:eastAsia="zh-CN"/>
        </w:rPr>
        <w:t xml:space="preserve">中标人</w:t>
      </w:r>
      <w:r>
        <w:rPr>
          <w:rFonts w:hint="eastAsia" w:ascii="宋体" w:hAnsi="宋体" w:eastAsia="宋体" w:cs="宋体"/>
          <w:i w:val="0"/>
          <w:iCs w:val="0"/>
          <w:sz w:val="24"/>
          <w:szCs w:val="24"/>
          <w:highlight w:val="none"/>
          <w:u w:val="none"/>
        </w:rPr>
        <w:t xml:space="preserve">在赛事筹备和组织期间产生的“</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所有知识成果，包括但不限于文件、图片、视频、图案、标识、实物、互联网知识产权等各类材料，都应当按照采购人的知识转移清单在每年比赛结束之后30个工作日内全部移交给采购人，未经书面许可不得用于其他任何单位或个人的商业目的；</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3.由</w:t>
      </w:r>
      <w:r>
        <w:rPr>
          <w:rFonts w:hint="eastAsia" w:ascii="宋体" w:hAnsi="宋体" w:eastAsia="宋体" w:cs="宋体"/>
          <w:i w:val="0"/>
          <w:iCs w:val="0"/>
          <w:sz w:val="24"/>
          <w:szCs w:val="24"/>
          <w:highlight w:val="none"/>
          <w:u w:val="none"/>
          <w:lang w:eastAsia="zh-CN"/>
        </w:rPr>
        <w:t xml:space="preserve">中标人</w:t>
      </w:r>
      <w:r>
        <w:rPr>
          <w:rFonts w:hint="eastAsia" w:ascii="宋体" w:hAnsi="宋体" w:eastAsia="宋体" w:cs="宋体"/>
          <w:i w:val="0"/>
          <w:iCs w:val="0"/>
          <w:sz w:val="24"/>
          <w:szCs w:val="24"/>
          <w:highlight w:val="none"/>
          <w:u w:val="none"/>
        </w:rPr>
        <w:t xml:space="preserve">举办的各类“</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”系列活动，也作为“</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”的组成部分，其所有权和一切知识产权归属于采购人；</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w:t>
      </w:r>
      <w:r>
        <w:rPr>
          <w:rFonts w:hint="eastAsia" w:ascii="宋体" w:hAnsi="宋体" w:eastAsia="宋体" w:cs="宋体"/>
          <w:i w:val="0"/>
          <w:iCs w:val="0"/>
          <w:sz w:val="24"/>
          <w:szCs w:val="24"/>
          <w:highlight w:val="none"/>
          <w:u w:val="none"/>
          <w:lang w:eastAsia="zh-CN"/>
        </w:rPr>
        <w:t xml:space="preserve">中标人</w:t>
      </w:r>
      <w:r>
        <w:rPr>
          <w:rFonts w:hint="eastAsia" w:ascii="宋体" w:hAnsi="宋体" w:eastAsia="宋体" w:cs="宋体"/>
          <w:i w:val="0"/>
          <w:iCs w:val="0"/>
          <w:sz w:val="24"/>
          <w:szCs w:val="24"/>
          <w:highlight w:val="none"/>
          <w:u w:val="none"/>
        </w:rPr>
        <w:t xml:space="preserve">应当承诺不会自行注册任何与“</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”相关的商标或申请拥有相关知识产权。</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(十三)其他</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1.号码布：材质为杜邦纤维纸，规格为大24厘米×16厘米、小12厘米×6厘米；</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2.参赛服：为半程马拉松项目参赛选手设计并制作发放参赛服；</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3.个性化设置：根据赛事情况设计选手装备、纪念品、比赛装备等赛事周边产品；</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4.赛后服务：赛后提供多种形式的打卡、成绩拍照、参赛纪念、奖牌刻字等服务，渲染仪式感、提升跑者赛后体验；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5.完赛包：为各项目完赛选手发放完赛包，提供包括但不限于完赛奖牌、毛巾、饮用水等物资；</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rPr>
        <w:t xml:space="preserve">6.赛事物料移交：</w:t>
      </w:r>
      <w:r>
        <w:rPr>
          <w:rFonts w:hint="eastAsia" w:ascii="宋体" w:hAnsi="宋体" w:eastAsia="宋体" w:cs="宋体"/>
          <w:i w:val="0"/>
          <w:iCs w:val="0"/>
          <w:sz w:val="24"/>
          <w:szCs w:val="24"/>
          <w:highlight w:val="none"/>
          <w:u w:val="none"/>
          <w:lang w:eastAsia="zh-CN"/>
        </w:rPr>
        <w:t xml:space="preserve">中标人</w:t>
      </w:r>
      <w:r>
        <w:rPr>
          <w:rFonts w:hint="eastAsia" w:ascii="宋体" w:hAnsi="宋体" w:eastAsia="宋体" w:cs="宋体"/>
          <w:i w:val="0"/>
          <w:iCs w:val="0"/>
          <w:sz w:val="24"/>
          <w:szCs w:val="24"/>
          <w:highlight w:val="none"/>
          <w:u w:val="none"/>
        </w:rPr>
        <w:t xml:space="preserve">在</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期间所产生的剩余物资必须在比赛结束后30个工作日内全部移交给采购人。</w:t>
      </w:r>
      <w:r>
        <w:rPr>
          <w:rFonts w:hint="eastAsia" w:ascii="宋体" w:hAnsi="宋体" w:eastAsia="宋体" w:cs="宋体"/>
          <w:i w:val="0"/>
          <w:iCs w:val="0"/>
          <w:sz w:val="24"/>
          <w:szCs w:val="24"/>
          <w:highlight w:val="none"/>
          <w:u w:val="none"/>
          <w:lang w:val="en-US" w:eastAsia="zh-CN"/>
        </w:rPr>
        <w:t xml:space="preserve"> </w:t>
      </w:r>
      <w:r/>
    </w:p>
    <w:p>
      <w:pPr>
        <w:pStyle w:val="723"/>
        <w:ind w:left="0" w:right="0" w:firstLine="241"/>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val="en-US" w:eastAsia="zh-CN"/>
        </w:rPr>
        <w:t xml:space="preserve">五、</w:t>
      </w:r>
      <w:r>
        <w:rPr>
          <w:rFonts w:hint="eastAsia" w:ascii="宋体" w:hAnsi="宋体" w:eastAsia="宋体" w:cs="宋体"/>
          <w:b/>
          <w:bCs/>
          <w:i w:val="0"/>
          <w:iCs w:val="0"/>
          <w:sz w:val="24"/>
          <w:szCs w:val="24"/>
          <w:highlight w:val="none"/>
          <w:u w:val="none"/>
        </w:rPr>
        <w:t xml:space="preserve">配套活动组织</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1.组织规定仪式活动：起跑和颁奖仪式</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2.根据赛事市场开发情况，制定“</w:t>
      </w:r>
      <w:r>
        <w:rPr>
          <w:rFonts w:hint="eastAsia" w:ascii="宋体" w:hAnsi="宋体" w:eastAsia="宋体" w:cs="宋体"/>
          <w:i w:val="0"/>
          <w:iCs w:val="0"/>
          <w:sz w:val="24"/>
          <w:szCs w:val="24"/>
          <w:highlight w:val="none"/>
          <w:u w:val="none"/>
          <w:lang w:eastAsia="zh-CN"/>
        </w:rPr>
        <w:t xml:space="preserve">扬州高邮大运河马拉松</w:t>
      </w:r>
      <w:r>
        <w:rPr>
          <w:rFonts w:hint="eastAsia" w:ascii="宋体" w:hAnsi="宋体" w:eastAsia="宋体" w:cs="宋体"/>
          <w:i w:val="0"/>
          <w:iCs w:val="0"/>
          <w:sz w:val="24"/>
          <w:szCs w:val="24"/>
          <w:highlight w:val="none"/>
          <w:u w:val="none"/>
        </w:rPr>
        <w:t xml:space="preserve">”</w:t>
      </w:r>
      <w:r>
        <w:rPr>
          <w:rFonts w:hint="eastAsia" w:ascii="宋体" w:hAnsi="宋体" w:eastAsia="宋体" w:cs="宋体"/>
          <w:i w:val="0"/>
          <w:iCs w:val="0"/>
          <w:sz w:val="24"/>
          <w:szCs w:val="24"/>
          <w:highlight w:val="none"/>
          <w:u w:val="none"/>
          <w:lang w:val="en-US" w:eastAsia="zh-CN"/>
        </w:rPr>
        <w:t xml:space="preserve">系列活动</w:t>
      </w:r>
      <w:r>
        <w:rPr>
          <w:rFonts w:hint="eastAsia" w:ascii="宋体" w:hAnsi="宋体" w:eastAsia="宋体" w:cs="宋体"/>
          <w:i w:val="0"/>
          <w:iCs w:val="0"/>
          <w:sz w:val="24"/>
          <w:szCs w:val="24"/>
          <w:highlight w:val="none"/>
          <w:u w:val="none"/>
        </w:rPr>
        <w:t xml:space="preserve">策划方案，负责比赛赞助商及</w:t>
      </w:r>
      <w:r>
        <w:rPr>
          <w:rFonts w:hint="eastAsia" w:ascii="宋体" w:hAnsi="宋体" w:eastAsia="宋体" w:cs="宋体"/>
          <w:i w:val="0"/>
          <w:iCs w:val="0"/>
          <w:sz w:val="24"/>
          <w:szCs w:val="24"/>
          <w:highlight w:val="none"/>
          <w:u w:val="none"/>
          <w:lang w:eastAsia="zh-CN"/>
        </w:rPr>
        <w:t xml:space="preserve">高邮</w:t>
      </w:r>
      <w:r>
        <w:rPr>
          <w:rFonts w:hint="eastAsia" w:ascii="宋体" w:hAnsi="宋体" w:eastAsia="宋体" w:cs="宋体"/>
          <w:i w:val="0"/>
          <w:iCs w:val="0"/>
          <w:sz w:val="24"/>
          <w:szCs w:val="24"/>
          <w:highlight w:val="none"/>
          <w:u w:val="none"/>
        </w:rPr>
        <w:t xml:space="preserve">特色文体展示等搭建工作及展区展会服务； </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3.组织创新活动：协助组委会举办城市招商推介等创新活动；</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4.组织文体展演：比赛当天赛道沿途文体展演点位的选定及赞助商文体展演的组织，并配合沿途各区完成文体展演，放大城市宣传效应，提升跑者参赛体验；</w:t>
      </w:r>
      <w:r/>
    </w:p>
    <w:p>
      <w:pPr>
        <w:numPr>
          <w:ilvl w:val="0"/>
          <w:numId w:val="0"/>
        </w:numPr>
        <w:ind w:left="0" w:right="0" w:firstLine="480"/>
        <w:jc w:val="left"/>
        <w:pageBreakBefore w:val="0"/>
        <w:spacing w:line="360" w:lineRule="auto"/>
        <w:widowControl/>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5.协助组委会召开赛事协调会、新闻发布会、赛前联席会、赛事复盘会等相关活动。</w:t>
      </w:r>
      <w:r/>
    </w:p>
    <w:p>
      <w:pPr>
        <w:pStyle w:val="723"/>
        <w:ind w:left="0" w:right="0" w:firstLine="241"/>
        <w:pageBreakBefore w:val="0"/>
        <w:spacing w:before="0" w:after="0" w:line="360" w:lineRule="auto"/>
        <w:widowControl/>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lang w:val="en-US" w:eastAsia="zh-CN"/>
        </w:rPr>
        <w:t xml:space="preserve">六、</w:t>
      </w:r>
      <w:r>
        <w:rPr>
          <w:rFonts w:hint="eastAsia" w:ascii="宋体" w:hAnsi="宋体" w:eastAsia="宋体" w:cs="宋体"/>
          <w:b/>
          <w:bCs/>
          <w:i w:val="0"/>
          <w:iCs w:val="0"/>
          <w:sz w:val="24"/>
          <w:szCs w:val="24"/>
          <w:highlight w:val="none"/>
          <w:u w:val="none"/>
        </w:rPr>
        <w:t xml:space="preserve">项目实施方案及要求</w:t>
      </w:r>
      <w:r/>
    </w:p>
    <w:p>
      <w:pPr>
        <w:numPr>
          <w:ilvl w:val="0"/>
          <w:numId w:val="0"/>
        </w:numPr>
        <w:ind w:left="0" w:right="0" w:firstLine="0"/>
        <w:jc w:val="left"/>
        <w:pageBreakBefore w:val="0"/>
        <w:spacing w:line="360" w:lineRule="auto"/>
        <w:widowControl/>
        <w:rPr>
          <w:rStyle w:val="923"/>
          <w:rFonts w:hint="eastAsia" w:ascii="宋体" w:hAnsi="宋体" w:eastAsia="宋体" w:cs="宋体"/>
          <w:b w:val="0"/>
          <w:bCs/>
          <w:i w:val="0"/>
          <w:iCs w:val="0"/>
          <w:u w:val="none"/>
        </w:rPr>
      </w:pPr>
      <w:r>
        <w:rPr>
          <w:rFonts w:hint="eastAsia" w:ascii="宋体" w:hAnsi="宋体" w:eastAsia="宋体" w:cs="宋体"/>
          <w:b w:val="0"/>
          <w:bCs/>
          <w:i w:val="0"/>
          <w:iCs w:val="0"/>
          <w:sz w:val="24"/>
          <w:szCs w:val="24"/>
          <w:u w:val="none"/>
          <w:lang w:val="en-US" w:eastAsia="zh-CN"/>
        </w:rPr>
        <w:t xml:space="preserve">     </w:t>
      </w:r>
      <w:r>
        <w:rPr>
          <w:rStyle w:val="924"/>
          <w:rFonts w:hint="eastAsia" w:ascii="宋体" w:hAnsi="宋体" w:eastAsia="宋体" w:cs="宋体"/>
          <w:b w:val="0"/>
          <w:bCs/>
          <w:i w:val="0"/>
          <w:iCs w:val="0"/>
          <w:u w:val="none"/>
        </w:rPr>
        <w:t xml:space="preserve">（一）赛事组织</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1.结合本项目需求做好竞赛总体规程编制工作；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2.赛事报名、抽签：</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制定赛事报名及抽签专项方案，报组委会审定后执行，内容至少包括:</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（1）报名工作：做好“</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”赛事选手报名工作；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（2）做好官方平台视觉设计、运营、维护，历年选手信息整理维护，确保数据安全完整；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（3）报名须知：编写报名须知，包括但不限于报名时间、费用、报名方式、参赛要求、抽签办法、免签规则、抽签时间、缴费时间等，报组委会审定后发布；</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（4）报名系统: 要求</w:t>
      </w:r>
      <w:r>
        <w:rPr>
          <w:rFonts w:hint="eastAsia" w:ascii="宋体" w:hAnsi="宋体" w:eastAsia="宋体" w:cs="宋体"/>
          <w:b w:val="0"/>
          <w:bCs/>
          <w:i w:val="0"/>
          <w:iCs w:val="0"/>
          <w:sz w:val="24"/>
          <w:szCs w:val="24"/>
          <w:highlight w:val="none"/>
          <w:u w:val="none"/>
          <w:lang w:val="en-US" w:eastAsia="zh-CN"/>
        </w:rPr>
        <w:t xml:space="preserve">中标人</w:t>
      </w:r>
      <w:r>
        <w:rPr>
          <w:rFonts w:hint="eastAsia" w:ascii="宋体" w:hAnsi="宋体" w:eastAsia="宋体" w:cs="宋体"/>
          <w:b w:val="0"/>
          <w:bCs/>
          <w:i w:val="0"/>
          <w:iCs w:val="0"/>
          <w:sz w:val="24"/>
          <w:szCs w:val="24"/>
          <w:highlight w:val="none"/>
          <w:u w:val="none"/>
        </w:rPr>
        <w:t xml:space="preserve">有赛事报名平台或授权使用的报名平台且完成等保三级或以上级别认证。要求报名流程设计合理、顺畅，系统界面简洁明了，易于选手操作，且需针对“</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”赛事要求进行个性化调整并确保报名工作安全稳定，不得发生网络安全问题和访问崩溃等故障；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（5）网络报名：按照</w:t>
      </w:r>
      <w:r>
        <w:rPr>
          <w:rFonts w:hint="eastAsia" w:ascii="宋体" w:hAnsi="宋体" w:eastAsia="宋体" w:cs="宋体"/>
          <w:b w:val="0"/>
          <w:bCs/>
          <w:i w:val="0"/>
          <w:iCs w:val="0"/>
          <w:sz w:val="24"/>
          <w:szCs w:val="24"/>
          <w:highlight w:val="none"/>
          <w:u w:val="none"/>
          <w:lang w:eastAsia="zh-CN"/>
        </w:rPr>
        <w:t xml:space="preserve">202</w:t>
      </w:r>
      <w:r>
        <w:rPr>
          <w:rFonts w:hint="eastAsia" w:ascii="宋体" w:hAnsi="宋体" w:eastAsia="宋体" w:cs="宋体"/>
          <w:b w:val="0"/>
          <w:bCs/>
          <w:i w:val="0"/>
          <w:iCs w:val="0"/>
          <w:sz w:val="24"/>
          <w:szCs w:val="24"/>
          <w:highlight w:val="none"/>
          <w:u w:val="none"/>
          <w:lang w:val="en-US" w:eastAsia="zh-CN"/>
        </w:rPr>
        <w:t xml:space="preserve">6</w:t>
      </w:r>
      <w:r>
        <w:rPr>
          <w:rFonts w:hint="eastAsia" w:ascii="宋体" w:hAnsi="宋体" w:eastAsia="宋体" w:cs="宋体"/>
          <w:b w:val="0"/>
          <w:bCs/>
          <w:i w:val="0"/>
          <w:iCs w:val="0"/>
          <w:sz w:val="24"/>
          <w:szCs w:val="24"/>
          <w:highlight w:val="none"/>
          <w:u w:val="none"/>
        </w:rPr>
        <w:t xml:space="preserve">年“</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”报名时间要求，在不同时间段做好微信小程序、微信公众号等端口网络报名工作，并确保各端口访问和报名功能流畅，不得发生网络安全问题和访问崩溃等故障；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（6）客服工作：做好赛前、赛事期间及赛后客服工作，包括电话、邮箱、官方账号（官网、公众号、抖音、微博）等，制定客服工作人员统一答复口径，报组委会审定后执行；</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（7）赛前体检与声明：按照中国田协建议，要求选手做好赛前体检，并做好参赛选手的告知等相关工作，并做好所有参赛选手赛前声明签署工作；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8</w:t>
      </w:r>
      <w:r>
        <w:rPr>
          <w:rFonts w:hint="eastAsia" w:ascii="宋体" w:hAnsi="宋体" w:eastAsia="宋体" w:cs="宋体"/>
          <w:b w:val="0"/>
          <w:bCs/>
          <w:i w:val="0"/>
          <w:iCs w:val="0"/>
          <w:sz w:val="24"/>
          <w:szCs w:val="24"/>
          <w:highlight w:val="none"/>
          <w:u w:val="none"/>
        </w:rPr>
        <w:t xml:space="preserve">）抽签：策划制定报名抽签方案、做好程序设计调试，组织现场抽签仪式，完成抽签工作；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9</w:t>
      </w:r>
      <w:r>
        <w:rPr>
          <w:rFonts w:hint="eastAsia" w:ascii="宋体" w:hAnsi="宋体" w:eastAsia="宋体" w:cs="宋体"/>
          <w:b w:val="0"/>
          <w:bCs/>
          <w:i w:val="0"/>
          <w:iCs w:val="0"/>
          <w:sz w:val="24"/>
          <w:szCs w:val="24"/>
          <w:highlight w:val="none"/>
          <w:u w:val="none"/>
        </w:rPr>
        <w:t xml:space="preserve">）手机短信相关提示：负责提供报名、领物、比赛、天气、成绩等赛事全流程信息提示服务；并向选手紧急联系人发送短信，确保紧急联系人知晓选手报名情况；</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1</w:t>
      </w:r>
      <w:r>
        <w:rPr>
          <w:rFonts w:hint="eastAsia" w:ascii="宋体" w:hAnsi="宋体" w:eastAsia="宋体" w:cs="宋体"/>
          <w:b w:val="0"/>
          <w:bCs/>
          <w:i w:val="0"/>
          <w:iCs w:val="0"/>
          <w:sz w:val="24"/>
          <w:szCs w:val="24"/>
          <w:highlight w:val="none"/>
          <w:u w:val="none"/>
          <w:lang w:val="en-US" w:eastAsia="zh-CN"/>
        </w:rPr>
        <w:t xml:space="preserve">0</w:t>
      </w:r>
      <w:r>
        <w:rPr>
          <w:rFonts w:hint="eastAsia" w:ascii="宋体" w:hAnsi="宋体" w:eastAsia="宋体" w:cs="宋体"/>
          <w:b w:val="0"/>
          <w:bCs/>
          <w:i w:val="0"/>
          <w:iCs w:val="0"/>
          <w:sz w:val="24"/>
          <w:szCs w:val="24"/>
          <w:highlight w:val="none"/>
          <w:u w:val="none"/>
        </w:rPr>
        <w:t xml:space="preserve">）赛事数据整理：配合组委会及时做好比赛期间数据筛查审核和整理工作（包括但不限于报名、抽签、装备领取、参赛情况、完赛情况等）要求可统计、可溯源、便于赛后分析，赛事相关数据的所有权归赛事组委会所有。未经组委会许可，相关数据不得作为其他用途，</w:t>
      </w:r>
      <w:r>
        <w:rPr>
          <w:rFonts w:hint="eastAsia" w:ascii="宋体" w:hAnsi="宋体" w:eastAsia="宋体" w:cs="宋体"/>
          <w:b w:val="0"/>
          <w:bCs/>
          <w:i w:val="0"/>
          <w:iCs w:val="0"/>
          <w:sz w:val="24"/>
          <w:szCs w:val="24"/>
          <w:highlight w:val="none"/>
          <w:u w:val="none"/>
          <w:lang w:eastAsia="zh-CN"/>
        </w:rPr>
        <w:t xml:space="preserve">中标人</w:t>
      </w:r>
      <w:r>
        <w:rPr>
          <w:rFonts w:hint="eastAsia" w:ascii="宋体" w:hAnsi="宋体" w:eastAsia="宋体" w:cs="宋体"/>
          <w:b w:val="0"/>
          <w:bCs/>
          <w:i w:val="0"/>
          <w:iCs w:val="0"/>
          <w:sz w:val="24"/>
          <w:szCs w:val="24"/>
          <w:highlight w:val="none"/>
          <w:u w:val="none"/>
        </w:rPr>
        <w:t xml:space="preserve">不得以任何方式披露，</w:t>
      </w:r>
      <w:r>
        <w:rPr>
          <w:rFonts w:hint="eastAsia" w:ascii="宋体" w:hAnsi="宋体" w:eastAsia="宋体" w:cs="宋体"/>
          <w:b w:val="0"/>
          <w:bCs/>
          <w:i w:val="0"/>
          <w:iCs w:val="0"/>
          <w:sz w:val="24"/>
          <w:szCs w:val="24"/>
          <w:highlight w:val="none"/>
          <w:u w:val="none"/>
          <w:lang w:eastAsia="zh-CN"/>
        </w:rPr>
        <w:t xml:space="preserve">中标人</w:t>
      </w:r>
      <w:r>
        <w:rPr>
          <w:rFonts w:hint="eastAsia" w:ascii="宋体" w:hAnsi="宋体" w:eastAsia="宋体" w:cs="宋体"/>
          <w:b w:val="0"/>
          <w:bCs/>
          <w:i w:val="0"/>
          <w:iCs w:val="0"/>
          <w:sz w:val="24"/>
          <w:szCs w:val="24"/>
          <w:highlight w:val="none"/>
          <w:u w:val="none"/>
        </w:rPr>
        <w:t xml:space="preserve">有义务保证数据安全、保密。</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计时设备：必须采用经中国田协审定的感应计时产品，号码布芯片数量依参赛人数规模而定，计时点每5公里1个（根据赛道实际情况进行微调），赛道最远端折返点感应计时，终点使用经中国田协审定的终点摄像计时系统；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4.赛后成绩公布：选手成绩统计，官网公示、短信提示、制作成绩册，按照世界田联和中国田协的最新要求，在规定的时间内上报赛事的相关报告和数据；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5.比赛录像：分段计时点、折返点、起终点设置比赛录像，记录比赛全过程；</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6.赛后选手服务：提供参赛选手赛后成绩查询、成绩证书下载、个人专属参赛照片及视频材料下载服务；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7.配速员招募：大众选手配速员约</w:t>
      </w:r>
      <w:r>
        <w:rPr>
          <w:rFonts w:hint="eastAsia" w:ascii="宋体" w:hAnsi="宋体" w:eastAsia="宋体" w:cs="宋体"/>
          <w:b w:val="0"/>
          <w:bCs/>
          <w:i w:val="0"/>
          <w:iCs w:val="0"/>
          <w:sz w:val="24"/>
          <w:szCs w:val="24"/>
          <w:highlight w:val="none"/>
          <w:u w:val="none"/>
          <w:lang w:val="en-US" w:eastAsia="zh-CN"/>
        </w:rPr>
        <w:t xml:space="preserve">21</w:t>
      </w:r>
      <w:r>
        <w:rPr>
          <w:rFonts w:hint="eastAsia" w:ascii="宋体" w:hAnsi="宋体" w:eastAsia="宋体" w:cs="宋体"/>
          <w:b w:val="0"/>
          <w:bCs/>
          <w:i w:val="0"/>
          <w:iCs w:val="0"/>
          <w:sz w:val="24"/>
          <w:szCs w:val="24"/>
          <w:highlight w:val="none"/>
          <w:u w:val="none"/>
        </w:rPr>
        <w:t xml:space="preserve">名； </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lang w:val="en-US" w:eastAsia="zh-CN"/>
        </w:rPr>
      </w:pPr>
      <w:r>
        <w:rPr>
          <w:rFonts w:hint="eastAsia" w:ascii="宋体" w:hAnsi="宋体" w:eastAsia="宋体" w:cs="宋体"/>
          <w:b w:val="0"/>
          <w:bCs/>
          <w:i w:val="0"/>
          <w:iCs w:val="0"/>
          <w:sz w:val="24"/>
          <w:szCs w:val="24"/>
          <w:highlight w:val="none"/>
          <w:u w:val="none"/>
        </w:rPr>
        <w:t xml:space="preserve">8.</w:t>
      </w:r>
      <w:r>
        <w:rPr>
          <w:rFonts w:hint="eastAsia" w:ascii="宋体" w:hAnsi="宋体" w:eastAsia="宋体" w:cs="宋体"/>
          <w:b w:val="0"/>
          <w:bCs/>
          <w:i w:val="0"/>
          <w:iCs w:val="0"/>
          <w:sz w:val="24"/>
          <w:szCs w:val="24"/>
          <w:highlight w:val="none"/>
          <w:u w:val="none"/>
          <w:lang w:eastAsia="zh-CN"/>
        </w:rPr>
        <w:t xml:space="preserve">医护跑</w:t>
      </w:r>
      <w:r>
        <w:rPr>
          <w:rFonts w:hint="eastAsia" w:ascii="宋体" w:hAnsi="宋体" w:eastAsia="宋体" w:cs="宋体"/>
          <w:b w:val="0"/>
          <w:bCs/>
          <w:i w:val="0"/>
          <w:iCs w:val="0"/>
          <w:sz w:val="24"/>
          <w:szCs w:val="24"/>
          <w:highlight w:val="none"/>
          <w:u w:val="none"/>
          <w:lang w:val="en-US" w:eastAsia="zh-CN"/>
        </w:rPr>
        <w:t xml:space="preserve">者</w:t>
      </w:r>
      <w:r>
        <w:rPr>
          <w:rFonts w:hint="eastAsia" w:ascii="宋体" w:hAnsi="宋体" w:eastAsia="宋体" w:cs="宋体"/>
          <w:b w:val="0"/>
          <w:bCs/>
          <w:i w:val="0"/>
          <w:iCs w:val="0"/>
          <w:sz w:val="24"/>
          <w:szCs w:val="24"/>
          <w:highlight w:val="none"/>
          <w:u w:val="none"/>
          <w:lang w:eastAsia="zh-CN"/>
        </w:rPr>
        <w:t xml:space="preserve">招募：不少于</w:t>
      </w:r>
      <w:r>
        <w:rPr>
          <w:rFonts w:hint="eastAsia" w:ascii="宋体" w:hAnsi="宋体" w:eastAsia="宋体" w:cs="宋体"/>
          <w:b w:val="0"/>
          <w:bCs/>
          <w:i w:val="0"/>
          <w:iCs w:val="0"/>
          <w:sz w:val="24"/>
          <w:szCs w:val="24"/>
          <w:highlight w:val="none"/>
          <w:u w:val="none"/>
          <w:lang w:val="en-US" w:eastAsia="zh-CN"/>
        </w:rPr>
        <w:t xml:space="preserve">15名；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lang w:val="en-US" w:eastAsia="zh-CN"/>
        </w:rPr>
        <w:t xml:space="preserve">9.</w:t>
      </w:r>
      <w:r>
        <w:rPr>
          <w:rFonts w:hint="eastAsia" w:ascii="宋体" w:hAnsi="宋体" w:eastAsia="宋体" w:cs="宋体"/>
          <w:b w:val="0"/>
          <w:bCs/>
          <w:i w:val="0"/>
          <w:iCs w:val="0"/>
          <w:sz w:val="24"/>
          <w:szCs w:val="24"/>
          <w:highlight w:val="none"/>
          <w:u w:val="none"/>
        </w:rPr>
        <w:t xml:space="preserve">资料制作：做好赛事印刷品（包括电子出版物，种类应包括秩序册、参赛指南、志愿者手册、完赛证书、志愿者证书等赛事相关资料的设计及印刷；</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lang w:val="en-US" w:eastAsia="zh-CN"/>
        </w:rPr>
        <w:t xml:space="preserve">10</w:t>
      </w:r>
      <w:r>
        <w:rPr>
          <w:rFonts w:hint="eastAsia" w:ascii="宋体" w:hAnsi="宋体" w:eastAsia="宋体" w:cs="宋体"/>
          <w:b w:val="0"/>
          <w:bCs/>
          <w:i w:val="0"/>
          <w:iCs w:val="0"/>
          <w:sz w:val="24"/>
          <w:szCs w:val="24"/>
          <w:highlight w:val="none"/>
          <w:u w:val="none"/>
        </w:rPr>
        <w:t xml:space="preserve">.赛事总结评估：</w:t>
      </w:r>
      <w:r>
        <w:rPr>
          <w:rFonts w:hint="eastAsia" w:ascii="宋体" w:hAnsi="宋体" w:eastAsia="宋体" w:cs="宋体"/>
          <w:b w:val="0"/>
          <w:bCs/>
          <w:i w:val="0"/>
          <w:iCs w:val="0"/>
          <w:sz w:val="24"/>
          <w:szCs w:val="24"/>
          <w:highlight w:val="none"/>
          <w:u w:val="none"/>
          <w:lang w:eastAsia="zh-CN"/>
        </w:rPr>
        <w:t xml:space="preserve">中标人</w:t>
      </w:r>
      <w:r>
        <w:rPr>
          <w:rFonts w:hint="eastAsia" w:ascii="宋体" w:hAnsi="宋体" w:eastAsia="宋体" w:cs="宋体"/>
          <w:b w:val="0"/>
          <w:bCs/>
          <w:i w:val="0"/>
          <w:iCs w:val="0"/>
          <w:sz w:val="24"/>
          <w:szCs w:val="24"/>
          <w:highlight w:val="none"/>
          <w:u w:val="none"/>
        </w:rPr>
        <w:t xml:space="preserve">需在比赛结束后24小时提交初步报告，主要包括赛事相关数据（赛事相关数据、产业带动数据等）；比赛结束后5个工作日内向组委会提交赛事复盘报告；比赛结束之后15个工作日内，对“</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”赛事专业度、贡献度和关注度等方面进行全面检测分析，完成并提交赛事评估报告（需第三方专业权威机构出具）。</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（二）组织机构配备</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1.供应商应根据组委会组织架构配备相应职能机构；</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2.为确保赛事项目顺利实施，供应商拟投入本项目团队成员应不少于</w:t>
      </w:r>
      <w:r>
        <w:rPr>
          <w:rFonts w:hint="eastAsia" w:ascii="宋体" w:hAnsi="宋体" w:eastAsia="宋体" w:cs="宋体"/>
          <w:b w:val="0"/>
          <w:bCs/>
          <w:i w:val="0"/>
          <w:iCs w:val="0"/>
          <w:sz w:val="24"/>
          <w:szCs w:val="24"/>
          <w:highlight w:val="none"/>
          <w:u w:val="none"/>
          <w:lang w:val="en-US" w:eastAsia="zh-CN"/>
        </w:rPr>
        <w:t xml:space="preserve">15</w:t>
      </w:r>
      <w:r>
        <w:rPr>
          <w:rFonts w:hint="eastAsia" w:ascii="宋体" w:hAnsi="宋体" w:eastAsia="宋体" w:cs="宋体"/>
          <w:b w:val="0"/>
          <w:bCs/>
          <w:i w:val="0"/>
          <w:iCs w:val="0"/>
          <w:sz w:val="24"/>
          <w:szCs w:val="24"/>
          <w:highlight w:val="none"/>
          <w:u w:val="none"/>
        </w:rPr>
        <w:t xml:space="preserve">人，其中应配备以下人员：</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（1）参加过中国田协马拉松学院竞赛组织管理培训且获得合格证书的人员2名（须含赛事总监）；</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（2）参加过中国田协马拉松学院媒体专题培训且获得合格证书的人员1名；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（3）参加过中国田协马拉松学院医疗专题培训且获得合格证书的人员2名；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（三）安全保障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制定赛事安全保卫专项方案，严格执行国家和地方颁布的《大型群众性活动安全管理条例》等有关规定来组织安保工作。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1.起点安保：交通保障、集结流线管控、现场管控；</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2.终点安保：交通保障、现场管控、疏散流线管控；</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3.赛道安保：赛道管控、交通保障、赛道巡查、赛道周围城管巡逻；</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4.直播点安保：直播点管控、转播车、直播机位安全；</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5.无人机反制：比赛现场配备无人机反制系统；</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6.其他安保：反恐防爆、住地保卫、协调保障、机动应急；</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7.根据主管部门及组委会要求，赛事当天总体安保力量配备相应的人数。</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（四）医疗保障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制定赛事医疗保障专项方案。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1.医疗点：配备医疗人员和医疗设施；</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2.救护车：按照实际要求配备；</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3.医院绿色通道：定点医院开通；</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w:t>
      </w:r>
      <w:r>
        <w:rPr>
          <w:rFonts w:hint="eastAsia" w:ascii="宋体" w:hAnsi="宋体" w:eastAsia="宋体" w:cs="宋体"/>
          <w:b w:val="0"/>
          <w:bCs/>
          <w:i w:val="0"/>
          <w:iCs w:val="0"/>
          <w:sz w:val="24"/>
          <w:szCs w:val="24"/>
          <w:highlight w:val="none"/>
          <w:u w:val="none"/>
          <w:lang w:eastAsia="zh-CN"/>
        </w:rPr>
        <w:t xml:space="preserve">骑行医护</w:t>
      </w:r>
      <w:r>
        <w:rPr>
          <w:rFonts w:hint="eastAsia" w:ascii="宋体" w:hAnsi="宋体" w:eastAsia="宋体" w:cs="宋体"/>
          <w:b w:val="0"/>
          <w:bCs/>
          <w:i w:val="0"/>
          <w:iCs w:val="0"/>
          <w:sz w:val="24"/>
          <w:szCs w:val="24"/>
          <w:highlight w:val="none"/>
          <w:u w:val="none"/>
        </w:rPr>
        <w:t xml:space="preserve">：配备电动自行车或自行车、对讲机，每个分区由专人负责，AED数量不少于</w:t>
      </w:r>
      <w:r>
        <w:rPr>
          <w:rFonts w:hint="eastAsia" w:ascii="宋体" w:hAnsi="宋体" w:eastAsia="宋体" w:cs="宋体"/>
          <w:b w:val="0"/>
          <w:bCs/>
          <w:i w:val="0"/>
          <w:iCs w:val="0"/>
          <w:sz w:val="24"/>
          <w:szCs w:val="24"/>
          <w:highlight w:val="none"/>
          <w:u w:val="none"/>
          <w:lang w:val="en-US" w:eastAsia="zh-CN"/>
        </w:rPr>
        <w:t xml:space="preserve">21</w:t>
      </w:r>
      <w:r>
        <w:rPr>
          <w:rFonts w:hint="eastAsia" w:ascii="宋体" w:hAnsi="宋体" w:eastAsia="宋体" w:cs="宋体"/>
          <w:b w:val="0"/>
          <w:bCs/>
          <w:i w:val="0"/>
          <w:iCs w:val="0"/>
          <w:sz w:val="24"/>
          <w:szCs w:val="24"/>
          <w:highlight w:val="none"/>
          <w:u w:val="none"/>
        </w:rPr>
        <w:t xml:space="preserve">部；</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5.赛事当天按照政府相关部门要求进行配备和部署医疗保障人员和相应设施、器材等；</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6.赛道沿线设置相应的医疗站点，同时每个站点配备医疗人员和医疗设施等内容。</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（五）后勤保障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制定接待、食宿、交通、物资运输等后勤保障专项方案。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1.酒店接待：负责嘉宾、裁判员、特邀媒体等人员住宿；</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2.餐饮接待：负责嘉宾、裁判员、特邀媒体等人员在仪期间用餐；</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3.工作人员及志愿者工作餐：按照人员岗位数量预订提供；</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4.车辆保障：根据组委会要求制定专项方案并执行，包括但不限于观摩车、接送站车、起终点转场车、接驳车、运输车、收容车等，其中接驳车包括加密公交线路和专用接驳车。</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5.会务保障：按照组委会要求，为赛事相关会议租赁会议场所并布置会场。</w:t>
      </w:r>
      <w:r/>
    </w:p>
    <w:p>
      <w:pPr>
        <w:numPr>
          <w:ilvl w:val="0"/>
          <w:numId w:val="0"/>
        </w:numPr>
        <w:ind w:left="0" w:right="0" w:firstLine="480"/>
        <w:jc w:val="left"/>
        <w:pageBreakBefore w:val="0"/>
        <w:spacing w:line="360" w:lineRule="auto"/>
        <w:widowControl/>
        <w:rPr>
          <w:rFonts w:hint="eastAsia" w:ascii="宋体" w:hAnsi="宋体" w:eastAsia="宋体" w:cs="宋体"/>
          <w:b/>
          <w:bCs w:val="0"/>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（六）赛事志愿服务</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制定赛事志愿服务专项方案。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1.招募要求：招募赛事志愿者</w:t>
      </w:r>
      <w:r>
        <w:rPr>
          <w:rFonts w:hint="eastAsia" w:ascii="宋体" w:hAnsi="宋体" w:eastAsia="宋体" w:cs="宋体"/>
          <w:b w:val="0"/>
          <w:bCs/>
          <w:i w:val="0"/>
          <w:iCs w:val="0"/>
          <w:sz w:val="24"/>
          <w:szCs w:val="24"/>
          <w:highlight w:val="none"/>
          <w:u w:val="none"/>
          <w:lang w:val="en-US" w:eastAsia="zh-CN"/>
        </w:rPr>
        <w:t xml:space="preserve">6</w:t>
      </w:r>
      <w:r>
        <w:rPr>
          <w:rFonts w:hint="eastAsia" w:ascii="宋体" w:hAnsi="宋体" w:eastAsia="宋体" w:cs="宋体"/>
          <w:b w:val="0"/>
          <w:bCs/>
          <w:i w:val="0"/>
          <w:iCs w:val="0"/>
          <w:sz w:val="24"/>
          <w:szCs w:val="24"/>
          <w:highlight w:val="none"/>
          <w:u w:val="none"/>
        </w:rPr>
        <w:t xml:space="preserve">00人次左右，包括后勤接待志愿者，医疗保障与赛后恢复志愿者，辅助裁判，其他志愿者；</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2.负责组织培训、实战演练；</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3.负责落实志愿者保险、服装、名牌、工作餐、交通等必要保障；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4.负责编写制作志愿者手册、拍摄制作培训视频；</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5.赛后开展志愿者评优并制作发放证书；</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6.赛事资料汇总：搜集整理志愿服务图文资料、影像资料（包括纸质档和电子档）交组委会归档备案。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（七）视觉设计</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设计符合扬州</w:t>
      </w:r>
      <w:r>
        <w:rPr>
          <w:rFonts w:hint="eastAsia" w:ascii="宋体" w:hAnsi="宋体" w:eastAsia="宋体" w:cs="宋体"/>
          <w:b w:val="0"/>
          <w:bCs/>
          <w:i w:val="0"/>
          <w:iCs w:val="0"/>
          <w:sz w:val="24"/>
          <w:szCs w:val="24"/>
          <w:highlight w:val="none"/>
          <w:u w:val="none"/>
          <w:lang w:eastAsia="zh-CN"/>
        </w:rPr>
        <w:t xml:space="preserve">高邮</w:t>
      </w:r>
      <w:r>
        <w:rPr>
          <w:rFonts w:hint="eastAsia" w:ascii="宋体" w:hAnsi="宋体" w:eastAsia="宋体" w:cs="宋体"/>
          <w:b w:val="0"/>
          <w:bCs/>
          <w:i w:val="0"/>
          <w:iCs w:val="0"/>
          <w:sz w:val="24"/>
          <w:szCs w:val="24"/>
          <w:highlight w:val="none"/>
          <w:u w:val="none"/>
        </w:rPr>
        <w:t xml:space="preserve">城市气质、历史文脉和“</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人文风格的视觉识别系统，形成特点鲜明、风格独特的主视觉应用（包括但不限于舞台、证件、指示牌等），同时确保美观、独特、与赛事主题匹配。参照赛事主视觉效果，根据组委会需求，设计制作奖牌、参赛选手号码簿、赛道指示牌、成绩证书、志愿者证书、工作人员证件、车辆证件、赛事周边等赛事相关物料。</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（八）市场招商</w:t>
      </w:r>
      <w:r/>
    </w:p>
    <w:p>
      <w:pPr>
        <w:ind w:left="0" w:right="0" w:firstLine="560"/>
        <w:jc w:val="both"/>
        <w:keepLines w:val="0"/>
        <w:pageBreakBefore w:val="0"/>
        <w:spacing w:line="360" w:lineRule="auto"/>
        <w:widowControl/>
        <w:rPr>
          <w:rFonts w:hint="eastAsia" w:ascii="宋体" w:hAnsi="宋体" w:eastAsia="宋体" w:cs="宋体"/>
          <w:b/>
          <w:bCs w:val="0"/>
          <w:i w:val="0"/>
          <w:iCs w:val="0"/>
          <w:color w:val="0000ff"/>
          <w:sz w:val="24"/>
          <w:szCs w:val="24"/>
          <w:highlight w:val="none"/>
          <w:u w:val="none"/>
        </w:rPr>
        <w:outlineLvl w:val="9"/>
      </w:pPr>
      <w:r>
        <w:rPr>
          <w:rFonts w:hint="eastAsia" w:ascii="宋体" w:hAnsi="宋体" w:eastAsia="宋体" w:cs="宋体"/>
          <w:b w:val="0"/>
          <w:bCs/>
          <w:i w:val="0"/>
          <w:iCs w:val="0"/>
          <w:sz w:val="24"/>
          <w:szCs w:val="24"/>
          <w:highlight w:val="none"/>
          <w:u w:val="none"/>
        </w:rPr>
        <w:t xml:space="preserve">“</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”的品牌受法律保护。运营期间内</w:t>
      </w:r>
      <w:r>
        <w:rPr>
          <w:rFonts w:hint="eastAsia" w:ascii="宋体" w:hAnsi="宋体" w:eastAsia="宋体" w:cs="宋体"/>
          <w:b w:val="0"/>
          <w:bCs/>
          <w:i w:val="0"/>
          <w:iCs w:val="0"/>
          <w:sz w:val="24"/>
          <w:szCs w:val="24"/>
          <w:highlight w:val="none"/>
          <w:u w:val="none"/>
          <w:lang w:eastAsia="zh-CN"/>
        </w:rPr>
        <w:t xml:space="preserve">中标人</w:t>
      </w:r>
      <w:r>
        <w:rPr>
          <w:rFonts w:hint="eastAsia" w:ascii="宋体" w:hAnsi="宋体" w:eastAsia="宋体" w:cs="宋体"/>
          <w:b w:val="0"/>
          <w:bCs/>
          <w:i w:val="0"/>
          <w:iCs w:val="0"/>
          <w:sz w:val="24"/>
          <w:szCs w:val="24"/>
          <w:highlight w:val="none"/>
          <w:u w:val="none"/>
        </w:rPr>
        <w:t xml:space="preserve">享有“</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”品牌因运营所必须的使用权，同时有责任维护和保护“</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”品牌权利不受侵犯。</w:t>
      </w:r>
      <w:r>
        <w:rPr>
          <w:rFonts w:hint="eastAsia" w:ascii="宋体" w:hAnsi="宋体" w:eastAsia="宋体" w:cs="宋体"/>
          <w:b w:val="0"/>
          <w:bCs/>
          <w:i w:val="0"/>
          <w:iCs w:val="0"/>
          <w:sz w:val="24"/>
          <w:szCs w:val="24"/>
          <w:highlight w:val="none"/>
          <w:u w:val="none"/>
          <w:lang w:eastAsia="zh-CN"/>
        </w:rPr>
        <w:t xml:space="preserve">中标人</w:t>
      </w:r>
      <w:r>
        <w:rPr>
          <w:rFonts w:hint="eastAsia" w:ascii="宋体" w:hAnsi="宋体" w:eastAsia="宋体" w:cs="宋体"/>
          <w:b w:val="0"/>
          <w:bCs/>
          <w:i w:val="0"/>
          <w:iCs w:val="0"/>
          <w:sz w:val="24"/>
          <w:szCs w:val="24"/>
          <w:highlight w:val="none"/>
          <w:u w:val="none"/>
        </w:rPr>
        <w:t xml:space="preserve">享有“</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”市场开发权，可以根据采购人确定的商业赞助类别范围征集赞助商。</w:t>
      </w:r>
      <w:r>
        <w:rPr>
          <w:rFonts w:hint="eastAsia" w:ascii="宋体" w:hAnsi="宋体" w:eastAsia="宋体" w:cs="宋体"/>
          <w:b w:val="0"/>
          <w:bCs/>
          <w:i w:val="0"/>
          <w:iCs w:val="0"/>
          <w:sz w:val="24"/>
          <w:szCs w:val="24"/>
          <w:highlight w:val="none"/>
          <w:u w:val="none"/>
          <w:lang w:eastAsia="zh-CN"/>
        </w:rPr>
        <w:t xml:space="preserve">中标人</w:t>
      </w:r>
      <w:r>
        <w:rPr>
          <w:rFonts w:hint="eastAsia" w:ascii="宋体" w:hAnsi="宋体" w:eastAsia="宋体" w:cs="宋体"/>
          <w:b w:val="0"/>
          <w:bCs/>
          <w:i w:val="0"/>
          <w:iCs w:val="0"/>
          <w:sz w:val="24"/>
          <w:szCs w:val="24"/>
          <w:highlight w:val="none"/>
          <w:u w:val="none"/>
        </w:rPr>
        <w:t xml:space="preserve">应在与赞助商签订正式协议之前向采购人通报赞助商征集情况，签订的赞助协议应当事先提交采购人审核同意，否则不可签订协议。商务开发现金收益超</w:t>
      </w:r>
      <w:r>
        <w:rPr>
          <w:rFonts w:hint="eastAsia" w:ascii="宋体" w:hAnsi="宋体" w:eastAsia="宋体" w:cs="宋体"/>
          <w:b w:val="0"/>
          <w:bCs/>
          <w:i w:val="0"/>
          <w:iCs w:val="0"/>
          <w:sz w:val="24"/>
          <w:szCs w:val="24"/>
          <w:highlight w:val="none"/>
          <w:u w:val="none"/>
          <w:lang w:val="en-US" w:eastAsia="zh-CN"/>
        </w:rPr>
        <w:t xml:space="preserve">2</w:t>
      </w:r>
      <w:r>
        <w:rPr>
          <w:rFonts w:hint="eastAsia" w:ascii="宋体" w:hAnsi="宋体" w:eastAsia="宋体" w:cs="宋体"/>
          <w:b w:val="0"/>
          <w:bCs/>
          <w:i w:val="0"/>
          <w:iCs w:val="0"/>
          <w:sz w:val="24"/>
          <w:szCs w:val="24"/>
          <w:highlight w:val="none"/>
          <w:u w:val="none"/>
        </w:rPr>
        <w:t xml:space="preserve">0万，</w:t>
      </w:r>
      <w:r>
        <w:rPr>
          <w:rFonts w:hint="eastAsia" w:ascii="宋体" w:hAnsi="宋体" w:eastAsia="宋体" w:cs="宋体"/>
          <w:b w:val="0"/>
          <w:bCs/>
          <w:i w:val="0"/>
          <w:iCs w:val="0"/>
          <w:sz w:val="24"/>
          <w:szCs w:val="24"/>
          <w:highlight w:val="none"/>
          <w:u w:val="none"/>
          <w:lang w:val="en-US" w:eastAsia="zh-CN"/>
        </w:rPr>
        <w:t xml:space="preserve">2</w:t>
      </w:r>
      <w:r>
        <w:rPr>
          <w:rFonts w:hint="eastAsia" w:ascii="宋体" w:hAnsi="宋体" w:eastAsia="宋体" w:cs="宋体"/>
          <w:b w:val="0"/>
          <w:bCs/>
          <w:i w:val="0"/>
          <w:iCs w:val="0"/>
          <w:sz w:val="24"/>
          <w:szCs w:val="24"/>
          <w:highlight w:val="none"/>
          <w:u w:val="none"/>
        </w:rPr>
        <w:t xml:space="preserve">0</w:t>
      </w:r>
      <w:r>
        <w:rPr>
          <w:rFonts w:hint="eastAsia" w:ascii="宋体" w:hAnsi="宋体" w:eastAsia="宋体" w:cs="宋体"/>
          <w:b w:val="0"/>
          <w:bCs/>
          <w:i w:val="0"/>
          <w:iCs w:val="0"/>
          <w:sz w:val="24"/>
          <w:szCs w:val="24"/>
          <w:highlight w:val="none"/>
          <w:u w:val="none"/>
          <w:lang w:val="en-US" w:eastAsia="zh-CN"/>
        </w:rPr>
        <w:t xml:space="preserve">-5</w:t>
      </w:r>
      <w:r>
        <w:rPr>
          <w:rFonts w:hint="eastAsia" w:ascii="宋体" w:hAnsi="宋体" w:eastAsia="宋体" w:cs="宋体"/>
          <w:b w:val="0"/>
          <w:bCs/>
          <w:i w:val="0"/>
          <w:iCs w:val="0"/>
          <w:sz w:val="24"/>
          <w:szCs w:val="24"/>
          <w:highlight w:val="none"/>
          <w:u w:val="none"/>
        </w:rPr>
        <w:t xml:space="preserve">0万部分，按</w:t>
      </w:r>
      <w:r>
        <w:rPr>
          <w:rFonts w:hint="eastAsia" w:ascii="宋体" w:hAnsi="宋体" w:eastAsia="宋体" w:cs="宋体"/>
          <w:b w:val="0"/>
          <w:bCs/>
          <w:i w:val="0"/>
          <w:iCs w:val="0"/>
          <w:sz w:val="24"/>
          <w:szCs w:val="24"/>
          <w:highlight w:val="none"/>
          <w:u w:val="none"/>
          <w:lang w:val="en-US" w:eastAsia="zh-CN"/>
        </w:rPr>
        <w:t xml:space="preserve">25</w:t>
      </w:r>
      <w:r>
        <w:rPr>
          <w:rFonts w:hint="eastAsia" w:ascii="宋体" w:hAnsi="宋体" w:eastAsia="宋体" w:cs="宋体"/>
          <w:b w:val="0"/>
          <w:bCs/>
          <w:i w:val="0"/>
          <w:iCs w:val="0"/>
          <w:sz w:val="24"/>
          <w:szCs w:val="24"/>
          <w:highlight w:val="none"/>
          <w:u w:val="none"/>
        </w:rPr>
        <w:t xml:space="preserve">%支付给采购方；</w:t>
      </w:r>
      <w:r>
        <w:rPr>
          <w:rFonts w:hint="eastAsia" w:ascii="宋体" w:hAnsi="宋体" w:eastAsia="宋体" w:cs="宋体"/>
          <w:b w:val="0"/>
          <w:bCs/>
          <w:i w:val="0"/>
          <w:iCs w:val="0"/>
          <w:sz w:val="24"/>
          <w:szCs w:val="24"/>
          <w:highlight w:val="none"/>
          <w:u w:val="none"/>
          <w:lang w:val="en-US" w:eastAsia="zh-CN"/>
        </w:rPr>
        <w:t xml:space="preserve">5</w:t>
      </w:r>
      <w:r>
        <w:rPr>
          <w:rFonts w:hint="eastAsia" w:ascii="宋体" w:hAnsi="宋体" w:eastAsia="宋体" w:cs="宋体"/>
          <w:b w:val="0"/>
          <w:bCs/>
          <w:i w:val="0"/>
          <w:iCs w:val="0"/>
          <w:sz w:val="24"/>
          <w:szCs w:val="24"/>
          <w:highlight w:val="none"/>
          <w:u w:val="none"/>
        </w:rPr>
        <w:t xml:space="preserve">0万</w:t>
      </w:r>
      <w:r>
        <w:rPr>
          <w:rFonts w:hint="eastAsia" w:ascii="宋体" w:hAnsi="宋体" w:eastAsia="宋体" w:cs="宋体"/>
          <w:b w:val="0"/>
          <w:bCs/>
          <w:i w:val="0"/>
          <w:iCs w:val="0"/>
          <w:sz w:val="24"/>
          <w:szCs w:val="24"/>
          <w:highlight w:val="none"/>
          <w:u w:val="none"/>
          <w:lang w:eastAsia="zh-CN"/>
        </w:rPr>
        <w:t xml:space="preserve">以上</w:t>
      </w:r>
      <w:r>
        <w:rPr>
          <w:rFonts w:hint="eastAsia" w:ascii="宋体" w:hAnsi="宋体" w:eastAsia="宋体" w:cs="宋体"/>
          <w:b w:val="0"/>
          <w:bCs/>
          <w:i w:val="0"/>
          <w:iCs w:val="0"/>
          <w:sz w:val="24"/>
          <w:szCs w:val="24"/>
          <w:highlight w:val="none"/>
          <w:u w:val="none"/>
        </w:rPr>
        <w:t xml:space="preserve">，超出部分按</w:t>
      </w:r>
      <w:r>
        <w:rPr>
          <w:rFonts w:hint="eastAsia" w:ascii="宋体" w:hAnsi="宋体" w:eastAsia="宋体" w:cs="宋体"/>
          <w:b w:val="0"/>
          <w:bCs/>
          <w:i w:val="0"/>
          <w:iCs w:val="0"/>
          <w:sz w:val="24"/>
          <w:szCs w:val="24"/>
          <w:highlight w:val="none"/>
          <w:u w:val="none"/>
          <w:lang w:val="en-US" w:eastAsia="zh-CN"/>
        </w:rPr>
        <w:t xml:space="preserve">20%</w:t>
      </w:r>
      <w:r>
        <w:rPr>
          <w:rFonts w:hint="eastAsia" w:ascii="宋体" w:hAnsi="宋体" w:eastAsia="宋体" w:cs="宋体"/>
          <w:b w:val="0"/>
          <w:bCs/>
          <w:i w:val="0"/>
          <w:iCs w:val="0"/>
          <w:sz w:val="24"/>
          <w:szCs w:val="24"/>
          <w:highlight w:val="none"/>
          <w:u w:val="none"/>
        </w:rPr>
        <w:t xml:space="preserve">支付给采购方。</w:t>
      </w:r>
      <w:r/>
    </w:p>
    <w:p>
      <w:pPr>
        <w:ind w:left="0" w:right="0" w:firstLine="560"/>
        <w:jc w:val="both"/>
        <w:keepLines w:val="0"/>
        <w:pageBreakBefore w:val="0"/>
        <w:spacing w:line="360" w:lineRule="auto"/>
        <w:widowControl/>
        <w:rPr>
          <w:rFonts w:hint="eastAsia" w:ascii="宋体" w:hAnsi="宋体" w:eastAsia="宋体" w:cs="宋体"/>
          <w:b w:val="0"/>
          <w:bCs/>
          <w:i w:val="0"/>
          <w:iCs w:val="0"/>
          <w:sz w:val="24"/>
          <w:szCs w:val="24"/>
          <w:highlight w:val="none"/>
          <w:u w:val="none"/>
        </w:rPr>
        <w:outlineLvl w:val="9"/>
      </w:pPr>
      <w:r>
        <w:rPr>
          <w:rFonts w:hint="eastAsia" w:ascii="宋体" w:hAnsi="宋体" w:eastAsia="宋体" w:cs="宋体"/>
          <w:b w:val="0"/>
          <w:bCs/>
          <w:i w:val="0"/>
          <w:iCs w:val="0"/>
          <w:sz w:val="24"/>
          <w:szCs w:val="24"/>
          <w:highlight w:val="none"/>
          <w:u w:val="none"/>
        </w:rPr>
        <w:t xml:space="preserve">1.赛事相关市场开发方案报组委会审定，市场开发过程中不可更换尚在“</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”赛事合同、协议期内的赞助商，并遵守原赞助合同、协议中所涉及的排他条款约定；</w:t>
      </w:r>
      <w:r/>
    </w:p>
    <w:p>
      <w:pPr>
        <w:ind w:left="0" w:right="0" w:firstLine="560"/>
        <w:jc w:val="both"/>
        <w:keepLines w:val="0"/>
        <w:pageBreakBefore w:val="0"/>
        <w:spacing w:line="360" w:lineRule="auto"/>
        <w:widowControl/>
        <w:rPr>
          <w:rFonts w:hint="eastAsia" w:ascii="宋体" w:hAnsi="宋体" w:eastAsia="宋体" w:cs="宋体"/>
          <w:b w:val="0"/>
          <w:bCs/>
          <w:i w:val="0"/>
          <w:iCs w:val="0"/>
          <w:sz w:val="24"/>
          <w:szCs w:val="24"/>
          <w:highlight w:val="none"/>
          <w:u w:val="none"/>
          <w:lang w:eastAsia="zh-CN"/>
        </w:rPr>
        <w:outlineLvl w:val="9"/>
      </w:pPr>
      <w:r>
        <w:rPr>
          <w:rFonts w:hint="eastAsia" w:ascii="宋体" w:hAnsi="宋体" w:eastAsia="宋体" w:cs="宋体"/>
          <w:b w:val="0"/>
          <w:bCs/>
          <w:i w:val="0"/>
          <w:iCs w:val="0"/>
          <w:sz w:val="24"/>
          <w:szCs w:val="24"/>
          <w:highlight w:val="none"/>
          <w:u w:val="none"/>
        </w:rPr>
        <w:t xml:space="preserve">2.</w:t>
      </w:r>
      <w:r>
        <w:rPr>
          <w:rFonts w:hint="eastAsia" w:ascii="宋体" w:hAnsi="宋体" w:eastAsia="宋体" w:cs="宋体"/>
          <w:b w:val="0"/>
          <w:bCs/>
          <w:i w:val="0"/>
          <w:iCs w:val="0"/>
          <w:sz w:val="24"/>
          <w:szCs w:val="24"/>
          <w:highlight w:val="none"/>
          <w:u w:val="none"/>
          <w:lang w:eastAsia="zh-CN"/>
        </w:rPr>
        <w:t xml:space="preserve">中标人</w:t>
      </w:r>
      <w:r>
        <w:rPr>
          <w:rFonts w:hint="eastAsia" w:ascii="宋体" w:hAnsi="宋体" w:eastAsia="宋体" w:cs="宋体"/>
          <w:b w:val="0"/>
          <w:bCs/>
          <w:i w:val="0"/>
          <w:iCs w:val="0"/>
          <w:sz w:val="24"/>
          <w:szCs w:val="24"/>
          <w:highlight w:val="none"/>
          <w:u w:val="none"/>
        </w:rPr>
        <w:t xml:space="preserve">享有</w:t>
      </w:r>
      <w:r>
        <w:rPr>
          <w:rFonts w:hint="eastAsia" w:ascii="宋体" w:hAnsi="宋体" w:eastAsia="宋体" w:cs="宋体"/>
          <w:b w:val="0"/>
          <w:bCs/>
          <w:i w:val="0"/>
          <w:iCs w:val="0"/>
          <w:sz w:val="24"/>
          <w:szCs w:val="24"/>
          <w:highlight w:val="none"/>
          <w:u w:val="none"/>
          <w:lang w:eastAsia="zh-CN"/>
        </w:rPr>
        <w:t xml:space="preserve">赛事</w:t>
      </w:r>
      <w:r>
        <w:rPr>
          <w:rFonts w:hint="eastAsia" w:ascii="宋体" w:hAnsi="宋体" w:eastAsia="宋体" w:cs="宋体"/>
          <w:b w:val="0"/>
          <w:bCs/>
          <w:i w:val="0"/>
          <w:iCs w:val="0"/>
          <w:sz w:val="24"/>
          <w:szCs w:val="24"/>
          <w:highlight w:val="none"/>
          <w:u w:val="none"/>
        </w:rPr>
        <w:t xml:space="preserve">市场开发权，可以根据采购人确定的商业赞助类别范围征集赞助商</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eastAsia="宋体" w:cs="宋体"/>
          <w:b w:val="0"/>
          <w:bCs/>
          <w:i w:val="0"/>
          <w:iCs w:val="0"/>
          <w:sz w:val="24"/>
          <w:szCs w:val="24"/>
          <w:highlight w:val="none"/>
          <w:u w:val="none"/>
        </w:rPr>
        <w:t xml:space="preserve">确保赛事有冠名商，对于赛事市场招商、赞助商</w:t>
      </w:r>
      <w:r>
        <w:rPr>
          <w:rFonts w:hint="eastAsia" w:ascii="宋体" w:hAnsi="宋体" w:eastAsia="宋体" w:cs="宋体"/>
          <w:b w:val="0"/>
          <w:bCs/>
          <w:i w:val="0"/>
          <w:iCs w:val="0"/>
          <w:sz w:val="24"/>
          <w:szCs w:val="24"/>
          <w:highlight w:val="none"/>
          <w:u w:val="none"/>
          <w:lang w:eastAsia="zh-CN"/>
        </w:rPr>
        <w:t xml:space="preserve">，中标人</w:t>
      </w:r>
      <w:r>
        <w:rPr>
          <w:rFonts w:hint="eastAsia" w:ascii="宋体" w:hAnsi="宋体" w:eastAsia="宋体" w:cs="宋体"/>
          <w:b w:val="0"/>
          <w:bCs/>
          <w:i w:val="0"/>
          <w:iCs w:val="0"/>
          <w:sz w:val="24"/>
          <w:szCs w:val="24"/>
          <w:highlight w:val="none"/>
          <w:u w:val="none"/>
        </w:rPr>
        <w:t xml:space="preserve">应在与赞助商签订正式协议之前向采购人通报赞助商征集情况，签订的赞助协议应当事先提交采购人审核同意，否则不可签订协议。</w:t>
      </w:r>
      <w:r>
        <w:rPr>
          <w:rFonts w:hint="eastAsia" w:ascii="宋体" w:hAnsi="宋体" w:eastAsia="宋体" w:cs="宋体"/>
          <w:b w:val="0"/>
          <w:bCs/>
          <w:i w:val="0"/>
          <w:iCs w:val="0"/>
          <w:sz w:val="24"/>
          <w:szCs w:val="24"/>
          <w:highlight w:val="none"/>
          <w:u w:val="none"/>
          <w:lang w:eastAsia="zh-CN"/>
        </w:rPr>
        <w:t xml:space="preserve">冠名商招商截止时间</w:t>
      </w:r>
      <w:r>
        <w:rPr>
          <w:rFonts w:hint="eastAsia" w:ascii="宋体" w:hAnsi="宋体" w:eastAsia="宋体" w:cs="宋体"/>
          <w:b w:val="0"/>
          <w:bCs/>
          <w:i w:val="0"/>
          <w:iCs w:val="0"/>
          <w:sz w:val="24"/>
          <w:szCs w:val="24"/>
          <w:highlight w:val="none"/>
          <w:u w:val="none"/>
          <w:lang w:val="en-US" w:eastAsia="zh-CN"/>
        </w:rPr>
        <w:t xml:space="preserve">2026年9月30日，</w:t>
      </w:r>
      <w:r>
        <w:rPr>
          <w:rFonts w:hint="eastAsia" w:ascii="宋体" w:hAnsi="宋体" w:eastAsia="宋体" w:cs="宋体"/>
          <w:b w:val="0"/>
          <w:bCs/>
          <w:i w:val="0"/>
          <w:iCs w:val="0"/>
          <w:sz w:val="24"/>
          <w:szCs w:val="24"/>
          <w:highlight w:val="none"/>
          <w:u w:val="none"/>
        </w:rPr>
        <w:t xml:space="preserve">截止日期后，</w:t>
      </w:r>
      <w:r>
        <w:rPr>
          <w:rFonts w:hint="eastAsia" w:ascii="宋体" w:hAnsi="宋体" w:eastAsia="宋体" w:cs="宋体"/>
          <w:b w:val="0"/>
          <w:bCs/>
          <w:i w:val="0"/>
          <w:iCs w:val="0"/>
          <w:sz w:val="24"/>
          <w:szCs w:val="24"/>
          <w:highlight w:val="none"/>
          <w:u w:val="none"/>
          <w:lang w:eastAsia="zh-CN"/>
        </w:rPr>
        <w:t xml:space="preserve">还未确定冠名单位，</w:t>
      </w:r>
      <w:r>
        <w:rPr>
          <w:rFonts w:hint="eastAsia" w:ascii="宋体" w:hAnsi="宋体" w:eastAsia="宋体" w:cs="宋体"/>
          <w:b w:val="0"/>
          <w:bCs/>
          <w:i w:val="0"/>
          <w:iCs w:val="0"/>
          <w:sz w:val="24"/>
          <w:szCs w:val="24"/>
          <w:highlight w:val="none"/>
          <w:u w:val="none"/>
        </w:rPr>
        <w:t xml:space="preserve">采购方有权寻找</w:t>
      </w:r>
      <w:r>
        <w:rPr>
          <w:rFonts w:hint="eastAsia" w:ascii="宋体" w:hAnsi="宋体" w:eastAsia="宋体" w:cs="宋体"/>
          <w:b w:val="0"/>
          <w:bCs/>
          <w:i w:val="0"/>
          <w:iCs w:val="0"/>
          <w:sz w:val="24"/>
          <w:szCs w:val="24"/>
          <w:highlight w:val="none"/>
          <w:u w:val="none"/>
          <w:lang w:eastAsia="zh-CN"/>
        </w:rPr>
        <w:t xml:space="preserve">冠名</w:t>
      </w:r>
      <w:r>
        <w:rPr>
          <w:rFonts w:hint="eastAsia" w:ascii="宋体" w:hAnsi="宋体" w:eastAsia="宋体" w:cs="宋体"/>
          <w:b w:val="0"/>
          <w:bCs/>
          <w:i w:val="0"/>
          <w:iCs w:val="0"/>
          <w:sz w:val="24"/>
          <w:szCs w:val="24"/>
          <w:highlight w:val="none"/>
          <w:u w:val="none"/>
        </w:rPr>
        <w:t xml:space="preserve">商，现金收益归采购人所有</w:t>
      </w:r>
      <w:r>
        <w:rPr>
          <w:rFonts w:hint="eastAsia" w:ascii="宋体" w:hAnsi="宋体" w:eastAsia="宋体" w:cs="宋体"/>
          <w:b w:val="0"/>
          <w:bCs/>
          <w:i w:val="0"/>
          <w:iCs w:val="0"/>
          <w:sz w:val="24"/>
          <w:szCs w:val="24"/>
          <w:highlight w:val="none"/>
          <w:u w:val="none"/>
          <w:lang w:eastAsia="zh-CN"/>
        </w:rPr>
        <w:t xml:space="preserve">。</w:t>
      </w:r>
      <w:r/>
    </w:p>
    <w:p>
      <w:pPr>
        <w:ind w:left="0" w:right="0" w:firstLine="560"/>
        <w:jc w:val="both"/>
        <w:keepLines w:val="0"/>
        <w:pageBreakBefore w:val="0"/>
        <w:spacing w:line="360" w:lineRule="auto"/>
        <w:widowControl/>
        <w:rPr>
          <w:rFonts w:hint="eastAsia" w:ascii="宋体" w:hAnsi="宋体" w:eastAsia="宋体" w:cs="宋体"/>
          <w:b w:val="0"/>
          <w:bCs/>
          <w:i w:val="0"/>
          <w:iCs w:val="0"/>
          <w:sz w:val="24"/>
          <w:szCs w:val="24"/>
          <w:highlight w:val="none"/>
          <w:u w:val="none"/>
          <w:lang w:val="en-US" w:eastAsia="zh-CN"/>
        </w:rPr>
        <w:outlineLvl w:val="9"/>
      </w:pPr>
      <w:r>
        <w:rPr>
          <w:rFonts w:hint="eastAsia" w:ascii="宋体" w:hAnsi="宋体" w:eastAsia="宋体" w:cs="宋体"/>
          <w:b w:val="0"/>
          <w:bCs/>
          <w:i w:val="0"/>
          <w:iCs w:val="0"/>
          <w:sz w:val="24"/>
          <w:szCs w:val="24"/>
          <w:highlight w:val="none"/>
          <w:u w:val="none"/>
          <w:lang w:val="en-US" w:eastAsia="zh-CN"/>
        </w:rPr>
        <w:t xml:space="preserve">3、乙方通过赛事商务开发、推广等方式所获全部资金必须首先用于保障赛事的各项开支。</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（九）宣传推广</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制定宣传推广专项方案。</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1.宣传周期：根据赛事进度分阶段执行，包括但不限于赛事报名启动、赛前一个月、赛前一星期、赛前三天、赛前一天、比赛当天、赛后一天、赛后一周、赛后一个月等重点时段；</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2.平台维护：负责及时做好“</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”相关公众号、小程序、抖音、微博等官方平台信息更新与维护；</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3.宣传媒介：与国、省、市级不少于10家的主流媒体及网络自媒体开展赛事宣传推广、赛事直播、舆情处置等宣传服务工作：</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4.赛事直播及转播</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（1）信号制作：引进专业直播团队进行航拍，制作高清直播信号，供多平台同步直播、转播；</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（2）平台直播：国家级直播平台不少于1个，省级直播平台不少于</w:t>
      </w:r>
      <w:r>
        <w:rPr>
          <w:rFonts w:hint="eastAsia" w:ascii="宋体" w:hAnsi="宋体" w:eastAsia="宋体" w:cs="宋体"/>
          <w:b w:val="0"/>
          <w:bCs/>
          <w:i w:val="0"/>
          <w:iCs w:val="0"/>
          <w:sz w:val="24"/>
          <w:szCs w:val="24"/>
          <w:highlight w:val="none"/>
          <w:u w:val="none"/>
          <w:lang w:val="en-US" w:eastAsia="zh-CN"/>
        </w:rPr>
        <w:t xml:space="preserve">2</w:t>
      </w:r>
      <w:r>
        <w:rPr>
          <w:rFonts w:hint="eastAsia" w:ascii="宋体" w:hAnsi="宋体" w:eastAsia="宋体" w:cs="宋体"/>
          <w:b w:val="0"/>
          <w:bCs/>
          <w:i w:val="0"/>
          <w:iCs w:val="0"/>
          <w:sz w:val="24"/>
          <w:szCs w:val="24"/>
          <w:highlight w:val="none"/>
          <w:u w:val="none"/>
        </w:rPr>
        <w:t xml:space="preserve">个，市级直播平台不少于</w:t>
      </w:r>
      <w:r>
        <w:rPr>
          <w:rFonts w:hint="eastAsia" w:ascii="宋体" w:hAnsi="宋体" w:eastAsia="宋体" w:cs="宋体"/>
          <w:b w:val="0"/>
          <w:bCs/>
          <w:i w:val="0"/>
          <w:iCs w:val="0"/>
          <w:sz w:val="24"/>
          <w:szCs w:val="24"/>
          <w:highlight w:val="none"/>
          <w:u w:val="none"/>
          <w:lang w:val="en-US" w:eastAsia="zh-CN"/>
        </w:rPr>
        <w:t xml:space="preserve">3</w:t>
      </w:r>
      <w:r>
        <w:rPr>
          <w:rFonts w:hint="eastAsia" w:ascii="宋体" w:hAnsi="宋体" w:eastAsia="宋体" w:cs="宋体"/>
          <w:b w:val="0"/>
          <w:bCs/>
          <w:i w:val="0"/>
          <w:iCs w:val="0"/>
          <w:sz w:val="24"/>
          <w:szCs w:val="24"/>
          <w:highlight w:val="none"/>
          <w:u w:val="none"/>
        </w:rPr>
        <w:t xml:space="preserve">个，在微信、微博、抖音、快手等平台网络直播，需达到</w:t>
      </w:r>
      <w:r>
        <w:rPr>
          <w:rFonts w:hint="eastAsia" w:ascii="宋体" w:hAnsi="宋体" w:eastAsia="宋体" w:cs="宋体"/>
          <w:b w:val="0"/>
          <w:bCs/>
          <w:i w:val="0"/>
          <w:iCs w:val="0"/>
          <w:sz w:val="24"/>
          <w:szCs w:val="24"/>
          <w:highlight w:val="none"/>
          <w:u w:val="none"/>
          <w:lang w:val="en-US" w:eastAsia="zh-CN"/>
        </w:rPr>
        <w:t xml:space="preserve">10</w:t>
      </w:r>
      <w:r>
        <w:rPr>
          <w:rFonts w:hint="eastAsia" w:ascii="宋体" w:hAnsi="宋体" w:eastAsia="宋体" w:cs="宋体"/>
          <w:b w:val="0"/>
          <w:bCs/>
          <w:i w:val="0"/>
          <w:iCs w:val="0"/>
          <w:sz w:val="24"/>
          <w:szCs w:val="24"/>
          <w:highlight w:val="none"/>
          <w:u w:val="none"/>
        </w:rPr>
        <w:t xml:space="preserve">个网络端口；</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5.产品输出</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（1）宣传图文及视频：各宣传媒介参与赛事及城市宣传推广，发布内容需经组委会审定，图文宣传不少于30条、短视频宣传不少于10条；</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（2）主题宣传片制作：摄制“</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”主题宣传片1部。</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6.视觉设计：设计符合扬州</w:t>
      </w:r>
      <w:r>
        <w:rPr>
          <w:rFonts w:hint="eastAsia" w:ascii="宋体" w:hAnsi="宋体" w:eastAsia="宋体" w:cs="宋体"/>
          <w:b w:val="0"/>
          <w:bCs/>
          <w:i w:val="0"/>
          <w:iCs w:val="0"/>
          <w:sz w:val="24"/>
          <w:szCs w:val="24"/>
          <w:highlight w:val="none"/>
          <w:u w:val="none"/>
          <w:lang w:eastAsia="zh-CN"/>
        </w:rPr>
        <w:t xml:space="preserve">高邮</w:t>
      </w:r>
      <w:r>
        <w:rPr>
          <w:rFonts w:hint="eastAsia" w:ascii="宋体" w:hAnsi="宋体" w:eastAsia="宋体" w:cs="宋体"/>
          <w:b w:val="0"/>
          <w:bCs/>
          <w:i w:val="0"/>
          <w:iCs w:val="0"/>
          <w:sz w:val="24"/>
          <w:szCs w:val="24"/>
          <w:highlight w:val="none"/>
          <w:u w:val="none"/>
        </w:rPr>
        <w:t xml:space="preserve">城市气质、历史文脉和“</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”人文风格的视觉识别系统，形成特点鲜明、风格独特的主视觉应用（包括但不限于舞台、证件、指示牌等）；</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7.参照赛事主视觉效果，根据组委会需求，设计制作奖牌、参赛选手号码簿、赛道指示牌、成绩证书、志愿者证书、工作人员证件、车辆证件、赛事周边等赛事相关物料；</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8.氛围营造</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设置“</w:t>
      </w:r>
      <w:r>
        <w:rPr>
          <w:rFonts w:hint="eastAsia" w:ascii="宋体" w:hAnsi="宋体" w:eastAsia="宋体" w:cs="宋体"/>
          <w:b w:val="0"/>
          <w:bCs/>
          <w:i w:val="0"/>
          <w:iCs w:val="0"/>
          <w:sz w:val="24"/>
          <w:szCs w:val="24"/>
          <w:highlight w:val="none"/>
          <w:u w:val="none"/>
          <w:lang w:eastAsia="zh-CN"/>
        </w:rPr>
        <w:t xml:space="preserve">扬州高邮大运河马拉松</w:t>
      </w:r>
      <w:r>
        <w:rPr>
          <w:rFonts w:hint="eastAsia" w:ascii="宋体" w:hAnsi="宋体" w:eastAsia="宋体" w:cs="宋体"/>
          <w:b w:val="0"/>
          <w:bCs/>
          <w:i w:val="0"/>
          <w:iCs w:val="0"/>
          <w:sz w:val="24"/>
          <w:szCs w:val="24"/>
          <w:highlight w:val="none"/>
          <w:u w:val="none"/>
        </w:rPr>
        <w:t xml:space="preserve">”起终点及市区重点公交站台（不少于5个）广告位的画面制作</w:t>
      </w:r>
      <w:r>
        <w:rPr>
          <w:rFonts w:hint="eastAsia" w:ascii="宋体" w:hAnsi="宋体" w:eastAsia="宋体" w:cs="宋体"/>
          <w:b w:val="0"/>
          <w:bCs/>
          <w:i w:val="0"/>
          <w:iCs w:val="0"/>
          <w:sz w:val="24"/>
          <w:szCs w:val="24"/>
          <w:highlight w:val="none"/>
          <w:u w:val="none"/>
          <w:lang w:eastAsia="zh-CN"/>
        </w:rPr>
        <w:t xml:space="preserve">、</w:t>
      </w:r>
      <w:r>
        <w:rPr>
          <w:rFonts w:hint="eastAsia" w:ascii="宋体" w:hAnsi="宋体" w:eastAsia="宋体" w:cs="宋体"/>
          <w:b w:val="0"/>
          <w:bCs/>
          <w:i w:val="0"/>
          <w:iCs w:val="0"/>
          <w:sz w:val="24"/>
          <w:szCs w:val="24"/>
          <w:highlight w:val="none"/>
          <w:u w:val="none"/>
        </w:rPr>
        <w:t xml:space="preserve">市区主要户外大屏的内容画面制作</w:t>
      </w:r>
      <w:r>
        <w:rPr>
          <w:rFonts w:hint="eastAsia" w:ascii="宋体" w:hAnsi="宋体" w:eastAsia="宋体" w:cs="宋体"/>
          <w:b w:val="0"/>
          <w:bCs/>
          <w:i w:val="0"/>
          <w:iCs w:val="0"/>
          <w:sz w:val="24"/>
          <w:szCs w:val="24"/>
          <w:highlight w:val="none"/>
          <w:u w:val="none"/>
          <w:lang w:eastAsia="zh-CN"/>
        </w:rPr>
        <w:t xml:space="preserve">和路灯道旗的制作</w:t>
      </w:r>
      <w:r>
        <w:rPr>
          <w:rFonts w:hint="eastAsia" w:ascii="宋体" w:hAnsi="宋体" w:eastAsia="宋体" w:cs="宋体"/>
          <w:b w:val="0"/>
          <w:bCs/>
          <w:i w:val="0"/>
          <w:iCs w:val="0"/>
          <w:sz w:val="24"/>
          <w:szCs w:val="24"/>
          <w:highlight w:val="none"/>
          <w:u w:val="none"/>
        </w:rPr>
        <w:t xml:space="preserve">；</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9.嘉宾主持</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rPr>
        <w:t xml:space="preserve">安排具有马拉松赛事解说经历的体育行业嘉宾1名，现场赛事解说1名；</w:t>
      </w:r>
      <w:r/>
    </w:p>
    <w:p>
      <w:pPr>
        <w:numPr>
          <w:ilvl w:val="0"/>
          <w:numId w:val="0"/>
        </w:numPr>
        <w:ind w:left="0" w:right="0" w:firstLine="480"/>
        <w:jc w:val="left"/>
        <w:pageBreakBefore w:val="0"/>
        <w:spacing w:line="360" w:lineRule="auto"/>
        <w:widowControl/>
        <w:rPr>
          <w:rFonts w:hint="eastAsia" w:ascii="宋体" w:hAnsi="宋体" w:eastAsia="宋体" w:cs="宋体"/>
          <w:b w:val="0"/>
          <w:bCs/>
          <w:i w:val="0"/>
          <w:iCs w:val="0"/>
          <w:sz w:val="24"/>
          <w:szCs w:val="24"/>
          <w:highlight w:val="none"/>
          <w:u w:val="none"/>
        </w:rPr>
      </w:pPr>
      <w:r>
        <w:rPr>
          <w:rFonts w:hint="eastAsia" w:ascii="宋体" w:hAnsi="宋体" w:eastAsia="宋体" w:cs="宋体"/>
          <w:b w:val="0"/>
          <w:bCs/>
          <w:i w:val="0"/>
          <w:iCs w:val="0"/>
          <w:sz w:val="24"/>
          <w:szCs w:val="24"/>
          <w:highlight w:val="none"/>
          <w:u w:val="none"/>
          <w:lang w:val="en-US" w:eastAsia="zh-CN"/>
        </w:rPr>
        <w:t xml:space="preserve">投标人</w:t>
      </w:r>
      <w:r>
        <w:rPr>
          <w:rFonts w:hint="eastAsia" w:ascii="宋体" w:hAnsi="宋体" w:eastAsia="宋体" w:cs="宋体"/>
          <w:b w:val="0"/>
          <w:bCs/>
          <w:i w:val="0"/>
          <w:iCs w:val="0"/>
          <w:sz w:val="24"/>
          <w:szCs w:val="24"/>
          <w:highlight w:val="none"/>
          <w:u w:val="none"/>
        </w:rPr>
        <w:t xml:space="preserve">需提供包含以上内容的项目实施方案，中标后经有关主管部门审查通过后，报组委会审定后执行。</w:t>
      </w:r>
      <w:r/>
    </w:p>
    <w:p>
      <w:pPr>
        <w:pStyle w:val="723"/>
        <w:ind w:left="0" w:right="0"/>
        <w:pageBreakBefore w:val="0"/>
        <w:spacing w:before="0" w:after="0" w:line="360" w:lineRule="auto"/>
        <w:widowControl/>
        <w:rPr>
          <w:rFonts w:hint="eastAsia" w:ascii="宋体" w:hAnsi="宋体" w:eastAsia="宋体" w:cs="宋体"/>
          <w:b w:val="0"/>
          <w:bCs w:val="0"/>
          <w:i w:val="0"/>
          <w:iCs w:val="0"/>
          <w:sz w:val="24"/>
          <w:szCs w:val="24"/>
          <w:highlight w:val="yellow"/>
          <w:u w:val="none"/>
          <w:lang w:eastAsia="zh-CN"/>
        </w:rPr>
      </w:pPr>
      <w:r>
        <w:rPr>
          <w:rFonts w:hint="eastAsia" w:ascii="宋体" w:hAnsi="宋体" w:eastAsia="宋体" w:cs="宋体"/>
          <w:b w:val="0"/>
          <w:bCs w:val="0"/>
          <w:i w:val="0"/>
          <w:iCs w:val="0"/>
          <w:sz w:val="24"/>
          <w:szCs w:val="24"/>
          <w:highlight w:val="none"/>
          <w:u w:val="none"/>
          <w:lang w:eastAsia="zh-CN"/>
        </w:rPr>
        <w:t xml:space="preserve">七</w:t>
      </w:r>
      <w:r>
        <w:rPr>
          <w:rFonts w:hint="eastAsia" w:ascii="宋体" w:hAnsi="宋体" w:eastAsia="宋体" w:cs="宋体"/>
          <w:b w:val="0"/>
          <w:bCs w:val="0"/>
          <w:i w:val="0"/>
          <w:iCs w:val="0"/>
          <w:sz w:val="24"/>
          <w:szCs w:val="24"/>
          <w:highlight w:val="none"/>
          <w:u w:val="none"/>
        </w:rPr>
        <w:t xml:space="preserve">、未尽事宜，按照</w:t>
      </w:r>
      <w:r>
        <w:rPr>
          <w:rFonts w:hint="eastAsia" w:ascii="宋体" w:hAnsi="宋体" w:eastAsia="宋体" w:cs="宋体"/>
          <w:b w:val="0"/>
          <w:bCs w:val="0"/>
          <w:i w:val="0"/>
          <w:iCs w:val="0"/>
          <w:sz w:val="24"/>
          <w:szCs w:val="24"/>
          <w:highlight w:val="none"/>
          <w:u w:val="none"/>
          <w:lang w:val="en-US" w:eastAsia="zh-CN"/>
        </w:rPr>
        <w:t xml:space="preserve">扬州高邮大运河</w:t>
      </w:r>
      <w:r>
        <w:rPr>
          <w:rFonts w:hint="eastAsia" w:ascii="宋体" w:hAnsi="宋体" w:eastAsia="宋体" w:cs="宋体"/>
          <w:b w:val="0"/>
          <w:bCs w:val="0"/>
          <w:i w:val="0"/>
          <w:iCs w:val="0"/>
          <w:sz w:val="24"/>
          <w:szCs w:val="24"/>
          <w:highlight w:val="none"/>
          <w:u w:val="none"/>
        </w:rPr>
        <w:t xml:space="preserve">半程马拉松赛组委会要求执行。</w:t>
      </w:r>
      <w:r/>
    </w:p>
    <w:p>
      <w:pPr>
        <w:pStyle w:val="723"/>
        <w:ind w:left="0" w:right="0"/>
        <w:pageBreakBefore w:val="0"/>
        <w:spacing w:before="0" w:after="0" w:line="360" w:lineRule="auto"/>
        <w:widowControl/>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sz w:val="24"/>
          <w:szCs w:val="24"/>
          <w:highlight w:val="none"/>
          <w:u w:val="none"/>
          <w:lang w:val="en-US" w:eastAsia="zh-CN" w:bidi="ar-SA"/>
        </w:rPr>
        <w:t xml:space="preserve">八、付款方式：</w:t>
      </w:r>
      <w:r/>
    </w:p>
    <w:p>
      <w:pPr>
        <w:numPr>
          <w:ilvl w:val="0"/>
          <w:numId w:val="0"/>
        </w:numPr>
        <w:ind w:left="0" w:right="0" w:firstLine="480"/>
        <w:pageBreakBefore w:val="0"/>
        <w:spacing w:line="360" w:lineRule="auto"/>
        <w:widowControl/>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1期: 合同签订后，采购人自收到发票后10个工作日内支付合同价款的30%；</w:t>
      </w:r>
      <w:r/>
    </w:p>
    <w:p>
      <w:pPr>
        <w:numPr>
          <w:ilvl w:val="0"/>
          <w:numId w:val="0"/>
        </w:numPr>
        <w:ind w:left="0" w:right="0" w:firstLine="480"/>
        <w:pageBreakBefore w:val="0"/>
        <w:spacing w:line="360" w:lineRule="auto"/>
        <w:widowControl/>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2期：赛事服务完成后，采购人自收到发票后</w:t>
      </w:r>
      <w:r>
        <w:rPr>
          <w:rFonts w:hint="eastAsia" w:ascii="宋体" w:hAnsi="宋体" w:eastAsia="宋体" w:cs="宋体"/>
          <w:b w:val="0"/>
          <w:bCs w:val="0"/>
          <w:i w:val="0"/>
          <w:iCs w:val="0"/>
          <w:sz w:val="24"/>
          <w:szCs w:val="24"/>
          <w:highlight w:val="none"/>
          <w:u w:val="none"/>
          <w:lang w:val="en-US" w:eastAsia="zh-CN"/>
        </w:rPr>
        <w:t xml:space="preserve">10个工作日内</w:t>
      </w:r>
      <w:r>
        <w:rPr>
          <w:rFonts w:hint="eastAsia" w:ascii="宋体" w:hAnsi="宋体" w:eastAsia="宋体" w:cs="宋体"/>
          <w:b w:val="0"/>
          <w:bCs w:val="0"/>
          <w:i w:val="0"/>
          <w:iCs w:val="0"/>
          <w:color w:val="auto"/>
          <w:sz w:val="24"/>
          <w:szCs w:val="24"/>
          <w:highlight w:val="none"/>
          <w:u w:val="none"/>
          <w:lang w:val="en-US" w:eastAsia="zh-CN"/>
        </w:rPr>
        <w:t xml:space="preserve">支付合同价款的50%；</w:t>
      </w:r>
      <w:r/>
    </w:p>
    <w:p>
      <w:pPr>
        <w:numPr>
          <w:ilvl w:val="0"/>
          <w:numId w:val="0"/>
        </w:numPr>
        <w:ind w:left="0" w:right="0" w:firstLine="480"/>
        <w:pageBreakBefore w:val="0"/>
        <w:spacing w:line="360" w:lineRule="auto"/>
        <w:widowControl/>
        <w:rPr>
          <w:rFonts w:hint="eastAsia" w:ascii="宋体" w:hAnsi="宋体" w:eastAsia="宋体" w:cs="宋体"/>
          <w:b w:val="0"/>
          <w:bCs w:val="0"/>
          <w:i w:val="0"/>
          <w:iCs w:val="0"/>
          <w:sz w:val="24"/>
          <w:szCs w:val="24"/>
          <w:highlight w:val="none"/>
          <w:u w:val="none"/>
          <w:lang w:val="en-US" w:eastAsia="zh-CN" w:bidi="ar-SA"/>
        </w:rPr>
      </w:pPr>
      <w:r>
        <w:rPr>
          <w:rFonts w:hint="eastAsia" w:ascii="宋体" w:hAnsi="宋体" w:eastAsia="宋体" w:cs="宋体"/>
          <w:b w:val="0"/>
          <w:bCs w:val="0"/>
          <w:i w:val="0"/>
          <w:iCs w:val="0"/>
          <w:color w:val="auto"/>
          <w:sz w:val="24"/>
          <w:szCs w:val="24"/>
          <w:highlight w:val="none"/>
          <w:u w:val="none"/>
          <w:lang w:val="en-US" w:eastAsia="zh-CN"/>
        </w:rPr>
        <w:t xml:space="preserve">3期：赛事完成并提交赛事评估报告后，采购人自收到发票后</w:t>
      </w:r>
      <w:r>
        <w:rPr>
          <w:rFonts w:hint="eastAsia" w:ascii="宋体" w:hAnsi="宋体" w:eastAsia="宋体" w:cs="宋体"/>
          <w:b w:val="0"/>
          <w:bCs w:val="0"/>
          <w:i w:val="0"/>
          <w:iCs w:val="0"/>
          <w:sz w:val="24"/>
          <w:szCs w:val="24"/>
          <w:highlight w:val="none"/>
          <w:u w:val="none"/>
          <w:lang w:val="en-US" w:eastAsia="zh-CN"/>
        </w:rPr>
        <w:t xml:space="preserve">10个工作日内</w:t>
      </w:r>
      <w:r>
        <w:rPr>
          <w:rFonts w:hint="eastAsia" w:ascii="宋体" w:hAnsi="宋体" w:eastAsia="宋体" w:cs="宋体"/>
          <w:b w:val="0"/>
          <w:bCs w:val="0"/>
          <w:i w:val="0"/>
          <w:iCs w:val="0"/>
          <w:color w:val="auto"/>
          <w:sz w:val="24"/>
          <w:szCs w:val="24"/>
          <w:highlight w:val="none"/>
          <w:u w:val="none"/>
          <w:lang w:val="en-US" w:eastAsia="zh-CN"/>
        </w:rPr>
        <w:t xml:space="preserve">支付合同价款的20%。     </w:t>
      </w:r>
      <w:r>
        <w:rPr>
          <w:rFonts w:hint="eastAsia" w:ascii="宋体" w:hAnsi="宋体" w:eastAsia="宋体" w:cs="宋体"/>
          <w:b w:val="0"/>
          <w:bCs w:val="0"/>
          <w:i w:val="0"/>
          <w:iCs w:val="0"/>
          <w:sz w:val="24"/>
          <w:szCs w:val="24"/>
          <w:highlight w:val="none"/>
          <w:u w:val="none"/>
          <w:lang w:val="en-US" w:eastAsia="zh-CN"/>
        </w:rPr>
        <w:t xml:space="preserve">                       </w:t>
      </w:r>
      <w:r/>
    </w:p>
    <w:p>
      <w:pPr>
        <w:pStyle w:val="956"/>
        <w:ind w:left="0" w:right="0" w:firstLine="0"/>
        <w:pageBreakBefore w:val="0"/>
        <w:spacing w:after="0" w:line="360" w:lineRule="auto"/>
        <w:widowControl/>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lang w:eastAsia="zh-CN"/>
        </w:rPr>
        <w:t xml:space="preserve">九</w:t>
      </w:r>
      <w:r>
        <w:rPr>
          <w:rFonts w:hint="eastAsia" w:ascii="宋体" w:hAnsi="宋体" w:eastAsia="宋体" w:cs="宋体"/>
          <w:b w:val="0"/>
          <w:bCs w:val="0"/>
          <w:i w:val="0"/>
          <w:iCs w:val="0"/>
          <w:sz w:val="24"/>
          <w:szCs w:val="24"/>
          <w:highlight w:val="none"/>
          <w:u w:val="none"/>
        </w:rPr>
        <w:t xml:space="preserve">、其他要求</w:t>
      </w:r>
      <w:r/>
    </w:p>
    <w:p>
      <w:pPr>
        <w:pStyle w:val="750"/>
        <w:numPr>
          <w:ilvl w:val="0"/>
          <w:numId w:val="0"/>
        </w:numPr>
        <w:ind w:right="0" w:firstLine="480"/>
        <w:jc w:val="both"/>
        <w:keepLines w:val="0"/>
        <w:keepNext w:val="0"/>
        <w:spacing w:before="0" w:beforeAutospacing="0" w:after="0" w:afterAutospacing="0" w:line="0" w:lineRule="atLeast"/>
        <w:widowControl w:val="off"/>
        <w:rPr>
          <w:rFonts w:hint="eastAsia"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i w:val="0"/>
          <w:iCs w:val="0"/>
          <w:sz w:val="24"/>
          <w:szCs w:val="24"/>
          <w:u w:val="none"/>
        </w:rPr>
        <w:t xml:space="preserve">本项目为电子投标，</w:t>
      </w:r>
      <w:r>
        <w:rPr>
          <w:rFonts w:hint="eastAsia" w:ascii="宋体" w:hAnsi="宋体" w:eastAsia="宋体" w:cs="宋体"/>
          <w:b w:val="0"/>
          <w:bCs w:val="0"/>
          <w:i w:val="0"/>
          <w:iCs w:val="0"/>
          <w:sz w:val="24"/>
          <w:szCs w:val="24"/>
          <w:u w:val="none"/>
          <w:lang w:val="en-US" w:eastAsia="zh-CN"/>
        </w:rPr>
        <w:t xml:space="preserve">中标</w:t>
      </w:r>
      <w:r>
        <w:rPr>
          <w:rFonts w:hint="eastAsia" w:ascii="宋体" w:hAnsi="宋体" w:eastAsia="宋体" w:cs="宋体"/>
          <w:b w:val="0"/>
          <w:bCs w:val="0"/>
          <w:i w:val="0"/>
          <w:iCs w:val="0"/>
          <w:sz w:val="24"/>
          <w:szCs w:val="24"/>
          <w:u w:val="none"/>
        </w:rPr>
        <w:t xml:space="preserve">单位在领取</w:t>
      </w:r>
      <w:r>
        <w:rPr>
          <w:rFonts w:hint="eastAsia" w:ascii="宋体" w:hAnsi="宋体" w:eastAsia="宋体" w:cs="宋体"/>
          <w:b w:val="0"/>
          <w:bCs w:val="0"/>
          <w:i w:val="0"/>
          <w:iCs w:val="0"/>
          <w:sz w:val="24"/>
          <w:szCs w:val="24"/>
          <w:u w:val="none"/>
          <w:lang w:val="en-US" w:eastAsia="zh-CN"/>
        </w:rPr>
        <w:t xml:space="preserve">中标</w:t>
      </w:r>
      <w:r>
        <w:rPr>
          <w:rFonts w:hint="eastAsia" w:ascii="宋体" w:hAnsi="宋体" w:eastAsia="宋体" w:cs="宋体"/>
          <w:b w:val="0"/>
          <w:bCs w:val="0"/>
          <w:i w:val="0"/>
          <w:iCs w:val="0"/>
          <w:sz w:val="24"/>
          <w:szCs w:val="24"/>
          <w:u w:val="none"/>
        </w:rPr>
        <w:t xml:space="preserve">通知书时递交</w:t>
      </w:r>
      <w:r>
        <w:rPr>
          <w:rFonts w:hint="eastAsia" w:ascii="宋体" w:hAnsi="宋体" w:eastAsia="宋体" w:cs="宋体"/>
          <w:b w:val="0"/>
          <w:bCs w:val="0"/>
          <w:i w:val="0"/>
          <w:iCs w:val="0"/>
          <w:sz w:val="24"/>
          <w:szCs w:val="24"/>
          <w:u w:val="none"/>
          <w:lang w:val="en-US" w:eastAsia="zh-CN"/>
        </w:rPr>
        <w:t xml:space="preserve">一正二副3</w:t>
      </w:r>
      <w:r>
        <w:rPr>
          <w:rFonts w:hint="eastAsia" w:ascii="宋体" w:hAnsi="宋体" w:eastAsia="宋体" w:cs="宋体"/>
          <w:b w:val="0"/>
          <w:bCs w:val="0"/>
          <w:i w:val="0"/>
          <w:iCs w:val="0"/>
          <w:sz w:val="24"/>
          <w:szCs w:val="24"/>
          <w:u w:val="none"/>
        </w:rPr>
        <w:t xml:space="preserve">份完整的投标书，其中需另外增加最终报价的响应报价表。</w:t>
      </w:r>
      <w:r>
        <w:rPr>
          <w:rFonts w:hint="eastAsia" w:ascii="宋体" w:hAnsi="宋体" w:eastAsia="宋体" w:cs="宋体"/>
          <w:b w:val="0"/>
          <w:bCs w:val="0"/>
          <w:i w:val="0"/>
          <w:iCs w:val="0"/>
          <w:color w:val="000000"/>
          <w:sz w:val="24"/>
          <w:szCs w:val="24"/>
          <w:u w:val="none"/>
        </w:rPr>
        <w:t xml:space="preserve"> </w:t>
      </w:r>
      <w:r/>
    </w:p>
    <w:p>
      <w:pPr>
        <w:rPr>
          <w:rFonts w:hint="eastAsia" w:ascii="黑体" w:eastAsia="黑体"/>
          <w:bCs/>
          <w:color w:val="000000"/>
          <w:sz w:val="44"/>
        </w:rPr>
      </w:pPr>
      <w:r>
        <w:rPr>
          <w:rFonts w:hint="eastAsia" w:ascii="黑体" w:eastAsia="黑体"/>
          <w:bCs/>
          <w:color w:val="000000"/>
          <w:sz w:val="44"/>
        </w:rPr>
        <w:br w:type="page" w:clear="all"/>
      </w:r>
      <w:r/>
    </w:p>
    <w:p>
      <w:pPr>
        <w:pStyle w:val="906"/>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993"/>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73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750"/>
        <w:ind w:left="0" w:right="0" w:firstLine="439"/>
        <w:keepLines w:val="0"/>
        <w:keepNext w:val="0"/>
        <w:spacing w:before="120" w:beforeAutospacing="0" w:after="120" w:afterAutospacing="0" w:line="0" w:lineRule="atLeast"/>
        <w:widowControl w:val="off"/>
        <w:rPr>
          <w:rFonts w:hint="eastAsia" w:ascii="Arial" w:hAnsi="Arial" w:eastAsia="宋体" w:cs="Arial"/>
          <w:color w:val="ff0000"/>
          <w:sz w:val="24"/>
          <w:szCs w:val="24"/>
          <w:shd w:val="clear" w:color="auto" w:fill="ffff00"/>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Arial" w:hAnsi="Arial" w:eastAsia="宋体" w:cs="Arial"/>
          <w:color w:val="ff0000"/>
          <w:sz w:val="24"/>
          <w:szCs w:val="24"/>
          <w:shd w:val="clear" w:color="auto" w:fill="ffff00"/>
          <w:lang w:eastAsia="zh-CN"/>
        </w:rPr>
      </w:r>
      <w:r/>
    </w:p>
    <w:p>
      <w:pPr>
        <w:pStyle w:val="993"/>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w:t>
      </w:r>
      <w:r/>
    </w:p>
    <w:tbl>
      <w:tblPr>
        <w:tblStyle w:val="73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pStyle w:val="750"/>
        <w:ind w:right="0" w:firstLine="480"/>
        <w:keepLines w:val="0"/>
        <w:keepNext w:val="0"/>
        <w:spacing w:before="120" w:beforeAutospacing="0" w:after="120" w:afterAutospacing="0" w:line="0" w:lineRule="atLeast"/>
        <w:widowControl w:val="off"/>
        <w:rPr>
          <w:rFonts w:hint="eastAsia" w:ascii="宋体" w:hAnsi="宋体" w:eastAsia="宋体" w:cs="宋体"/>
          <w:color w:val="000000"/>
          <w:sz w:val="24"/>
          <w:szCs w:val="24"/>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yellow"/>
        </w:rPr>
      </w:r>
      <w:r/>
    </w:p>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的扣除价格，用扣除后的价格参与评审。</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w:t>
      </w:r>
      <w:r>
        <w:rPr>
          <w:rFonts w:hint="eastAsia" w:ascii="宋体" w:hAnsi="宋体"/>
          <w:color w:val="auto"/>
          <w:sz w:val="24"/>
          <w:szCs w:val="24"/>
          <w:highlight w:val="none"/>
        </w:rPr>
        <w:t xml:space="preserve">相应的《中小企业声明函</w:t>
      </w:r>
      <w:r>
        <w:rPr>
          <w:rFonts w:hint="eastAsia" w:ascii="宋体" w:hAnsi="宋体"/>
          <w:color w:val="000000"/>
          <w:sz w:val="24"/>
          <w:szCs w:val="24"/>
          <w:highlight w:val="none"/>
        </w:rPr>
        <w:t xml:space="preserve">》。</w:t>
      </w:r>
      <w:r/>
    </w:p>
    <w:p>
      <w:pPr>
        <w:pStyle w:val="993"/>
        <w:ind w:firstLine="360"/>
        <w:spacing w:line="0" w:lineRule="atLeast"/>
        <w:rPr>
          <w:rFonts w:hint="default" w:ascii="宋体" w:hAnsi="宋体" w:eastAsia="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20"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价格扣除，用扣除后的价格参与评审。</w:t>
      </w:r>
      <w:r/>
    </w:p>
    <w:p>
      <w:pPr>
        <w:pStyle w:val="993"/>
        <w:ind w:firstLine="482"/>
        <w:spacing w:line="0" w:lineRule="atLeast"/>
        <w:rPr>
          <w:rFonts w:hint="eastAsia" w:ascii="宋体" w:hAnsi="宋体"/>
          <w:color w:val="ff0000"/>
          <w:sz w:val="24"/>
          <w:szCs w:val="24"/>
        </w:rPr>
      </w:pPr>
      <w:r>
        <w:rPr>
          <w:rFonts w:hint="eastAsia" w:ascii="宋体" w:hAnsi="宋体"/>
          <w:b/>
          <w:color w:val="000000"/>
        </w:rPr>
        <w:t xml:space="preserve">评标方法与评标标准</w:t>
      </w:r>
      <w:r>
        <w:rPr>
          <w:rFonts w:hint="eastAsia"/>
          <w:color w:val="000000"/>
        </w:rPr>
        <w:t xml:space="preserve"> </w:t>
      </w:r>
      <w:r>
        <w:rPr>
          <w:rFonts w:hint="eastAsia" w:ascii="Arial" w:hAnsi="Arial"/>
          <w:color w:val="000000"/>
          <w:sz w:val="24"/>
          <w:szCs w:val="24"/>
        </w:rPr>
        <w:t xml:space="preserve"> </w:t>
      </w:r>
      <w:r/>
    </w:p>
    <w:tbl>
      <w:tblPr>
        <w:tblStyle w:val="753"/>
        <w:tblW w:w="9648" w:type="dxa"/>
        <w:tblInd w:w="-2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2"/>
        <w:gridCol w:w="8416"/>
      </w:tblGrid>
      <w:tr>
        <w:trPr>
          <w:trHeight w:val="29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8" w:type="dxa"/>
            <w:vAlign w:val="center"/>
            <w:textDirection w:val="lrTb"/>
            <w:noWrap w:val="false"/>
          </w:tcPr>
          <w:p>
            <w:pPr>
              <w:ind w:left="0" w:right="0" w:firstLine="0"/>
              <w:jc w:val="center"/>
              <w:spacing w:before="220" w:after="0" w:line="250" w:lineRule="atLeast"/>
              <w:rPr>
                <w:rFonts w:hint="eastAsia" w:ascii="楷体" w:hAnsi="楷体" w:eastAsia="楷体" w:cs="楷体"/>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1"/>
                <w:szCs w:val="21"/>
              </w:rPr>
              <w:t xml:space="preserve">评  分  标  准</w:t>
            </w:r>
            <w:r/>
          </w:p>
        </w:tc>
      </w:tr>
      <w:tr>
        <w:trPr>
          <w:trHeight w:val="5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sz w:val="21"/>
                <w:szCs w:val="21"/>
                <w:lang w:val="en-US" w:eastAsia="zh-CN" w:bidi="ar"/>
              </w:rPr>
              <w:suppressLineNumbers w:val="0"/>
            </w:pPr>
            <w:r>
              <w:rPr>
                <w:rFonts w:hint="eastAsia" w:ascii="楷体" w:hAnsi="楷体" w:eastAsia="楷体" w:cs="楷体"/>
                <w:color w:val="000000"/>
                <w:sz w:val="21"/>
                <w:szCs w:val="21"/>
                <w:lang w:val="en-US" w:eastAsia="zh-CN" w:bidi="ar"/>
              </w:rPr>
              <w:t xml:space="preserve">价格分</w:t>
            </w:r>
            <w:r/>
          </w:p>
          <w:p>
            <w:pPr>
              <w:jc w:val="center"/>
              <w:keepLines w:val="0"/>
              <w:keepNext w:val="0"/>
              <w:spacing w:after="0" w:line="240" w:lineRule="auto"/>
              <w:widowControl/>
              <w:rPr>
                <w:rFonts w:hint="eastAsia" w:ascii="楷体" w:hAnsi="楷体" w:eastAsia="楷体" w:cs="楷体"/>
                <w:sz w:val="21"/>
                <w:szCs w:val="21"/>
              </w:rPr>
              <w:suppressLineNumbers w:val="0"/>
            </w:pPr>
            <w:r>
              <w:rPr>
                <w:rFonts w:hint="eastAsia" w:ascii="楷体" w:hAnsi="楷体" w:eastAsia="楷体" w:cs="楷体"/>
                <w:color w:val="000000"/>
                <w:sz w:val="21"/>
                <w:szCs w:val="21"/>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left"/>
              <w:keepLines w:val="0"/>
              <w:keepNext w:val="0"/>
              <w:spacing w:after="0" w:line="240" w:lineRule="auto"/>
              <w:widowControl/>
              <w:rPr>
                <w:rFonts w:hint="eastAsia" w:ascii="楷体" w:hAnsi="楷体" w:eastAsia="楷体" w:cs="楷体"/>
                <w:color w:val="000000"/>
                <w:sz w:val="21"/>
                <w:szCs w:val="21"/>
                <w:lang w:val="en-US" w:eastAsia="zh-CN"/>
              </w:rPr>
              <w:suppressLineNumbers w:val="0"/>
            </w:pPr>
            <w:r>
              <w:rPr>
                <w:rFonts w:hint="eastAsia" w:ascii="楷体" w:hAnsi="楷体" w:eastAsia="楷体" w:cs="楷体"/>
                <w:color w:val="000000"/>
                <w:sz w:val="21"/>
                <w:szCs w:val="21"/>
              </w:rPr>
              <w:t xml:space="preserve">以满足招标文件要求的最低投标报价为评标基准价，得满分10分，其他投标报价得分＝（评标基准价/其他投标报价）×10×100％。</w:t>
            </w:r>
            <w:r/>
          </w:p>
        </w:tc>
      </w:tr>
      <w:tr>
        <w:trPr>
          <w:trHeight w:val="597"/>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8" w:type="dxa"/>
            <w:vAlign w:val="center"/>
            <w:textDirection w:val="lrTb"/>
            <w:noWrap w:val="false"/>
          </w:tcPr>
          <w:p>
            <w:pPr>
              <w:jc w:val="center"/>
              <w:keepLines w:val="0"/>
              <w:keepNext w:val="0"/>
              <w:spacing w:after="0" w:line="240" w:lineRule="auto"/>
              <w:widowControl/>
              <w:rPr>
                <w:rFonts w:hint="default" w:ascii="楷体" w:hAnsi="楷体" w:eastAsia="楷体" w:cs="楷体"/>
                <w:color w:val="000000"/>
                <w:sz w:val="21"/>
                <w:szCs w:val="21"/>
                <w:lang w:val="en-US" w:eastAsia="zh-CN"/>
              </w:rPr>
              <w:suppressLineNumbers w:val="0"/>
            </w:pPr>
            <w:r>
              <w:rPr>
                <w:rFonts w:hint="eastAsia" w:ascii="楷体" w:hAnsi="楷体" w:eastAsia="楷体" w:cs="楷体"/>
                <w:color w:val="000000"/>
                <w:sz w:val="21"/>
                <w:szCs w:val="21"/>
                <w:lang w:val="en-US" w:eastAsia="zh-CN"/>
              </w:rPr>
              <w:t xml:space="preserve">技术部分（56分）</w:t>
            </w:r>
            <w:r/>
          </w:p>
        </w:tc>
      </w:tr>
      <w:tr>
        <w:trPr>
          <w:trHeight w:val="5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赛事整体策划方案（6分）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both"/>
              <w:keepLines w:val="0"/>
              <w:keepNext w:val="0"/>
              <w:spacing w:after="0" w:line="240" w:lineRule="auto"/>
              <w:widowControl/>
              <w:rPr>
                <w:rFonts w:hint="eastAsia" w:ascii="楷体" w:hAnsi="楷体" w:eastAsia="楷体" w:cs="楷体"/>
                <w:color w:val="000000" w:themeColor="text1"/>
                <w:sz w:val="21"/>
                <w:szCs w:val="21"/>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赛事整体策划方案优于招标文件要求得6分；符合招标文件要求得4分；不符合招标文件要求或未提供的不得分。</w:t>
            </w:r>
            <w:r/>
          </w:p>
        </w:tc>
      </w:tr>
      <w:tr>
        <w:trPr>
          <w:trHeight w:val="7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赛事竞赛组织方案（6分）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both"/>
              <w:keepLines w:val="0"/>
              <w:keepNext w:val="0"/>
              <w:spacing w:after="0" w:line="240" w:lineRule="auto"/>
              <w:widowControl/>
              <w:rPr>
                <w:rFonts w:hint="eastAsia" w:ascii="楷体" w:hAnsi="楷体" w:eastAsia="楷体" w:cs="楷体"/>
                <w:color w:val="000000" w:themeColor="text1"/>
                <w:sz w:val="21"/>
                <w:szCs w:val="21"/>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赛事竞赛组织方案优于招标文件要求得6分；符合招标文件要求得4分；不符合招标文件要求或未提供的不得分。</w:t>
            </w:r>
            <w:r/>
          </w:p>
        </w:tc>
      </w:tr>
      <w:tr>
        <w:trPr>
          <w:trHeight w:val="7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赛事报名及抽签专项方案（6分）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both"/>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赛事报名及抽签专项方案优于招标文件要求得6分；符合招标文件要求得4分；不符合招标文件要求或未提供的不得分。</w:t>
            </w:r>
            <w:r/>
          </w:p>
        </w:tc>
      </w:tr>
      <w:tr>
        <w:trPr>
          <w:trHeight w:val="6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赛事安全保卫专项方案（5分）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both"/>
              <w:keepLines w:val="0"/>
              <w:keepNext w:val="0"/>
              <w:spacing w:after="0" w:line="240" w:lineRule="auto"/>
              <w:widowControl/>
              <w:rPr>
                <w:rFonts w:hint="eastAsia" w:ascii="楷体" w:hAnsi="楷体" w:eastAsia="楷体" w:cs="楷体"/>
                <w:color w:val="000000" w:themeColor="text1"/>
                <w:sz w:val="21"/>
                <w:szCs w:val="21"/>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赛事安全保卫专项方案优于招标文件要求得5分；符合招标文件要求得3分；不符合招标文件要求或未提供的不得分。</w:t>
            </w:r>
            <w:r/>
          </w:p>
        </w:tc>
      </w:tr>
      <w:tr>
        <w:trPr>
          <w:trHeight w:val="5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赛事医疗保障专项方案（5分）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both"/>
              <w:keepLines w:val="0"/>
              <w:keepNext w:val="0"/>
              <w:spacing w:after="0" w:line="240" w:lineRule="auto"/>
              <w:widowControl/>
              <w:rPr>
                <w:rFonts w:hint="eastAsia" w:ascii="楷体" w:hAnsi="楷体" w:eastAsia="楷体" w:cs="楷体"/>
                <w:color w:val="000000" w:themeColor="text1"/>
                <w:sz w:val="21"/>
                <w:szCs w:val="21"/>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赛事医疗保障专项方案优于招标文件要求得5分；符合招标文件要求得3分；不符合招标文件要求或未提供的不得分。</w:t>
            </w:r>
            <w:r/>
          </w:p>
        </w:tc>
      </w:tr>
      <w:tr>
        <w:trPr>
          <w:trHeight w:val="6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赛事后勤保障专项方案（5分）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both"/>
              <w:keepLines w:val="0"/>
              <w:keepNext w:val="0"/>
              <w:spacing w:after="0" w:line="240" w:lineRule="auto"/>
              <w:widowControl/>
              <w:rPr>
                <w:rFonts w:hint="eastAsia" w:ascii="楷体" w:hAnsi="楷体" w:eastAsia="楷体" w:cs="楷体"/>
                <w:color w:val="000000" w:themeColor="text1"/>
                <w:sz w:val="21"/>
                <w:szCs w:val="21"/>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赛事后勤保障专项方案优于招标文件要求得5分；符合招标文件要求得3分；不符合招标文件要求或未提供的不得分。</w:t>
            </w:r>
            <w:r/>
          </w:p>
        </w:tc>
      </w:tr>
      <w:tr>
        <w:trPr>
          <w:trHeight w:val="6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视觉设计方案</w:t>
            </w:r>
            <w:r/>
          </w:p>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both"/>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视觉设计方案优于招标文件要求得5分；符合招标文件要求得3分；不符合招标文件要求或未提供的不得分。</w:t>
            </w:r>
            <w:r/>
          </w:p>
        </w:tc>
      </w:tr>
      <w:tr>
        <w:trPr>
          <w:trHeight w:val="5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赛事志愿服务专项方案（6分）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both"/>
              <w:keepLines w:val="0"/>
              <w:keepNext w:val="0"/>
              <w:spacing w:after="0" w:line="240" w:lineRule="auto"/>
              <w:widowControl/>
              <w:rPr>
                <w:rFonts w:hint="eastAsia" w:ascii="楷体" w:hAnsi="楷体" w:eastAsia="楷体" w:cs="楷体"/>
                <w:color w:val="000000" w:themeColor="text1"/>
                <w:sz w:val="21"/>
                <w:szCs w:val="21"/>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赛事志愿服务专项方案优于招标文件要求得6分；符合招标文件要求得4分；不符合招标文件要求或未提供的不得分。</w:t>
            </w:r>
            <w:r/>
          </w:p>
        </w:tc>
      </w:tr>
      <w:tr>
        <w:trPr>
          <w:trHeight w:val="11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市场招商服务方案（6分）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both"/>
              <w:keepLines w:val="0"/>
              <w:keepNext w:val="0"/>
              <w:spacing w:after="0" w:line="240" w:lineRule="auto"/>
              <w:widowControl/>
              <w:rPr>
                <w:rFonts w:hint="eastAsia" w:ascii="楷体" w:hAnsi="楷体" w:eastAsia="楷体" w:cs="楷体"/>
                <w:color w:val="000000" w:themeColor="text1"/>
                <w:sz w:val="21"/>
                <w:szCs w:val="21"/>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市场招商服务方案优于招标文件要求得6分；符合招标文件要求得4分；不符合招标文件要求或未提供的不得分。</w:t>
            </w:r>
            <w:r/>
          </w:p>
        </w:tc>
      </w:tr>
      <w:tr>
        <w:trPr>
          <w:trHeight w:val="5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themeColor="text1"/>
                <w:sz w:val="21"/>
                <w:szCs w:val="21"/>
                <w:lang w:val="en-US" w:eastAsia="zh-CN" w:bidi="ar"/>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赛事宣传推广专项方案（6分）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both"/>
              <w:keepLines w:val="0"/>
              <w:keepNext w:val="0"/>
              <w:spacing w:after="0" w:line="240" w:lineRule="auto"/>
              <w:widowControl/>
              <w:rPr>
                <w:rFonts w:hint="eastAsia" w:ascii="楷体" w:hAnsi="楷体" w:eastAsia="楷体" w:cs="楷体"/>
                <w:color w:val="000000" w:themeColor="text1"/>
                <w:sz w:val="21"/>
                <w:szCs w:val="21"/>
                <w14:textFill>
                  <w14:solidFill>
                    <w14:schemeClr w14:val="tx1"/>
                  </w14:solidFill>
                </w14:textFill>
              </w:rPr>
              <w:suppressLineNumbers w:val="0"/>
            </w:pPr>
            <w:r>
              <w:rPr>
                <w:rFonts w:hint="eastAsia" w:ascii="楷体" w:hAnsi="楷体" w:eastAsia="楷体" w:cs="楷体"/>
                <w:color w:val="000000" w:themeColor="text1"/>
                <w:sz w:val="21"/>
                <w:szCs w:val="21"/>
                <w:lang w:val="en-US" w:eastAsia="zh-CN" w:bidi="ar"/>
                <w14:textFill>
                  <w14:solidFill>
                    <w14:schemeClr w14:val="tx1"/>
                  </w14:solidFill>
                </w14:textFill>
              </w:rPr>
              <w:t xml:space="preserve">赛事宣传推广专项方案优于招标文件要求得6分；符合招标文件要求得4分；不符合招标文件要求或未提供的不得分。</w:t>
            </w:r>
            <w:r/>
          </w:p>
        </w:tc>
      </w:tr>
      <w:tr>
        <w:trPr>
          <w:trHeight w:val="597"/>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48" w:type="dxa"/>
            <w:vAlign w:val="center"/>
            <w:textDirection w:val="lrTb"/>
            <w:noWrap w:val="false"/>
          </w:tcPr>
          <w:p>
            <w:pPr>
              <w:jc w:val="center"/>
              <w:keepLines w:val="0"/>
              <w:keepNext w:val="0"/>
              <w:spacing w:after="0" w:line="240" w:lineRule="auto"/>
              <w:widowControl/>
              <w:rPr>
                <w:rFonts w:hint="default" w:ascii="楷体" w:hAnsi="楷体" w:eastAsia="楷体" w:cs="楷体"/>
                <w:color w:val="000000"/>
                <w:sz w:val="21"/>
                <w:szCs w:val="21"/>
                <w:lang w:val="en-US" w:eastAsia="zh-CN"/>
              </w:rPr>
              <w:suppressLineNumbers w:val="0"/>
            </w:pPr>
            <w:r>
              <w:rPr>
                <w:rFonts w:hint="eastAsia" w:ascii="楷体" w:hAnsi="楷体" w:eastAsia="楷体" w:cs="楷体"/>
                <w:color w:val="000000"/>
                <w:sz w:val="21"/>
                <w:szCs w:val="21"/>
                <w:lang w:val="en-US" w:eastAsia="zh-CN"/>
              </w:rPr>
              <w:t xml:space="preserve">商务部分（34分）</w:t>
            </w:r>
            <w:r/>
          </w:p>
        </w:tc>
      </w:tr>
      <w:tr>
        <w:trPr>
          <w:trHeight w:val="7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sz w:val="21"/>
                <w:szCs w:val="21"/>
              </w:rPr>
              <w:suppressLineNumbers w:val="0"/>
            </w:pPr>
            <w:r>
              <w:rPr>
                <w:rFonts w:hint="eastAsia" w:ascii="楷体" w:hAnsi="楷体" w:eastAsia="楷体" w:cs="楷体"/>
                <w:color w:val="000000"/>
                <w:sz w:val="21"/>
                <w:szCs w:val="21"/>
                <w:lang w:val="en-US" w:eastAsia="zh-CN" w:bidi="ar"/>
              </w:rPr>
              <w:t xml:space="preserve">类似业绩</w:t>
            </w:r>
            <w:r/>
          </w:p>
          <w:p>
            <w:pPr>
              <w:jc w:val="center"/>
              <w:spacing w:after="0" w:line="360" w:lineRule="auto"/>
              <w:tabs>
                <w:tab w:val="left" w:pos="2870" w:leader="none"/>
              </w:tabs>
              <w:rPr>
                <w:rFonts w:hint="eastAsia" w:ascii="楷体" w:hAnsi="楷体" w:eastAsia="楷体" w:cs="楷体"/>
                <w:color w:val="000000"/>
                <w:sz w:val="21"/>
                <w:szCs w:val="21"/>
                <w:lang w:val="zh-CN" w:eastAsia="zh-CN"/>
              </w:rPr>
            </w:pPr>
            <w:r>
              <w:rPr>
                <w:rFonts w:hint="eastAsia" w:ascii="楷体" w:hAnsi="楷体" w:eastAsia="楷体" w:cs="楷体"/>
                <w:color w:val="000000"/>
                <w:sz w:val="21"/>
                <w:szCs w:val="21"/>
                <w:lang w:val="zh-CN" w:eastAsia="zh-CN"/>
              </w:rPr>
              <w:t xml:space="preserve">（</w:t>
            </w:r>
            <w:r>
              <w:rPr>
                <w:rFonts w:hint="eastAsia" w:ascii="楷体" w:hAnsi="楷体" w:eastAsia="楷体" w:cs="楷体"/>
                <w:color w:val="000000"/>
                <w:sz w:val="21"/>
                <w:szCs w:val="21"/>
                <w:lang w:val="en-US" w:eastAsia="zh-CN"/>
              </w:rPr>
              <w:t xml:space="preserve">10分</w:t>
            </w:r>
            <w:r>
              <w:rPr>
                <w:rFonts w:hint="eastAsia" w:ascii="楷体" w:hAnsi="楷体" w:eastAsia="楷体" w:cs="楷体"/>
                <w:color w:val="000000"/>
                <w:sz w:val="21"/>
                <w:szCs w:val="21"/>
                <w:lang w:val="zh-CN"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ind w:firstLine="210"/>
              <w:jc w:val="left"/>
              <w:keepLines w:val="0"/>
              <w:keepNext w:val="0"/>
              <w:spacing w:after="0" w:line="240" w:lineRule="auto"/>
              <w:widowControl/>
              <w:rPr>
                <w:rFonts w:hint="eastAsia" w:ascii="楷体" w:hAnsi="楷体" w:eastAsia="楷体" w:cs="楷体"/>
                <w:color w:val="000000"/>
                <w:sz w:val="21"/>
                <w:szCs w:val="21"/>
                <w:lang w:val="en-US" w:eastAsia="zh-CN" w:bidi="ar"/>
              </w:rPr>
              <w:suppressLineNumbers w:val="0"/>
            </w:pPr>
            <w:r>
              <w:rPr>
                <w:rFonts w:hint="eastAsia" w:ascii="楷体" w:hAnsi="楷体" w:eastAsia="楷体" w:cs="楷体"/>
                <w:color w:val="000000"/>
                <w:sz w:val="21"/>
                <w:szCs w:val="21"/>
                <w:lang w:val="en-US" w:eastAsia="zh-CN" w:bidi="ar"/>
              </w:rPr>
              <w:t xml:space="preserve">2023年1月1日至响应截止日（以合同签订时间为准），投标人具有马拉松赛或半程马拉松赛赛事服务业绩的，每提供1个得2分，最高得10分。 </w:t>
            </w:r>
            <w:r/>
          </w:p>
          <w:p>
            <w:pPr>
              <w:ind w:firstLine="210"/>
              <w:jc w:val="left"/>
              <w:keepLines w:val="0"/>
              <w:keepNext w:val="0"/>
              <w:spacing w:after="0" w:line="240" w:lineRule="auto"/>
              <w:widowControl/>
              <w:rPr>
                <w:rFonts w:hint="eastAsia" w:ascii="楷体" w:hAnsi="楷体" w:eastAsia="楷体" w:cs="楷体"/>
                <w:color w:val="000000"/>
                <w:sz w:val="21"/>
                <w:szCs w:val="21"/>
                <w:lang w:val="en-US" w:eastAsia="zh-CN" w:bidi="ar"/>
              </w:rPr>
              <w:suppressLineNumbers w:val="0"/>
            </w:pPr>
            <w:r>
              <w:rPr>
                <w:rFonts w:hint="eastAsia" w:ascii="楷体" w:hAnsi="楷体" w:eastAsia="楷体" w:cs="楷体"/>
                <w:color w:val="000000"/>
                <w:sz w:val="21"/>
                <w:szCs w:val="21"/>
                <w:lang w:val="en-US" w:eastAsia="zh-CN" w:bidi="ar"/>
              </w:rPr>
              <w:t xml:space="preserve">注：投标文件中应</w:t>
            </w:r>
            <w:bookmarkStart w:id="199" w:name="_GoBack"/>
            <w:r/>
            <w:bookmarkEnd w:id="199"/>
            <w:r>
              <w:rPr>
                <w:rFonts w:hint="eastAsia" w:ascii="楷体" w:hAnsi="楷体" w:eastAsia="楷体" w:cs="楷体"/>
                <w:color w:val="000000"/>
                <w:sz w:val="21"/>
                <w:szCs w:val="21"/>
                <w:lang w:val="en-US" w:eastAsia="zh-CN" w:bidi="ar"/>
              </w:rPr>
              <w:t xml:space="preserve">提供赛事合同、中标(成交)通知书、中标(成交)公示截图、履约完成证明扫描件。未提供或提供不全不得分。 </w:t>
            </w:r>
            <w:r/>
          </w:p>
        </w:tc>
      </w:tr>
      <w:tr>
        <w:trPr>
          <w:trHeight w:val="17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2" w:type="dxa"/>
            <w:vAlign w:val="center"/>
            <w:textDirection w:val="lrTb"/>
            <w:noWrap w:val="false"/>
          </w:tcPr>
          <w:p>
            <w:pPr>
              <w:jc w:val="center"/>
              <w:keepLines w:val="0"/>
              <w:keepNext w:val="0"/>
              <w:spacing w:after="0" w:line="240" w:lineRule="auto"/>
              <w:widowControl/>
              <w:rPr>
                <w:rFonts w:hint="eastAsia" w:ascii="楷体" w:hAnsi="楷体" w:eastAsia="楷体" w:cs="楷体"/>
                <w:color w:val="000000"/>
                <w:sz w:val="21"/>
                <w:szCs w:val="21"/>
                <w:lang w:val="zh-CN" w:eastAsia="zh-CN" w:bidi="ar"/>
              </w:rPr>
              <w:suppressLineNumbers w:val="0"/>
            </w:pPr>
            <w:r>
              <w:rPr>
                <w:rFonts w:hint="eastAsia" w:ascii="楷体" w:hAnsi="楷体" w:eastAsia="楷体" w:cs="楷体"/>
                <w:color w:val="000000"/>
                <w:sz w:val="21"/>
                <w:szCs w:val="21"/>
                <w:lang w:val="en-US" w:eastAsia="zh-CN" w:bidi="ar"/>
              </w:rPr>
              <w:t xml:space="preserve">服务团队人员（24分）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16" w:type="dxa"/>
            <w:vAlign w:val="center"/>
            <w:textDirection w:val="lrTb"/>
            <w:noWrap w:val="false"/>
          </w:tcPr>
          <w:p>
            <w:pPr>
              <w:jc w:val="left"/>
              <w:keepLines w:val="0"/>
              <w:keepNext w:val="0"/>
              <w:spacing w:after="0" w:line="240" w:lineRule="auto"/>
              <w:widowControl/>
              <w:rPr>
                <w:rFonts w:hint="eastAsia" w:ascii="楷体" w:hAnsi="楷体" w:eastAsia="楷体" w:cs="楷体"/>
                <w:color w:val="000000"/>
                <w:sz w:val="21"/>
                <w:szCs w:val="21"/>
                <w:lang w:val="en-US" w:eastAsia="zh-CN" w:bidi="ar"/>
              </w:rPr>
              <w:suppressLineNumbers w:val="0"/>
            </w:pPr>
            <w:r>
              <w:rPr>
                <w:rFonts w:hint="eastAsia" w:ascii="楷体" w:hAnsi="楷体" w:eastAsia="楷体" w:cs="楷体"/>
                <w:color w:val="000000"/>
                <w:sz w:val="21"/>
                <w:szCs w:val="21"/>
                <w:lang w:val="en-US" w:eastAsia="zh-CN" w:bidi="ar"/>
              </w:rPr>
              <w:t xml:space="preserve">根据投标人为本项目拟配备的服务团队人员进行评分：</w:t>
            </w:r>
            <w:r>
              <w:rPr>
                <w:rFonts w:hint="eastAsia" w:ascii="楷体" w:hAnsi="楷体" w:eastAsia="楷体" w:cs="楷体"/>
                <w:color w:val="000000"/>
                <w:sz w:val="21"/>
                <w:szCs w:val="21"/>
                <w:lang w:val="en-US" w:eastAsia="zh-CN" w:bidi="ar"/>
              </w:rPr>
              <w:br/>
            </w:r>
            <w:r>
              <w:rPr>
                <w:rFonts w:hint="eastAsia" w:ascii="楷体" w:hAnsi="楷体" w:eastAsia="楷体" w:cs="楷体"/>
                <w:color w:val="000000"/>
                <w:sz w:val="21"/>
                <w:szCs w:val="21"/>
                <w:lang w:val="en-US" w:eastAsia="zh-CN" w:bidi="ar"/>
              </w:rPr>
              <w:t xml:space="preserve">1、拟配备的服务团队人员在响应采购需求（赛时运行15人）的基础上，每多配备2人加1分，本项最高得6分。</w:t>
            </w:r>
            <w:r>
              <w:rPr>
                <w:rFonts w:hint="eastAsia" w:ascii="楷体" w:hAnsi="楷体" w:eastAsia="楷体" w:cs="楷体"/>
                <w:color w:val="000000"/>
                <w:sz w:val="21"/>
                <w:szCs w:val="21"/>
                <w:lang w:val="en-US" w:eastAsia="zh-CN" w:bidi="ar"/>
              </w:rPr>
              <w:br/>
            </w:r>
            <w:r>
              <w:rPr>
                <w:rFonts w:hint="eastAsia" w:ascii="楷体" w:hAnsi="楷体" w:eastAsia="楷体" w:cs="楷体"/>
                <w:color w:val="000000"/>
                <w:sz w:val="21"/>
                <w:szCs w:val="21"/>
                <w:lang w:val="en-US" w:eastAsia="zh-CN" w:bidi="ar"/>
              </w:rPr>
              <w:t xml:space="preserve">2、服务团队人员中具有中国田径协会颁发的“竞赛组织管理”结业证书，每提供1人得1分，最高得6分。</w:t>
            </w:r>
            <w:r/>
          </w:p>
          <w:p>
            <w:pPr>
              <w:jc w:val="left"/>
              <w:keepLines w:val="0"/>
              <w:keepNext w:val="0"/>
              <w:spacing w:after="0" w:line="240" w:lineRule="auto"/>
              <w:widowControl/>
              <w:rPr>
                <w:rFonts w:hint="eastAsia" w:ascii="楷体" w:hAnsi="楷体" w:eastAsia="楷体" w:cs="楷体"/>
                <w:color w:val="000000"/>
                <w:sz w:val="21"/>
                <w:szCs w:val="21"/>
                <w:lang w:val="en-US" w:eastAsia="zh-CN" w:bidi="ar"/>
              </w:rPr>
              <w:suppressLineNumbers w:val="0"/>
            </w:pPr>
            <w:r>
              <w:rPr>
                <w:rFonts w:hint="eastAsia" w:ascii="楷体" w:hAnsi="楷体" w:eastAsia="楷体" w:cs="楷体"/>
                <w:color w:val="000000"/>
                <w:sz w:val="21"/>
                <w:szCs w:val="21"/>
                <w:lang w:val="en-US" w:eastAsia="zh-CN" w:bidi="ar"/>
              </w:rPr>
              <w:t xml:space="preserve">3、服务团队人员中具有中国田径协会颁发的“媒体传播专题培训”相关结业证书，每提供1人得1分，最高得6分。</w:t>
            </w:r>
            <w:r/>
          </w:p>
          <w:p>
            <w:pPr>
              <w:jc w:val="left"/>
              <w:keepLines w:val="0"/>
              <w:keepNext w:val="0"/>
              <w:spacing w:after="0" w:line="240" w:lineRule="auto"/>
              <w:widowControl/>
              <w:rPr>
                <w:rFonts w:hint="eastAsia" w:ascii="楷体" w:hAnsi="楷体" w:eastAsia="楷体" w:cs="楷体"/>
                <w:color w:val="000000"/>
                <w:sz w:val="21"/>
                <w:szCs w:val="21"/>
                <w:lang w:val="zh-CN" w:eastAsia="zh-CN" w:bidi="ar"/>
              </w:rPr>
              <w:suppressLineNumbers w:val="0"/>
            </w:pPr>
            <w:r>
              <w:rPr>
                <w:rFonts w:hint="eastAsia" w:ascii="楷体" w:hAnsi="楷体" w:eastAsia="楷体" w:cs="楷体"/>
                <w:color w:val="000000"/>
                <w:sz w:val="21"/>
                <w:szCs w:val="21"/>
                <w:lang w:val="en-US" w:eastAsia="zh-CN" w:bidi="ar"/>
              </w:rPr>
              <w:t xml:space="preserve">4、服务团队人员中具有中国田径协会颁发的“医疗急救”相关结业证书，每提供1人得1分，最高得6分。</w:t>
            </w:r>
            <w:r>
              <w:rPr>
                <w:rFonts w:hint="eastAsia" w:ascii="楷体" w:hAnsi="楷体" w:eastAsia="楷体" w:cs="楷体"/>
                <w:color w:val="000000"/>
                <w:sz w:val="21"/>
                <w:szCs w:val="21"/>
                <w:lang w:val="en-US" w:eastAsia="zh-CN" w:bidi="ar"/>
              </w:rPr>
              <w:br/>
            </w:r>
            <w:r>
              <w:rPr>
                <w:rFonts w:hint="eastAsia" w:ascii="楷体" w:hAnsi="楷体" w:eastAsia="楷体" w:cs="楷体"/>
                <w:color w:val="000000"/>
                <w:sz w:val="21"/>
                <w:szCs w:val="21"/>
                <w:lang w:val="en-US" w:eastAsia="zh-CN" w:bidi="ar"/>
              </w:rPr>
              <w:t xml:space="preserve">注：提供人员名单、对应人员证书及投标截止时间前3个月内任意一个月为其缴纳的社保证明材料。</w:t>
            </w:r>
            <w:r/>
          </w:p>
        </w:tc>
      </w:tr>
    </w:tbl>
    <w:p>
      <w:pPr>
        <w:ind w:right="0"/>
        <w:spacing w:before="240" w:after="240" w:line="253" w:lineRule="atLeast"/>
        <w:rPr>
          <w:rFonts w:hint="eastAsia" w:ascii="楷体" w:hAnsi="楷体" w:eastAsia="楷体" w:cs="楷体"/>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2"/>
        </w:rPr>
        <w:t xml:space="preserve">注：</w:t>
      </w:r>
      <w:r>
        <w:rPr>
          <w:rFonts w:hint="eastAsia" w:ascii="楷体" w:hAnsi="楷体" w:eastAsia="楷体" w:cs="楷体"/>
          <w:b/>
          <w:color w:val="000000"/>
          <w:sz w:val="22"/>
          <w:lang w:eastAsia="zh-CN"/>
        </w:rPr>
        <w:t xml:space="preserve">（</w:t>
      </w:r>
      <w:r>
        <w:rPr>
          <w:rFonts w:hint="eastAsia" w:ascii="楷体" w:hAnsi="楷体" w:eastAsia="楷体" w:cs="楷体"/>
          <w:b/>
          <w:color w:val="000000"/>
          <w:sz w:val="22"/>
          <w:lang w:val="en-US" w:eastAsia="zh-CN"/>
        </w:rPr>
        <w:t xml:space="preserve">1</w:t>
      </w:r>
      <w:r>
        <w:rPr>
          <w:rFonts w:hint="eastAsia" w:ascii="楷体" w:hAnsi="楷体" w:eastAsia="楷体" w:cs="楷体"/>
          <w:b/>
          <w:color w:val="000000"/>
          <w:sz w:val="22"/>
          <w:lang w:eastAsia="zh-CN"/>
        </w:rPr>
        <w:t xml:space="preserve">）</w:t>
      </w:r>
      <w:r>
        <w:rPr>
          <w:rFonts w:hint="eastAsia" w:ascii="楷体" w:hAnsi="楷体" w:eastAsia="楷体" w:cs="楷体"/>
          <w:b/>
          <w:color w:val="000000"/>
          <w:sz w:val="22"/>
        </w:rPr>
        <w:t xml:space="preserve">评标时，未能按以上要求提供相应证明的，不作为评标依据，不得分</w:t>
      </w:r>
      <w:r>
        <w:rPr>
          <w:rFonts w:hint="eastAsia" w:ascii="楷体" w:hAnsi="楷体" w:eastAsia="楷体" w:cs="楷体"/>
          <w:b/>
          <w:color w:val="000000"/>
          <w:sz w:val="22"/>
          <w:lang w:eastAsia="zh-CN"/>
        </w:rPr>
        <w:t xml:space="preserve">；</w:t>
      </w:r>
      <w:r/>
    </w:p>
    <w:p>
      <w:pPr>
        <w:ind w:firstLine="442"/>
        <w:spacing w:line="360" w:lineRule="auto"/>
        <w:rPr>
          <w:rFonts w:hint="eastAsia" w:ascii="宋体" w:hAnsi="宋体"/>
          <w:color w:val="ff0000"/>
          <w:sz w:val="24"/>
          <w:szCs w:val="24"/>
        </w:rPr>
      </w:pPr>
      <w:r>
        <w:rPr>
          <w:rFonts w:hint="eastAsia" w:ascii="楷体" w:hAnsi="楷体" w:eastAsia="楷体" w:cs="楷体"/>
          <w:b/>
          <w:color w:val="000000"/>
          <w:sz w:val="22"/>
          <w:lang w:val="en-US" w:eastAsia="zh-CN"/>
        </w:rPr>
        <w:t xml:space="preserve">（2）</w:t>
      </w:r>
      <w:r>
        <w:rPr>
          <w:rFonts w:hint="eastAsia" w:ascii="楷体" w:hAnsi="楷体" w:eastAsia="楷体" w:cs="楷体"/>
          <w:b/>
          <w:color w:val="000000"/>
          <w:sz w:val="22"/>
        </w:rPr>
        <w:t xml:space="preserve">若发现有提供虚假的证明材料，视为无效投标，并追究相关责任</w:t>
      </w:r>
      <w:r>
        <w:rPr>
          <w:rFonts w:hint="eastAsia" w:ascii="楷体" w:hAnsi="楷体" w:eastAsia="楷体" w:cs="楷体"/>
          <w:b/>
          <w:color w:val="000000"/>
          <w:sz w:val="22"/>
          <w:lang w:eastAsia="zh-CN"/>
        </w:rPr>
        <w:t xml:space="preserve">。</w:t>
      </w:r>
      <w:r/>
    </w:p>
    <w:p>
      <w:pPr>
        <w:pStyle w:val="993"/>
        <w:ind w:firstLine="1548"/>
        <w:rPr>
          <w:rFonts w:hint="eastAsia" w:ascii="宋体" w:hAnsi="宋体"/>
          <w:b/>
          <w:color w:val="000000"/>
          <w:sz w:val="36"/>
          <w:szCs w:val="36"/>
        </w:rPr>
      </w:pPr>
      <w:r>
        <w:rPr>
          <w:rFonts w:hint="eastAsia"/>
          <w:color w:val="000000"/>
        </w:rPr>
        <w:t xml:space="preserve"> </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06"/>
        <w:rPr>
          <w:rFonts w:hint="eastAsia"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r/>
    </w:p>
    <w:p>
      <w:pPr>
        <w:pStyle w:val="906"/>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194" w:name="_Hlt26671244"/>
      <w:r/>
      <w:bookmarkEnd w:id="194"/>
      <w:r/>
      <w:bookmarkStart w:id="195" w:name="_Hlt26955039"/>
      <w:r/>
      <w:bookmarkEnd w:id="195"/>
      <w:r/>
      <w:bookmarkStart w:id="196" w:name="_Toc26554094"/>
      <w:r/>
      <w:bookmarkStart w:id="197" w:name="_Toc49090576"/>
      <w:r/>
      <w:bookmarkStart w:id="198"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752"/>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2024或2025</w:t>
      </w:r>
      <w:r>
        <w:rPr>
          <w:rFonts w:hint="eastAsia" w:ascii="宋体" w:hAnsi="宋体"/>
          <w:sz w:val="24"/>
          <w:szCs w:val="21"/>
        </w:rPr>
        <w:t xml:space="preserve">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752"/>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p>
    <w:p>
      <w:pPr>
        <w:pStyle w:val="750"/>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750"/>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50"/>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50"/>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50"/>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50"/>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50"/>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50"/>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5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50"/>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750"/>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ind w:left="0" w:right="0" w:firstLine="560"/>
        <w:jc w:val="both"/>
        <w:spacing w:before="220" w:after="0" w:line="249" w:lineRule="atLeast"/>
        <w:rPr>
          <w:rFonts w:hint="eastAsia" w:ascii="楷体" w:hAnsi="楷体" w:eastAsia="楷体" w:cs="楷体"/>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rPr>
        <w:t xml:space="preserve">供应商全称（公章）：</w:t>
      </w:r>
      <w:r>
        <w:rPr>
          <w:rFonts w:hint="eastAsia" w:ascii="楷体" w:hAnsi="楷体" w:eastAsia="楷体" w:cs="楷体"/>
          <w:color w:val="000000"/>
          <w:sz w:val="22"/>
          <w:lang w:val="en-US" w:eastAsia="zh-CN"/>
        </w:rPr>
        <w:t xml:space="preserve">                              </w:t>
      </w:r>
      <w:r>
        <w:rPr>
          <w:rFonts w:hint="eastAsia" w:ascii="楷体" w:hAnsi="楷体" w:eastAsia="楷体" w:cs="楷体"/>
          <w:color w:val="000000"/>
          <w:sz w:val="22"/>
        </w:rPr>
        <w:t xml:space="preserve">项目编号：</w:t>
      </w:r>
      <w:r/>
    </w:p>
    <w:tbl>
      <w:tblPr>
        <w:tblStyle w:val="753"/>
        <w:tblW w:w="94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604"/>
        <w:gridCol w:w="1409"/>
        <w:gridCol w:w="555"/>
        <w:gridCol w:w="435"/>
        <w:gridCol w:w="3840"/>
        <w:gridCol w:w="300"/>
        <w:gridCol w:w="450"/>
        <w:gridCol w:w="450"/>
        <w:gridCol w:w="691"/>
      </w:tblGrid>
      <w:tr>
        <w:trPr>
          <w:trHeight w:val="457"/>
        </w:trPr>
        <w:tc>
          <w:tcPr>
            <w:tcBorders>
              <w:top w:val="single" w:color="000000" w:sz="8"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sz w:val="18"/>
                <w:szCs w:val="18"/>
                <w:lang w:eastAsia="zh-CN"/>
              </w:rPr>
              <w:t xml:space="preserve">项目类别</w:t>
            </w:r>
            <w:r/>
          </w:p>
        </w:tc>
        <w:tc>
          <w:tcPr>
            <w:tcBorders>
              <w:top w:val="single" w:color="000000" w:sz="8" w:space="0"/>
              <w:left w:val="none" w:color="000000" w:sz="4" w:space="0"/>
              <w:right w:val="single" w:color="000000" w:sz="8" w:space="0"/>
            </w:tcBorders>
            <w:tcMar>
              <w:left w:w="108" w:type="dxa"/>
              <w:top w:w="0" w:type="dxa"/>
              <w:right w:w="108" w:type="dxa"/>
              <w:bottom w:w="0" w:type="dxa"/>
            </w:tcMar>
            <w:tcW w:w="604"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序号</w:t>
            </w:r>
            <w:r/>
          </w:p>
        </w:tc>
        <w:tc>
          <w:tcPr>
            <w:tcBorders>
              <w:top w:val="single" w:color="000000" w:sz="8" w:space="0"/>
              <w:left w:val="none" w:color="000000" w:sz="4" w:space="0"/>
              <w:right w:val="single" w:color="000000" w:sz="8" w:space="0"/>
            </w:tcBorders>
            <w:tcMar>
              <w:left w:w="108" w:type="dxa"/>
              <w:top w:w="0" w:type="dxa"/>
              <w:right w:w="108" w:type="dxa"/>
              <w:bottom w:w="0" w:type="dxa"/>
            </w:tcMar>
            <w:tcW w:w="1409"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项目名称</w:t>
            </w:r>
            <w:r/>
          </w:p>
        </w:tc>
        <w:tc>
          <w:tcPr>
            <w:tcBorders>
              <w:top w:val="single" w:color="000000" w:sz="8" w:space="0"/>
              <w:left w:val="none" w:color="000000" w:sz="4" w:space="0"/>
              <w:right w:val="single" w:color="000000" w:sz="8" w:space="0"/>
            </w:tcBorders>
            <w:tcMar>
              <w:left w:w="108" w:type="dxa"/>
              <w:top w:w="0" w:type="dxa"/>
              <w:right w:w="108" w:type="dxa"/>
              <w:bottom w:w="0" w:type="dxa"/>
            </w:tcMar>
            <w:tcW w:w="555"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数量</w:t>
            </w:r>
            <w:r/>
          </w:p>
        </w:tc>
        <w:tc>
          <w:tcPr>
            <w:tcBorders>
              <w:top w:val="single" w:color="000000" w:sz="8" w:space="0"/>
              <w:left w:val="none" w:color="000000" w:sz="4" w:space="0"/>
              <w:right w:val="single" w:color="000000" w:sz="8" w:space="0"/>
            </w:tcBorders>
            <w:tcMar>
              <w:left w:w="108" w:type="dxa"/>
              <w:top w:w="0" w:type="dxa"/>
              <w:right w:w="108" w:type="dxa"/>
              <w:bottom w:w="0" w:type="dxa"/>
            </w:tcMar>
            <w:tcW w:w="435"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单位</w:t>
            </w:r>
            <w:r/>
          </w:p>
        </w:tc>
        <w:tc>
          <w:tcPr>
            <w:tcBorders>
              <w:top w:val="single" w:color="000000" w:sz="8" w:space="0"/>
              <w:left w:val="none" w:color="000000" w:sz="4" w:space="0"/>
              <w:right w:val="single" w:color="000000" w:sz="8" w:space="0"/>
            </w:tcBorders>
            <w:tcMar>
              <w:left w:w="108" w:type="dxa"/>
              <w:top w:w="0" w:type="dxa"/>
              <w:right w:w="108" w:type="dxa"/>
              <w:bottom w:w="0" w:type="dxa"/>
            </w:tcMar>
            <w:tcW w:w="3840" w:type="dxa"/>
            <w:vAlign w:val="center"/>
            <w:vMerge w:val="restart"/>
            <w:textDirection w:val="lrTb"/>
            <w:noWrap w:val="false"/>
          </w:tcPr>
          <w:p>
            <w:pPr>
              <w:ind w:right="0"/>
              <w:jc w:val="center"/>
              <w:spacing w:before="220" w:after="0" w:line="249" w:lineRule="atLeast"/>
              <w:rPr>
                <w:rFonts w:hint="eastAsia" w:ascii="楷体" w:hAnsi="楷体" w:eastAsia="楷体" w:cs="楷体"/>
                <w:b w:val="0"/>
                <w:bCs w:val="0"/>
                <w:i w:val="0"/>
                <w:iCs w:val="0"/>
                <w:color w:val="000000"/>
                <w:sz w:val="18"/>
                <w:szCs w:val="1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i w:val="0"/>
                <w:iCs w:val="0"/>
                <w:color w:val="000000"/>
                <w:sz w:val="18"/>
                <w:szCs w:val="18"/>
                <w:lang w:eastAsia="zh-CN"/>
              </w:rPr>
              <w:t xml:space="preserve">要求</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jc w:val="center"/>
              <w:spacing w:after="0" w:line="240" w:lineRule="auto"/>
              <w:widowControl/>
              <w:rPr>
                <w:rFonts w:hint="eastAsia" w:ascii="楷体" w:hAnsi="楷体" w:eastAsia="楷体" w:cs="楷体"/>
                <w:b w:val="0"/>
                <w:bCs w:val="0"/>
                <w:i w:val="0"/>
                <w:iCs w:val="0"/>
                <w:sz w:val="18"/>
                <w:szCs w:val="18"/>
                <w:lang w:eastAsia="zh-CN"/>
              </w:rPr>
            </w:pPr>
            <w:r>
              <w:rPr>
                <w:rFonts w:hint="eastAsia" w:ascii="楷体" w:hAnsi="楷体" w:eastAsia="楷体" w:cs="楷体"/>
                <w:b w:val="0"/>
                <w:bCs w:val="0"/>
                <w:i w:val="0"/>
                <w:iCs w:val="0"/>
                <w:color w:val="000000"/>
                <w:sz w:val="18"/>
                <w:szCs w:val="18"/>
                <w:lang w:eastAsia="zh-CN"/>
              </w:rPr>
              <w:t xml:space="preserve">赛事需求</w:t>
            </w:r>
            <w:r/>
          </w:p>
        </w:tc>
      </w:tr>
      <w:tr>
        <w:trPr>
          <w:trHeight w:val="454"/>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left w:val="none" w:color="000000" w:sz="4" w:space="0"/>
              <w:bottom w:val="single" w:color="000000" w:sz="8" w:space="0"/>
              <w:right w:val="single" w:color="000000" w:sz="8" w:space="0"/>
            </w:tcBorders>
            <w:tcMar>
              <w:left w:w="108" w:type="dxa"/>
              <w:top w:w="0" w:type="dxa"/>
              <w:right w:w="108" w:type="dxa"/>
              <w:bottom w:w="0" w:type="dxa"/>
            </w:tcMar>
            <w:tcW w:w="604"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left w:val="none" w:color="000000" w:sz="4" w:space="0"/>
              <w:bottom w:val="single" w:color="000000" w:sz="8" w:space="0"/>
              <w:right w:val="single" w:color="000000" w:sz="8" w:space="0"/>
            </w:tcBorders>
            <w:tcMar>
              <w:left w:w="108" w:type="dxa"/>
              <w:top w:w="0" w:type="dxa"/>
              <w:right w:w="108" w:type="dxa"/>
              <w:bottom w:w="0" w:type="dxa"/>
            </w:tcMar>
            <w:tcW w:w="1409"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left w:val="none" w:color="000000" w:sz="4" w:space="0"/>
              <w:bottom w:val="single" w:color="000000" w:sz="8" w:space="0"/>
              <w:right w:val="single" w:color="000000" w:sz="8" w:space="0"/>
            </w:tcBorders>
            <w:tcMar>
              <w:left w:w="108" w:type="dxa"/>
              <w:top w:w="0" w:type="dxa"/>
              <w:right w:w="108" w:type="dxa"/>
              <w:bottom w:w="0" w:type="dxa"/>
            </w:tcMar>
            <w:tcW w:w="55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left w:val="none" w:color="000000" w:sz="4" w:space="0"/>
              <w:bottom w:val="single" w:color="000000" w:sz="8" w:space="0"/>
              <w:right w:val="single" w:color="000000" w:sz="8" w:space="0"/>
            </w:tcBorders>
            <w:tcMar>
              <w:left w:w="108" w:type="dxa"/>
              <w:top w:w="0" w:type="dxa"/>
              <w:right w:w="108" w:type="dxa"/>
              <w:bottom w:w="0" w:type="dxa"/>
            </w:tcMar>
            <w:tcW w:w="43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left w:val="none" w:color="000000" w:sz="4" w:space="0"/>
              <w:bottom w:val="single" w:color="000000" w:sz="8" w:space="0"/>
              <w:right w:val="single" w:color="000000" w:sz="8" w:space="0"/>
            </w:tcBorders>
            <w:tcMar>
              <w:left w:w="108" w:type="dxa"/>
              <w:top w:w="0" w:type="dxa"/>
              <w:right w:w="108" w:type="dxa"/>
              <w:bottom w:w="0" w:type="dxa"/>
            </w:tcMar>
            <w:tcW w:w="3840"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单位</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总价</w:t>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1.安保医疗</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医师跑者招募</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共计</w:t>
            </w:r>
            <w:r>
              <w:rPr>
                <w:rFonts w:hint="eastAsia" w:ascii="楷体" w:hAnsi="楷体" w:eastAsia="楷体" w:cs="楷体"/>
                <w:b w:val="0"/>
                <w:bCs w:val="0"/>
                <w:i w:val="0"/>
                <w:iCs w:val="0"/>
                <w:color w:val="000000"/>
                <w:sz w:val="18"/>
                <w:szCs w:val="18"/>
                <w:lang w:val="en-US" w:eastAsia="zh-CN"/>
              </w:rPr>
              <w:t xml:space="preserve">15</w:t>
            </w:r>
            <w:r>
              <w:rPr>
                <w:rFonts w:hint="eastAsia" w:ascii="楷体" w:hAnsi="楷体" w:eastAsia="楷体" w:cs="楷体"/>
                <w:b w:val="0"/>
                <w:bCs w:val="0"/>
                <w:i w:val="0"/>
                <w:iCs w:val="0"/>
                <w:color w:val="000000"/>
                <w:sz w:val="18"/>
                <w:szCs w:val="18"/>
              </w:rPr>
              <w:t xml:space="preserve">名人员的食宿、交通、装备及培训费用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赛道隔离铁马</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尺寸：宽2m，高1.2米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赛道隔离板</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在赛道沿线道路、大门出入口等处设置赛道隔离板</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赛道警示</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常规规格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赛道警戒</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常规规格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交通管制</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常规规格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赛道沿线</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数量、内容根据比赛路线及组委会要求设置。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赛道隔离搬运</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数量以及制作要求按照组委会安排，包含安装、制作、人工费用等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AED租赁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急救包药品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配备基本的处理突发性事件的药物</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医护人员费用</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中国田径协会标准，在起终点和赛道沿途设置固定医疗站和救护车，聘请专业医疗官、医疗专家、配备相应的医生和护士，另在赛道沿途设置移动医疗点，由专业救援人员配备便携式AED提供紧急救援，具体实施以医疗保障部门为主。外聘工作人员费用由乙方负责。</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救护车</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负责租赁专业医疗救护车</w:t>
            </w:r>
            <w:r>
              <w:rPr>
                <w:rFonts w:hint="eastAsia" w:ascii="楷体" w:hAnsi="楷体" w:eastAsia="楷体" w:cs="楷体"/>
                <w:b w:val="0"/>
                <w:bCs w:val="0"/>
                <w:i w:val="0"/>
                <w:iCs w:val="0"/>
                <w:color w:val="000000"/>
                <w:sz w:val="18"/>
                <w:szCs w:val="18"/>
                <w:lang w:eastAsia="zh-CN"/>
              </w:rPr>
              <w:t xml:space="preserve">，</w:t>
            </w:r>
            <w:r>
              <w:rPr>
                <w:rFonts w:hint="eastAsia" w:ascii="楷体" w:hAnsi="楷体" w:eastAsia="楷体" w:cs="楷体"/>
                <w:b w:val="0"/>
                <w:bCs w:val="0"/>
                <w:i w:val="0"/>
                <w:iCs w:val="0"/>
                <w:color w:val="000000"/>
                <w:sz w:val="18"/>
                <w:szCs w:val="18"/>
              </w:rPr>
              <w:t xml:space="preserve">工作人员费用由乙方负责。</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保安服务费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主舞台、起终点、赛道沿途大小路口、赛事功能区等各区域安排警力，含安全保障所需物资，具体实施以安全保障部门为主。需外聘安保公司人员参与值岗，费用由乙方负责。安保人员每人不低于100元。</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both"/>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急救机构服务费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第三方急救机构人员设备、差旅、劳务、培训租车等费用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无人机反制设备</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2.赛事宣传</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新闻媒体及网络达人邀请</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联系国、省、市级主流媒体及网络自媒体开展赛事宣传推广、赛事直播、舆情处置等宣传服务工作。国家、省、市、县媒体约10家，10万级以上大V不少于</w:t>
            </w:r>
            <w:r>
              <w:rPr>
                <w:rFonts w:hint="eastAsia" w:ascii="楷体" w:hAnsi="楷体" w:eastAsia="楷体" w:cs="楷体"/>
                <w:b w:val="0"/>
                <w:bCs w:val="0"/>
                <w:i w:val="0"/>
                <w:iCs w:val="0"/>
                <w:color w:val="000000"/>
                <w:sz w:val="18"/>
                <w:szCs w:val="18"/>
                <w:lang w:val="en-US" w:eastAsia="zh-CN"/>
              </w:rPr>
              <w:t xml:space="preserve">5</w:t>
            </w:r>
            <w:r>
              <w:rPr>
                <w:rFonts w:hint="eastAsia" w:ascii="楷体" w:hAnsi="楷体" w:eastAsia="楷体" w:cs="楷体"/>
                <w:b w:val="0"/>
                <w:bCs w:val="0"/>
                <w:i w:val="0"/>
                <w:iCs w:val="0"/>
                <w:color w:val="000000"/>
                <w:sz w:val="18"/>
                <w:szCs w:val="18"/>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专题片制作</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负责制作赛前宣传片、赛后专题片</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赛事直播</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含今日高邮、视听高邮、网络大V等平台网络直播。</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10.0万</w:t>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新闻发布会</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            </w:t>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3.竞赛服务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方案策划</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按照田协要求，设计策划赛事组织方案、医疗救护方案、安全风险防控方案、应急预案、舆情控制方案等，报上级主管部门审批、中国田协备案。</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赛道丈量员劳务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按照田协要求，对赛道进行丈量。</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赛事报批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申请中国田径协会对赛事进行B类赛事注册、技术认证、向扬州市体育局、江苏省体育局进行赛事陈述费用。申请中国田径协会对赛事进行B类赛事注册、技术认证、向扬州市体育局、江苏省体育局进行赛事陈述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分段计时点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按照中国田径协会标准，在赛道沿途设置多个固定计时点位，搭设专业的计时设备。</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赛道喷淋点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在赛道沿途设置不少于4个降温喷淋点位，搭设专业的喷淋设备。</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领物人脸</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参赛装备发放现场设置人脸识别系统，防止参赛装备被冒名领取。</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计时服务（含选手手环）</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3500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符合中国田径协会规定芯片服务标准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短信服务费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选手报名、赛前提醒、赛后成绩短信推送等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一次性雨衣</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8000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赛前与参赛装备一同发放给参赛运动员</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rPr>
              <w:t xml:space="preserve">大、小号码</w:t>
            </w:r>
            <w:r>
              <w:rPr>
                <w:rFonts w:hint="eastAsia" w:ascii="楷体" w:hAnsi="楷体" w:eastAsia="楷体" w:cs="楷体"/>
                <w:b w:val="0"/>
                <w:bCs w:val="0"/>
                <w:i w:val="0"/>
                <w:iCs w:val="0"/>
                <w:color w:val="000000"/>
                <w:sz w:val="18"/>
                <w:szCs w:val="18"/>
                <w:lang w:eastAsia="zh-CN"/>
              </w:rPr>
              <w:t xml:space="preserve">布</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杜邦纸材质，尺寸采用国际田联规定的：高20cm，宽24cm，号码上的标记最大高度不超过5cm，号码数字不低于6cm、不高于10cm、号码下方的标记最大高度为3cm。</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官方手册</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彩色印刷，A5尺寸</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秩序册</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本</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彩色印刷，A5尺寸</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对讲机</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90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远程卫星对讲机，发放给组委会工作人员使用，如医疗保障部、竞赛部等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赛事证件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1500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工作证、车辆通行证、志愿者证书等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省、市派裁判员服装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裁判费、食宿费、差旅费、服装费等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本地裁判服装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采用速干面料，左胸前印制赛事名称和logo，颜色与参赛服、工作服区分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赛事用水、补给品、海绵、盐丸、能量胶、水果等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照中国田协相关赛事要求，赛时运动员补给及工作人员、安保医疗人员及志愿者用水、功能性饮料及补给站补给品（香蕉、面包），完赛包提供面包、香蕉、水、饮料。饮用水、运动饮料不低于500ml/瓶，水和功能性饮料需为国内知名品牌（如怡宝、康师傅、统一等）；面包、香蕉、能量条等必须保证产品安全、新鲜、放心食用。田协规定饮用水比例1:4；饮料1: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赛事其他物资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赛前装备发放和赛事当天所需物资，签字笔、记录本、马克笔、胶带、裁判旗、喊话器等。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完赛浴巾</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赛后发放给完赛运动员用于擦汗保暖</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参赛服</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采用速干面料，左胸前印制赛事名称和logo</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参赛包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采用速干防水面料，抽绳式设计，正面印制赛事名称和logo。</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配速员招募</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官方配速员帽子、手环、氦气球、证书等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吸汗空顶帽</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官方配速员服装、鞋子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专业马拉松套装专业马拉松套装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完赛奖牌</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快</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纯金属材质，重量70g，尺寸样式以最终设计稿为主。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裁判员会议场地费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赛事报名、成绩发布系统、田协成绩查询</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做好赛事报名系统，运动员成绩发布、证书下载，中国田协成绩查询</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4.赛事服务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接待、差旅、住宿、工作餐等</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赛事筹备期间工作人员用餐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盒饭</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志愿者和工作人员（赛前领物）</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早餐包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志愿者和工作人员（比赛当天早餐）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赛事摄影服务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摄影师人员劳务、差旅；照片直播；摩托车拍摄费用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赛事保险</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为参赛运动员、工作人员、志愿者、裁判员及观众购买比赛当天的意外险（含猝死险）、提供组织公众责任险及其他险种。</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选手奖金</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半程马拉松组别设置男女前六十名的名次奖，不低于6万元。</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赛前热身赛后拉伸</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赛前热身教练邀请、肌贴、拉伸，赛后放松及冰敷。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sz w:val="18"/>
                <w:szCs w:val="18"/>
              </w:rPr>
              <w:t xml:space="preserve">知名专业大型赛事主持人（含税金）</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聘请专业的马拉松赛事主持人，作为</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本届比赛的起跑仪式主持人和现场解</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说</w:t>
            </w:r>
            <w:r>
              <w:rPr>
                <w:rFonts w:hint="eastAsia" w:ascii="楷体" w:hAnsi="楷体" w:eastAsia="楷体" w:cs="楷体"/>
                <w:b w:val="0"/>
                <w:bCs w:val="0"/>
                <w:i w:val="0"/>
                <w:iCs w:val="0"/>
                <w:color w:val="000000"/>
                <w:sz w:val="18"/>
                <w:szCs w:val="18"/>
                <w:lang w:eastAsia="zh-CN"/>
              </w:rPr>
              <w:t xml:space="preserve">（</w:t>
            </w:r>
            <w:r>
              <w:rPr>
                <w:rFonts w:hint="eastAsia" w:ascii="楷体" w:hAnsi="楷体" w:eastAsia="楷体" w:cs="楷体"/>
                <w:b w:val="0"/>
                <w:bCs w:val="0"/>
                <w:i w:val="0"/>
                <w:iCs w:val="0"/>
                <w:color w:val="000000"/>
                <w:sz w:val="18"/>
                <w:szCs w:val="18"/>
              </w:rPr>
              <w:t xml:space="preserve">聘请马拉松资深解说员并提供解说视频，</w:t>
            </w:r>
            <w:r>
              <w:rPr>
                <w:rFonts w:hint="eastAsia" w:ascii="楷体" w:hAnsi="楷体" w:eastAsia="楷体" w:cs="楷体"/>
                <w:b w:val="0"/>
                <w:bCs w:val="0"/>
                <w:i w:val="0"/>
                <w:iCs w:val="0"/>
                <w:color w:val="000000"/>
                <w:sz w:val="18"/>
                <w:szCs w:val="18"/>
                <w:lang w:eastAsia="zh-CN"/>
              </w:rPr>
              <w:t xml:space="preserve">并</w:t>
            </w:r>
            <w:r>
              <w:rPr>
                <w:rFonts w:hint="eastAsia" w:ascii="楷体" w:hAnsi="楷体" w:eastAsia="楷体" w:cs="楷体"/>
                <w:b w:val="0"/>
                <w:bCs w:val="0"/>
                <w:i w:val="0"/>
                <w:iCs w:val="0"/>
                <w:color w:val="000000"/>
                <w:sz w:val="18"/>
                <w:szCs w:val="18"/>
              </w:rPr>
              <w:t xml:space="preserve">须经采购人认可</w:t>
            </w:r>
            <w:r>
              <w:rPr>
                <w:rFonts w:hint="eastAsia" w:ascii="楷体" w:hAnsi="楷体" w:eastAsia="楷体" w:cs="楷体"/>
                <w:b w:val="0"/>
                <w:bCs w:val="0"/>
                <w:i w:val="0"/>
                <w:iCs w:val="0"/>
                <w:color w:val="000000"/>
                <w:sz w:val="18"/>
                <w:szCs w:val="18"/>
                <w:lang w:eastAsia="zh-CN"/>
              </w:rPr>
              <w:t xml:space="preserve">）</w:t>
            </w:r>
            <w:r>
              <w:rPr>
                <w:rFonts w:hint="eastAsia" w:ascii="楷体" w:hAnsi="楷体" w:eastAsia="楷体" w:cs="楷体"/>
                <w:b w:val="0"/>
                <w:bCs w:val="0"/>
                <w:i w:val="0"/>
                <w:iCs w:val="0"/>
                <w:color w:val="000000"/>
                <w:sz w:val="18"/>
                <w:szCs w:val="18"/>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4.0万</w:t>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赛事VI视觉设计</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结合城市特色，赛事整体主色调设计、服装、指示牌、背景墙、证书、参赛包、宣传口号、完赛包设计、完赛奖牌、道旗广告图片、市内大屏主题图片设计等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志愿者服装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采用速干面料，左胸前印制赛事名称</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和logo，颜色与参赛服、工作服、裁</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判服区分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志愿者背包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采用速干防水面料，抽绳式设计，正</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面印制赛事名称和logo</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志愿者帽子</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顶</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吸汗空顶帽，颜色与配速员帽子区分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国派技术官员及省派、反兴奋剂、</w:t>
            </w:r>
            <w:r>
              <w:rPr>
                <w:rFonts w:hint="eastAsia" w:ascii="楷体" w:hAnsi="楷体" w:eastAsia="楷体" w:cs="楷体"/>
                <w:b w:val="0"/>
                <w:bCs w:val="0"/>
                <w:i w:val="0"/>
                <w:iCs w:val="0"/>
                <w:color w:val="000000"/>
                <w:sz w:val="18"/>
                <w:szCs w:val="18"/>
                <w:lang w:eastAsia="zh-CN"/>
              </w:rPr>
              <w:t xml:space="preserve">市派、</w:t>
            </w:r>
            <w:r>
              <w:rPr>
                <w:rFonts w:hint="eastAsia" w:ascii="楷体" w:hAnsi="楷体" w:eastAsia="楷体" w:cs="楷体"/>
                <w:b w:val="0"/>
                <w:bCs w:val="0"/>
                <w:i w:val="0"/>
                <w:iCs w:val="0"/>
                <w:color w:val="000000"/>
                <w:sz w:val="18"/>
                <w:szCs w:val="18"/>
              </w:rPr>
              <w:t xml:space="preserve">本地裁判员劳务费</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嘉宾服装</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嘉宾运动服装、运动靯、接待费用等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交通保障费用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志愿者接送车、裁判员接送车、运动员收容车、摄影车、裁判车、计时车、雇用司机加油等费用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赛事物流费用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赛事物资运输费用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开幕式表演</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聘请专业的表演团队，进行起跑仪式</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的暖场节目表演，节目形式以最终确</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定为主，节目不少于2个。由组委会</w:t>
            </w:r>
            <w:r/>
          </w:p>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协调。聘请专业的表演团队，进行起跑仪式的暖场节目表演，节目形式以最终确定为主，节目不少于2个。由组委会协调。</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移动厕所</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120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按B类赛事标准需约120台移动厕所，满足所有跑友需求，并配备保洁人员</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场地保洁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场地保洁服务场地保洁服务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通信保障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电信、移动、联通信息增强服务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供电保障供电保障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应急供电保障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bCs/>
                <w:i/>
                <w:iCs/>
                <w:color w:val="000000"/>
                <w:sz w:val="18"/>
                <w:szCs w:val="18"/>
              </w:rPr>
            </w:pPr>
            <w:r>
              <w:rPr>
                <w:rFonts w:hint="eastAsia" w:ascii="楷体" w:hAnsi="楷体" w:eastAsia="楷体" w:cs="楷体"/>
                <w:b/>
                <w:bCs/>
                <w:i/>
                <w:iCs/>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赛事伴手礼</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约150份</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风险评估</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第三方公司</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5.物料制作</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赛前领物区搭建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领物区的物料搭建（赛事宣传展板、领物帐篷、桌椅、道旗、铁马、指示牌、姓名墙等）；领物区保洁及安保；领物区志愿者工作人员餐饮交通</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起终点搭建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舞台、领操台、摄像台、主背景、拱门、A板、音响、地贴、集结立柱、指示牌、道旗、铁马等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w:t>
            </w:r>
            <w:r>
              <w:rPr>
                <w:rFonts w:hint="eastAsia" w:ascii="楷体" w:hAnsi="楷体" w:eastAsia="楷体" w:cs="楷体"/>
                <w:b w:val="0"/>
                <w:bCs w:val="0"/>
                <w:i w:val="0"/>
                <w:iCs w:val="0"/>
                <w:color w:val="000000"/>
                <w:sz w:val="18"/>
                <w:szCs w:val="18"/>
                <w:lang w:eastAsia="zh-CN"/>
              </w:rPr>
              <w:t xml:space="preserve">综合</w:t>
            </w:r>
            <w:r>
              <w:rPr>
                <w:rFonts w:hint="eastAsia" w:ascii="楷体" w:hAnsi="楷体" w:eastAsia="楷体" w:cs="楷体"/>
                <w:b w:val="0"/>
                <w:bCs w:val="0"/>
                <w:i w:val="0"/>
                <w:iCs w:val="0"/>
                <w:color w:val="000000"/>
                <w:sz w:val="18"/>
                <w:szCs w:val="18"/>
              </w:rPr>
              <w:t xml:space="preserve">指挥</w:t>
            </w:r>
            <w:r>
              <w:rPr>
                <w:rFonts w:hint="eastAsia" w:ascii="楷体" w:hAnsi="楷体" w:eastAsia="楷体" w:cs="楷体"/>
                <w:b w:val="0"/>
                <w:bCs w:val="0"/>
                <w:i w:val="0"/>
                <w:iCs w:val="0"/>
                <w:color w:val="000000"/>
                <w:sz w:val="18"/>
                <w:szCs w:val="18"/>
                <w:lang w:eastAsia="zh-CN"/>
              </w:rPr>
              <w:t xml:space="preserve">部</w:t>
            </w:r>
            <w:r>
              <w:rPr>
                <w:rFonts w:hint="eastAsia" w:ascii="楷体" w:hAnsi="楷体" w:eastAsia="楷体" w:cs="楷体"/>
                <w:b w:val="0"/>
                <w:bCs w:val="0"/>
                <w:i w:val="0"/>
                <w:iCs w:val="0"/>
                <w:color w:val="000000"/>
                <w:sz w:val="18"/>
                <w:szCs w:val="18"/>
              </w:rPr>
              <w:t xml:space="preserve">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布置大屏电视，监控画面，桌椅布置，接入道路监控、沿途医疗补给点信号。</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赛道补给点、医疗点搭建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在赛道沿途设置不少于8个医疗点，起终点搭建2组医疗点，含桌、椅、桌布、帐篷、垃圾池、人工运输等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471"/>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赛事包发放现场搭建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参赛装备发放现场各功能区篷房搭建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赛道指示牌制作</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赛道公里牌、补给站指示牌、转向牌、小公里牌，人工、运输等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75</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车号牌手举牌等</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志愿者集合手举牌、赛道加油标语、车辆编号等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76</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运动员存包区、休息区、拉伸区搭建</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77</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奖杯制作</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78</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支票板</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79</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荣誉牌（赞助商）</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80</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赛道沿线氛围布置（道旗）</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81</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赛道沿线互动展演</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u w:val="none"/>
              </w:rPr>
            </w:pPr>
            <w:r>
              <w:rPr>
                <w:rFonts w:hint="eastAsia" w:ascii="楷体" w:hAnsi="楷体" w:eastAsia="楷体" w:cs="楷体"/>
                <w:b w:val="0"/>
                <w:bCs w:val="0"/>
                <w:i w:val="0"/>
                <w:iCs w:val="0"/>
                <w:color w:val="000000"/>
                <w:sz w:val="18"/>
                <w:szCs w:val="18"/>
                <w:lang w:val="en-US" w:eastAsia="zh-CN"/>
              </w:rPr>
              <w:t xml:space="preserve">赛道沿线5个以上点位的民俗文化、歌舞表演。表演内容和形式需经组委会确认。</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6.周边产品</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82</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周边产品开发</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none" w:color="000000" w:sz="4" w:space="0"/>
              <w:left w:val="single" w:color="000000" w:sz="8" w:space="0"/>
              <w:right w:val="single" w:color="000000" w:sz="8" w:space="0"/>
            </w:tcBorders>
            <w:tcMar>
              <w:left w:w="108" w:type="dxa"/>
              <w:top w:w="0" w:type="dxa"/>
              <w:right w:w="108" w:type="dxa"/>
              <w:bottom w:w="0" w:type="dxa"/>
            </w:tcMar>
            <w:tcW w:w="705" w:type="dxa"/>
            <w:vAlign w:val="center"/>
            <w:vMerge w:val="restart"/>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7.运营成本</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83</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赛事服务费用</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赛事执行服务费（含领操员、拉伸教练、礼仪人员、员工工资、差旅费、接待费、各项培训费用等）</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84</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综合效益评估报告</w:t>
            </w:r>
            <w:r/>
          </w:p>
        </w:tc>
        <w:tc>
          <w:tcPr>
            <w:shd w:val="clear" w:color="000000"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有资质的第三方评估机构</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left w:val="single" w:color="000000" w:sz="8" w:space="0"/>
              <w:bottom w:val="single" w:color="auto" w:sz="4" w:space="0"/>
              <w:right w:val="single" w:color="000000" w:sz="8" w:space="0"/>
            </w:tcBorders>
            <w:tcMar>
              <w:left w:w="108" w:type="dxa"/>
              <w:top w:w="0" w:type="dxa"/>
              <w:right w:w="108" w:type="dxa"/>
              <w:bottom w:w="0" w:type="dxa"/>
            </w:tcMar>
            <w:tcW w:w="705" w:type="dxa"/>
            <w:vAlign w:val="center"/>
            <w:vMerge w:val="continue"/>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85</w:t>
            </w:r>
            <w:r/>
          </w:p>
        </w:tc>
        <w:tc>
          <w:tcPr>
            <w:shd w:val="clear" w:color="000000" w:fill="ffffff"/>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开票税点</w:t>
            </w:r>
            <w:r/>
          </w:p>
        </w:tc>
        <w:tc>
          <w:tcPr>
            <w:shd w:val="clear" w:color="000000" w:fill="ffffff"/>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t xml:space="preserve">1</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lang w:eastAsia="zh-CN"/>
              </w:rPr>
            </w:pPr>
            <w:r>
              <w:rPr>
                <w:rFonts w:hint="eastAsia" w:ascii="楷体" w:hAnsi="楷体" w:eastAsia="楷体" w:cs="楷体"/>
                <w:b w:val="0"/>
                <w:bCs w:val="0"/>
                <w:i w:val="0"/>
                <w:iCs w:val="0"/>
                <w:color w:val="000000"/>
                <w:sz w:val="18"/>
                <w:szCs w:val="18"/>
                <w:lang w:eastAsia="zh-CN"/>
              </w:rPr>
              <w:t xml:space="preserve">项</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t xml:space="preserve">包括项目开票产生的所有税点</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r>
        <w:trPr>
          <w:trHeight w:val="340"/>
        </w:trPr>
        <w:tc>
          <w:tcPr>
            <w:shd w:val="clear" w:color="000000" w:fill="ffffff"/>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70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04" w:type="dxa"/>
            <w:vAlign w:val="center"/>
            <w:textDirection w:val="lrTb"/>
            <w:noWrap w:val="false"/>
          </w:tcPr>
          <w:p>
            <w:pPr>
              <w:jc w:val="center"/>
              <w:spacing w:after="0" w:line="240" w:lineRule="auto"/>
              <w:widowControl/>
              <w:rPr>
                <w:rFonts w:hint="default" w:ascii="楷体" w:hAnsi="楷体" w:eastAsia="楷体" w:cs="楷体"/>
                <w:b w:val="0"/>
                <w:bCs w:val="0"/>
                <w:i w:val="0"/>
                <w:iCs w:val="0"/>
                <w:color w:val="000000"/>
                <w:sz w:val="18"/>
                <w:szCs w:val="18"/>
                <w:lang w:val="en-US" w:eastAsia="zh-CN"/>
              </w:rPr>
            </w:pPr>
            <w:r>
              <w:rPr>
                <w:rFonts w:hint="default" w:ascii="楷体" w:hAnsi="楷体" w:eastAsia="楷体" w:cs="楷体"/>
                <w:b w:val="0"/>
                <w:bCs w:val="0"/>
                <w:i w:val="0"/>
                <w:iCs w:val="0"/>
                <w:color w:val="000000"/>
                <w:sz w:val="18"/>
                <w:szCs w:val="18"/>
                <w:lang w:val="en-US" w:eastAsia="zh-CN"/>
              </w:rPr>
            </w:r>
            <w:r/>
          </w:p>
        </w:tc>
        <w:tc>
          <w:tcPr>
            <w:shd w:val="clear" w:color="000000" w:fill="ffffff"/>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09"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000000" w:fill="ffffff"/>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555" w:type="dxa"/>
            <w:vAlign w:val="center"/>
            <w:textDirection w:val="lrTb"/>
            <w:noWrap w:val="false"/>
          </w:tcPr>
          <w:p>
            <w:pPr>
              <w:jc w:val="center"/>
              <w:spacing w:after="0" w:line="240" w:lineRule="auto"/>
              <w:widowControl/>
              <w:rPr>
                <w:rFonts w:hint="eastAsia" w:ascii="楷体" w:hAnsi="楷体" w:eastAsia="楷体" w:cs="楷体"/>
                <w:b w:val="0"/>
                <w:bCs w:val="0"/>
                <w:i w:val="0"/>
                <w:iCs w:val="0"/>
                <w:color w:val="000000"/>
                <w:sz w:val="18"/>
                <w:szCs w:val="18"/>
                <w:lang w:val="en-US" w:eastAsia="zh-CN"/>
              </w:rPr>
            </w:pPr>
            <w:r>
              <w:rPr>
                <w:rFonts w:hint="eastAsia" w:ascii="楷体" w:hAnsi="楷体" w:eastAsia="楷体" w:cs="楷体"/>
                <w:b w:val="0"/>
                <w:bCs w:val="0"/>
                <w:i w:val="0"/>
                <w:iCs w:val="0"/>
                <w:color w:val="000000"/>
                <w:sz w:val="18"/>
                <w:szCs w:val="18"/>
                <w:lang w:val="en-US" w:eastAsia="zh-CN"/>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35"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384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30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50"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691" w:type="dxa"/>
            <w:vAlign w:val="center"/>
            <w:textDirection w:val="lrTb"/>
            <w:noWrap w:val="false"/>
          </w:tcPr>
          <w:p>
            <w:pPr>
              <w:jc w:val="left"/>
              <w:spacing w:after="0" w:line="240" w:lineRule="auto"/>
              <w:widowControl/>
              <w:rPr>
                <w:rFonts w:hint="eastAsia" w:ascii="楷体" w:hAnsi="楷体" w:eastAsia="楷体" w:cs="楷体"/>
                <w:b w:val="0"/>
                <w:bCs w:val="0"/>
                <w:i w:val="0"/>
                <w:iCs w:val="0"/>
                <w:color w:val="000000"/>
                <w:sz w:val="18"/>
                <w:szCs w:val="18"/>
              </w:rPr>
            </w:pPr>
            <w:r>
              <w:rPr>
                <w:rFonts w:hint="eastAsia" w:ascii="楷体" w:hAnsi="楷体" w:eastAsia="楷体" w:cs="楷体"/>
                <w:b w:val="0"/>
                <w:bCs w:val="0"/>
                <w:i w:val="0"/>
                <w:iCs w:val="0"/>
                <w:color w:val="000000"/>
                <w:sz w:val="18"/>
                <w:szCs w:val="18"/>
              </w:rPr>
            </w:r>
            <w:r/>
          </w:p>
        </w:tc>
      </w:tr>
    </w:tbl>
    <w:p>
      <w:pPr>
        <w:ind w:right="0"/>
        <w:jc w:val="both"/>
        <w:keepLines w:val="0"/>
        <w:keepNext w:val="0"/>
        <w:pageBreakBefore w:val="0"/>
        <w:spacing w:before="220" w:after="312" w:line="240" w:lineRule="auto"/>
        <w:widowControl/>
        <w:rPr>
          <w:rFonts w:hint="eastAsia" w:ascii="楷体" w:hAnsi="楷体" w:eastAsia="楷体" w:cs="楷体"/>
          <w:b/>
          <w:bCs/>
          <w:color w:val="000000"/>
          <w:sz w:val="22"/>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000000"/>
          <w:sz w:val="22"/>
          <w:lang w:eastAsia="zh-CN"/>
        </w:rPr>
        <w:t xml:space="preserve">说明：（</w:t>
      </w:r>
      <w:r>
        <w:rPr>
          <w:rFonts w:hint="eastAsia" w:ascii="楷体" w:hAnsi="楷体" w:eastAsia="楷体" w:cs="楷体"/>
          <w:b/>
          <w:bCs/>
          <w:color w:val="000000"/>
          <w:sz w:val="22"/>
          <w:lang w:val="en-US" w:eastAsia="zh-CN"/>
        </w:rPr>
        <w:t xml:space="preserve">1</w:t>
      </w:r>
      <w:r>
        <w:rPr>
          <w:rFonts w:hint="eastAsia" w:ascii="楷体" w:hAnsi="楷体" w:eastAsia="楷体" w:cs="楷体"/>
          <w:b/>
          <w:bCs/>
          <w:color w:val="000000"/>
          <w:sz w:val="22"/>
          <w:lang w:eastAsia="zh-CN"/>
        </w:rPr>
        <w:t xml:space="preserve">）分项报价表所列项目包括但不限于以上内容，行数不够投标单位可自行添加；</w:t>
      </w:r>
      <w:r/>
    </w:p>
    <w:p>
      <w:pPr>
        <w:ind w:right="0" w:firstLine="663"/>
        <w:jc w:val="both"/>
        <w:keepLines w:val="0"/>
        <w:keepNext w:val="0"/>
        <w:pageBreakBefore w:val="0"/>
        <w:spacing w:before="220" w:after="312" w:line="240" w:lineRule="auto"/>
        <w:widowControl/>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000000"/>
          <w:sz w:val="22"/>
          <w:lang w:eastAsia="zh-CN"/>
        </w:rPr>
        <w:t xml:space="preserve">（</w:t>
      </w:r>
      <w:r>
        <w:rPr>
          <w:rFonts w:hint="eastAsia" w:ascii="楷体" w:hAnsi="楷体" w:eastAsia="楷体" w:cs="楷体"/>
          <w:b/>
          <w:bCs/>
          <w:color w:val="000000"/>
          <w:sz w:val="22"/>
          <w:lang w:val="en-US" w:eastAsia="zh-CN"/>
        </w:rPr>
        <w:t xml:space="preserve">2</w:t>
      </w:r>
      <w:r>
        <w:rPr>
          <w:rFonts w:hint="eastAsia" w:ascii="楷体" w:hAnsi="楷体" w:eastAsia="楷体" w:cs="楷体"/>
          <w:b/>
          <w:bCs/>
          <w:color w:val="000000"/>
          <w:sz w:val="22"/>
          <w:lang w:eastAsia="zh-CN"/>
        </w:rPr>
        <w:t xml:space="preserve">） </w:t>
      </w:r>
      <w:r>
        <w:rPr>
          <w:rFonts w:hint="eastAsia" w:ascii="楷体" w:hAnsi="楷体" w:eastAsia="楷体" w:cs="楷体"/>
          <w:b/>
          <w:bCs/>
          <w:color w:val="000000"/>
          <w:sz w:val="22"/>
          <w:lang w:val="en-US" w:eastAsia="zh-CN"/>
        </w:rPr>
        <w:t xml:space="preserve">组委会在项目实施过程中，有权调整分项目具体实施要求，按实际发生的工作量予以结算。</w:t>
      </w:r>
      <w:r>
        <w:rPr>
          <w:rFonts w:hint="eastAsia" w:ascii="楷体" w:hAnsi="楷体" w:eastAsia="楷体" w:cs="楷体"/>
          <w:b/>
          <w:bCs/>
          <w:color w:val="000000"/>
          <w:sz w:val="22"/>
          <w:lang w:eastAsia="zh-CN"/>
        </w:rPr>
        <w:t xml:space="preserve"> </w:t>
      </w:r>
      <w:r/>
    </w:p>
    <w:p>
      <w:pPr>
        <w:ind w:firstLine="480"/>
        <w:keepLines w:val="0"/>
        <w:keepNext w:val="0"/>
        <w:pageBreakBefore w:val="0"/>
        <w:spacing w:line="360" w:lineRule="auto"/>
        <w:rPr>
          <w:rFonts w:ascii="宋体" w:hAnsi="宋体"/>
          <w:color w:val="000000"/>
          <w:sz w:val="24"/>
        </w:rPr>
      </w:pPr>
      <w:r>
        <w:rPr>
          <w:rFonts w:ascii="宋体" w:hAnsi="宋体"/>
          <w:color w:val="000000"/>
          <w:sz w:val="24"/>
        </w:rPr>
      </w:r>
      <w:r/>
    </w:p>
    <w:p>
      <w:pPr>
        <w:ind w:firstLine="480"/>
        <w:keepLines w:val="0"/>
        <w:keepNext w:val="0"/>
        <w:pageBreakBefore w:val="0"/>
        <w:spacing w:line="360" w:lineRule="auto"/>
        <w:rPr>
          <w:rFonts w:ascii="宋体" w:hAnsi="宋体"/>
          <w:color w:val="000000"/>
          <w:sz w:val="24"/>
        </w:rPr>
      </w:pPr>
      <w:r>
        <w:rPr>
          <w:rFonts w:ascii="宋体" w:hAnsi="宋体"/>
          <w:color w:val="000000"/>
          <w:sz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752"/>
        <w:rPr>
          <w:rFonts w:hint="eastAsia" w:ascii="宋体" w:hAnsi="宋体"/>
          <w:sz w:val="24"/>
          <w:szCs w:val="24"/>
        </w:rPr>
      </w:pPr>
      <w:r>
        <w:rPr>
          <w:rFonts w:hint="eastAsia" w:ascii="宋体" w:hAnsi="宋体"/>
          <w:sz w:val="24"/>
          <w:szCs w:val="24"/>
        </w:rPr>
      </w:r>
      <w:r/>
    </w:p>
    <w:p>
      <w:pPr>
        <w:pStyle w:val="752"/>
        <w:rPr>
          <w:rFonts w:hint="eastAsia" w:ascii="宋体" w:hAnsi="宋体"/>
          <w:sz w:val="24"/>
          <w:szCs w:val="24"/>
        </w:rPr>
      </w:pPr>
      <w:r>
        <w:rPr>
          <w:rFonts w:hint="eastAsia" w:ascii="宋体" w:hAnsi="宋体"/>
          <w:sz w:val="24"/>
          <w:szCs w:val="24"/>
        </w:rPr>
      </w:r>
      <w:r/>
    </w:p>
    <w:p>
      <w:pPr>
        <w:pStyle w:val="752"/>
        <w:rPr>
          <w:rFonts w:hint="eastAsia" w:ascii="宋体" w:hAnsi="宋体"/>
          <w:sz w:val="24"/>
          <w:szCs w:val="24"/>
        </w:rPr>
      </w:pPr>
      <w:r>
        <w:rPr>
          <w:rFonts w:hint="eastAsia" w:ascii="宋体" w:hAnsi="宋体"/>
          <w:sz w:val="24"/>
          <w:szCs w:val="24"/>
        </w:rPr>
      </w:r>
      <w:r/>
    </w:p>
    <w:p>
      <w:pPr>
        <w:pStyle w:val="752"/>
        <w:rPr>
          <w:rFonts w:hint="eastAsia" w:ascii="宋体" w:hAnsi="宋体"/>
          <w:sz w:val="24"/>
          <w:szCs w:val="24"/>
        </w:rPr>
      </w:pPr>
      <w:r>
        <w:rPr>
          <w:rFonts w:hint="eastAsia" w:ascii="宋体" w:hAnsi="宋体"/>
          <w:sz w:val="24"/>
          <w:szCs w:val="24"/>
        </w:rPr>
      </w:r>
      <w:r/>
    </w:p>
    <w:p>
      <w:pPr>
        <w:pStyle w:val="752"/>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752"/>
        <w:rPr>
          <w:rFonts w:hint="eastAsia" w:ascii="宋体" w:hAnsi="宋体"/>
          <w:b/>
          <w:sz w:val="24"/>
          <w:szCs w:val="21"/>
        </w:rPr>
      </w:pPr>
      <w:r>
        <w:rPr>
          <w:rFonts w:hint="eastAsia" w:ascii="宋体" w:hAnsi="宋体"/>
          <w:b/>
          <w:sz w:val="24"/>
          <w:szCs w:val="21"/>
        </w:rPr>
      </w:r>
      <w:r/>
    </w:p>
    <w:p>
      <w:pPr>
        <w:pStyle w:val="752"/>
        <w:rPr>
          <w:rFonts w:hint="eastAsia" w:ascii="宋体" w:hAnsi="宋体"/>
          <w:b/>
          <w:sz w:val="24"/>
          <w:szCs w:val="21"/>
        </w:rPr>
      </w:pPr>
      <w:r>
        <w:rPr>
          <w:rFonts w:hint="eastAsia" w:ascii="宋体" w:hAnsi="宋体"/>
          <w:b/>
          <w:sz w:val="24"/>
          <w:szCs w:val="21"/>
        </w:rPr>
      </w:r>
      <w:r/>
    </w:p>
    <w:p>
      <w:pPr>
        <w:pStyle w:val="752"/>
        <w:rPr>
          <w:rFonts w:hint="eastAsia" w:ascii="宋体" w:hAnsi="宋体"/>
          <w:b/>
          <w:sz w:val="24"/>
          <w:szCs w:val="21"/>
        </w:rPr>
      </w:pPr>
      <w:r>
        <w:rPr>
          <w:rFonts w:hint="eastAsia" w:ascii="宋体" w:hAnsi="宋体"/>
          <w:b/>
          <w:sz w:val="24"/>
          <w:szCs w:val="21"/>
        </w:rPr>
      </w:r>
      <w:r/>
    </w:p>
    <w:p>
      <w:pPr>
        <w:pStyle w:val="752"/>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52"/>
        <w:rPr>
          <w:rFonts w:ascii="宋体" w:hAnsi="宋体"/>
          <w:b/>
          <w:color w:val="000000"/>
          <w:sz w:val="24"/>
          <w:szCs w:val="21"/>
        </w:rPr>
      </w:pPr>
      <w:r>
        <w:rPr>
          <w:rFonts w:ascii="宋体" w:hAnsi="宋体"/>
          <w:b/>
          <w:color w:val="000000"/>
          <w:sz w:val="24"/>
          <w:szCs w:val="21"/>
        </w:rPr>
      </w:r>
      <w:r/>
    </w:p>
    <w:p>
      <w:pPr>
        <w:pStyle w:val="752"/>
        <w:rPr>
          <w:rFonts w:ascii="宋体" w:hAnsi="宋体"/>
          <w:b/>
          <w:color w:val="000000"/>
          <w:sz w:val="24"/>
          <w:szCs w:val="21"/>
        </w:rPr>
      </w:pPr>
      <w:r>
        <w:rPr>
          <w:rFonts w:ascii="宋体" w:hAnsi="宋体"/>
          <w:b/>
          <w:color w:val="000000"/>
          <w:sz w:val="24"/>
          <w:szCs w:val="21"/>
        </w:rPr>
      </w:r>
      <w:r/>
    </w:p>
    <w:p>
      <w:pPr>
        <w:pStyle w:val="752"/>
        <w:rPr>
          <w:rFonts w:ascii="宋体" w:hAnsi="宋体"/>
          <w:b/>
          <w:color w:val="000000"/>
          <w:sz w:val="24"/>
          <w:szCs w:val="21"/>
        </w:rPr>
      </w:pPr>
      <w:r>
        <w:rPr>
          <w:rFonts w:ascii="宋体" w:hAnsi="宋体"/>
          <w:b/>
          <w:color w:val="000000"/>
          <w:sz w:val="24"/>
          <w:szCs w:val="21"/>
        </w:rPr>
      </w:r>
      <w:r/>
    </w:p>
    <w:p>
      <w:pPr>
        <w:pStyle w:val="752"/>
        <w:rPr>
          <w:rFonts w:ascii="宋体" w:hAnsi="宋体"/>
          <w:b/>
          <w:color w:val="000000"/>
          <w:sz w:val="24"/>
          <w:szCs w:val="21"/>
        </w:rPr>
      </w:pPr>
      <w:r>
        <w:rPr>
          <w:rFonts w:ascii="宋体" w:hAnsi="宋体"/>
          <w:b/>
          <w:color w:val="000000"/>
          <w:sz w:val="24"/>
          <w:szCs w:val="21"/>
        </w:rPr>
      </w:r>
      <w:r/>
    </w:p>
    <w:p>
      <w:pPr>
        <w:pStyle w:val="752"/>
        <w:rPr>
          <w:rFonts w:ascii="宋体" w:hAnsi="宋体"/>
          <w:b/>
          <w:color w:val="000000"/>
          <w:sz w:val="24"/>
          <w:szCs w:val="21"/>
        </w:rPr>
      </w:pPr>
      <w:r>
        <w:rPr>
          <w:rFonts w:ascii="宋体" w:hAnsi="宋体"/>
          <w:b/>
          <w:color w:val="000000"/>
          <w:sz w:val="24"/>
          <w:szCs w:val="21"/>
        </w:rPr>
      </w:r>
      <w:r/>
    </w:p>
    <w:p>
      <w:pPr>
        <w:pStyle w:val="752"/>
        <w:rPr>
          <w:rFonts w:ascii="宋体" w:hAnsi="宋体"/>
          <w:b/>
          <w:color w:val="000000"/>
          <w:sz w:val="24"/>
          <w:szCs w:val="21"/>
        </w:rPr>
      </w:pPr>
      <w:r>
        <w:rPr>
          <w:rFonts w:ascii="宋体" w:hAnsi="宋体"/>
          <w:b/>
          <w:color w:val="000000"/>
          <w:sz w:val="24"/>
          <w:szCs w:val="21"/>
        </w:rPr>
      </w:r>
      <w:r/>
    </w:p>
    <w:p>
      <w:pPr>
        <w:pStyle w:val="752"/>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52"/>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30"/>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52"/>
        <w:rPr>
          <w:rFonts w:ascii="宋体" w:hAnsi="宋体"/>
          <w:b/>
          <w:color w:val="000000"/>
          <w:sz w:val="24"/>
          <w:szCs w:val="21"/>
        </w:rPr>
      </w:pPr>
      <w:r>
        <w:rPr>
          <w:rFonts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rPr>
          <w:rFonts w:hint="eastAsia" w:ascii="宋体" w:hAnsi="宋体"/>
          <w:b/>
          <w:color w:val="000000"/>
          <w:sz w:val="24"/>
          <w:szCs w:val="21"/>
        </w:rPr>
      </w:pPr>
      <w:r>
        <w:rPr>
          <w:rFonts w:hint="eastAsia" w:ascii="宋体" w:hAnsi="宋体"/>
          <w:b/>
          <w:color w:val="000000"/>
          <w:sz w:val="24"/>
          <w:szCs w:val="21"/>
        </w:rPr>
      </w:r>
      <w:r/>
    </w:p>
    <w:p>
      <w:pPr>
        <w:pStyle w:val="752"/>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52"/>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750"/>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5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75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（2026扬州高邮大运河半程马拉松赛事服务项目）</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5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5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5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50"/>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50"/>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50"/>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50"/>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0"/>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50"/>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50"/>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50"/>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750"/>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30"/>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扬州市公共资源交易中心高邮分中心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bookmarkEnd w:id="190"/>
      <w:bookmarkEnd w:id="196"/>
      <w:bookmarkEnd w:id="197"/>
      <w:bookmarkEnd w:id="198"/>
      <w:r/>
    </w:p>
    <w:p>
      <w:pPr>
        <w:pStyle w:val="908"/>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9"/>
      </w:rPr>
      <w:framePr w:wrap="around" w:vAnchor="text" w:hAnchor="margin" w:xAlign="center" w:y="1"/>
    </w:pPr>
    <w:r>
      <w:fldChar w:fldCharType="begin"/>
    </w:r>
    <w:r>
      <w:rPr>
        <w:rStyle w:val="979"/>
      </w:rPr>
      <w:instrText xml:space="preserve">PAGE  </w:instrText>
    </w:r>
    <w:r>
      <w:fldChar w:fldCharType="separate"/>
    </w:r>
    <w:r>
      <w:rPr>
        <w:rStyle w:val="979"/>
      </w:rPr>
      <w:t xml:space="preserve">1</w:t>
    </w:r>
    <w:r>
      <w:fldChar w:fldCharType="end"/>
    </w:r>
    <w:r/>
  </w:p>
  <w:p>
    <w:pPr>
      <w:pStyle w:val="9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4647"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3464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5pt;height:12.1pt;mso-wrap-distance-left:9.0pt;mso-wrap-distance-top:0.0pt;mso-wrap-distance-right:9.0pt;mso-wrap-distance-bottom:0.0pt;v-text-anchor:top;visibility:visible;" filled="f" stroked="f" strokeweight="0.50pt">
              <v:textbox inset="0,0,0,0">
                <w:txbxContent>
                  <w:p>
                    <w:pPr>
                      <w:pStyle w:val="74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49728" cy="153339"/>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44972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5.4pt;height:12.1pt;mso-wrap-distance-left:9.0pt;mso-wrap-distance-top:0.0pt;mso-wrap-distance-right:9.0pt;mso-wrap-distance-bottom:0.0pt;v-text-anchor:top;visibility:visible;" filled="f" stroked="f" strokeweight="0.50pt">
              <v:textbox inset="0,0,0,0">
                <w:txbxContent>
                  <w:p>
                    <w:pPr>
                      <w:pStyle w:val="7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2"/>
      <w:isLgl w:val="false"/>
      <w:suff w:val="nothing"/>
      <w:lvlText w:val=""/>
      <w:lvlJc w:val="left"/>
      <w:pPr>
        <w:ind w:left="0" w:firstLine="0"/>
      </w:pPr>
      <w:rPr>
        <w:rFonts w:hint="eastAsia"/>
      </w:rPr>
    </w:lvl>
    <w:lvl w:ilvl="6">
      <w:start w:val="1"/>
      <w:numFmt w:val="decimal"/>
      <w:pStyle w:val="913"/>
      <w:isLgl w:val="false"/>
      <w:suff w:val="nothing"/>
      <w:lvlText w:val=""/>
      <w:lvlJc w:val="left"/>
      <w:pPr>
        <w:ind w:left="0" w:firstLine="0"/>
      </w:pPr>
      <w:rPr>
        <w:rFonts w:hint="eastAsia"/>
      </w:rPr>
    </w:lvl>
    <w:lvl w:ilvl="7">
      <w:start w:val="1"/>
      <w:numFmt w:val="decimal"/>
      <w:pStyle w:val="914"/>
      <w:isLgl w:val="false"/>
      <w:suff w:val="nothing"/>
      <w:lvlText w:val=""/>
      <w:lvlJc w:val="left"/>
      <w:pPr>
        <w:ind w:left="0" w:firstLine="0"/>
      </w:pPr>
      <w:rPr>
        <w:rFonts w:hint="eastAsia"/>
      </w:rPr>
    </w:lvl>
    <w:lvl w:ilvl="8">
      <w:start w:val="1"/>
      <w:numFmt w:val="decimal"/>
      <w:pStyle w:val="915"/>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link w:val="102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0">
    <w:name w:val="Heading 1"/>
    <w:basedOn w:val="719"/>
    <w:next w:val="719"/>
    <w:link w:val="758"/>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59"/>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link w:val="760"/>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31"/>
    <w:link w:val="761"/>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923"/>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924"/>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65"/>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66"/>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Normal Indent"/>
    <w:basedOn w:val="719"/>
    <w:uiPriority w:val="0"/>
    <w:qFormat/>
    <w:pPr>
      <w:ind w:firstLine="420"/>
      <w:spacing w:line="360" w:lineRule="auto"/>
    </w:pPr>
    <w:rPr>
      <w:rFonts w:ascii="Calibri" w:hAnsi="Calibri" w:cs="Calibri"/>
      <w:sz w:val="24"/>
      <w:szCs w:val="24"/>
    </w:rPr>
  </w:style>
  <w:style w:type="paragraph" w:styleId="732">
    <w:name w:val="toc 7"/>
    <w:basedOn w:val="719"/>
    <w:next w:val="719"/>
    <w:uiPriority w:val="39"/>
    <w:unhideWhenUsed/>
    <w:qFormat/>
    <w:pPr>
      <w:ind w:left="1701" w:right="0" w:firstLine="0"/>
      <w:spacing w:after="57"/>
    </w:pPr>
  </w:style>
  <w:style w:type="paragraph" w:styleId="733">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19"/>
    <w:uiPriority w:val="99"/>
    <w:semiHidden/>
    <w:unhideWhenUsed/>
    <w:qFormat/>
    <w:pPr>
      <w:jc w:val="left"/>
    </w:pPr>
  </w:style>
  <w:style w:type="paragraph" w:styleId="735">
    <w:name w:val="Body Text"/>
    <w:basedOn w:val="719"/>
    <w:uiPriority w:val="0"/>
    <w:qFormat/>
    <w:rPr>
      <w:rFonts w:ascii="楷体_GB2312" w:hAnsi="Arial" w:eastAsia="楷体_GB2312" w:cs="Times New Roman"/>
      <w:sz w:val="28"/>
      <w:szCs w:val="28"/>
    </w:rPr>
  </w:style>
  <w:style w:type="paragraph" w:styleId="736">
    <w:name w:val="toc 5"/>
    <w:basedOn w:val="719"/>
    <w:next w:val="719"/>
    <w:uiPriority w:val="39"/>
    <w:unhideWhenUsed/>
    <w:qFormat/>
    <w:pPr>
      <w:ind w:left="1134" w:right="0" w:firstLine="0"/>
      <w:spacing w:after="57"/>
    </w:pPr>
  </w:style>
  <w:style w:type="paragraph" w:styleId="737">
    <w:name w:val="toc 3"/>
    <w:basedOn w:val="719"/>
    <w:next w:val="719"/>
    <w:uiPriority w:val="39"/>
    <w:unhideWhenUsed/>
    <w:qFormat/>
    <w:pPr>
      <w:ind w:left="567" w:right="0" w:firstLine="0"/>
      <w:spacing w:after="57"/>
    </w:pPr>
  </w:style>
  <w:style w:type="paragraph" w:styleId="738">
    <w:name w:val="toc 8"/>
    <w:basedOn w:val="719"/>
    <w:next w:val="719"/>
    <w:uiPriority w:val="39"/>
    <w:unhideWhenUsed/>
    <w:qFormat/>
    <w:pPr>
      <w:ind w:left="1984" w:right="0" w:firstLine="0"/>
      <w:spacing w:after="57"/>
    </w:pPr>
  </w:style>
  <w:style w:type="paragraph" w:styleId="739">
    <w:name w:val="endnote text"/>
    <w:basedOn w:val="719"/>
    <w:link w:val="904"/>
    <w:uiPriority w:val="99"/>
    <w:semiHidden/>
    <w:unhideWhenUsed/>
    <w:qFormat/>
    <w:pPr>
      <w:spacing w:after="0" w:line="240" w:lineRule="auto"/>
    </w:pPr>
    <w:rPr>
      <w:sz w:val="20"/>
    </w:rPr>
  </w:style>
  <w:style w:type="paragraph" w:styleId="740">
    <w:name w:val="Footer"/>
    <w:basedOn w:val="719"/>
    <w:link w:val="777"/>
    <w:uiPriority w:val="99"/>
    <w:unhideWhenUsed/>
    <w:qFormat/>
    <w:pPr>
      <w:spacing w:after="0" w:line="240" w:lineRule="auto"/>
      <w:tabs>
        <w:tab w:val="center" w:pos="7143" w:leader="none"/>
        <w:tab w:val="right" w:pos="14287" w:leader="none"/>
      </w:tabs>
    </w:pPr>
  </w:style>
  <w:style w:type="paragraph" w:styleId="741">
    <w:name w:val="Header"/>
    <w:basedOn w:val="719"/>
    <w:link w:val="775"/>
    <w:uiPriority w:val="99"/>
    <w:unhideWhenUsed/>
    <w:qFormat/>
    <w:pPr>
      <w:spacing w:after="0" w:line="240" w:lineRule="auto"/>
      <w:tabs>
        <w:tab w:val="center" w:pos="7143" w:leader="none"/>
        <w:tab w:val="right" w:pos="14287" w:leader="none"/>
      </w:tabs>
    </w:pPr>
  </w:style>
  <w:style w:type="paragraph" w:styleId="742">
    <w:name w:val="toc 1"/>
    <w:basedOn w:val="719"/>
    <w:next w:val="719"/>
    <w:uiPriority w:val="39"/>
    <w:unhideWhenUsed/>
    <w:qFormat/>
    <w:pPr>
      <w:ind w:left="0" w:right="0" w:firstLine="0"/>
      <w:spacing w:after="57"/>
    </w:pPr>
  </w:style>
  <w:style w:type="paragraph" w:styleId="743">
    <w:name w:val="toc 4"/>
    <w:basedOn w:val="719"/>
    <w:next w:val="719"/>
    <w:uiPriority w:val="39"/>
    <w:unhideWhenUsed/>
    <w:qFormat/>
    <w:pPr>
      <w:ind w:left="850" w:right="0" w:firstLine="0"/>
      <w:spacing w:after="57"/>
    </w:pPr>
  </w:style>
  <w:style w:type="paragraph" w:styleId="744">
    <w:name w:val="Subtitle"/>
    <w:basedOn w:val="719"/>
    <w:next w:val="719"/>
    <w:link w:val="770"/>
    <w:uiPriority w:val="11"/>
    <w:qFormat/>
    <w:pPr>
      <w:spacing w:before="200" w:after="200"/>
    </w:pPr>
    <w:rPr>
      <w:sz w:val="24"/>
      <w:szCs w:val="24"/>
    </w:rPr>
  </w:style>
  <w:style w:type="paragraph" w:styleId="745">
    <w:name w:val="footnote text"/>
    <w:basedOn w:val="719"/>
    <w:link w:val="903"/>
    <w:uiPriority w:val="99"/>
    <w:semiHidden/>
    <w:unhideWhenUsed/>
    <w:qFormat/>
    <w:pPr>
      <w:spacing w:after="40" w:line="240" w:lineRule="auto"/>
    </w:pPr>
    <w:rPr>
      <w:sz w:val="18"/>
    </w:rPr>
  </w:style>
  <w:style w:type="paragraph" w:styleId="746">
    <w:name w:val="toc 6"/>
    <w:basedOn w:val="719"/>
    <w:next w:val="719"/>
    <w:uiPriority w:val="39"/>
    <w:unhideWhenUsed/>
    <w:qFormat/>
    <w:pPr>
      <w:ind w:left="1417" w:right="0" w:firstLine="0"/>
      <w:spacing w:after="57"/>
    </w:pPr>
  </w:style>
  <w:style w:type="paragraph" w:styleId="747">
    <w:name w:val="table of figures"/>
    <w:basedOn w:val="719"/>
    <w:next w:val="719"/>
    <w:uiPriority w:val="99"/>
    <w:unhideWhenUsed/>
    <w:qFormat/>
    <w:pPr>
      <w:spacing w:after="0" w:afterAutospacing="0"/>
    </w:pPr>
  </w:style>
  <w:style w:type="paragraph" w:styleId="748">
    <w:name w:val="toc 2"/>
    <w:basedOn w:val="719"/>
    <w:next w:val="719"/>
    <w:uiPriority w:val="39"/>
    <w:unhideWhenUsed/>
    <w:qFormat/>
    <w:pPr>
      <w:ind w:left="283" w:right="0" w:firstLine="0"/>
      <w:spacing w:after="57"/>
    </w:pPr>
  </w:style>
  <w:style w:type="paragraph" w:styleId="749">
    <w:name w:val="toc 9"/>
    <w:basedOn w:val="719"/>
    <w:next w:val="719"/>
    <w:uiPriority w:val="39"/>
    <w:unhideWhenUsed/>
    <w:qFormat/>
    <w:pPr>
      <w:ind w:left="2268" w:right="0" w:firstLine="0"/>
      <w:spacing w:after="57"/>
    </w:pPr>
  </w:style>
  <w:style w:type="paragraph" w:styleId="750">
    <w:name w:val="Normal (Web)"/>
    <w:basedOn w:val="719"/>
    <w:uiPriority w:val="99"/>
    <w:semiHidden/>
    <w:unhideWhenUsed/>
    <w:qFormat/>
    <w:pPr>
      <w:ind w:left="0" w:right="0"/>
      <w:jc w:val="left"/>
      <w:spacing w:before="0" w:beforeAutospacing="1" w:after="0" w:afterAutospacing="1"/>
    </w:pPr>
    <w:rPr>
      <w:sz w:val="24"/>
      <w:lang w:val="en-US" w:eastAsia="zh-CN" w:bidi="ar"/>
    </w:rPr>
  </w:style>
  <w:style w:type="paragraph" w:styleId="751">
    <w:name w:val="Title"/>
    <w:basedOn w:val="719"/>
    <w:next w:val="719"/>
    <w:link w:val="769"/>
    <w:uiPriority w:val="10"/>
    <w:qFormat/>
    <w:pPr>
      <w:contextualSpacing/>
      <w:spacing w:before="300" w:after="200"/>
    </w:pPr>
    <w:rPr>
      <w:sz w:val="48"/>
      <w:szCs w:val="48"/>
    </w:rPr>
  </w:style>
  <w:style w:type="paragraph" w:styleId="752">
    <w:name w:val="Body Text First Indent"/>
    <w:basedOn w:val="735"/>
    <w:uiPriority w:val="0"/>
    <w:qFormat/>
    <w:pPr>
      <w:ind w:firstLine="200"/>
      <w:spacing w:line="360" w:lineRule="auto"/>
    </w:pPr>
    <w:rPr>
      <w:rFonts w:ascii="仿宋_GB2312" w:hAnsi="Times New Roman" w:eastAsia="仿宋_GB2312" w:cs="Times New Roman"/>
      <w:sz w:val="30"/>
      <w:szCs w:val="30"/>
    </w:r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FollowedHyperlink"/>
    <w:basedOn w:val="729"/>
    <w:uiPriority w:val="99"/>
    <w:semiHidden/>
    <w:unhideWhenUsed/>
    <w:qFormat/>
    <w:rPr>
      <w:color w:val="333333"/>
      <w:u w:val="none"/>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character" w:styleId="758" w:customStyle="1">
    <w:name w:val="Heading 1 Char"/>
    <w:link w:val="720"/>
    <w:uiPriority w:val="9"/>
    <w:qFormat/>
    <w:rPr>
      <w:rFonts w:ascii="Arial" w:hAnsi="Arial" w:eastAsia="Arial" w:cs="Arial"/>
      <w:sz w:val="40"/>
      <w:szCs w:val="40"/>
    </w:rPr>
  </w:style>
  <w:style w:type="character" w:styleId="759" w:customStyle="1">
    <w:name w:val="Heading 2 Char"/>
    <w:link w:val="721"/>
    <w:uiPriority w:val="9"/>
    <w:qFormat/>
    <w:rPr>
      <w:rFonts w:ascii="Arial" w:hAnsi="Arial" w:eastAsia="Arial" w:cs="Arial"/>
      <w:sz w:val="34"/>
    </w:rPr>
  </w:style>
  <w:style w:type="character" w:styleId="760" w:customStyle="1">
    <w:name w:val="Heading 3 Char"/>
    <w:link w:val="722"/>
    <w:uiPriority w:val="9"/>
    <w:qFormat/>
    <w:rPr>
      <w:rFonts w:ascii="Arial" w:hAnsi="Arial" w:eastAsia="Arial" w:cs="Arial"/>
      <w:sz w:val="30"/>
      <w:szCs w:val="30"/>
    </w:rPr>
  </w:style>
  <w:style w:type="character" w:styleId="761" w:customStyle="1">
    <w:name w:val="Heading 4 Char"/>
    <w:link w:val="723"/>
    <w:uiPriority w:val="9"/>
    <w:qFormat/>
    <w:rPr>
      <w:rFonts w:ascii="Arial" w:hAnsi="Arial" w:eastAsia="Arial" w:cs="Arial"/>
      <w:b/>
      <w:bCs/>
      <w:sz w:val="26"/>
      <w:szCs w:val="26"/>
    </w:rPr>
  </w:style>
  <w:style w:type="character" w:styleId="762" w:customStyle="1">
    <w:name w:val="Heading 5 Char"/>
    <w:link w:val="724"/>
    <w:uiPriority w:val="9"/>
    <w:qFormat/>
    <w:rPr>
      <w:rFonts w:ascii="Arial" w:hAnsi="Arial" w:eastAsia="Arial" w:cs="Arial"/>
      <w:b/>
      <w:bCs/>
      <w:sz w:val="24"/>
      <w:szCs w:val="24"/>
    </w:rPr>
  </w:style>
  <w:style w:type="character" w:styleId="763" w:customStyle="1">
    <w:name w:val="Heading 6 Char"/>
    <w:link w:val="725"/>
    <w:uiPriority w:val="9"/>
    <w:qFormat/>
    <w:rPr>
      <w:rFonts w:ascii="Arial" w:hAnsi="Arial" w:eastAsia="Arial" w:cs="Arial"/>
      <w:b/>
      <w:bCs/>
      <w:sz w:val="22"/>
      <w:szCs w:val="22"/>
    </w:rPr>
  </w:style>
  <w:style w:type="character" w:styleId="764" w:customStyle="1">
    <w:name w:val="Heading 7 Char"/>
    <w:link w:val="726"/>
    <w:uiPriority w:val="9"/>
    <w:qFormat/>
    <w:rPr>
      <w:rFonts w:ascii="Arial" w:hAnsi="Arial" w:eastAsia="Arial" w:cs="Arial"/>
      <w:b/>
      <w:bCs/>
      <w:i/>
      <w:iCs/>
      <w:sz w:val="22"/>
      <w:szCs w:val="22"/>
    </w:rPr>
  </w:style>
  <w:style w:type="character" w:styleId="765" w:customStyle="1">
    <w:name w:val="Heading 8 Char"/>
    <w:link w:val="727"/>
    <w:uiPriority w:val="9"/>
    <w:qFormat/>
    <w:rPr>
      <w:rFonts w:ascii="Arial" w:hAnsi="Arial" w:eastAsia="Arial" w:cs="Arial"/>
      <w:i/>
      <w:iCs/>
      <w:sz w:val="22"/>
      <w:szCs w:val="22"/>
    </w:rPr>
  </w:style>
  <w:style w:type="character" w:styleId="766" w:customStyle="1">
    <w:name w:val="Heading 9 Char"/>
    <w:link w:val="728"/>
    <w:uiPriority w:val="9"/>
    <w:qFormat/>
    <w:rPr>
      <w:rFonts w:ascii="Arial" w:hAnsi="Arial" w:eastAsia="Arial" w:cs="Arial"/>
      <w:i/>
      <w:iCs/>
      <w:sz w:val="21"/>
      <w:szCs w:val="21"/>
    </w:rPr>
  </w:style>
  <w:style w:type="paragraph" w:styleId="767">
    <w:name w:val="List Paragraph"/>
    <w:basedOn w:val="719"/>
    <w:uiPriority w:val="34"/>
    <w:qFormat/>
    <w:pPr>
      <w:contextualSpacing/>
      <w:ind w:left="720"/>
    </w:pPr>
  </w:style>
  <w:style w:type="paragraph" w:styleId="768">
    <w:name w:val="No Spacing"/>
    <w:uiPriority w:val="1"/>
    <w:qFormat/>
    <w:pPr>
      <w:spacing w:before="0" w:after="0" w:line="240" w:lineRule="auto"/>
    </w:pPr>
    <w:rPr>
      <w:rFonts w:hint="default" w:ascii="Calibri" w:hAnsi="Calibri" w:eastAsia="宋体" w:cs="Times New Roman"/>
    </w:rPr>
  </w:style>
  <w:style w:type="character" w:styleId="769" w:customStyle="1">
    <w:name w:val="Title Char"/>
    <w:link w:val="751"/>
    <w:uiPriority w:val="10"/>
    <w:qFormat/>
    <w:rPr>
      <w:sz w:val="48"/>
      <w:szCs w:val="48"/>
    </w:rPr>
  </w:style>
  <w:style w:type="character" w:styleId="770" w:customStyle="1">
    <w:name w:val="Subtitle Char"/>
    <w:link w:val="744"/>
    <w:uiPriority w:val="11"/>
    <w:qFormat/>
    <w:rPr>
      <w:sz w:val="24"/>
      <w:szCs w:val="24"/>
    </w:rPr>
  </w:style>
  <w:style w:type="paragraph" w:styleId="771">
    <w:name w:val="Quote"/>
    <w:basedOn w:val="719"/>
    <w:next w:val="719"/>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719"/>
    <w:next w:val="719"/>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link w:val="741"/>
    <w:uiPriority w:val="99"/>
    <w:qFormat/>
  </w:style>
  <w:style w:type="character" w:styleId="776" w:customStyle="1">
    <w:name w:val="Footer Char"/>
    <w:link w:val="740"/>
    <w:uiPriority w:val="99"/>
    <w:qFormat/>
  </w:style>
  <w:style w:type="character" w:styleId="777" w:customStyle="1">
    <w:name w:val="Caption Char"/>
    <w:link w:val="740"/>
    <w:uiPriority w:val="99"/>
    <w:qFormat/>
  </w:style>
  <w:style w:type="table" w:styleId="7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Footnote Text Char"/>
    <w:link w:val="745"/>
    <w:uiPriority w:val="99"/>
    <w:qFormat/>
    <w:rPr>
      <w:sz w:val="18"/>
    </w:rPr>
  </w:style>
  <w:style w:type="character" w:styleId="904" w:customStyle="1">
    <w:name w:val="Endnote Text Char"/>
    <w:link w:val="739"/>
    <w:uiPriority w:val="99"/>
    <w:qFormat/>
    <w:rPr>
      <w:sz w:val="20"/>
    </w:rPr>
  </w:style>
  <w:style w:type="paragraph" w:styleId="905" w:customStyle="1">
    <w:name w:val="TOC Heading"/>
    <w:uiPriority w:val="39"/>
    <w:unhideWhenUsed/>
    <w:qFormat/>
    <w:rPr>
      <w:rFonts w:hint="default" w:ascii="Calibri" w:hAnsi="Calibri" w:eastAsia="宋体" w:cs="Times New Roman"/>
    </w:rPr>
  </w:style>
  <w:style w:type="paragraph" w:styleId="906" w:customStyle="1">
    <w:name w:val="标题 11"/>
    <w:basedOn w:val="719"/>
    <w:next w:val="719"/>
    <w:link w:val="918"/>
    <w:uiPriority w:val="0"/>
    <w:qFormat/>
    <w:pPr>
      <w:jc w:val="center"/>
      <w:keepNext/>
      <w:outlineLvl w:val="0"/>
    </w:pPr>
    <w:rPr>
      <w:rFonts w:ascii="楷体_GB2312" w:eastAsia="楷体_GB2312"/>
      <w:sz w:val="28"/>
      <w:szCs w:val="28"/>
    </w:rPr>
  </w:style>
  <w:style w:type="paragraph" w:styleId="907" w:customStyle="1">
    <w:name w:val="标题 21"/>
    <w:basedOn w:val="719"/>
    <w:next w:val="908"/>
    <w:link w:val="91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8" w:customStyle="1">
    <w:name w:val="正文缩进1"/>
    <w:basedOn w:val="719"/>
    <w:link w:val="920"/>
    <w:uiPriority w:val="0"/>
    <w:qFormat/>
    <w:pPr>
      <w:ind w:firstLine="420"/>
    </w:pPr>
  </w:style>
  <w:style w:type="paragraph" w:styleId="909" w:customStyle="1">
    <w:name w:val="标题 31"/>
    <w:basedOn w:val="719"/>
    <w:next w:val="908"/>
    <w:link w:val="921"/>
    <w:uiPriority w:val="0"/>
    <w:qFormat/>
    <w:pPr>
      <w:keepLines/>
      <w:keepNext/>
      <w:spacing w:before="260" w:after="260" w:line="416" w:lineRule="auto"/>
      <w:outlineLvl w:val="2"/>
    </w:pPr>
    <w:rPr>
      <w:b/>
      <w:bCs/>
      <w:sz w:val="32"/>
      <w:szCs w:val="32"/>
    </w:rPr>
  </w:style>
  <w:style w:type="paragraph" w:styleId="910" w:customStyle="1">
    <w:name w:val="标题 41"/>
    <w:basedOn w:val="719"/>
    <w:next w:val="908"/>
    <w:link w:val="922"/>
    <w:uiPriority w:val="0"/>
    <w:qFormat/>
    <w:pPr>
      <w:keepLines/>
      <w:keepNext/>
      <w:spacing w:before="280" w:after="290" w:line="376" w:lineRule="auto"/>
      <w:outlineLvl w:val="3"/>
    </w:pPr>
    <w:rPr>
      <w:rFonts w:ascii="Arial" w:hAnsi="Arial" w:eastAsia="黑体" w:cs="Arial"/>
      <w:b/>
      <w:bCs/>
      <w:sz w:val="28"/>
      <w:szCs w:val="28"/>
    </w:rPr>
  </w:style>
  <w:style w:type="paragraph" w:styleId="911" w:customStyle="1">
    <w:name w:val="标题 51"/>
    <w:basedOn w:val="719"/>
    <w:next w:val="908"/>
    <w:uiPriority w:val="0"/>
    <w:qFormat/>
    <w:pPr>
      <w:keepNext/>
      <w:outlineLvl w:val="4"/>
    </w:pPr>
    <w:rPr>
      <w:rFonts w:ascii="宋体"/>
      <w:color w:val="000000"/>
      <w:sz w:val="28"/>
      <w:szCs w:val="28"/>
    </w:rPr>
  </w:style>
  <w:style w:type="paragraph" w:styleId="912" w:customStyle="1">
    <w:name w:val="标题 61"/>
    <w:basedOn w:val="719"/>
    <w:next w:val="71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3" w:customStyle="1">
    <w:name w:val="标题 71"/>
    <w:basedOn w:val="719"/>
    <w:next w:val="719"/>
    <w:link w:val="925"/>
    <w:uiPriority w:val="0"/>
    <w:qFormat/>
    <w:pPr>
      <w:numPr>
        <w:ilvl w:val="6"/>
        <w:numId w:val="1"/>
      </w:numPr>
      <w:keepLines/>
      <w:keepNext/>
      <w:spacing w:before="240" w:after="64" w:line="320" w:lineRule="auto"/>
      <w:outlineLvl w:val="6"/>
    </w:pPr>
    <w:rPr>
      <w:b/>
      <w:bCs/>
      <w:sz w:val="24"/>
      <w:szCs w:val="24"/>
    </w:rPr>
  </w:style>
  <w:style w:type="paragraph" w:styleId="914" w:customStyle="1">
    <w:name w:val="标题 81"/>
    <w:basedOn w:val="719"/>
    <w:next w:val="719"/>
    <w:link w:val="92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5" w:customStyle="1">
    <w:name w:val="标题 91"/>
    <w:basedOn w:val="719"/>
    <w:next w:val="719"/>
    <w:link w:val="927"/>
    <w:uiPriority w:val="0"/>
    <w:qFormat/>
    <w:pPr>
      <w:numPr>
        <w:ilvl w:val="8"/>
        <w:numId w:val="1"/>
      </w:numPr>
      <w:keepLines/>
      <w:keepNext/>
      <w:spacing w:before="240" w:after="64" w:line="320" w:lineRule="auto"/>
      <w:outlineLvl w:val="8"/>
    </w:pPr>
    <w:rPr>
      <w:rFonts w:ascii="Arial" w:hAnsi="Arial" w:eastAsia="黑体"/>
    </w:rPr>
  </w:style>
  <w:style w:type="character" w:styleId="916" w:customStyle="1">
    <w:name w:val="默认段落字体1"/>
    <w:link w:val="719"/>
    <w:uiPriority w:val="1"/>
    <w:unhideWhenUsed/>
    <w:qFormat/>
  </w:style>
  <w:style w:type="table" w:styleId="917" w:customStyle="1">
    <w:name w:val="普通表格1"/>
    <w:uiPriority w:val="99"/>
    <w:unhideWhenUsed/>
    <w:qFormat/>
    <w:tblPr/>
  </w:style>
  <w:style w:type="character" w:styleId="918" w:customStyle="1">
    <w:name w:val="标题 1 Char"/>
    <w:link w:val="906"/>
    <w:uiPriority w:val="0"/>
    <w:qFormat/>
    <w:rPr>
      <w:rFonts w:ascii="楷体_GB2312" w:hAnsi="Times New Roman" w:eastAsia="楷体_GB2312" w:cs="Times New Roman"/>
      <w:sz w:val="28"/>
      <w:szCs w:val="28"/>
    </w:rPr>
  </w:style>
  <w:style w:type="character" w:styleId="919" w:customStyle="1">
    <w:name w:val="标题 2 Char"/>
    <w:link w:val="907"/>
    <w:uiPriority w:val="0"/>
    <w:qFormat/>
    <w:rPr>
      <w:rFonts w:ascii="Arial" w:hAnsi="Arial" w:eastAsia="幼圆" w:cs="Arial"/>
      <w:b/>
      <w:bCs/>
      <w:sz w:val="44"/>
      <w:szCs w:val="44"/>
    </w:rPr>
  </w:style>
  <w:style w:type="character" w:styleId="920" w:customStyle="1">
    <w:name w:val="正文缩进 Char"/>
    <w:link w:val="908"/>
    <w:uiPriority w:val="0"/>
    <w:qFormat/>
    <w:rPr>
      <w:rFonts w:ascii="Times New Roman" w:hAnsi="Times New Roman" w:eastAsia="宋体" w:cs="Times New Roman"/>
      <w:szCs w:val="21"/>
    </w:rPr>
  </w:style>
  <w:style w:type="character" w:styleId="921" w:customStyle="1">
    <w:name w:val="标题 3 Char"/>
    <w:link w:val="909"/>
    <w:uiPriority w:val="0"/>
    <w:qFormat/>
    <w:rPr>
      <w:rFonts w:ascii="Times New Roman" w:hAnsi="Times New Roman" w:eastAsia="宋体" w:cs="Times New Roman"/>
      <w:b/>
      <w:bCs/>
      <w:sz w:val="32"/>
      <w:szCs w:val="32"/>
    </w:rPr>
  </w:style>
  <w:style w:type="character" w:styleId="922" w:customStyle="1">
    <w:name w:val="标题 4 Char"/>
    <w:link w:val="910"/>
    <w:uiPriority w:val="0"/>
    <w:qFormat/>
    <w:rPr>
      <w:rFonts w:ascii="Arial" w:hAnsi="Arial" w:eastAsia="黑体" w:cs="Arial"/>
      <w:b/>
      <w:bCs/>
      <w:sz w:val="28"/>
      <w:szCs w:val="28"/>
    </w:rPr>
  </w:style>
  <w:style w:type="character" w:styleId="923" w:customStyle="1">
    <w:name w:val="标题 5 Char"/>
    <w:link w:val="724"/>
    <w:uiPriority w:val="0"/>
    <w:qFormat/>
    <w:rPr>
      <w:rFonts w:ascii="宋体" w:hAnsi="Times New Roman" w:eastAsia="宋体" w:cs="Times New Roman"/>
      <w:color w:val="000000"/>
      <w:sz w:val="28"/>
      <w:szCs w:val="28"/>
    </w:rPr>
  </w:style>
  <w:style w:type="character" w:styleId="924" w:customStyle="1">
    <w:name w:val="标题 6 Char"/>
    <w:link w:val="725"/>
    <w:uiPriority w:val="0"/>
    <w:qFormat/>
    <w:rPr>
      <w:rFonts w:ascii="Arial" w:hAnsi="Arial" w:eastAsia="黑体" w:cs="Times New Roman"/>
      <w:b/>
      <w:bCs/>
      <w:sz w:val="24"/>
      <w:szCs w:val="24"/>
    </w:rPr>
  </w:style>
  <w:style w:type="character" w:styleId="925" w:customStyle="1">
    <w:name w:val="标题 7 Char"/>
    <w:link w:val="913"/>
    <w:uiPriority w:val="0"/>
    <w:qFormat/>
    <w:rPr>
      <w:rFonts w:ascii="Times New Roman" w:hAnsi="Times New Roman" w:eastAsia="宋体" w:cs="Times New Roman"/>
      <w:b/>
      <w:bCs/>
      <w:sz w:val="24"/>
      <w:szCs w:val="24"/>
    </w:rPr>
  </w:style>
  <w:style w:type="character" w:styleId="926" w:customStyle="1">
    <w:name w:val="标题 8 Char"/>
    <w:link w:val="914"/>
    <w:uiPriority w:val="0"/>
    <w:qFormat/>
    <w:rPr>
      <w:rFonts w:ascii="Arial" w:hAnsi="Arial" w:eastAsia="黑体" w:cs="Times New Roman"/>
      <w:sz w:val="24"/>
      <w:szCs w:val="24"/>
    </w:rPr>
  </w:style>
  <w:style w:type="character" w:styleId="927" w:customStyle="1">
    <w:name w:val="标题 9 Char"/>
    <w:link w:val="915"/>
    <w:uiPriority w:val="0"/>
    <w:qFormat/>
    <w:rPr>
      <w:rFonts w:ascii="Arial" w:hAnsi="Arial" w:eastAsia="黑体" w:cs="Times New Roman"/>
      <w:szCs w:val="21"/>
    </w:rPr>
  </w:style>
  <w:style w:type="paragraph" w:styleId="928" w:customStyle="1">
    <w:name w:val="列表 31"/>
    <w:basedOn w:val="719"/>
    <w:uiPriority w:val="0"/>
    <w:qFormat/>
    <w:pPr>
      <w:ind w:left="100" w:hanging="200"/>
    </w:pPr>
  </w:style>
  <w:style w:type="paragraph" w:styleId="929" w:customStyle="1">
    <w:name w:val="目录 71"/>
    <w:basedOn w:val="719"/>
    <w:next w:val="719"/>
    <w:uiPriority w:val="0"/>
    <w:semiHidden/>
    <w:qFormat/>
    <w:pPr>
      <w:ind w:left="1260"/>
      <w:jc w:val="left"/>
    </w:pPr>
  </w:style>
  <w:style w:type="paragraph" w:styleId="930" w:customStyle="1">
    <w:name w:val="文档结构图1"/>
    <w:basedOn w:val="719"/>
    <w:link w:val="931"/>
    <w:uiPriority w:val="0"/>
    <w:semiHidden/>
    <w:qFormat/>
    <w:pPr>
      <w:shd w:val="clear" w:color="auto" w:fill="000080"/>
    </w:pPr>
  </w:style>
  <w:style w:type="character" w:styleId="931" w:customStyle="1">
    <w:name w:val="文档结构图 Char"/>
    <w:link w:val="930"/>
    <w:uiPriority w:val="0"/>
    <w:semiHidden/>
    <w:qFormat/>
    <w:rPr>
      <w:rFonts w:ascii="Times New Roman" w:hAnsi="Times New Roman" w:eastAsia="宋体" w:cs="Times New Roman"/>
      <w:szCs w:val="21"/>
      <w:shd w:val="clear" w:color="auto" w:fill="000080"/>
    </w:rPr>
  </w:style>
  <w:style w:type="paragraph" w:styleId="932" w:customStyle="1">
    <w:name w:val="批注文字1"/>
    <w:basedOn w:val="719"/>
    <w:link w:val="933"/>
    <w:uiPriority w:val="0"/>
    <w:semiHidden/>
    <w:qFormat/>
    <w:pPr>
      <w:jc w:val="left"/>
    </w:pPr>
  </w:style>
  <w:style w:type="character" w:styleId="933" w:customStyle="1">
    <w:name w:val="批注文字 Char"/>
    <w:link w:val="932"/>
    <w:uiPriority w:val="0"/>
    <w:semiHidden/>
    <w:qFormat/>
    <w:rPr>
      <w:rFonts w:ascii="Times New Roman" w:hAnsi="Times New Roman" w:eastAsia="宋体" w:cs="Times New Roman"/>
      <w:szCs w:val="21"/>
    </w:rPr>
  </w:style>
  <w:style w:type="paragraph" w:styleId="934" w:customStyle="1">
    <w:name w:val="正文文本 31"/>
    <w:basedOn w:val="719"/>
    <w:link w:val="935"/>
    <w:uiPriority w:val="0"/>
    <w:qFormat/>
    <w:rPr>
      <w:rFonts w:ascii="仿宋_GB2312" w:hAnsi="Arial" w:eastAsia="仿宋_GB2312"/>
      <w:sz w:val="32"/>
      <w:szCs w:val="32"/>
    </w:rPr>
  </w:style>
  <w:style w:type="character" w:styleId="935" w:customStyle="1">
    <w:name w:val="正文文本 3 Char"/>
    <w:link w:val="934"/>
    <w:uiPriority w:val="0"/>
    <w:qFormat/>
    <w:rPr>
      <w:rFonts w:ascii="仿宋_GB2312" w:hAnsi="Arial" w:eastAsia="仿宋_GB2312" w:cs="Times New Roman"/>
      <w:sz w:val="32"/>
      <w:szCs w:val="32"/>
    </w:rPr>
  </w:style>
  <w:style w:type="paragraph" w:styleId="936" w:customStyle="1">
    <w:name w:val="正文文本1"/>
    <w:basedOn w:val="719"/>
    <w:link w:val="937"/>
    <w:uiPriority w:val="0"/>
    <w:qFormat/>
    <w:rPr>
      <w:rFonts w:ascii="楷体_GB2312" w:hAnsi="Arial" w:eastAsia="楷体_GB2312"/>
      <w:sz w:val="28"/>
      <w:szCs w:val="28"/>
    </w:rPr>
  </w:style>
  <w:style w:type="character" w:styleId="937" w:customStyle="1">
    <w:name w:val="正文文本 Char"/>
    <w:link w:val="936"/>
    <w:uiPriority w:val="0"/>
    <w:qFormat/>
    <w:rPr>
      <w:rFonts w:ascii="楷体_GB2312" w:hAnsi="Arial" w:eastAsia="楷体_GB2312" w:cs="Times New Roman"/>
      <w:sz w:val="28"/>
      <w:szCs w:val="28"/>
    </w:rPr>
  </w:style>
  <w:style w:type="paragraph" w:styleId="938" w:customStyle="1">
    <w:name w:val="正文文本缩进1"/>
    <w:basedOn w:val="719"/>
    <w:link w:val="939"/>
    <w:uiPriority w:val="0"/>
    <w:qFormat/>
    <w:pPr>
      <w:ind w:firstLine="645"/>
    </w:pPr>
    <w:rPr>
      <w:rFonts w:ascii="楷体_GB2312" w:eastAsia="楷体_GB2312"/>
      <w:sz w:val="32"/>
      <w:szCs w:val="32"/>
    </w:rPr>
  </w:style>
  <w:style w:type="character" w:styleId="939" w:customStyle="1">
    <w:name w:val="正文文本缩进 Char"/>
    <w:link w:val="938"/>
    <w:uiPriority w:val="0"/>
    <w:qFormat/>
    <w:rPr>
      <w:rFonts w:ascii="楷体_GB2312" w:hAnsi="Times New Roman" w:eastAsia="楷体_GB2312" w:cs="Times New Roman"/>
      <w:sz w:val="32"/>
      <w:szCs w:val="32"/>
    </w:rPr>
  </w:style>
  <w:style w:type="paragraph" w:styleId="940" w:customStyle="1">
    <w:name w:val="列表 21"/>
    <w:basedOn w:val="719"/>
    <w:uiPriority w:val="0"/>
    <w:qFormat/>
    <w:pPr>
      <w:ind w:left="100" w:hanging="200"/>
    </w:pPr>
  </w:style>
  <w:style w:type="paragraph" w:styleId="941" w:customStyle="1">
    <w:name w:val="目录 51"/>
    <w:basedOn w:val="719"/>
    <w:next w:val="719"/>
    <w:uiPriority w:val="0"/>
    <w:semiHidden/>
    <w:qFormat/>
    <w:pPr>
      <w:ind w:left="840"/>
      <w:jc w:val="left"/>
    </w:pPr>
  </w:style>
  <w:style w:type="paragraph" w:styleId="942" w:customStyle="1">
    <w:name w:val="目录 31"/>
    <w:basedOn w:val="719"/>
    <w:next w:val="719"/>
    <w:uiPriority w:val="0"/>
    <w:semiHidden/>
    <w:qFormat/>
    <w:pPr>
      <w:ind w:left="420"/>
      <w:jc w:val="left"/>
    </w:pPr>
    <w:rPr>
      <w:i/>
      <w:iCs/>
      <w:szCs w:val="24"/>
    </w:rPr>
  </w:style>
  <w:style w:type="paragraph" w:styleId="943" w:customStyle="1">
    <w:name w:val="纯文本1"/>
    <w:basedOn w:val="719"/>
    <w:link w:val="944"/>
    <w:uiPriority w:val="0"/>
    <w:qFormat/>
    <w:rPr>
      <w:rFonts w:ascii="宋体" w:hAnsi="Courier New" w:cs="Courier New"/>
    </w:rPr>
  </w:style>
  <w:style w:type="character" w:styleId="944" w:customStyle="1">
    <w:name w:val="纯文本 Char"/>
    <w:link w:val="943"/>
    <w:uiPriority w:val="0"/>
    <w:qFormat/>
    <w:rPr>
      <w:rFonts w:ascii="宋体" w:hAnsi="Courier New" w:eastAsia="宋体" w:cs="Courier New"/>
      <w:szCs w:val="21"/>
    </w:rPr>
  </w:style>
  <w:style w:type="paragraph" w:styleId="945" w:customStyle="1">
    <w:name w:val="目录 81"/>
    <w:basedOn w:val="719"/>
    <w:next w:val="719"/>
    <w:uiPriority w:val="0"/>
    <w:semiHidden/>
    <w:qFormat/>
    <w:pPr>
      <w:ind w:left="1470"/>
      <w:jc w:val="left"/>
    </w:pPr>
  </w:style>
  <w:style w:type="paragraph" w:styleId="946" w:customStyle="1">
    <w:name w:val="日期1"/>
    <w:basedOn w:val="719"/>
    <w:next w:val="719"/>
    <w:link w:val="947"/>
    <w:uiPriority w:val="0"/>
    <w:qFormat/>
    <w:rPr>
      <w:sz w:val="24"/>
      <w:szCs w:val="24"/>
    </w:rPr>
  </w:style>
  <w:style w:type="character" w:styleId="947" w:customStyle="1">
    <w:name w:val="日期 Char"/>
    <w:link w:val="946"/>
    <w:uiPriority w:val="0"/>
    <w:qFormat/>
    <w:rPr>
      <w:rFonts w:ascii="Times New Roman" w:hAnsi="Times New Roman" w:eastAsia="宋体" w:cs="Times New Roman"/>
      <w:sz w:val="24"/>
      <w:szCs w:val="24"/>
    </w:rPr>
  </w:style>
  <w:style w:type="paragraph" w:styleId="948" w:customStyle="1">
    <w:name w:val="正文文本缩进 21"/>
    <w:basedOn w:val="719"/>
    <w:link w:val="949"/>
    <w:uiPriority w:val="0"/>
    <w:qFormat/>
    <w:pPr>
      <w:ind w:left="630" w:firstLine="645"/>
    </w:pPr>
    <w:rPr>
      <w:rFonts w:ascii="Arial" w:hAnsi="Arial" w:eastAsia="仿宋_GB2312" w:cs="Arial"/>
      <w:sz w:val="32"/>
      <w:szCs w:val="32"/>
    </w:rPr>
  </w:style>
  <w:style w:type="character" w:styleId="949" w:customStyle="1">
    <w:name w:val="正文文本缩进 2 Char"/>
    <w:link w:val="948"/>
    <w:uiPriority w:val="0"/>
    <w:qFormat/>
    <w:rPr>
      <w:rFonts w:ascii="Arial" w:hAnsi="Arial" w:eastAsia="仿宋_GB2312" w:cs="Arial"/>
      <w:sz w:val="32"/>
      <w:szCs w:val="32"/>
    </w:rPr>
  </w:style>
  <w:style w:type="paragraph" w:styleId="950" w:customStyle="1">
    <w:name w:val="批注框文本1"/>
    <w:basedOn w:val="719"/>
    <w:link w:val="951"/>
    <w:uiPriority w:val="0"/>
    <w:semiHidden/>
    <w:qFormat/>
    <w:rPr>
      <w:sz w:val="18"/>
      <w:szCs w:val="18"/>
    </w:rPr>
  </w:style>
  <w:style w:type="character" w:styleId="951" w:customStyle="1">
    <w:name w:val="批注框文本 Char"/>
    <w:link w:val="950"/>
    <w:uiPriority w:val="0"/>
    <w:semiHidden/>
    <w:qFormat/>
    <w:rPr>
      <w:rFonts w:ascii="Times New Roman" w:hAnsi="Times New Roman" w:eastAsia="宋体" w:cs="Times New Roman"/>
      <w:sz w:val="18"/>
      <w:szCs w:val="18"/>
    </w:rPr>
  </w:style>
  <w:style w:type="paragraph" w:styleId="952" w:customStyle="1">
    <w:name w:val="页脚1"/>
    <w:basedOn w:val="719"/>
    <w:link w:val="953"/>
    <w:uiPriority w:val="99"/>
    <w:qFormat/>
    <w:pPr>
      <w:jc w:val="left"/>
      <w:tabs>
        <w:tab w:val="center" w:pos="4153" w:leader="none"/>
        <w:tab w:val="right" w:pos="8306" w:leader="none"/>
      </w:tabs>
    </w:pPr>
    <w:rPr>
      <w:sz w:val="18"/>
      <w:szCs w:val="18"/>
    </w:rPr>
  </w:style>
  <w:style w:type="character" w:styleId="953" w:customStyle="1">
    <w:name w:val="页脚 Char"/>
    <w:link w:val="952"/>
    <w:uiPriority w:val="99"/>
    <w:qFormat/>
    <w:rPr>
      <w:rFonts w:ascii="Times New Roman" w:hAnsi="Times New Roman" w:eastAsia="宋体" w:cs="Times New Roman"/>
      <w:sz w:val="18"/>
      <w:szCs w:val="18"/>
    </w:rPr>
  </w:style>
  <w:style w:type="paragraph" w:styleId="954" w:customStyle="1">
    <w:name w:val="页眉1"/>
    <w:basedOn w:val="719"/>
    <w:link w:val="955"/>
    <w:uiPriority w:val="0"/>
    <w:qFormat/>
    <w:pPr>
      <w:jc w:val="center"/>
      <w:tabs>
        <w:tab w:val="center" w:pos="4153" w:leader="none"/>
        <w:tab w:val="right" w:pos="8306" w:leader="none"/>
      </w:tabs>
      <w:pBdr>
        <w:bottom w:val="single" w:color="000000" w:sz="6" w:space="1"/>
      </w:pBdr>
    </w:pPr>
    <w:rPr>
      <w:sz w:val="18"/>
      <w:szCs w:val="18"/>
    </w:rPr>
  </w:style>
  <w:style w:type="character" w:styleId="955" w:customStyle="1">
    <w:name w:val="页眉 Char"/>
    <w:link w:val="954"/>
    <w:uiPriority w:val="0"/>
    <w:qFormat/>
    <w:rPr>
      <w:rFonts w:ascii="Times New Roman" w:hAnsi="Times New Roman" w:eastAsia="宋体" w:cs="Times New Roman"/>
      <w:sz w:val="18"/>
      <w:szCs w:val="18"/>
    </w:rPr>
  </w:style>
  <w:style w:type="paragraph" w:styleId="956" w:customStyle="1">
    <w:name w:val="目录 11"/>
    <w:basedOn w:val="957"/>
    <w:next w:val="958"/>
    <w:uiPriority w:val="0"/>
    <w:semiHidden/>
    <w:qFormat/>
    <w:pPr>
      <w:jc w:val="left"/>
      <w:spacing w:before="120" w:after="120" w:line="400" w:lineRule="exact"/>
      <w:tabs>
        <w:tab w:val="right" w:pos="8720" w:leader="dot"/>
      </w:tabs>
    </w:pPr>
    <w:rPr>
      <w:rFonts w:ascii="宋体" w:hAnsi="宋体"/>
      <w:caps/>
      <w:sz w:val="24"/>
      <w:szCs w:val="24"/>
    </w:rPr>
  </w:style>
  <w:style w:type="paragraph" w:styleId="957" w:customStyle="1">
    <w:name w:val="正文11"/>
    <w:next w:val="956"/>
    <w:uiPriority w:val="0"/>
    <w:qFormat/>
    <w:pPr>
      <w:jc w:val="both"/>
      <w:widowControl w:val="off"/>
    </w:pPr>
    <w:rPr>
      <w:rFonts w:ascii="Calibri" w:hAnsi="Calibri" w:eastAsia="宋体" w:cs="Times New Roman"/>
      <w:sz w:val="21"/>
      <w:szCs w:val="22"/>
      <w:lang w:val="en-US" w:eastAsia="zh-CN" w:bidi="ar-SA"/>
    </w:rPr>
  </w:style>
  <w:style w:type="paragraph" w:styleId="958" w:customStyle="1">
    <w:name w:val="正文1"/>
    <w:next w:val="936"/>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959" w:customStyle="1">
    <w:name w:val="目录 41"/>
    <w:basedOn w:val="719"/>
    <w:next w:val="719"/>
    <w:uiPriority w:val="0"/>
    <w:semiHidden/>
    <w:qFormat/>
    <w:pPr>
      <w:ind w:left="630"/>
      <w:jc w:val="left"/>
    </w:pPr>
  </w:style>
  <w:style w:type="paragraph" w:styleId="960" w:customStyle="1">
    <w:name w:val="列表1"/>
    <w:basedOn w:val="719"/>
    <w:uiPriority w:val="0"/>
    <w:qFormat/>
    <w:pPr>
      <w:ind w:left="200" w:hanging="200"/>
    </w:pPr>
  </w:style>
  <w:style w:type="paragraph" w:styleId="961" w:customStyle="1">
    <w:name w:val="目录 61"/>
    <w:basedOn w:val="719"/>
    <w:next w:val="719"/>
    <w:uiPriority w:val="0"/>
    <w:semiHidden/>
    <w:qFormat/>
    <w:pPr>
      <w:ind w:left="1050"/>
      <w:jc w:val="left"/>
    </w:pPr>
  </w:style>
  <w:style w:type="paragraph" w:styleId="962" w:customStyle="1">
    <w:name w:val="正文文本缩进 31"/>
    <w:basedOn w:val="719"/>
    <w:link w:val="963"/>
    <w:uiPriority w:val="0"/>
    <w:qFormat/>
    <w:pPr>
      <w:ind w:left="645" w:firstLine="645"/>
    </w:pPr>
    <w:rPr>
      <w:rFonts w:ascii="Arial" w:hAnsi="Arial" w:eastAsia="仿宋_GB2312" w:cs="Arial"/>
      <w:color w:val="ffff00"/>
      <w:sz w:val="32"/>
      <w:szCs w:val="32"/>
    </w:rPr>
  </w:style>
  <w:style w:type="character" w:styleId="963" w:customStyle="1">
    <w:name w:val="正文文本缩进 3 Char"/>
    <w:link w:val="962"/>
    <w:uiPriority w:val="0"/>
    <w:qFormat/>
    <w:rPr>
      <w:rFonts w:ascii="Arial" w:hAnsi="Arial" w:eastAsia="仿宋_GB2312" w:cs="Arial"/>
      <w:color w:val="ffff00"/>
      <w:sz w:val="32"/>
      <w:szCs w:val="32"/>
    </w:rPr>
  </w:style>
  <w:style w:type="paragraph" w:styleId="964" w:customStyle="1">
    <w:name w:val="图表目录1"/>
    <w:basedOn w:val="719"/>
    <w:next w:val="719"/>
    <w:uiPriority w:val="0"/>
    <w:semiHidden/>
    <w:qFormat/>
    <w:pPr>
      <w:ind w:left="840" w:hanging="420"/>
    </w:pPr>
  </w:style>
  <w:style w:type="paragraph" w:styleId="965" w:customStyle="1">
    <w:name w:val="目录 21"/>
    <w:basedOn w:val="719"/>
    <w:next w:val="719"/>
    <w:uiPriority w:val="0"/>
    <w:semiHidden/>
    <w:qFormat/>
    <w:pPr>
      <w:ind w:left="210"/>
      <w:jc w:val="left"/>
    </w:pPr>
    <w:rPr>
      <w:smallCaps/>
      <w:szCs w:val="24"/>
    </w:rPr>
  </w:style>
  <w:style w:type="paragraph" w:styleId="966" w:customStyle="1">
    <w:name w:val="目录 91"/>
    <w:basedOn w:val="719"/>
    <w:next w:val="719"/>
    <w:uiPriority w:val="0"/>
    <w:semiHidden/>
    <w:qFormat/>
    <w:pPr>
      <w:ind w:left="1680"/>
      <w:jc w:val="left"/>
    </w:pPr>
  </w:style>
  <w:style w:type="paragraph" w:styleId="967" w:customStyle="1">
    <w:name w:val="正文文本 21"/>
    <w:basedOn w:val="719"/>
    <w:link w:val="968"/>
    <w:uiPriority w:val="0"/>
    <w:qFormat/>
    <w:pPr>
      <w:jc w:val="center"/>
      <w:widowControl/>
    </w:pPr>
    <w:rPr>
      <w:rFonts w:ascii="楷体_GB2312" w:eastAsia="楷体_GB2312"/>
      <w:sz w:val="28"/>
      <w:szCs w:val="28"/>
    </w:rPr>
  </w:style>
  <w:style w:type="character" w:styleId="968" w:customStyle="1">
    <w:name w:val="正文文本 2 Char"/>
    <w:link w:val="967"/>
    <w:uiPriority w:val="0"/>
    <w:qFormat/>
    <w:rPr>
      <w:rFonts w:ascii="楷体_GB2312" w:hAnsi="Times New Roman" w:eastAsia="楷体_GB2312" w:cs="Times New Roman"/>
      <w:sz w:val="28"/>
      <w:szCs w:val="28"/>
    </w:rPr>
  </w:style>
  <w:style w:type="paragraph" w:styleId="969" w:customStyle="1">
    <w:name w:val="普通(网站)1"/>
    <w:basedOn w:val="719"/>
    <w:uiPriority w:val="99"/>
    <w:qFormat/>
    <w:pPr>
      <w:jc w:val="left"/>
      <w:spacing w:before="100" w:beforeAutospacing="1" w:after="100" w:afterAutospacing="1"/>
      <w:widowControl/>
    </w:pPr>
    <w:rPr>
      <w:rFonts w:ascii="宋体" w:hAnsi="宋体" w:cs="宋体"/>
      <w:sz w:val="24"/>
      <w:szCs w:val="24"/>
    </w:rPr>
  </w:style>
  <w:style w:type="paragraph" w:styleId="970" w:customStyle="1">
    <w:name w:val="索引 11"/>
    <w:basedOn w:val="719"/>
    <w:next w:val="719"/>
    <w:uiPriority w:val="0"/>
    <w:semiHidden/>
    <w:qFormat/>
    <w:pPr>
      <w:spacing w:line="240" w:lineRule="atLeast"/>
    </w:pPr>
    <w:rPr>
      <w:b/>
      <w:bCs/>
    </w:rPr>
  </w:style>
  <w:style w:type="paragraph" w:styleId="971" w:customStyle="1">
    <w:name w:val="批注主题1"/>
    <w:basedOn w:val="932"/>
    <w:next w:val="932"/>
    <w:link w:val="972"/>
    <w:uiPriority w:val="0"/>
    <w:semiHidden/>
    <w:qFormat/>
    <w:rPr>
      <w:b/>
      <w:bCs/>
    </w:rPr>
  </w:style>
  <w:style w:type="character" w:styleId="972" w:customStyle="1">
    <w:name w:val="批注主题 Char"/>
    <w:link w:val="971"/>
    <w:uiPriority w:val="0"/>
    <w:semiHidden/>
    <w:qFormat/>
    <w:rPr>
      <w:rFonts w:ascii="Times New Roman" w:hAnsi="Times New Roman" w:eastAsia="宋体" w:cs="Times New Roman"/>
      <w:b/>
      <w:bCs/>
      <w:szCs w:val="21"/>
    </w:rPr>
  </w:style>
  <w:style w:type="paragraph" w:styleId="973" w:customStyle="1">
    <w:name w:val="正文首行缩进1"/>
    <w:basedOn w:val="719"/>
    <w:link w:val="974"/>
    <w:uiPriority w:val="0"/>
    <w:qFormat/>
    <w:pPr>
      <w:ind w:firstLine="200"/>
      <w:spacing w:line="360" w:lineRule="auto"/>
    </w:pPr>
    <w:rPr>
      <w:rFonts w:ascii="仿宋_GB2312" w:eastAsia="仿宋_GB2312"/>
      <w:sz w:val="30"/>
      <w:szCs w:val="30"/>
    </w:rPr>
  </w:style>
  <w:style w:type="character" w:styleId="974" w:customStyle="1">
    <w:name w:val="正文首行缩进 Char"/>
    <w:link w:val="973"/>
    <w:uiPriority w:val="0"/>
    <w:qFormat/>
    <w:rPr>
      <w:rFonts w:ascii="仿宋_GB2312" w:hAnsi="Times New Roman" w:eastAsia="仿宋_GB2312" w:cs="Times New Roman"/>
      <w:sz w:val="30"/>
      <w:szCs w:val="30"/>
    </w:rPr>
  </w:style>
  <w:style w:type="paragraph" w:styleId="975" w:customStyle="1">
    <w:name w:val="正文首行缩进 21"/>
    <w:basedOn w:val="938"/>
    <w:link w:val="976"/>
    <w:uiPriority w:val="0"/>
    <w:qFormat/>
    <w:pPr>
      <w:ind w:firstLine="420"/>
      <w:spacing w:line="360" w:lineRule="auto"/>
    </w:pPr>
    <w:rPr>
      <w:rFonts w:ascii="宋体" w:hAnsi="宋体" w:eastAsia="宋体"/>
      <w:sz w:val="21"/>
      <w:szCs w:val="20"/>
    </w:rPr>
  </w:style>
  <w:style w:type="character" w:styleId="976" w:customStyle="1">
    <w:name w:val="正文首行缩进 2 Char"/>
    <w:link w:val="975"/>
    <w:uiPriority w:val="0"/>
    <w:qFormat/>
    <w:rPr>
      <w:rFonts w:ascii="宋体" w:hAnsi="宋体" w:eastAsia="宋体" w:cs="Times New Roman"/>
      <w:sz w:val="32"/>
      <w:szCs w:val="20"/>
    </w:rPr>
  </w:style>
  <w:style w:type="table" w:styleId="977" w:customStyle="1">
    <w:name w:val="网格型1"/>
    <w:basedOn w:val="917"/>
    <w:uiPriority w:val="0"/>
    <w:qFormat/>
    <w:pPr>
      <w:jc w:val="both"/>
      <w:widowControl w:val="off"/>
    </w:pPr>
    <w:rPr>
      <w:rFonts w:ascii="Times New Roman" w:hAnsi="Times New Roman" w:eastAsia="宋体" w:cs="Times New Roman"/>
      <w:sz w:val="20"/>
      <w:szCs w:val="20"/>
    </w:rPr>
    <w:tblPr/>
  </w:style>
  <w:style w:type="character" w:styleId="978" w:customStyle="1">
    <w:name w:val="要点1"/>
    <w:link w:val="719"/>
    <w:uiPriority w:val="0"/>
    <w:qFormat/>
    <w:rPr>
      <w:b/>
      <w:bCs/>
    </w:rPr>
  </w:style>
  <w:style w:type="character" w:styleId="979" w:customStyle="1">
    <w:name w:val="页码1"/>
    <w:link w:val="719"/>
    <w:uiPriority w:val="0"/>
    <w:qFormat/>
  </w:style>
  <w:style w:type="character" w:styleId="980" w:customStyle="1">
    <w:name w:val="已访问的超链接1"/>
    <w:link w:val="719"/>
    <w:uiPriority w:val="0"/>
    <w:qFormat/>
    <w:rPr>
      <w:color w:val="800080"/>
      <w:u w:val="single"/>
    </w:rPr>
  </w:style>
  <w:style w:type="character" w:styleId="981" w:customStyle="1">
    <w:name w:val="超链接1"/>
    <w:link w:val="719"/>
    <w:uiPriority w:val="0"/>
    <w:qFormat/>
    <w:rPr>
      <w:color w:val="0000ff"/>
      <w:u w:val="single"/>
    </w:rPr>
  </w:style>
  <w:style w:type="character" w:styleId="982" w:customStyle="1">
    <w:name w:val="批注引用1"/>
    <w:link w:val="719"/>
    <w:uiPriority w:val="0"/>
    <w:semiHidden/>
    <w:qFormat/>
    <w:rPr>
      <w:sz w:val="21"/>
      <w:szCs w:val="21"/>
    </w:rPr>
  </w:style>
  <w:style w:type="character" w:styleId="983" w:customStyle="1">
    <w:name w:val="font5 Char"/>
    <w:link w:val="719"/>
    <w:uiPriority w:val="0"/>
    <w:qFormat/>
    <w:rPr>
      <w:rFonts w:ascii="宋体" w:hAnsi="宋体" w:eastAsia="宋体"/>
      <w:sz w:val="28"/>
      <w:szCs w:val="28"/>
      <w:lang w:val="en-US" w:eastAsia="zh-CN" w:bidi="ar-SA"/>
    </w:rPr>
  </w:style>
  <w:style w:type="character" w:styleId="984" w:customStyle="1">
    <w:name w:val="二级目录 Char"/>
    <w:link w:val="985"/>
    <w:uiPriority w:val="0"/>
    <w:qFormat/>
    <w:rPr>
      <w:b/>
      <w:sz w:val="30"/>
      <w:szCs w:val="28"/>
    </w:rPr>
  </w:style>
  <w:style w:type="paragraph" w:styleId="985" w:customStyle="1">
    <w:name w:val="二级目录"/>
    <w:next w:val="719"/>
    <w:link w:val="984"/>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86" w:customStyle="1">
    <w:name w:val="列出段落 Char"/>
    <w:link w:val="987"/>
    <w:uiPriority w:val="0"/>
    <w:qFormat/>
    <w:rPr>
      <w:rFonts w:ascii="Calibri" w:hAnsi="Calibri"/>
      <w:sz w:val="24"/>
      <w:szCs w:val="24"/>
      <w:lang w:eastAsia="en-US" w:bidi="en-US"/>
    </w:rPr>
  </w:style>
  <w:style w:type="paragraph" w:styleId="987" w:customStyle="1">
    <w:name w:val="列出段落1"/>
    <w:basedOn w:val="719"/>
    <w:link w:val="986"/>
    <w:uiPriority w:val="0"/>
    <w:qFormat/>
    <w:pPr>
      <w:contextualSpacing/>
      <w:ind w:left="720"/>
      <w:jc w:val="left"/>
      <w:widowControl/>
    </w:pPr>
    <w:rPr>
      <w:rFonts w:ascii="Calibri" w:hAnsi="Calibri" w:eastAsia="宋体" w:cs="Times New Roman"/>
      <w:sz w:val="24"/>
      <w:szCs w:val="24"/>
      <w:lang w:eastAsia="en-US" w:bidi="en-US"/>
    </w:rPr>
  </w:style>
  <w:style w:type="paragraph" w:styleId="988" w:customStyle="1">
    <w:name w:val="Body Text(ch)"/>
    <w:basedOn w:val="719"/>
    <w:next w:val="936"/>
    <w:uiPriority w:val="0"/>
    <w:qFormat/>
    <w:pPr>
      <w:spacing w:after="120"/>
    </w:pPr>
    <w:rPr>
      <w:rFonts w:ascii="宋体" w:hAnsi="Arial"/>
      <w:bCs/>
      <w:iCs/>
      <w:szCs w:val="24"/>
    </w:rPr>
  </w:style>
  <w:style w:type="paragraph" w:styleId="989" w:customStyle="1">
    <w:name w:val="xl27"/>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customStyle="1">
    <w:name w:val="Char"/>
    <w:basedOn w:val="719"/>
    <w:uiPriority w:val="0"/>
    <w:qFormat/>
    <w:pPr>
      <w:ind w:firstLine="200"/>
      <w:tabs>
        <w:tab w:val="left" w:pos="360" w:leader="none"/>
      </w:tabs>
    </w:pPr>
    <w:rPr>
      <w:sz w:val="28"/>
      <w:szCs w:val="30"/>
    </w:rPr>
  </w:style>
  <w:style w:type="paragraph" w:styleId="992" w:customStyle="1">
    <w:name w:val=" Char"/>
    <w:basedOn w:val="930"/>
    <w:uiPriority w:val="0"/>
    <w:qFormat/>
    <w:rPr>
      <w:rFonts w:ascii="Tahoma" w:hAnsi="Tahoma"/>
      <w:sz w:val="24"/>
      <w:szCs w:val="24"/>
    </w:rPr>
  </w:style>
  <w:style w:type="paragraph" w:styleId="993" w:customStyle="1">
    <w:name w:val="普通正文"/>
    <w:basedOn w:val="719"/>
    <w:uiPriority w:val="0"/>
    <w:qFormat/>
    <w:pPr>
      <w:ind w:firstLine="480"/>
      <w:jc w:val="left"/>
      <w:spacing w:before="120" w:after="120" w:line="360" w:lineRule="auto"/>
    </w:pPr>
    <w:rPr>
      <w:rFonts w:ascii="Arial" w:hAnsi="Arial"/>
      <w:sz w:val="24"/>
      <w:szCs w:val="24"/>
    </w:rPr>
  </w:style>
  <w:style w:type="paragraph" w:styleId="994" w:customStyle="1">
    <w:name w:val="table_lines"/>
    <w:basedOn w:val="719"/>
    <w:uiPriority w:val="0"/>
    <w:qFormat/>
    <w:pPr>
      <w:jc w:val="left"/>
      <w:widowControl/>
    </w:pPr>
    <w:rPr>
      <w:sz w:val="20"/>
      <w:szCs w:val="20"/>
      <w:lang w:val="de-DE" w:eastAsia="de-DE"/>
    </w:rPr>
  </w:style>
  <w:style w:type="paragraph" w:styleId="99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6" w:customStyle="1">
    <w:name w:val="font7"/>
    <w:basedOn w:val="719"/>
    <w:uiPriority w:val="0"/>
    <w:qFormat/>
    <w:pPr>
      <w:jc w:val="left"/>
      <w:spacing w:before="100" w:beforeAutospacing="1" w:after="100" w:afterAutospacing="1"/>
      <w:widowControl/>
    </w:pPr>
    <w:rPr>
      <w:rFonts w:hint="eastAsia" w:ascii="宋体" w:hAnsi="宋体"/>
      <w:sz w:val="18"/>
      <w:szCs w:val="18"/>
    </w:rPr>
  </w:style>
  <w:style w:type="paragraph" w:styleId="997" w:customStyle="1">
    <w:name w:val=" Char Char Char Char"/>
    <w:basedOn w:val="930"/>
    <w:uiPriority w:val="0"/>
    <w:qFormat/>
    <w:pPr>
      <w:spacing w:line="360" w:lineRule="auto"/>
    </w:pPr>
    <w:rPr>
      <w:rFonts w:ascii="Tahoma" w:hAnsi="Tahoma"/>
      <w:sz w:val="24"/>
      <w:szCs w:val="24"/>
    </w:rPr>
  </w:style>
  <w:style w:type="paragraph" w:styleId="998" w:customStyle="1">
    <w:name w:val="列出段落"/>
    <w:basedOn w:val="719"/>
    <w:uiPriority w:val="0"/>
    <w:qFormat/>
    <w:pPr>
      <w:contextualSpacing/>
      <w:ind w:left="720"/>
      <w:jc w:val="left"/>
      <w:widowControl/>
    </w:pPr>
    <w:rPr>
      <w:rFonts w:ascii="Calibri" w:hAnsi="Calibri"/>
      <w:sz w:val="24"/>
      <w:szCs w:val="24"/>
      <w:lang w:eastAsia="en-US" w:bidi="en-US"/>
    </w:rPr>
  </w:style>
  <w:style w:type="paragraph" w:styleId="999" w:customStyle="1">
    <w:name w:val="4"/>
    <w:basedOn w:val="719"/>
    <w:next w:val="962"/>
    <w:uiPriority w:val="0"/>
    <w:qFormat/>
    <w:pPr>
      <w:ind w:firstLine="420"/>
      <w:spacing w:line="360" w:lineRule="auto"/>
    </w:pPr>
    <w:rPr>
      <w:color w:val="ff0000"/>
      <w:sz w:val="24"/>
      <w:szCs w:val="24"/>
    </w:rPr>
  </w:style>
  <w:style w:type="paragraph" w:styleId="1000" w:customStyle="1">
    <w:name w:val="普通 (Web)"/>
    <w:basedOn w:val="719"/>
    <w:uiPriority w:val="0"/>
    <w:qFormat/>
    <w:pPr>
      <w:jc w:val="left"/>
      <w:spacing w:before="100" w:beforeAutospacing="1" w:after="100" w:afterAutospacing="1"/>
      <w:widowControl/>
    </w:pPr>
    <w:rPr>
      <w:rFonts w:ascii="宋体" w:hAnsi="宋体"/>
      <w:sz w:val="24"/>
      <w:szCs w:val="24"/>
    </w:rPr>
  </w:style>
  <w:style w:type="paragraph" w:styleId="1001" w:customStyle="1">
    <w:name w:val=" Char Char Char Char Char Char Char Char Char Char"/>
    <w:basedOn w:val="719"/>
    <w:uiPriority w:val="0"/>
    <w:qFormat/>
    <w:pPr>
      <w:spacing w:line="360" w:lineRule="auto"/>
    </w:pPr>
    <w:rPr>
      <w:sz w:val="24"/>
      <w:szCs w:val="20"/>
    </w:rPr>
  </w:style>
  <w:style w:type="paragraph" w:styleId="1002" w:customStyle="1">
    <w:name w:val="样式1"/>
    <w:basedOn w:val="719"/>
    <w:uiPriority w:val="0"/>
    <w:qFormat/>
    <w:pPr>
      <w:numPr>
        <w:ilvl w:val="0"/>
        <w:numId w:val="3"/>
      </w:numPr>
    </w:pPr>
    <w:rPr>
      <w:rFonts w:ascii="宋体" w:hAnsi="宋体"/>
    </w:rPr>
  </w:style>
  <w:style w:type="paragraph" w:styleId="1003" w:customStyle="1">
    <w:name w:val="font6"/>
    <w:basedOn w:val="719"/>
    <w:uiPriority w:val="0"/>
    <w:qFormat/>
    <w:pPr>
      <w:jc w:val="left"/>
      <w:spacing w:before="100" w:beforeAutospacing="1" w:after="100" w:afterAutospacing="1"/>
      <w:widowControl/>
    </w:pPr>
    <w:rPr>
      <w:rFonts w:hint="eastAsia" w:ascii="宋体" w:hAnsi="宋体"/>
      <w:sz w:val="28"/>
      <w:szCs w:val="28"/>
      <w:u w:val="single"/>
    </w:rPr>
  </w:style>
  <w:style w:type="paragraph" w:styleId="1004" w:customStyle="1">
    <w:name w:val="xl25"/>
    <w:basedOn w:val="7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图标"/>
    <w:basedOn w:val="719"/>
    <w:next w:val="71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customStyle="1">
    <w:name w:val="标题3"/>
    <w:basedOn w:val="719"/>
    <w:next w:val="719"/>
    <w:uiPriority w:val="0"/>
    <w:qFormat/>
    <w:pPr>
      <w:ind w:firstLine="624"/>
      <w:spacing w:line="590" w:lineRule="atLeast"/>
    </w:pPr>
    <w:rPr>
      <w:rFonts w:ascii="方正黑体_GBK" w:eastAsia="方正黑体_GBK"/>
      <w:sz w:val="32"/>
      <w:szCs w:val="32"/>
    </w:rPr>
  </w:style>
  <w:style w:type="paragraph" w:styleId="1007" w:customStyle="1">
    <w:name w:val="xl24"/>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xl29"/>
    <w:basedOn w:val="71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customStyle="1">
    <w:name w:val="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1010" w:customStyle="1">
    <w:name w:val="xl2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customStyle="1">
    <w:name w:val=" 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1012" w:customStyle="1">
    <w:name w:val="xl30"/>
    <w:basedOn w:val="719"/>
    <w:uiPriority w:val="0"/>
    <w:qFormat/>
    <w:pPr>
      <w:jc w:val="center"/>
      <w:spacing w:before="100" w:beforeAutospacing="1" w:after="100" w:afterAutospacing="1"/>
      <w:widowControl/>
    </w:pPr>
    <w:rPr>
      <w:rFonts w:ascii="宋体" w:hAnsi="宋体"/>
      <w:b/>
      <w:bCs/>
      <w:sz w:val="36"/>
      <w:szCs w:val="36"/>
    </w:rPr>
  </w:style>
  <w:style w:type="paragraph" w:styleId="1013" w:customStyle="1">
    <w:name w:val="Char Char Char Char"/>
    <w:basedOn w:val="930"/>
    <w:uiPriority w:val="0"/>
    <w:qFormat/>
    <w:pPr>
      <w:spacing w:line="360" w:lineRule="auto"/>
    </w:pPr>
    <w:rPr>
      <w:rFonts w:ascii="Tahoma" w:hAnsi="Tahoma"/>
      <w:sz w:val="24"/>
      <w:szCs w:val="24"/>
    </w:rPr>
  </w:style>
  <w:style w:type="paragraph" w:styleId="1014" w:customStyle="1">
    <w:name w:val="table_1stline"/>
    <w:basedOn w:val="719"/>
    <w:uiPriority w:val="0"/>
    <w:qFormat/>
    <w:pPr>
      <w:jc w:val="left"/>
      <w:spacing w:before="120"/>
      <w:widowControl/>
    </w:pPr>
    <w:rPr>
      <w:bCs/>
      <w:sz w:val="20"/>
      <w:szCs w:val="20"/>
      <w:lang w:val="de-DE" w:eastAsia="de-DE"/>
    </w:rPr>
  </w:style>
  <w:style w:type="paragraph" w:styleId="1015" w:customStyle="1">
    <w:name w:val="font5"/>
    <w:basedOn w:val="719"/>
    <w:uiPriority w:val="0"/>
    <w:qFormat/>
    <w:pPr>
      <w:jc w:val="left"/>
      <w:spacing w:before="100" w:beforeAutospacing="1" w:after="100" w:afterAutospacing="1"/>
      <w:widowControl/>
    </w:pPr>
    <w:rPr>
      <w:rFonts w:hint="eastAsia" w:ascii="宋体" w:hAnsi="宋体"/>
      <w:sz w:val="28"/>
      <w:szCs w:val="28"/>
    </w:rPr>
  </w:style>
  <w:style w:type="paragraph" w:styleId="1016" w:customStyle="1">
    <w:name w:val="标题1"/>
    <w:basedOn w:val="719"/>
    <w:next w:val="71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19" w:customStyle="1">
    <w:name w:val="font41"/>
    <w:link w:val="719"/>
    <w:uiPriority w:val="0"/>
    <w:qFormat/>
    <w:rPr>
      <w:rFonts w:ascii="Times New Roman" w:hAnsi="Times New Roman" w:cs="Times New Roman"/>
      <w:color w:val="000000"/>
      <w:sz w:val="20"/>
      <w:szCs w:val="20"/>
      <w:u w:val="none"/>
    </w:rPr>
  </w:style>
  <w:style w:type="character" w:styleId="1020" w:customStyle="1">
    <w:name w:val="font21"/>
    <w:link w:val="719"/>
    <w:uiPriority w:val="0"/>
    <w:qFormat/>
    <w:rPr>
      <w:rFonts w:hint="eastAsia" w:ascii="宋体" w:hAnsi="宋体" w:eastAsia="宋体" w:cs="宋体"/>
      <w:b/>
      <w:bCs/>
      <w:color w:val="000000"/>
      <w:sz w:val="20"/>
      <w:szCs w:val="20"/>
      <w:u w:val="none"/>
    </w:rPr>
  </w:style>
  <w:style w:type="character" w:styleId="1021" w:customStyle="1">
    <w:name w:val="font31"/>
    <w:link w:val="719"/>
    <w:uiPriority w:val="0"/>
    <w:qFormat/>
    <w:rPr>
      <w:rFonts w:ascii="Times New Roman" w:hAnsi="Times New Roman" w:cs="Times New Roman"/>
      <w:color w:val="000000"/>
      <w:sz w:val="20"/>
      <w:szCs w:val="20"/>
      <w:u w:val="none"/>
    </w:rPr>
  </w:style>
  <w:style w:type="character" w:styleId="1022" w:customStyle="1">
    <w:name w:val="last-child"/>
    <w:basedOn w:val="729"/>
    <w:uiPriority w:val="0"/>
    <w:qFormat/>
  </w:style>
  <w:style w:type="character" w:styleId="1023" w:customStyle="1">
    <w:name w:val="active16"/>
    <w:basedOn w:val="729"/>
    <w:uiPriority w:val="0"/>
    <w:qFormat/>
    <w:rPr>
      <w:color w:val="ffffff"/>
      <w:shd w:val="clear" w:color="auto" w:fill="0f5bb9"/>
    </w:rPr>
  </w:style>
  <w:style w:type="numbering" w:styleId="19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张睿</cp:lastModifiedBy>
  <cp:revision>13</cp:revision>
  <dcterms:created xsi:type="dcterms:W3CDTF">2023-03-16T02:16:00Z</dcterms:created>
  <dcterms:modified xsi:type="dcterms:W3CDTF">2026-06-22T04:21:01Z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eyJoZGlkIjoiNjE5YmY2NWZkNGFkN2UyNGNkYzljY2VlMDYxMWRjODIiLCJ1c2VySWQiOiI0MTk0OTY4NjMifQ==</vt:lpwstr>
  </property>
  <property fmtid="{D5CDD505-2E9C-101B-9397-08002B2CF9AE}" pid="3" name="KSOProductBuildVer">
    <vt:lpwstr>2052-12.1.0.26895</vt:lpwstr>
  </property>
  <property fmtid="{D5CDD505-2E9C-101B-9397-08002B2CF9AE}" pid="4" name="ICV">
    <vt:lpwstr>15E21CFCB10949B985ADEC6BC796F034_13</vt:lpwstr>
  </property>
</Properties>
</file>