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b/>
          <w:color w:val="000000"/>
          <w:sz w:val="84"/>
          <w:highlight w:val="none"/>
        </w:rPr>
        <w:t xml:space="preserve"> </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b/>
          <w:color w:val="000000"/>
          <w:sz w:val="84"/>
          <w:highlight w:val="none"/>
        </w:rPr>
        <w:t xml:space="preserve">招　标　文　件</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ind w:firstLine="1285"/>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项目名称：</w:t>
      </w:r>
      <w:r>
        <w:rPr>
          <w:rFonts w:hint="eastAsia" w:ascii="Times New Roman" w:hAnsi="Times New Roman" w:cs="宋体"/>
          <w:b/>
          <w:color w:val="000000"/>
          <w:sz w:val="32"/>
          <w:highlight w:val="none"/>
        </w:rPr>
        <w:t xml:space="preserve">扬州市市政设施管理中心城市隧道综合监控系统运维服务</w:t>
      </w:r>
      <w:r/>
    </w:p>
    <w:p>
      <w:pPr>
        <w:ind w:firstLine="128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项目编号：JSZC-321000-JZCG-G2026-0028</w:t>
      </w:r>
      <w:r/>
    </w:p>
    <w:p>
      <w:pPr>
        <w:ind w:firstLine="128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128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128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tabs>
          <w:tab w:val="left" w:pos="5803" w:leader="none"/>
        </w:tabs>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rPr>
          <w:rFonts w:ascii="Times New Roman" w:hAnsi="Times New Roman"/>
          <w:highlight w:val="none"/>
        </w:rPr>
        <w:tab/>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rPr>
          <w:rFonts w:ascii="Times New Roman" w:hAnsi="Times New Roman" w:cs="宋体"/>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扬州市公共资源交易中心</w:t>
      </w:r>
      <w:r/>
    </w:p>
    <w:p>
      <w:pPr>
        <w:jc w:val="cente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u w:val="single"/>
        </w:rPr>
        <w:t xml:space="preserve">  2026 </w:t>
      </w:r>
      <w:r>
        <w:rPr>
          <w:rFonts w:ascii="Times New Roman" w:hAnsi="Times New Roman" w:cs="宋体"/>
          <w:b/>
          <w:color w:val="000000"/>
          <w:sz w:val="32"/>
          <w:highlight w:val="none"/>
        </w:rPr>
        <w:t xml:space="preserve">年</w:t>
      </w:r>
      <w:r>
        <w:rPr>
          <w:rFonts w:ascii="Times New Roman" w:hAnsi="Times New Roman" w:cs="宋体"/>
          <w:b/>
          <w:color w:val="000000"/>
          <w:sz w:val="32"/>
          <w:highlight w:val="none"/>
          <w:u w:val="single"/>
        </w:rPr>
        <w:t xml:space="preserve"> 0</w:t>
      </w:r>
      <w:r>
        <w:rPr>
          <w:rFonts w:ascii="Times New Roman" w:hAnsi="Times New Roman" w:cs="宋体"/>
          <w:b/>
          <w:color w:val="000000"/>
          <w:sz w:val="32"/>
          <w:highlight w:val="none"/>
        </w:rPr>
        <w:t xml:space="preserve">6月</w:t>
      </w:r>
      <w:r/>
    </w:p>
    <w:p>
      <w:pP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r>
      <w:r/>
    </w:p>
    <w:p>
      <w:pPr>
        <w:jc w:val="center"/>
        <w:rPr>
          <w:rFonts w:ascii="Times New Roman" w:hAnsi="Times New Roman" w:eastAsia="黑体" w:cs="黑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Times New Roman" w:hAnsi="Times New Roman" w:eastAsia="黑体" w:cs="黑体"/>
          <w:b/>
          <w:color w:val="000000"/>
          <w:sz w:val="44"/>
          <w:highlight w:val="none"/>
        </w:rPr>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b/>
          <w:color w:val="000000"/>
          <w:sz w:val="44"/>
          <w:highlight w:val="none"/>
        </w:rPr>
        <w:t xml:space="preserve">总目录</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b/>
          <w:color w:val="000000"/>
          <w:sz w:val="28"/>
          <w:highlight w:val="none"/>
        </w:rPr>
        <w:t xml:space="preserve"> </w:t>
      </w:r>
      <w:r/>
    </w:p>
    <w:p>
      <w:pPr>
        <w:numPr>
          <w:ilvl w:val="0"/>
          <w:numId w:val="4"/>
        </w:num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36"/>
          <w:highlight w:val="none"/>
        </w:rPr>
        <w:t xml:space="preserve">投标邀请……………………………………3</w:t>
      </w:r>
      <w:r/>
    </w:p>
    <w:p>
      <w:pPr>
        <w:numPr>
          <w:ilvl w:val="0"/>
          <w:numId w:val="4"/>
        </w:num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36"/>
          <w:highlight w:val="none"/>
        </w:rPr>
        <w:t xml:space="preserve">投标人须知…………………………………6</w:t>
      </w:r>
      <w:r/>
    </w:p>
    <w:p>
      <w:pPr>
        <w:numPr>
          <w:ilvl w:val="0"/>
          <w:numId w:val="4"/>
        </w:num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36"/>
          <w:highlight w:val="none"/>
        </w:rPr>
        <w:t xml:space="preserve">合同文本……………………………………15</w:t>
      </w:r>
      <w:r/>
    </w:p>
    <w:p>
      <w:pPr>
        <w:numPr>
          <w:ilvl w:val="0"/>
          <w:numId w:val="4"/>
        </w:num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36"/>
          <w:highlight w:val="none"/>
        </w:rPr>
        <w:t xml:space="preserve">采购需求……………………………………19</w:t>
      </w:r>
      <w:r/>
    </w:p>
    <w:p>
      <w:pPr>
        <w:numPr>
          <w:ilvl w:val="0"/>
          <w:numId w:val="4"/>
        </w:num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36"/>
          <w:highlight w:val="none"/>
        </w:rPr>
        <w:t xml:space="preserve">评标方法与评标标准………………………53</w:t>
      </w:r>
      <w:r/>
    </w:p>
    <w:p>
      <w:pPr>
        <w:numPr>
          <w:ilvl w:val="0"/>
          <w:numId w:val="4"/>
        </w:num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36"/>
          <w:highlight w:val="none"/>
        </w:rPr>
        <w:t xml:space="preserve">投标文件格式………………………………56</w:t>
      </w:r>
      <w:r/>
    </w:p>
    <w:p>
      <w:pPr>
        <w:spacing w:before="210" w:after="57"/>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spacing w:before="240" w:after="240"/>
        <w:tabs>
          <w:tab w:val="center" w:pos="4476" w:leader="none"/>
        </w:tabs>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rFonts w:ascii="Times New Roman" w:hAnsi="Times New Roman"/>
          <w:highlight w:val="none"/>
        </w:rPr>
        <w:tab/>
      </w:r>
      <w:r/>
    </w:p>
    <w:p>
      <w:pP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44"/>
          <w:highlight w:val="none"/>
        </w:rPr>
        <w:t xml:space="preserve"> </w:t>
      </w:r>
      <w:r/>
    </w:p>
    <w:p>
      <w:pP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44"/>
          <w:highlight w:val="none"/>
        </w:rPr>
        <w:t xml:space="preserve"> </w:t>
      </w:r>
      <w:r/>
    </w:p>
    <w:p>
      <w:pPr>
        <w:pStyle w:val="753"/>
        <w:rPr>
          <w:rFonts w:hint="eastAsia" w:ascii="Times New Roman" w:hAnsi="Times New Roman"/>
          <w:highlight w:val="none"/>
        </w:rPr>
      </w:pPr>
      <w:r>
        <w:rPr>
          <w:rStyle w:val="970"/>
          <w:rFonts w:ascii="Times New Roman" w:hAnsi="Times New Roman" w:cs="黑体"/>
          <w:highlight w:val="none"/>
        </w:rPr>
        <w:t xml:space="preserve">第一章 投标邀请</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受[</w:t>
      </w:r>
      <w:r>
        <w:rPr>
          <w:rFonts w:hint="eastAsia" w:ascii="Times New Roman" w:hAnsi="Times New Roman" w:cs="宋体"/>
          <w:color w:val="000000"/>
          <w:sz w:val="24"/>
          <w:highlight w:val="none"/>
        </w:rPr>
        <w:t xml:space="preserve">扬州市市政设施管理中心</w:t>
      </w:r>
      <w:r>
        <w:rPr>
          <w:rFonts w:ascii="Times New Roman" w:hAnsi="Times New Roman" w:cs="宋体"/>
          <w:color w:val="000000"/>
          <w:sz w:val="24"/>
          <w:highlight w:val="none"/>
        </w:rPr>
        <w:t xml:space="preserve">]的委托，扬州市公共资源交易中心就[</w:t>
      </w:r>
      <w:bookmarkStart w:id="0" w:name="OLE_LINK2"/>
      <w:r/>
      <w:bookmarkStart w:id="1" w:name="OLE_LINK1"/>
      <w:r>
        <w:rPr>
          <w:rFonts w:hint="eastAsia" w:ascii="Times New Roman" w:hAnsi="Times New Roman" w:cs="宋体"/>
          <w:color w:val="000000"/>
          <w:sz w:val="24"/>
          <w:highlight w:val="none"/>
        </w:rPr>
        <w:t xml:space="preserve">扬州市市政设施管理中心</w:t>
      </w:r>
      <w:bookmarkEnd w:id="0"/>
      <w:r/>
      <w:bookmarkEnd w:id="1"/>
      <w:r>
        <w:rPr>
          <w:rFonts w:hint="eastAsia" w:ascii="Times New Roman" w:hAnsi="Times New Roman" w:cs="宋体"/>
          <w:color w:val="000000"/>
          <w:sz w:val="24"/>
          <w:highlight w:val="none"/>
        </w:rPr>
        <w:t xml:space="preserve">城市隧道综合监控系统运维服务</w:t>
      </w:r>
      <w:r>
        <w:rPr>
          <w:rFonts w:ascii="Times New Roman" w:hAnsi="Times New Roman" w:cs="宋体"/>
          <w:color w:val="000000"/>
          <w:sz w:val="24"/>
          <w:highlight w:val="none"/>
        </w:rPr>
        <w:t xml:space="preserve">](</w:t>
      </w:r>
      <w:r>
        <w:rPr>
          <w:rFonts w:ascii="Times New Roman" w:hAnsi="Times New Roman"/>
          <w:highlight w:val="none"/>
        </w:rPr>
        <w:t xml:space="preserve"> </w:t>
      </w:r>
      <w:r>
        <w:rPr>
          <w:rFonts w:ascii="Times New Roman" w:hAnsi="Times New Roman" w:cs="宋体"/>
          <w:color w:val="000000"/>
          <w:sz w:val="24"/>
          <w:highlight w:val="none"/>
        </w:rPr>
        <w:t xml:space="preserve">JSZC-321000-JZCG-G2026-0028)项目进行公开招标采购，欢迎符合条件的供应商投标。</w:t>
      </w:r>
      <w:r/>
    </w:p>
    <w:p>
      <w:pPr>
        <w:ind w:firstLine="480"/>
        <w:spacing w:line="400" w:lineRule="atLeast"/>
        <w:rPr>
          <w:rFonts w:ascii="Times New Roman" w:hAnsi="Times New Roman"/>
          <w:highlight w:val="none"/>
        </w:rPr>
        <w:pBdr>
          <w:top w:val="single" w:color="000000" w:sz="4" w:space="0"/>
          <w:left w:val="single" w:color="000000" w:sz="4" w:space="0"/>
          <w:bottom w:val="single" w:color="000000" w:sz="4" w:space="0"/>
          <w:right w:val="single" w:color="000000" w:sz="4" w:space="0"/>
        </w:pBdr>
      </w:pPr>
      <w:r>
        <w:rPr>
          <w:rFonts w:ascii="Times New Roman" w:hAnsi="Times New Roman" w:cs="宋体"/>
          <w:color w:val="000000"/>
          <w:sz w:val="24"/>
          <w:highlight w:val="none"/>
        </w:rPr>
        <w:t xml:space="preserve">项目概况</w:t>
      </w:r>
      <w:r/>
    </w:p>
    <w:p>
      <w:pPr>
        <w:ind w:firstLine="480"/>
        <w:spacing w:line="400" w:lineRule="atLeast"/>
        <w:rPr>
          <w:rFonts w:ascii="Times New Roman" w:hAnsi="Times New Roman"/>
          <w:highlight w:val="none"/>
        </w:rPr>
        <w:pBdr>
          <w:top w:val="single" w:color="000000" w:sz="4" w:space="0"/>
          <w:left w:val="single" w:color="000000" w:sz="4" w:space="0"/>
          <w:bottom w:val="single" w:color="000000" w:sz="4" w:space="0"/>
          <w:right w:val="single" w:color="000000" w:sz="4" w:space="0"/>
        </w:pBdr>
      </w:pPr>
      <w:r>
        <w:rPr>
          <w:rFonts w:ascii="Times New Roman" w:hAnsi="Times New Roman" w:cs="宋体"/>
          <w:color w:val="000000"/>
          <w:sz w:val="24"/>
          <w:highlight w:val="none"/>
          <w:u w:val="single"/>
        </w:rPr>
        <w:t xml:space="preserve">（</w:t>
      </w:r>
      <w:r>
        <w:rPr>
          <w:rFonts w:hint="eastAsia" w:ascii="Times New Roman" w:hAnsi="Times New Roman" w:cs="宋体"/>
          <w:color w:val="000000"/>
          <w:sz w:val="24"/>
          <w:highlight w:val="none"/>
          <w:u w:val="single"/>
        </w:rPr>
        <w:t xml:space="preserve">扬州市市政设施管理中心城市隧道综合监控系统运维服务</w:t>
      </w:r>
      <w:r>
        <w:rPr>
          <w:rFonts w:ascii="Times New Roman" w:hAnsi="Times New Roman" w:cs="宋体"/>
          <w:color w:val="000000"/>
          <w:sz w:val="24"/>
          <w:highlight w:val="none"/>
          <w:u w:val="single"/>
        </w:rPr>
        <w:t xml:space="preserve">）</w:t>
      </w:r>
      <w:r>
        <w:rPr>
          <w:rFonts w:ascii="Times New Roman" w:hAnsi="Times New Roman" w:cs="宋体"/>
          <w:color w:val="000000"/>
          <w:sz w:val="24"/>
          <w:highlight w:val="none"/>
        </w:rPr>
        <w:t xml:space="preserve">招标项目的潜在投标人可在</w:t>
      </w:r>
      <w:r>
        <w:rPr>
          <w:rFonts w:ascii="Times New Roman" w:hAnsi="Times New Roman" w:cs="宋体"/>
          <w:color w:val="000000"/>
          <w:sz w:val="24"/>
          <w:highlight w:val="none"/>
          <w:u w:val="single"/>
        </w:rPr>
        <w:t xml:space="preserve">“江苏政府采购网”“扬州市政府采购网”</w:t>
      </w:r>
      <w:r>
        <w:rPr>
          <w:rFonts w:ascii="Times New Roman" w:hAnsi="Times New Roman" w:cs="宋体"/>
          <w:color w:val="000000"/>
          <w:sz w:val="24"/>
          <w:highlight w:val="none"/>
        </w:rPr>
        <w:t xml:space="preserve">自行免费下载招标文件，并于</w:t>
      </w:r>
      <w:r>
        <w:rPr>
          <w:rFonts w:ascii="Times New Roman" w:hAnsi="Times New Roman" w:cs="宋体"/>
          <w:color w:val="ff0000"/>
          <w:sz w:val="24"/>
          <w:highlight w:val="none"/>
          <w:u w:val="single"/>
        </w:rPr>
        <w:t xml:space="preserve">  2026   年  06  月 25   日09点30分</w:t>
      </w:r>
      <w:r>
        <w:rPr>
          <w:rFonts w:ascii="Times New Roman" w:hAnsi="Times New Roman" w:cs="宋体"/>
          <w:color w:val="000000"/>
          <w:sz w:val="24"/>
          <w:highlight w:val="none"/>
          <w:u w:val="single"/>
        </w:rPr>
        <w:t xml:space="preserve">（</w:t>
      </w:r>
      <w:r>
        <w:rPr>
          <w:rFonts w:ascii="Times New Roman" w:hAnsi="Times New Roman" w:cs="宋体"/>
          <w:color w:val="000000"/>
          <w:sz w:val="24"/>
          <w:highlight w:val="none"/>
        </w:rPr>
        <w:t xml:space="preserve">北京时间）前递交投标文件。</w:t>
      </w:r>
      <w:r/>
    </w:p>
    <w:p>
      <w:pPr>
        <w:ind w:firstLine="498"/>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一、项目基本情况</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1.项目编号：</w:t>
      </w:r>
      <w:r>
        <w:rPr>
          <w:rFonts w:hint="eastAsia" w:ascii="Times New Roman" w:hAnsi="Times New Roman" w:cs="宋体"/>
          <w:color w:val="000000"/>
          <w:sz w:val="24"/>
          <w:highlight w:val="none"/>
        </w:rPr>
        <w:t xml:space="preserve">扬州市市政设施管理中心城市隧道综合监控系统运维服务</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2.项目名称：JSZC-321000-JZCG-G2026-0028</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3.预算金额：</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rPr>
                <w:rFonts w:hint="eastAsia" w:ascii="Times New Roman" w:hAnsi="Times New Roman" w:eastAsia="宋体"/>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655.4007</w:t>
            </w:r>
            <w:r>
              <w:rPr>
                <w:rFonts w:hint="eastAsia" w:ascii="Times New Roman" w:hAnsi="Times New Roman" w:cs="宋体"/>
                <w:color w:val="000000"/>
                <w:sz w:val="24"/>
                <w:highlight w:val="none"/>
                <w:lang w:eastAsia="zh-CN"/>
              </w:rPr>
              <w:t xml:space="preserve">（</w:t>
            </w:r>
            <w:r>
              <w:rPr>
                <w:rFonts w:hint="eastAsia" w:ascii="Times New Roman" w:hAnsi="Times New Roman" w:cs="宋体"/>
                <w:color w:val="000000"/>
                <w:sz w:val="24"/>
                <w:highlight w:val="none"/>
                <w:lang w:val="en-US" w:eastAsia="zh-CN"/>
              </w:rPr>
              <w:t xml:space="preserve">3年</w:t>
            </w:r>
            <w:r>
              <w:rPr>
                <w:rFonts w:hint="eastAsia" w:ascii="Times New Roman" w:hAnsi="Times New Roman" w:cs="宋体"/>
                <w:color w:val="000000"/>
                <w:sz w:val="24"/>
                <w:highlight w:val="none"/>
                <w:lang w:eastAsia="zh-CN"/>
              </w:rPr>
              <w:t xml:space="preserve">）</w:t>
            </w:r>
            <w:r/>
          </w:p>
        </w:tc>
      </w:tr>
    </w:tbl>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4.最高限价：</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rPr>
                <w:rFonts w:hint="eastAsia" w:ascii="Times New Roman" w:hAnsi="Times New Roman" w:eastAsia="宋体"/>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655.4007</w:t>
            </w:r>
            <w:r>
              <w:rPr>
                <w:rFonts w:hint="eastAsia" w:ascii="Times New Roman" w:hAnsi="Times New Roman" w:cs="宋体"/>
                <w:color w:val="000000"/>
                <w:sz w:val="24"/>
                <w:highlight w:val="none"/>
                <w:lang w:eastAsia="zh-CN"/>
              </w:rPr>
              <w:t xml:space="preserve">（</w:t>
            </w:r>
            <w:r>
              <w:rPr>
                <w:rFonts w:hint="eastAsia" w:ascii="Times New Roman" w:hAnsi="Times New Roman" w:cs="宋体"/>
                <w:color w:val="000000"/>
                <w:sz w:val="24"/>
                <w:highlight w:val="none"/>
                <w:lang w:val="en-US" w:eastAsia="zh-CN"/>
              </w:rPr>
              <w:t xml:space="preserve">3年</w:t>
            </w:r>
            <w:r>
              <w:rPr>
                <w:rFonts w:hint="eastAsia" w:ascii="Times New Roman" w:hAnsi="Times New Roman" w:cs="宋体"/>
                <w:color w:val="000000"/>
                <w:sz w:val="24"/>
                <w:highlight w:val="none"/>
                <w:lang w:eastAsia="zh-CN"/>
              </w:rPr>
              <w:t xml:space="preserve">）</w:t>
            </w:r>
            <w:r/>
          </w:p>
        </w:tc>
      </w:tr>
    </w:tbl>
    <w:p>
      <w:pPr>
        <w:ind w:firstLine="480"/>
        <w:spacing w:line="360" w:lineRule="auto"/>
        <w:rPr>
          <w:rFonts w:ascii="Times New Roman" w:hAnsi="Times New Roman"/>
          <w:sz w:val="24"/>
          <w:szCs w:val="24"/>
          <w:highlight w:val="none"/>
        </w:rPr>
      </w:pPr>
      <w:r>
        <w:rPr>
          <w:rFonts w:ascii="Times New Roman" w:hAnsi="Times New Roman" w:cs="宋体"/>
          <w:color w:val="000000"/>
          <w:sz w:val="24"/>
          <w:highlight w:val="none"/>
        </w:rPr>
        <w:t xml:space="preserve">5.采购需求（简介）：</w:t>
      </w:r>
      <w:r>
        <w:rPr>
          <w:rFonts w:ascii="Times New Roman" w:hAnsi="Times New Roman"/>
          <w:sz w:val="24"/>
          <w:szCs w:val="24"/>
          <w:highlight w:val="none"/>
        </w:rPr>
        <w:t xml:space="preserve">本次隧道运维服务通过构建软硬一体的全周期运维体系，致力于保障</w:t>
      </w:r>
      <w:r>
        <w:rPr>
          <w:rFonts w:hint="eastAsia" w:ascii="Times New Roman" w:hAnsi="Times New Roman"/>
          <w:sz w:val="24"/>
          <w:szCs w:val="24"/>
          <w:highlight w:val="none"/>
        </w:rPr>
        <w:t xml:space="preserve">扬州市城市</w:t>
      </w:r>
      <w:r>
        <w:rPr>
          <w:rFonts w:ascii="Times New Roman" w:hAnsi="Times New Roman"/>
          <w:sz w:val="24"/>
          <w:szCs w:val="24"/>
          <w:highlight w:val="none"/>
        </w:rPr>
        <w:t xml:space="preserve">隧道的安全稳定运行，持续提升运营效率与管理智能化水平。</w:t>
      </w:r>
      <w:r>
        <w:rPr>
          <w:rFonts w:ascii="Times New Roman" w:hAnsi="Times New Roman" w:cs="宋体"/>
          <w:color w:val="000000"/>
          <w:sz w:val="24"/>
          <w:highlight w:val="none"/>
        </w:rPr>
        <w:t xml:space="preserve">（详细内容见本招标文件第四章）</w:t>
      </w:r>
      <w:r/>
    </w:p>
    <w:p>
      <w:pPr>
        <w:ind w:firstLine="480"/>
        <w:spacing w:line="400" w:lineRule="atLeast"/>
        <w:rPr>
          <w:rFonts w:ascii="Times New Roman" w:hAnsi="Times New Roman"/>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6.合同履行期限：</w:t>
      </w:r>
      <w:r>
        <w:rPr>
          <w:rFonts w:hint="eastAsia" w:ascii="Times New Roman" w:hAnsi="Times New Roman"/>
          <w:sz w:val="24"/>
          <w:szCs w:val="24"/>
          <w:highlight w:val="none"/>
        </w:rPr>
        <w:t xml:space="preserve">本项目服务期限为合同签订之日起三年，投标按3年期报价。本项目合同首签一年，在当年考核合格的情况下，采购人和中标人签订下一年合同。第一年合同签订金额为总报价/3年。</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r>
      <w:r/>
    </w:p>
    <w:p>
      <w:pPr>
        <w:ind w:firstLine="498"/>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二、申请人的资格要求：</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（一）通用资格要求</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1.满足《中华人民共和国政府采购法》第二十二条规定，并提供下列材料：</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1.1 法人或者其他组织的营业执照等证明文件，自然人的身份证明；</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1.2 </w:t>
      </w:r>
      <w:r>
        <w:rPr>
          <w:rFonts w:hint="eastAsia" w:cs="宋体"/>
          <w:color w:val="000000"/>
          <w:sz w:val="24"/>
          <w:highlight w:val="none"/>
          <w:lang w:val="en-US" w:eastAsia="zh-CN"/>
        </w:rPr>
        <w:t xml:space="preserve">上一</w:t>
      </w:r>
      <w:r>
        <w:rPr>
          <w:rFonts w:ascii="Times New Roman" w:hAnsi="Times New Roman" w:cs="宋体"/>
          <w:color w:val="000000"/>
          <w:sz w:val="24"/>
          <w:highlight w:val="none"/>
        </w:rPr>
        <w:t xml:space="preserve">年度的财务状况报告（成立不满一年无需提供）；</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1.4具备履行合同所必需的设备和专业技术能力的书面声明；</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1.5参加政府采购活动前3年内在经营活动中没有重大违法记录的书面声明。</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1.6 供应商信用承诺函。</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Times New Roman" w:hAnsi="Times New Roman" w:cs="宋体"/>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3.落实政府采购政策需满足的资格要求：无</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4.联合体投标</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w:t>
            </w:r>
            <w:r/>
          </w:p>
        </w:tc>
      </w:tr>
    </w:tbl>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5.进口产品投标</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否</w:t>
            </w:r>
            <w:r/>
          </w:p>
        </w:tc>
      </w:tr>
    </w:tbl>
    <w:p>
      <w:pPr>
        <w:ind w:firstLine="24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（二）本项目的特定资格要求</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66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3"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3" w:type="dxa"/>
            <w:textDirection w:val="lrTb"/>
            <w:noWrap w:val="false"/>
          </w:tcPr>
          <w:p>
            <w:pPr>
              <w:jc w:val="both"/>
              <w:keepLines w:val="0"/>
              <w:keepNext w:val="0"/>
              <w:pageBreakBefore w:val="0"/>
              <w:spacing w:line="400" w:lineRule="atLeast"/>
              <w:widowControl w:val="off"/>
              <w:rPr>
                <w:rFonts w:hint="eastAsia"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 w:val="24"/>
                <w:szCs w:val="24"/>
                <w:highlight w:val="none"/>
              </w:rPr>
              <w:t xml:space="preserve">投标人自2023年1月1日以来（以合同签订时间为准）承担过与本项目类似业绩</w:t>
            </w:r>
            <w:r>
              <w:rPr>
                <w:rFonts w:hint="eastAsia" w:ascii="Times New Roman" w:hAnsi="Times New Roman" w:cs="宋体"/>
                <w:color w:val="0000ff"/>
                <w:sz w:val="24"/>
                <w:szCs w:val="24"/>
                <w:highlight w:val="none"/>
                <w:lang w:eastAsia="zh-CN"/>
              </w:rPr>
              <w:t xml:space="preserve">，</w:t>
            </w:r>
            <w:r>
              <w:rPr>
                <w:rFonts w:hint="eastAsia" w:ascii="Times New Roman" w:hAnsi="Times New Roman" w:cs="宋体"/>
                <w:color w:val="auto"/>
                <w:sz w:val="24"/>
                <w:szCs w:val="24"/>
                <w:highlight w:val="none"/>
              </w:rPr>
              <w:t xml:space="preserve">业绩服务内容须包含</w:t>
            </w:r>
            <w:r>
              <w:rPr>
                <w:rFonts w:hint="eastAsia" w:cs="宋体"/>
                <w:color w:val="auto"/>
                <w:sz w:val="24"/>
                <w:szCs w:val="24"/>
                <w:highlight w:val="none"/>
                <w:lang w:eastAsia="zh-CN"/>
              </w:rPr>
              <w:t xml:space="preserve">路桥隧</w:t>
            </w:r>
            <w:r>
              <w:rPr>
                <w:rFonts w:hint="eastAsia" w:cs="宋体"/>
                <w:color w:val="auto"/>
                <w:sz w:val="24"/>
                <w:szCs w:val="24"/>
                <w:highlight w:val="none"/>
                <w:lang w:val="en-US" w:eastAsia="zh-CN"/>
              </w:rPr>
              <w:t xml:space="preserve">监控系统或</w:t>
            </w:r>
            <w:r>
              <w:rPr>
                <w:rFonts w:hint="eastAsia" w:cs="宋体"/>
                <w:color w:val="auto"/>
                <w:sz w:val="24"/>
                <w:szCs w:val="24"/>
                <w:highlight w:val="none"/>
                <w:lang w:eastAsia="zh-CN"/>
              </w:rPr>
              <w:t xml:space="preserve">路桥隧</w:t>
            </w:r>
            <w:r>
              <w:rPr>
                <w:rFonts w:hint="eastAsia" w:cs="宋体"/>
                <w:color w:val="auto"/>
                <w:sz w:val="24"/>
                <w:szCs w:val="24"/>
                <w:highlight w:val="none"/>
                <w:lang w:val="en-US" w:eastAsia="zh-CN"/>
              </w:rPr>
              <w:t xml:space="preserve">交通指挥调度系统</w:t>
            </w:r>
            <w:r>
              <w:rPr>
                <w:rFonts w:hint="eastAsia" w:ascii="Times New Roman" w:hAnsi="Times New Roman" w:cs="宋体"/>
                <w:color w:val="auto"/>
                <w:sz w:val="24"/>
                <w:szCs w:val="24"/>
                <w:highlight w:val="none"/>
                <w:lang w:val="en-US" w:eastAsia="zh-CN"/>
              </w:rPr>
              <w:t xml:space="preserve">。</w:t>
            </w:r>
            <w:r>
              <w:rPr>
                <w:rFonts w:hint="eastAsia" w:ascii="Times New Roman" w:hAnsi="Times New Roman" w:cs="宋体"/>
                <w:color w:val="000000"/>
                <w:sz w:val="24"/>
                <w:szCs w:val="24"/>
                <w:highlight w:val="none"/>
              </w:rPr>
              <w:t xml:space="preserve">业绩证明材料包含：业绩证明单位开具的业绩评价（须含证明单位联系人、联系方式）并加盖证明单位公章；业绩合同及服务期内任意一次合同费用银行结算凭证。（上述业绩证明材料须同时提供且能反映出业绩服务内容，若无法反映业绩服务内容视为无效，原件扫描上传）</w:t>
            </w:r>
            <w:r/>
          </w:p>
        </w:tc>
      </w:tr>
    </w:tbl>
    <w:p>
      <w:pPr>
        <w:ind w:firstLine="498"/>
        <w:spacing w:before="145" w:after="14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三、获取招标文件</w:t>
      </w:r>
      <w:r/>
    </w:p>
    <w:p>
      <w:pPr>
        <w:ind w:firstLine="5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1.时间：自招标文件公告发布之日起5个工作日。</w:t>
      </w:r>
      <w:r/>
    </w:p>
    <w:p>
      <w:pPr>
        <w:ind w:firstLine="5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2.方式：在“江苏政府采购网、扬州市政府采购网”自行免费下载招标文件。</w:t>
      </w:r>
      <w:r/>
    </w:p>
    <w:p>
      <w:pPr>
        <w:ind w:firstLine="498"/>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四、提交投标文件截止时间、开标时间和地点</w:t>
      </w:r>
      <w:r/>
    </w:p>
    <w:p>
      <w:pPr>
        <w:ind w:firstLine="480"/>
        <w:spacing w:line="400" w:lineRule="atLeast"/>
        <w:rPr>
          <w:rFonts w:ascii="Times New Roman" w:hAnsi="Times New Roman" w:cs="宋体"/>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rPr>
          <w:rFonts w:ascii="Times New Roman" w:hAnsi="Times New Roman" w:cs="宋体"/>
          <w:color w:val="000000"/>
          <w:sz w:val="24"/>
          <w:highlight w:val="none"/>
          <w:u w:val="single"/>
        </w:rPr>
        <w:t xml:space="preserve"> </w:t>
      </w:r>
      <w:r>
        <w:rPr>
          <w:rFonts w:ascii="Times New Roman" w:hAnsi="Times New Roman" w:cs="宋体"/>
          <w:color w:val="ff0000"/>
          <w:sz w:val="24"/>
          <w:highlight w:val="none"/>
          <w:u w:val="single"/>
        </w:rPr>
        <w:t xml:space="preserve">2026年06  月25  日09 点30 分</w:t>
      </w:r>
      <w:r>
        <w:rPr>
          <w:rFonts w:ascii="Times New Roman" w:hAnsi="Times New Roman" w:cs="宋体"/>
          <w:color w:val="000000"/>
          <w:sz w:val="24"/>
          <w:highlight w:val="none"/>
        </w:rPr>
        <w:t xml:space="preserve">（北京时间）</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2.地点：“苏采云”政府采购交易系统。</w:t>
      </w:r>
      <w:r/>
    </w:p>
    <w:p>
      <w:pPr>
        <w:ind w:firstLine="498"/>
        <w:spacing w:before="145" w:after="14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五、公告期限</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自本公告发布之日起5个工作日。</w:t>
      </w:r>
      <w:r/>
    </w:p>
    <w:p>
      <w:pPr>
        <w:ind w:firstLine="498"/>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六、其他补充事宜</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无</w:t>
      </w:r>
      <w:r/>
    </w:p>
    <w:p>
      <w:pPr>
        <w:ind w:firstLine="498"/>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七、本次招标联系方式</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1.采购人信息</w:t>
      </w:r>
      <w:r/>
    </w:p>
    <w:p>
      <w:pPr>
        <w:ind w:left="709"/>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名 称：</w:t>
      </w:r>
      <w:r>
        <w:rPr>
          <w:rFonts w:hint="eastAsia" w:ascii="Times New Roman" w:hAnsi="Times New Roman" w:cs="宋体"/>
          <w:color w:val="000000"/>
          <w:sz w:val="24"/>
          <w:highlight w:val="none"/>
          <w:u w:val="single"/>
        </w:rPr>
        <w:t xml:space="preserve">扬州市市政设施管理中心</w:t>
      </w:r>
      <w:r/>
    </w:p>
    <w:p>
      <w:pPr>
        <w:ind w:left="1079" w:hanging="30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地址：</w:t>
      </w:r>
      <w:r>
        <w:rPr>
          <w:rFonts w:hint="eastAsia" w:ascii="Times New Roman" w:hAnsi="Times New Roman"/>
          <w:sz w:val="24"/>
          <w:szCs w:val="24"/>
          <w:highlight w:val="none"/>
          <w:u w:val="single"/>
        </w:rPr>
        <w:t xml:space="preserve">　扬州市瘦西湖隧道路145号</w:t>
      </w:r>
      <w:r/>
    </w:p>
    <w:p>
      <w:pPr>
        <w:ind w:left="1079" w:hanging="30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联系人：</w:t>
      </w:r>
      <w:r>
        <w:rPr>
          <w:rFonts w:hint="eastAsia" w:ascii="Times New Roman" w:hAnsi="Times New Roman"/>
          <w:sz w:val="24"/>
          <w:szCs w:val="24"/>
          <w:highlight w:val="none"/>
          <w:u w:val="single"/>
        </w:rPr>
        <w:t xml:space="preserve">  王燕平                    </w:t>
      </w:r>
      <w:r/>
    </w:p>
    <w:p>
      <w:pPr>
        <w:ind w:left="1079" w:hanging="300"/>
        <w:jc w:val="left"/>
        <w:spacing w:line="360" w:lineRule="auto"/>
        <w:rPr>
          <w:rFonts w:ascii="Times New Roman" w:hAnsi="Times New Roman"/>
          <w:sz w:val="24"/>
          <w:szCs w:val="24"/>
          <w:highlight w:val="none"/>
          <w:u w:val="single"/>
        </w:rPr>
      </w:pPr>
      <w:r>
        <w:rPr>
          <w:rFonts w:hint="eastAsia" w:ascii="Times New Roman" w:hAnsi="Times New Roman"/>
          <w:sz w:val="24"/>
          <w:szCs w:val="24"/>
          <w:highlight w:val="none"/>
        </w:rPr>
        <w:t xml:space="preserve">联系方式：</w:t>
      </w:r>
      <w:r>
        <w:rPr>
          <w:rFonts w:hint="eastAsia" w:ascii="Times New Roman" w:hAnsi="Times New Roman"/>
          <w:sz w:val="24"/>
          <w:szCs w:val="24"/>
          <w:highlight w:val="none"/>
          <w:u w:val="single"/>
        </w:rPr>
        <w:t xml:space="preserve">　</w:t>
      </w:r>
      <w:r>
        <w:rPr>
          <w:rFonts w:hint="eastAsia"/>
          <w:sz w:val="24"/>
          <w:szCs w:val="24"/>
          <w:highlight w:val="none"/>
          <w:u w:val="single"/>
          <w:lang w:val="en-US" w:eastAsia="zh-CN"/>
        </w:rPr>
        <w:t xml:space="preserve">0514-8711612</w:t>
      </w:r>
      <w:r>
        <w:rPr>
          <w:rFonts w:hint="eastAsia" w:ascii="Times New Roman" w:hAnsi="Times New Roman"/>
          <w:sz w:val="24"/>
          <w:szCs w:val="24"/>
          <w:highlight w:val="none"/>
          <w:u w:val="singl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2.扬州市公共资源交易中心</w:t>
      </w:r>
      <w:r/>
    </w:p>
    <w:p>
      <w:pPr>
        <w:ind w:firstLine="720"/>
        <w:spacing w:before="156" w:after="156"/>
        <w:rPr>
          <w:rFonts w:ascii="Times New Roman" w:hAnsi="Times New Roman" w:cs="宋体"/>
          <w:color w:val="000000"/>
          <w:sz w:val="24"/>
          <w:highlight w:val="none"/>
          <w:u w:val="single"/>
        </w:rPr>
      </w:pPr>
      <w:r>
        <w:rPr>
          <w:rFonts w:hint="eastAsia" w:ascii="Times New Roman" w:hAnsi="Times New Roman" w:cs="宋体"/>
          <w:color w:val="000000"/>
          <w:sz w:val="24"/>
          <w:highlight w:val="none"/>
        </w:rPr>
        <w:t xml:space="preserve">地　址：</w:t>
      </w:r>
      <w:r>
        <w:rPr>
          <w:rFonts w:hint="eastAsia" w:ascii="Times New Roman" w:hAnsi="Times New Roman" w:cs="宋体"/>
          <w:color w:val="000000"/>
          <w:sz w:val="24"/>
          <w:highlight w:val="none"/>
          <w:u w:val="single"/>
        </w:rPr>
        <w:t xml:space="preserve">扬州市文昌东路9号广陵新城市民中心1号楼5楼15</w:t>
      </w:r>
      <w:r>
        <w:rPr>
          <w:rFonts w:ascii="Times New Roman" w:hAnsi="Times New Roman" w:cs="宋体"/>
          <w:color w:val="000000"/>
          <w:sz w:val="24"/>
          <w:highlight w:val="none"/>
          <w:u w:val="single"/>
        </w:rPr>
        <w:t xml:space="preserve">27</w:t>
      </w:r>
      <w:r>
        <w:rPr>
          <w:rFonts w:hint="eastAsia" w:ascii="Times New Roman" w:hAnsi="Times New Roman" w:cs="宋体"/>
          <w:color w:val="000000"/>
          <w:sz w:val="24"/>
          <w:highlight w:val="none"/>
          <w:u w:val="single"/>
        </w:rPr>
        <w:t xml:space="preserve">室</w:t>
      </w:r>
      <w:r/>
    </w:p>
    <w:p>
      <w:pPr>
        <w:ind w:firstLine="720"/>
        <w:spacing w:before="156" w:after="156"/>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联系人：章梦璐</w:t>
      </w:r>
      <w:r/>
    </w:p>
    <w:p>
      <w:pPr>
        <w:ind w:firstLine="720"/>
        <w:spacing w:before="156" w:after="156"/>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联系方式：0514-82087120</w:t>
      </w:r>
      <w:r/>
    </w:p>
    <w:p>
      <w:pPr>
        <w:ind w:firstLine="498"/>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八、其他</w:t>
      </w:r>
      <w:r/>
    </w:p>
    <w:p>
      <w:pPr>
        <w:ind w:firstLine="480"/>
        <w:spacing w:line="85"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Times New Roman" w:hAnsi="Times New Roman" w:cs="宋体"/>
          <w:b/>
          <w:color w:val="000000"/>
          <w:sz w:val="24"/>
          <w:highlight w:val="none"/>
        </w:rPr>
        <w:t xml:space="preserve">具体办理指南和操作手册见链接：http://zfcg.yangzhou.gov.cn/xzzx/art/2023/art_4d7de1f7865f4a2894fc22bc452f94d8.html，请按《操作手册》要求制作、上传电子投标文件。</w:t>
      </w:r>
      <w:r/>
    </w:p>
    <w:p>
      <w:pPr>
        <w:ind w:firstLine="480"/>
        <w:spacing w:line="85"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领取CA和办理电子签章（请至扬州市文昌东路9号广陵新城市民中心1号楼5楼办理，具体联系方式：18952716110）。</w:t>
      </w:r>
      <w:r/>
    </w:p>
    <w:p>
      <w:pPr>
        <w:ind w:firstLine="480"/>
        <w:spacing w:line="85"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 有关本次招标的事项若存在变动或修改，敬请及时关注扬州市公共资源交易中心在“江苏政府采购网”、“扬州市政府采购网”发布的更正公告。</w:t>
      </w:r>
      <w:r/>
    </w:p>
    <w:p>
      <w:pPr>
        <w:ind w:firstLine="480"/>
        <w:spacing w:line="85"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 本次招标不收取投标保证金。</w:t>
      </w:r>
      <w:r/>
    </w:p>
    <w:p>
      <w:pPr>
        <w:ind w:right="8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br w:type="page" w:clear="all"/>
      </w:r>
      <w:r/>
    </w:p>
    <w:p>
      <w:pPr>
        <w:pStyle w:val="753"/>
        <w:spacing w:before="480" w:after="200"/>
        <w:rPr>
          <w:rFonts w:hint="eastAsia"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黑体"/>
          <w:b/>
          <w:color w:val="000000"/>
          <w:highlight w:val="none"/>
        </w:rPr>
        <w:t xml:space="preserve">第二章 投标人须知</w:t>
      </w:r>
      <w:r/>
    </w:p>
    <w:p>
      <w:pPr>
        <w:ind w:firstLine="498"/>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一、总则</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1、招标方式</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1.1 本次招标采取公开招标方式，本招标文件仅适用于招标公告中所述项目。</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2、合格的投标人</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2.1满足招标公告中供应商的资格要求的规定。</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2.2 满足本文件实质性要求的规定。</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3、适用法律</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3.1 本次招标及由此产生的合同受中华人民共和国有关的法律法规制约和保护。</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4、投标费用</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4.2本次招标交易中心和采购人不收取标书工本费与中标服务费。</w:t>
      </w:r>
      <w:r/>
    </w:p>
    <w:p>
      <w:pPr>
        <w:ind w:firstLine="602"/>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b/>
          <w:color w:val="000000"/>
          <w:sz w:val="30"/>
          <w:highlight w:val="none"/>
        </w:rPr>
        <w:t xml:space="preserve">5、</w:t>
      </w:r>
      <w:r>
        <w:rPr>
          <w:rFonts w:ascii="Times New Roman" w:hAnsi="Times New Roman" w:eastAsia="黑体" w:cs="黑体"/>
          <w:color w:val="000000"/>
          <w:sz w:val="28"/>
          <w:highlight w:val="none"/>
        </w:rPr>
        <w:t xml:space="preserve">招标文件的约束力</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5.1 投标人一旦参加本项目采购活动，即被认为接受了本招标文件的规定和约束。</w:t>
      </w:r>
      <w:r/>
    </w:p>
    <w:p>
      <w:pPr>
        <w:ind w:firstLine="321"/>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二、招标文件</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6、招标文件构成</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6.1 招标文件由以下部分组成：</w:t>
      </w:r>
      <w:r/>
    </w:p>
    <w:p>
      <w:pPr>
        <w:ind w:firstLine="36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（1）投标邀请</w:t>
      </w:r>
      <w:r/>
    </w:p>
    <w:p>
      <w:pPr>
        <w:ind w:firstLine="36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（2）投标人须知</w:t>
      </w:r>
      <w:r/>
    </w:p>
    <w:p>
      <w:pPr>
        <w:ind w:firstLine="36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（3）合同文本</w:t>
      </w:r>
      <w:r/>
    </w:p>
    <w:p>
      <w:pPr>
        <w:ind w:firstLine="36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（4）采购需求</w:t>
      </w:r>
      <w:r/>
    </w:p>
    <w:p>
      <w:pPr>
        <w:ind w:firstLine="36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（5）评标方法与评标标准</w:t>
      </w:r>
      <w:r/>
    </w:p>
    <w:p>
      <w:pPr>
        <w:ind w:firstLine="36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（6）投标文件格式</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请仔细检查招标文件是否齐全，如有缺漏请立即与交易中心联系解决。</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Arial"/>
          <w:color w:val="000000"/>
          <w:sz w:val="28"/>
          <w:highlight w:val="none"/>
        </w:rPr>
        <w:t xml:space="preserve">7</w:t>
      </w:r>
      <w:r>
        <w:rPr>
          <w:rFonts w:ascii="Times New Roman" w:hAnsi="Times New Roman" w:eastAsia="黑体" w:cs="黑体"/>
          <w:color w:val="000000"/>
          <w:sz w:val="28"/>
          <w:highlight w:val="none"/>
        </w:rPr>
        <w:t xml:space="preserve">、招标文件的修改</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7.1 在投标截止时间前，交易中心可以对招标文件进行修改。</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7.2 交易中心有权按照法定的要求推迟投标截止日期和开标日期。</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三、投标文件的编制</w:t>
      </w:r>
      <w:r/>
    </w:p>
    <w:p>
      <w:pPr>
        <w:ind w:firstLine="56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Arial"/>
          <w:color w:val="000000"/>
          <w:sz w:val="28"/>
          <w:highlight w:val="none"/>
        </w:rPr>
        <w:t xml:space="preserve">8</w:t>
      </w:r>
      <w:r>
        <w:rPr>
          <w:rFonts w:ascii="Times New Roman" w:hAnsi="Times New Roman" w:eastAsia="黑体" w:cs="黑体"/>
          <w:color w:val="000000"/>
          <w:sz w:val="28"/>
          <w:highlight w:val="none"/>
        </w:rPr>
        <w:t xml:space="preserve">、投标文件的语言及度量衡单位</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8.1 投标人提交的投标文件以及投标人与交易中心就有关投标的所有来往通知、函件和文件均应使用</w:t>
      </w:r>
      <w:r>
        <w:rPr>
          <w:rFonts w:ascii="Times New Roman" w:hAnsi="Times New Roman" w:cs="宋体"/>
          <w:b/>
          <w:color w:val="000000"/>
          <w:sz w:val="24"/>
          <w:highlight w:val="none"/>
        </w:rPr>
        <w:t xml:space="preserve">简体中文</w:t>
      </w:r>
      <w:r>
        <w:rPr>
          <w:rFonts w:ascii="Times New Roman" w:hAnsi="Times New Roman" w:cs="宋体"/>
          <w:color w:val="000000"/>
          <w:sz w:val="24"/>
          <w:highlight w:val="none"/>
        </w:rPr>
        <w:t xml:space="preserve">。</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8.2 除技术性能另有规定外，投标文件所使用的度量衡单位，均须采用国家法定计量单位。</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Arial"/>
          <w:color w:val="000000"/>
          <w:sz w:val="28"/>
          <w:highlight w:val="none"/>
        </w:rPr>
        <w:t xml:space="preserve">9</w:t>
      </w:r>
      <w:r>
        <w:rPr>
          <w:rFonts w:ascii="Times New Roman" w:hAnsi="Times New Roman" w:eastAsia="黑体" w:cs="黑体"/>
          <w:color w:val="000000"/>
          <w:sz w:val="28"/>
          <w:highlight w:val="none"/>
        </w:rPr>
        <w:t xml:space="preserve">、投标文件构成</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9.1 投标人编写的投标文件应包括基本目录、资格审查内容、符合性审查内容、价格扣除证明文件等部分。</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ff0000"/>
          <w:sz w:val="24"/>
          <w:highlight w:val="none"/>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1</w:t>
      </w:r>
      <w:r>
        <w:rPr>
          <w:rFonts w:ascii="Times New Roman" w:hAnsi="Times New Roman" w:eastAsia="Arial" w:cs="Arial"/>
          <w:color w:val="000000"/>
          <w:sz w:val="28"/>
          <w:highlight w:val="none"/>
        </w:rPr>
        <w:t xml:space="preserve">0</w:t>
      </w:r>
      <w:r>
        <w:rPr>
          <w:rFonts w:ascii="Times New Roman" w:hAnsi="Times New Roman" w:eastAsia="黑体" w:cs="黑体"/>
          <w:color w:val="000000"/>
          <w:sz w:val="28"/>
          <w:highlight w:val="none"/>
        </w:rPr>
        <w:t xml:space="preserve">、证明投标人及投标标的符合招标文件规定的文件</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10.1 投标人应按照招标文件要求提交证明文件，证明其投标标的符合招标文件规定。</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10.2招标文件对证明文件无明确形式要求的，证明文件可以以文字资料、图纸和数据等形式提交。</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1</w:t>
      </w:r>
      <w:r>
        <w:rPr>
          <w:rFonts w:ascii="Times New Roman" w:hAnsi="Times New Roman" w:eastAsia="Arial" w:cs="Arial"/>
          <w:color w:val="000000"/>
          <w:sz w:val="28"/>
          <w:highlight w:val="none"/>
        </w:rPr>
        <w:t xml:space="preserve">1</w:t>
      </w:r>
      <w:r>
        <w:rPr>
          <w:rFonts w:ascii="Times New Roman" w:hAnsi="Times New Roman" w:eastAsia="黑体" w:cs="黑体"/>
          <w:color w:val="000000"/>
          <w:sz w:val="28"/>
          <w:highlight w:val="none"/>
        </w:rPr>
        <w:t xml:space="preserve">、投标分项报价表</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11.1 投标人按照招标文件规定格式填报投标分项报价表。</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11.2投标货币。投标文件中的单价和总价无特殊规定的采用人民币报价，以元为单位标注。招标文件中另有规定的按规定执行。</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1</w:t>
      </w:r>
      <w:r>
        <w:rPr>
          <w:rFonts w:ascii="Times New Roman" w:hAnsi="Times New Roman" w:eastAsia="Arial" w:cs="Arial"/>
          <w:color w:val="000000"/>
          <w:sz w:val="28"/>
          <w:highlight w:val="none"/>
        </w:rPr>
        <w:t xml:space="preserve">2</w:t>
      </w:r>
      <w:r>
        <w:rPr>
          <w:rFonts w:ascii="Times New Roman" w:hAnsi="Times New Roman" w:eastAsia="黑体" w:cs="黑体"/>
          <w:color w:val="000000"/>
          <w:sz w:val="28"/>
          <w:highlight w:val="none"/>
        </w:rPr>
        <w:t xml:space="preserve">、技术要求响应及偏离表、商务要求响应及偏离表</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12.1 投标人需对招标文件中的技术要求与商务要求逐项作出响应或偏离，并说明原因。</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12.2 投标人需按照招标文件要求，在投标文件中提供与技术要求和商务要求相关的证明材料。</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1</w:t>
      </w:r>
      <w:r>
        <w:rPr>
          <w:rFonts w:ascii="Times New Roman" w:hAnsi="Times New Roman" w:eastAsia="Arial" w:cs="Arial"/>
          <w:color w:val="000000"/>
          <w:sz w:val="28"/>
          <w:highlight w:val="none"/>
        </w:rPr>
        <w:t xml:space="preserve">3</w:t>
      </w:r>
      <w:r>
        <w:rPr>
          <w:rFonts w:ascii="Times New Roman" w:hAnsi="Times New Roman" w:eastAsia="黑体" w:cs="黑体"/>
          <w:color w:val="000000"/>
          <w:sz w:val="28"/>
          <w:highlight w:val="none"/>
        </w:rPr>
        <w:t xml:space="preserve">、投标函和开标一览表</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13.1 投标人应按照招标文件中提供的格式完整、正确填写投标函、开标一览表。</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13.2 对于采用货币报价的项目，开标一览表中的投标总报价应与投标分项报价表中的投标总报价一致，如不一致，不作为无效投标处理，但评标时按开标一览表中价格为准</w:t>
      </w:r>
      <w:r>
        <w:rPr>
          <w:rFonts w:ascii="Times New Roman" w:hAnsi="Times New Roman" w:cs="宋体"/>
          <w:b/>
          <w:color w:val="000000"/>
          <w:sz w:val="24"/>
          <w:highlight w:val="none"/>
        </w:rPr>
        <w:t xml:space="preserve">。</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1</w:t>
      </w:r>
      <w:r>
        <w:rPr>
          <w:rFonts w:ascii="Times New Roman" w:hAnsi="Times New Roman" w:eastAsia="Arial" w:cs="Arial"/>
          <w:color w:val="000000"/>
          <w:sz w:val="28"/>
          <w:highlight w:val="none"/>
        </w:rPr>
        <w:t xml:space="preserve">4</w:t>
      </w:r>
      <w:r>
        <w:rPr>
          <w:rFonts w:ascii="Times New Roman" w:hAnsi="Times New Roman" w:eastAsia="黑体" w:cs="黑体"/>
          <w:color w:val="000000"/>
          <w:sz w:val="28"/>
          <w:highlight w:val="none"/>
        </w:rPr>
        <w:t xml:space="preserve">、投标有效期</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14.1 投标有效期为交易中心规定的开标之日后</w:t>
      </w:r>
      <w:r>
        <w:rPr>
          <w:rFonts w:ascii="Times New Roman" w:hAnsi="Times New Roman" w:cs="宋体"/>
          <w:b/>
          <w:color w:val="000000"/>
          <w:sz w:val="24"/>
          <w:highlight w:val="none"/>
          <w:u w:val="single"/>
        </w:rPr>
        <w:t xml:space="preserve">六十（60）天</w:t>
      </w:r>
      <w:r>
        <w:rPr>
          <w:rFonts w:ascii="Times New Roman" w:hAnsi="Times New Roman" w:cs="宋体"/>
          <w:color w:val="000000"/>
          <w:sz w:val="24"/>
          <w:highlight w:val="none"/>
        </w:rPr>
        <w:t xml:space="preserve">。投标有效期比规定短的将被视为未实质性响应招标文件而予以拒绝。</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1</w:t>
      </w:r>
      <w:r>
        <w:rPr>
          <w:rFonts w:ascii="Times New Roman" w:hAnsi="Times New Roman" w:eastAsia="Arial" w:cs="Arial"/>
          <w:color w:val="000000"/>
          <w:sz w:val="28"/>
          <w:highlight w:val="none"/>
        </w:rPr>
        <w:t xml:space="preserve">5</w:t>
      </w:r>
      <w:r>
        <w:rPr>
          <w:rFonts w:ascii="Times New Roman" w:hAnsi="Times New Roman" w:eastAsia="黑体" w:cs="黑体"/>
          <w:color w:val="000000"/>
          <w:sz w:val="28"/>
          <w:highlight w:val="none"/>
        </w:rPr>
        <w:t xml:space="preserve">、投标有效期的延长</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四、投标文件的递交</w:t>
      </w:r>
      <w:r/>
    </w:p>
    <w:p>
      <w:pPr>
        <w:ind w:firstLine="56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1</w:t>
      </w:r>
      <w:r>
        <w:rPr>
          <w:rFonts w:ascii="Times New Roman" w:hAnsi="Times New Roman" w:eastAsia="Arial" w:cs="Arial"/>
          <w:color w:val="000000"/>
          <w:sz w:val="28"/>
          <w:highlight w:val="none"/>
        </w:rPr>
        <w:t xml:space="preserve">6</w:t>
      </w:r>
      <w:r>
        <w:rPr>
          <w:rFonts w:ascii="Times New Roman" w:hAnsi="Times New Roman" w:eastAsia="黑体" w:cs="黑体"/>
          <w:color w:val="000000"/>
          <w:sz w:val="28"/>
          <w:highlight w:val="none"/>
        </w:rPr>
        <w:t xml:space="preserve">、电子投标文件的递交</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16.1 投标人应当按照《操作手册》规定，在投标截止时间前制作并上传电子投标文件。</w:t>
      </w:r>
      <w:r/>
    </w:p>
    <w:p>
      <w:pPr>
        <w:ind w:firstLine="420"/>
        <w:spacing w:before="240" w:after="240"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1</w:t>
      </w:r>
      <w:r>
        <w:rPr>
          <w:rFonts w:ascii="Times New Roman" w:hAnsi="Times New Roman" w:eastAsia="Arial" w:cs="Arial"/>
          <w:color w:val="000000"/>
          <w:sz w:val="28"/>
          <w:highlight w:val="none"/>
        </w:rPr>
        <w:t xml:space="preserve">7</w:t>
      </w:r>
      <w:r>
        <w:rPr>
          <w:rFonts w:ascii="Times New Roman" w:hAnsi="Times New Roman" w:eastAsia="黑体" w:cs="黑体"/>
          <w:color w:val="000000"/>
          <w:sz w:val="28"/>
          <w:highlight w:val="none"/>
        </w:rPr>
        <w:t xml:space="preserve">、投标截止时间</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17.1 投标人上传电子投标文件的时间不得迟于招标公告中规定的投标截止时间。</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1</w:t>
      </w:r>
      <w:r>
        <w:rPr>
          <w:rFonts w:ascii="Times New Roman" w:hAnsi="Times New Roman" w:eastAsia="Arial" w:cs="Arial"/>
          <w:color w:val="000000"/>
          <w:sz w:val="28"/>
          <w:highlight w:val="none"/>
        </w:rPr>
        <w:t xml:space="preserve">8</w:t>
      </w:r>
      <w:r>
        <w:rPr>
          <w:rFonts w:ascii="Times New Roman" w:hAnsi="Times New Roman" w:eastAsia="黑体" w:cs="黑体"/>
          <w:color w:val="000000"/>
          <w:sz w:val="28"/>
          <w:highlight w:val="none"/>
        </w:rPr>
        <w:t xml:space="preserve">、投标文件的拒收</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18.1交易中心拒绝接收在其规定的投标截止时间后上传的任何投标文件。</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Arial"/>
          <w:color w:val="000000"/>
          <w:sz w:val="28"/>
          <w:highlight w:val="none"/>
        </w:rPr>
        <w:t xml:space="preserve">19</w:t>
      </w:r>
      <w:r>
        <w:rPr>
          <w:rFonts w:ascii="Times New Roman" w:hAnsi="Times New Roman" w:eastAsia="黑体" w:cs="黑体"/>
          <w:color w:val="000000"/>
          <w:sz w:val="28"/>
          <w:highlight w:val="none"/>
        </w:rPr>
        <w:t xml:space="preserve">、投标文件的撤回和修改</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19.1 投标文件的撤回</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19.1.1 电子投标文件的撤回</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投标人可在投标截止时间前，撤回其电子投标文件，具体操作方法见《操作手册》。</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19.1.2 投标人撤回电子投标文件，则认为其不再参与本项目投标活动。</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19.2 投标文件的修改</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19.2.1投标人可在投标截止时间前，对其电子投标文件进行修改，具体操作方法见《操作手册》。</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19.2.2 在投标截止时间之后，投标人不得对其电子投标文件作任何修改。</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19.3 在投标截止时间至招标文件中规定的投标有效期满之间的这段时间内，投标人不得撤回其投标。</w:t>
      </w:r>
      <w:r/>
    </w:p>
    <w:p>
      <w:pPr>
        <w:ind w:firstLine="482"/>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五、开标与评标</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2</w:t>
      </w:r>
      <w:r>
        <w:rPr>
          <w:rFonts w:ascii="Times New Roman" w:hAnsi="Times New Roman" w:eastAsia="Arial" w:cs="Arial"/>
          <w:color w:val="000000"/>
          <w:sz w:val="28"/>
          <w:highlight w:val="none"/>
        </w:rPr>
        <w:t xml:space="preserve">0</w:t>
      </w:r>
      <w:r>
        <w:rPr>
          <w:rFonts w:ascii="Times New Roman" w:hAnsi="Times New Roman" w:eastAsia="黑体" w:cs="黑体"/>
          <w:color w:val="000000"/>
          <w:sz w:val="28"/>
          <w:highlight w:val="none"/>
        </w:rPr>
        <w:t xml:space="preserve">、开标</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20.2开标仪式由交易中心组织。苏采云系统将自动对项目进行开标，并展示各投标人名称和投标价格。</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20.3投标人在开标过程中涉及到的投标文件解密、开标结果确认等工作，应按照《操作手册》规定执行。</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2</w:t>
      </w:r>
      <w:r>
        <w:rPr>
          <w:rFonts w:ascii="Times New Roman" w:hAnsi="Times New Roman" w:eastAsia="Arial" w:cs="Arial"/>
          <w:color w:val="000000"/>
          <w:sz w:val="28"/>
          <w:highlight w:val="none"/>
        </w:rPr>
        <w:t xml:space="preserve">1</w:t>
      </w:r>
      <w:r>
        <w:rPr>
          <w:rFonts w:ascii="Times New Roman" w:hAnsi="Times New Roman" w:eastAsia="黑体" w:cs="黑体"/>
          <w:color w:val="000000"/>
          <w:sz w:val="28"/>
          <w:highlight w:val="none"/>
        </w:rPr>
        <w:t xml:space="preserve">、评标委员会</w:t>
      </w:r>
      <w:r/>
    </w:p>
    <w:p>
      <w:pPr>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    21.1开标后，交易中心将立即组织评标委员会（以下简称评委会）进行评标。</w:t>
      </w:r>
      <w:r/>
    </w:p>
    <w:p>
      <w:pPr>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    21.2评委会由采购人代表和有关技术、经济等方面的专家组成，且人员构成符合政府采购有关规定。</w:t>
      </w:r>
      <w:r/>
    </w:p>
    <w:p>
      <w:pPr>
        <w:ind w:firstLine="48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21.3评委会独立工作，负责评审所有投标文件并确定中标候选人。</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22、评标过程的保密与公正</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22.1凡是与审查、澄清、评价和比较投标的有关资料以及授标建议等，采购人、评委、交易中心均不得向投标人或与评标无关的其他人员透露。</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22.2在评标过程中，投标人不得以任何行为影响评标过程，否则其投标文件将被作为无效投标文件。</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22.3 交易中心和评委会不向未中标的投标人解释未中标原因，也不公布评标过程中的相关细节。</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22.4 采用综合评分法的项目，未中标的投标人可于中标结果公告期限届满之日起通过苏采云系统查看自己的评审得分及排序情况。</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2</w:t>
      </w:r>
      <w:r>
        <w:rPr>
          <w:rFonts w:ascii="Times New Roman" w:hAnsi="Times New Roman" w:eastAsia="Arial" w:cs="Arial"/>
          <w:color w:val="000000"/>
          <w:sz w:val="28"/>
          <w:highlight w:val="none"/>
        </w:rPr>
        <w:t xml:space="preserve">3</w:t>
      </w:r>
      <w:r>
        <w:rPr>
          <w:rFonts w:ascii="Times New Roman" w:hAnsi="Times New Roman" w:eastAsia="黑体" w:cs="黑体"/>
          <w:color w:val="000000"/>
          <w:sz w:val="28"/>
          <w:highlight w:val="none"/>
        </w:rPr>
        <w:t xml:space="preserve">、投标文件的澄清</w:t>
      </w:r>
      <w:r/>
    </w:p>
    <w:p>
      <w:pPr>
        <w:ind w:firstLine="48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投标人的澄清、说明或者补正不得超出投标文件的范围或者改变投标文件的实质性内容。</w:t>
      </w:r>
      <w:r/>
    </w:p>
    <w:p>
      <w:pPr>
        <w:ind w:firstLine="48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评委会并非对每个投标人都做澄清要求。</w:t>
      </w:r>
      <w:r/>
    </w:p>
    <w:p>
      <w:pPr>
        <w:ind w:firstLine="48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23.3接到评委会澄清、说明和补正要求的投标人如未按规定做出澄清、说明和补正，其风险由投标人自行承担。</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2</w:t>
      </w:r>
      <w:r>
        <w:rPr>
          <w:rFonts w:ascii="Times New Roman" w:hAnsi="Times New Roman" w:eastAsia="Arial" w:cs="Arial"/>
          <w:color w:val="000000"/>
          <w:sz w:val="28"/>
          <w:highlight w:val="none"/>
        </w:rPr>
        <w:t xml:space="preserve">4</w:t>
      </w:r>
      <w:r>
        <w:rPr>
          <w:rFonts w:ascii="Times New Roman" w:hAnsi="Times New Roman" w:eastAsia="黑体" w:cs="黑体"/>
          <w:color w:val="000000"/>
          <w:sz w:val="28"/>
          <w:highlight w:val="none"/>
        </w:rPr>
        <w:t xml:space="preserve">、对投标文件的初审</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24.1投标文件初审分为资格审查和符合性审查。</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24.4评委会将对确定为实质性响应的投标进行进一步审核，是否有计算上或累加上的算术错误，修正错误的原则如下：</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（1）投标文件中开标一览表内容与投标文件中相应内容不一致的，以开标一览表为准。</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（2）大写金额和小写金额不一致的，以大写金额为准。</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（3）单价金额小数点或者百分比有明显错位的，以开标一览表的总价为准，并修改单价。</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（4）总价金额与按单价汇总金额不一致的，以单价金额计算结果为准。</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同时出现两种以上错误的，按照前款规定的顺序修正。</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24.6投标人在开、评标全过程中应保持通讯畅通，及时登录苏采云系统查阅、答复相关信息，并安排专人与交易中心及评委会联系。</w:t>
      </w:r>
      <w:r/>
    </w:p>
    <w:p>
      <w:pPr>
        <w:ind w:firstLine="4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28"/>
          <w:highlight w:val="none"/>
        </w:rPr>
        <w:t xml:space="preserve">2</w:t>
      </w:r>
      <w:r>
        <w:rPr>
          <w:rFonts w:ascii="Times New Roman" w:hAnsi="Times New Roman" w:eastAsia="Arial" w:cs="Arial"/>
          <w:color w:val="000000"/>
          <w:sz w:val="28"/>
          <w:highlight w:val="none"/>
        </w:rPr>
        <w:t xml:space="preserve">5</w:t>
      </w:r>
      <w:r>
        <w:rPr>
          <w:rFonts w:ascii="Times New Roman" w:hAnsi="Times New Roman" w:eastAsia="黑体" w:cs="黑体"/>
          <w:color w:val="000000"/>
          <w:sz w:val="28"/>
          <w:highlight w:val="none"/>
        </w:rPr>
        <w:t xml:space="preserve">、无效投标条款和废标条款</w:t>
      </w:r>
      <w:r/>
    </w:p>
    <w:p>
      <w:pPr>
        <w:ind w:left="479"/>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25.1无效投标条款</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25.1.1 投标人在苏采云系统规定的时间内未成功解密电子投标文件的。</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25.1.2 投标人未按照招标文件要求上传电子投标文件的。</w:t>
      </w:r>
      <w:r/>
    </w:p>
    <w:p>
      <w:pPr>
        <w:ind w:left="479"/>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25.1.3 投标人同一采购包提交两个（含两个）以上不同的投标报价的。</w:t>
      </w:r>
      <w:r/>
    </w:p>
    <w:p>
      <w:pPr>
        <w:ind w:left="479"/>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25.1.4投标人不具备招标文件中规定资格要求的。</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25.1.5投标人的报价超过了采购预算或最高限价的。</w:t>
      </w:r>
      <w:r/>
    </w:p>
    <w:p>
      <w:pPr>
        <w:ind w:firstLine="48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25.1.6未通过符合性审查的。</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25.1.7不符合招标文件中规定的实质性要求的（本招标文件中斜体且有下划线部分为实质性要求）</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25.1.9 投标文件含有采购人不能接受的附加条件的。</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25.1.10 异常低价投标（响应）</w:t>
      </w:r>
      <w:r/>
    </w:p>
    <w:p>
      <w:pPr>
        <w:ind w:firstLine="480"/>
        <w:spacing w:line="479" w:lineRule="atLeast"/>
        <w:shd w:val="clear" w:color="ffffff" w:fill="ffffff"/>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25.1.10.1</w:t>
      </w:r>
      <w:r>
        <w:rPr>
          <w:rFonts w:ascii="Times New Roman" w:hAnsi="Times New Roman" w:cs="宋体"/>
          <w:color w:val="383838"/>
          <w:sz w:val="24"/>
          <w:highlight w:val="none"/>
        </w:rPr>
        <w:t xml:space="preserve">投标（响应）报价低于全部通过符合性审查供应商投标（响应）报价平均值</w:t>
      </w:r>
      <w:r>
        <w:rPr>
          <w:rFonts w:hint="eastAsia" w:ascii="Times New Roman" w:hAnsi="Times New Roman" w:cs="宋体"/>
          <w:color w:val="383838"/>
          <w:sz w:val="24"/>
          <w:highlight w:val="none"/>
          <w:lang w:val="en-US" w:eastAsia="zh-CN"/>
        </w:rPr>
        <w:t xml:space="preserve">65</w:t>
      </w:r>
      <w:r>
        <w:rPr>
          <w:rFonts w:ascii="Times New Roman" w:hAnsi="Times New Roman" w:cs="宋体"/>
          <w:color w:val="383838"/>
          <w:sz w:val="24"/>
          <w:highlight w:val="none"/>
        </w:rPr>
        <w:t xml:space="preserve">%的，即投标（响应）报价&lt;全部通过符合性审查供应商投标（响应）报价平均值×</w:t>
      </w:r>
      <w:r>
        <w:rPr>
          <w:rFonts w:hint="eastAsia" w:ascii="Times New Roman" w:hAnsi="Times New Roman" w:cs="宋体"/>
          <w:color w:val="383838"/>
          <w:sz w:val="24"/>
          <w:highlight w:val="none"/>
          <w:lang w:val="en-US" w:eastAsia="zh-CN"/>
        </w:rPr>
        <w:t xml:space="preserve">65</w:t>
      </w:r>
      <w:r>
        <w:rPr>
          <w:rFonts w:ascii="Times New Roman" w:hAnsi="Times New Roman" w:cs="宋体"/>
          <w:color w:val="383838"/>
          <w:sz w:val="24"/>
          <w:highlight w:val="none"/>
        </w:rPr>
        <w:t xml:space="preserve">%；</w:t>
      </w:r>
      <w:r/>
    </w:p>
    <w:p>
      <w:pPr>
        <w:ind w:firstLine="480"/>
        <w:spacing w:line="479" w:lineRule="atLeast"/>
        <w:shd w:val="clear" w:color="ffffff" w:fill="ffffff"/>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25.1.10.2</w:t>
      </w:r>
      <w:r>
        <w:rPr>
          <w:rFonts w:ascii="Times New Roman" w:hAnsi="Times New Roman" w:cs="宋体"/>
          <w:color w:val="383838"/>
          <w:sz w:val="24"/>
          <w:highlight w:val="none"/>
        </w:rPr>
        <w:t xml:space="preserve">投标（响应）报价低于通过符合性审查的次低报价供应商投标（响应）报价</w:t>
      </w:r>
      <w:r>
        <w:rPr>
          <w:rFonts w:hint="eastAsia" w:ascii="Times New Roman" w:hAnsi="Times New Roman" w:cs="宋体"/>
          <w:color w:val="383838"/>
          <w:sz w:val="24"/>
          <w:highlight w:val="none"/>
          <w:lang w:val="en-US" w:eastAsia="zh-CN"/>
        </w:rPr>
        <w:t xml:space="preserve">65</w:t>
      </w:r>
      <w:r>
        <w:rPr>
          <w:rFonts w:ascii="Times New Roman" w:hAnsi="Times New Roman" w:cs="宋体"/>
          <w:color w:val="383838"/>
          <w:sz w:val="24"/>
          <w:highlight w:val="none"/>
        </w:rPr>
        <w:t xml:space="preserve">%的，即投标（响应）报价&lt;通过符合性审查的次低报价供应商投标（响应）报价×</w:t>
      </w:r>
      <w:r>
        <w:rPr>
          <w:rFonts w:hint="eastAsia" w:ascii="Times New Roman" w:hAnsi="Times New Roman" w:cs="宋体"/>
          <w:color w:val="383838"/>
          <w:sz w:val="24"/>
          <w:highlight w:val="none"/>
          <w:lang w:val="en-US" w:eastAsia="zh-CN"/>
        </w:rPr>
        <w:t xml:space="preserve">65</w:t>
      </w:r>
      <w:r>
        <w:rPr>
          <w:rFonts w:ascii="Times New Roman" w:hAnsi="Times New Roman" w:cs="宋体"/>
          <w:color w:val="383838"/>
          <w:sz w:val="24"/>
          <w:highlight w:val="none"/>
        </w:rPr>
        <w:t xml:space="preserve">%；</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25.1.10.3投标（响应）报价低于采购项目最高限价 </w:t>
      </w:r>
      <w:r>
        <w:rPr>
          <w:rFonts w:hint="eastAsia" w:ascii="Times New Roman" w:hAnsi="Times New Roman" w:cs="宋体"/>
          <w:color w:val="000000"/>
          <w:sz w:val="24"/>
          <w:highlight w:val="none"/>
          <w:lang w:val="en-US" w:eastAsia="zh-CN"/>
        </w:rPr>
        <w:t xml:space="preserve">6</w:t>
      </w:r>
      <w:r>
        <w:rPr>
          <w:rFonts w:ascii="Times New Roman" w:hAnsi="Times New Roman" w:cs="宋体"/>
          <w:color w:val="000000"/>
          <w:sz w:val="24"/>
          <w:highlight w:val="none"/>
        </w:rPr>
        <w:t xml:space="preserve">5% 的，即投标（响应）报价&lt;采购项目最高限价×</w:t>
      </w:r>
      <w:r>
        <w:rPr>
          <w:rFonts w:hint="eastAsia" w:ascii="Times New Roman" w:hAnsi="Times New Roman" w:cs="宋体"/>
          <w:color w:val="000000"/>
          <w:sz w:val="24"/>
          <w:highlight w:val="none"/>
          <w:lang w:val="en-US" w:eastAsia="zh-CN"/>
        </w:rPr>
        <w:t xml:space="preserve">6</w:t>
      </w:r>
      <w:r>
        <w:rPr>
          <w:rFonts w:ascii="Times New Roman" w:hAnsi="Times New Roman" w:cs="宋体"/>
          <w:color w:val="000000"/>
          <w:sz w:val="24"/>
          <w:highlight w:val="none"/>
        </w:rPr>
        <w:t xml:space="preserve">5% ；</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25.1.10.4评审委员会认定的供应商报价过低、有可能影响产品质量或者不能诚信履约的其他情形。</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25.1.10.5</w:t>
      </w:r>
      <w:r>
        <w:rPr>
          <w:rFonts w:ascii="Times New Roman" w:hAnsi="Times New Roman" w:cs="宋体"/>
          <w:color w:val="383838"/>
          <w:sz w:val="24"/>
          <w:highlight w:val="none"/>
        </w:rPr>
        <w:t xml:space="preserve">评审委员会启动异常低价投标（响应）审查后，属于前述第1项至第4项情形的，应当要求相关供应商在评审现场合理的时间内</w:t>
      </w:r>
      <w:r>
        <w:rPr>
          <w:rFonts w:ascii="Times New Roman" w:hAnsi="Times New Roman" w:cs="宋体"/>
          <w:color w:val="ff0000"/>
          <w:sz w:val="24"/>
          <w:highlight w:val="none"/>
        </w:rPr>
        <w:t xml:space="preserve">对投标（响应）价格作出解释，提供项目具体成本测算等与报价合理性相关的书面说明及必要的证明材料，包括但不限于原材料成本、人工成本、制造费用等，</w:t>
      </w:r>
      <w:r>
        <w:rPr>
          <w:rFonts w:ascii="Times New Roman" w:hAnsi="Times New Roman" w:cs="宋体"/>
          <w:color w:val="383838"/>
          <w:sz w:val="24"/>
          <w:highlight w:val="none"/>
        </w:rPr>
        <w:t xml:space="preserve">给予相关供应商的合理时间一般</w:t>
      </w:r>
      <w:r>
        <w:rPr>
          <w:rFonts w:ascii="Times New Roman" w:hAnsi="Times New Roman" w:cs="宋体"/>
          <w:color w:val="ff0000"/>
          <w:sz w:val="24"/>
          <w:highlight w:val="none"/>
        </w:rPr>
        <w:t xml:space="preserve">不少于30分钟</w:t>
      </w:r>
      <w:r>
        <w:rPr>
          <w:rFonts w:ascii="Times New Roman" w:hAnsi="Times New Roman" w:cs="宋体"/>
          <w:color w:val="383838"/>
          <w:sz w:val="24"/>
          <w:highlight w:val="none"/>
        </w:rPr>
        <w:t xml:space="preserve">。其中，属于第3项情形，供应商已随投标（响应）文件一并提交相关书面说明及必要的证明材料的，在评审现场可不再重复提交。</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383838"/>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25.1.11 投标文件未按照招标文件要求加盖CA电子公章的。</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25.1.12其他法律、法规及本招标文件规定的属无效投标的情形。</w:t>
      </w:r>
      <w:r/>
    </w:p>
    <w:p>
      <w:pPr>
        <w:ind w:left="479"/>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25.2废标条款</w:t>
      </w:r>
      <w:r/>
    </w:p>
    <w:p>
      <w:pPr>
        <w:ind w:left="479"/>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25.2.1符合专业条件的供应商或者对招标文件作实质响应的供应商不足三家的。</w:t>
      </w:r>
      <w:r/>
    </w:p>
    <w:p>
      <w:pPr>
        <w:ind w:left="479"/>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25.2.2出现影响采购公正的违法、违规行为的。</w:t>
      </w:r>
      <w:r/>
    </w:p>
    <w:p>
      <w:pPr>
        <w:ind w:left="479"/>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25.2.3因重大变故，采购任务取消的。</w:t>
      </w:r>
      <w:r/>
    </w:p>
    <w:p>
      <w:pPr>
        <w:ind w:left="479"/>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25.2.4评委会认定招标文件存在歧义、重大缺陷导致评审工作无法进行。</w:t>
      </w:r>
      <w:r/>
    </w:p>
    <w:p>
      <w:pPr>
        <w:ind w:left="479"/>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25.2.5 因苏采云系统系统故障原因造成开标不成功的。</w:t>
      </w:r>
      <w:r/>
    </w:p>
    <w:p>
      <w:pPr>
        <w:ind w:left="479"/>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25.3 投标截止时间结束后参加投标的供应商不足三家的处理：</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六、定标</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30"/>
          <w:highlight w:val="none"/>
        </w:rPr>
        <w:t xml:space="preserve">   26、确定中标单位</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26.1中标候选人的选取原则和数量见招标文件第五章规定。 </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26.2 采购人应根据评委会推荐的中标候选人确定中标供应商。</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26.3 交易中心将在“江苏政府采购网、扬州市政府采购网”发布中标公告，公告期限为1个工作日。</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26.4  若有充分证据证明，中标供应商出现下列情况之一的，一经查实，将被取消中标资格：</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26.4.1提供虚假材料谋取中标的。</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26.4.2向采购人、交易中心行贿或者提供其他不正当利益的。</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26.4.3属于本文件规定的无效条件，但在评标过程中又未被评委会发现的。</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26.4.4与采购人或者其他供应商恶意串通的。</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26.4.5采取不正当手段诋毁、排挤其他供应商的。</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26.5 有下列情形之一的，视为投标人串通投标，投标无效：</w:t>
      </w:r>
      <w:r/>
    </w:p>
    <w:p>
      <w:pPr>
        <w:ind w:firstLine="48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26.5.1不同投标人的投标文件由同一单位或者个人编制。</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ff0000"/>
          <w:sz w:val="24"/>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26.5.2不同投标人委托同一单位或者个人办理投标事宜。</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26.5.3 不同投标人的投标文件载明的项目管理成员或者联系人员为同一人。</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26.5.4不同投标人的投标文件异常一致或者投标报价呈规律性差异。</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30"/>
          <w:highlight w:val="none"/>
        </w:rPr>
        <w:t xml:space="preserve">   27、质疑处理</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27.1 提出质疑的供应商应当是参与所质疑项目采购活动的供应商。潜在供应商依法获取其可质疑的采购文件的，可以对采购文件提出质疑。</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27.2.1对可以质疑的采购文件提出质疑的，为收到采购文件之日或者采购文件公告期限届满之日；</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27.2.2对采购过程提出质疑的，为各采购程序环节结束之日；</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27.2.3对中标或者成交结果提出质疑的，为中标或者成交结果公告期限届满之日。</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27.4供应商（含潜在供应商）对与本项目有关的所有询问、质疑均请向采购人提出，由采购人负责答复。</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质疑接收人及联系方式见招标文件第一章。</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27.5 以下情形的质疑不予受理</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27.5.1 内容不符合《政府采购质疑和投诉办法》第十二条规定的质疑。</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27.5.2 超出政府采购法定期限的质疑。</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27.5.3 以传真、电子邮件等方式递交的非原件形式的质疑。</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27.5.4未参加投标活动的供应商或在投标活动中自身权益未受到损害的供应商所提出的质疑。</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27.5.5供应商组成联合体参加投标，联合体中任何一方或多方未按要求签字、盖章、加盖公章的质疑。</w:t>
      </w:r>
      <w:r/>
    </w:p>
    <w:p>
      <w:pPr>
        <w:ind w:firstLine="468"/>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30"/>
          <w:highlight w:val="none"/>
        </w:rPr>
        <w:t xml:space="preserve">28、中标通知书</w:t>
      </w:r>
      <w:r/>
    </w:p>
    <w:p>
      <w:pPr>
        <w:ind w:firstLine="60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七、授予合同</w:t>
      </w:r>
      <w:r/>
    </w:p>
    <w:p>
      <w:pPr>
        <w:ind w:firstLine="60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30"/>
          <w:highlight w:val="none"/>
        </w:rPr>
        <w:t xml:space="preserve">29、签订合同</w:t>
      </w:r>
      <w:r/>
    </w:p>
    <w:p>
      <w:pPr>
        <w:ind w:firstLine="60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29.l中标供应商应当在中标通知书发出之日起三十日内，按照招标文件确定的事项与采购人签订政府采购合同。</w:t>
      </w:r>
      <w:r/>
    </w:p>
    <w:p>
      <w:pPr>
        <w:ind w:firstLine="60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29.2招标文件、中标供应商的投标文件及招标过程中有关澄清、承诺文件均应作为合同附件。</w:t>
      </w:r>
      <w:r/>
    </w:p>
    <w:p>
      <w:pPr>
        <w:ind w:firstLine="60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Times New Roman" w:hAnsi="Times New Roman" w:eastAsia="黑体" w:cs="黑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30"/>
          <w:highlight w:val="none"/>
        </w:rPr>
        <w:t xml:space="preserve">30、政府采购履约资金扶持政策</w:t>
      </w:r>
      <w:r/>
    </w:p>
    <w:p>
      <w:pPr>
        <w:ind w:firstLine="60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中标供应商可凭政府采购合同办理融资贷款，详情请见江苏政府采购网“政采贷”专栏。</w:t>
      </w:r>
      <w:r/>
    </w:p>
    <w:p>
      <w:pP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spacing w:before="240" w:after="240"/>
        <w:rPr>
          <w:rFonts w:ascii="Times New Roman" w:hAnsi="Times New Roman"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44"/>
          <w:highlight w:val="none"/>
        </w:rPr>
        <w:t xml:space="preserve"> </w:t>
      </w:r>
      <w:r/>
    </w:p>
    <w:p>
      <w:pPr>
        <w:spacing w:before="240" w:after="240"/>
        <w:rPr>
          <w:rFonts w:ascii="Times New Roman" w:hAnsi="Times New Roman" w:eastAsia="黑体" w:cs="黑体"/>
          <w:b/>
          <w:color w:val="000000"/>
          <w:sz w:val="44"/>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b/>
          <w:color w:val="000000"/>
          <w:sz w:val="44"/>
          <w:highlight w:val="none"/>
        </w:rPr>
        <w:t xml:space="preserve"> </w:t>
      </w:r>
      <w:r/>
    </w:p>
    <w:p>
      <w:pPr>
        <w:jc w:val="left"/>
        <w:widowControl/>
        <w:rPr>
          <w:rFonts w:ascii="Times New Roman" w:hAnsi="Times New Roman" w:eastAsia="黑体" w:cs="黑体"/>
          <w:b/>
          <w:color w:val="000000"/>
          <w:sz w:val="44"/>
          <w:highlight w:val="none"/>
        </w:rPr>
      </w:pPr>
      <w:r>
        <w:rPr>
          <w:rFonts w:ascii="Times New Roman" w:hAnsi="Times New Roman" w:eastAsia="黑体" w:cs="黑体"/>
          <w:b/>
          <w:color w:val="000000"/>
          <w:sz w:val="44"/>
          <w:highlight w:val="none"/>
        </w:rPr>
        <w:br w:type="page" w:clear="all"/>
      </w:r>
      <w:r/>
    </w:p>
    <w:p>
      <w:pPr>
        <w:spacing w:before="240" w:after="240"/>
        <w:rPr>
          <w:rFonts w:ascii="Times New Roman" w:hAnsi="Times New Roman" w:eastAsia="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highlight w:val="none"/>
        </w:rPr>
      </w:r>
      <w:r/>
    </w:p>
    <w:p>
      <w:pPr>
        <w:pStyle w:val="753"/>
        <w:spacing w:before="480" w:after="200"/>
        <w:rPr>
          <w:rFonts w:hint="eastAsia"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黑体"/>
          <w:b/>
          <w:color w:val="000000"/>
          <w:highlight w:val="none"/>
        </w:rPr>
        <w:t xml:space="preserve">第三章 合同文本</w:t>
      </w:r>
      <w:r/>
    </w:p>
    <w:p>
      <w:pPr>
        <w:jc w:val="center"/>
        <w:spacing w:before="145" w:after="14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0"/>
          <w:highlight w:val="none"/>
        </w:rPr>
        <w:t xml:space="preserve"> </w:t>
      </w:r>
      <w:r/>
    </w:p>
    <w:p>
      <w:pPr>
        <w:jc w:val="center"/>
        <w:spacing w:before="145" w:after="14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0"/>
          <w:highlight w:val="none"/>
        </w:rPr>
        <w:t xml:space="preserve">江苏省政府采购合同（服务）（合同编号）</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项目名称：*****                   </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项目编号：*****             </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采购包号：*****</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甲方：（买方/采购人）_________</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乙方：（卖方/中标供应商）_________</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rPr>
          <w:rFonts w:ascii="Times New Roman" w:hAnsi="Times New Roman" w:cs="宋体"/>
          <w:color w:val="000000"/>
          <w:sz w:val="24"/>
          <w:highlight w:val="none"/>
        </w:rPr>
        <w:t xml:space="preserve">甲、乙双方根据扬州市公共资源交易中心</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项目公开招标的结果，签署本合同。</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一、合同内容</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1.1 标的名称：</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1.2标的质量：</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1.3 标的数量（规模）：</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1.4 履行时间（期限）：</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1.5 履行地点：</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1.6 履行方式：</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二、合同金额</w:t>
      </w:r>
      <w:r/>
    </w:p>
    <w:p>
      <w:pPr>
        <w:ind w:left="410" w:hanging="41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2.1 本合同金额为（大写）：________圆（________元）人民币或其他币种。</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三、技术资料</w:t>
      </w:r>
      <w:r/>
    </w:p>
    <w:p>
      <w:pPr>
        <w:ind w:left="410" w:hanging="41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3.1乙方应按招标文件规定的时间向甲方提供服务（包含与服务相关的货物）的有关技术资料。</w:t>
      </w:r>
      <w:r/>
    </w:p>
    <w:p>
      <w:pPr>
        <w:ind w:left="410" w:hanging="41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四、知识产权</w:t>
      </w:r>
      <w:r/>
    </w:p>
    <w:p>
      <w:pPr>
        <w:ind w:left="408" w:hanging="408"/>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五、产权担保</w:t>
      </w:r>
      <w:r/>
    </w:p>
    <w:p>
      <w:pPr>
        <w:ind w:left="408" w:hanging="408"/>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5.1 乙方保证所交付的服务（包含与服务相关的货物）的所有权完全属于乙方且无任何抵押、查封等产权瑕疵。</w:t>
      </w:r>
      <w:r/>
    </w:p>
    <w:p>
      <w:pPr>
        <w:ind w:left="410" w:hanging="41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六、履约保证金</w:t>
      </w:r>
      <w:r/>
    </w:p>
    <w:p>
      <w:pPr>
        <w:ind w:left="408" w:hanging="408"/>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6.1 乙方交纳人民币___</w:t>
      </w:r>
      <w:r>
        <w:rPr>
          <w:rFonts w:ascii="Times New Roman" w:hAnsi="Times New Roman" w:cs="宋体"/>
          <w:color w:val="0000ff"/>
          <w:sz w:val="24"/>
          <w:highlight w:val="none"/>
          <w:u w:val="single"/>
        </w:rPr>
        <w:t xml:space="preserve">零</w:t>
      </w:r>
      <w:r>
        <w:rPr>
          <w:rFonts w:ascii="Times New Roman" w:hAnsi="Times New Roman" w:cs="宋体"/>
          <w:color w:val="000000"/>
          <w:sz w:val="24"/>
          <w:highlight w:val="none"/>
        </w:rPr>
        <w:t xml:space="preserve">______元作为本合同的履约保证金。（不得超过合同金额的10%）</w:t>
      </w:r>
      <w:r/>
    </w:p>
    <w:p>
      <w:pPr>
        <w:ind w:left="408" w:hanging="408"/>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6.2合同履行结束后，甲方应及时退还交纳的履约保证金。</w:t>
      </w:r>
      <w:r/>
    </w:p>
    <w:p>
      <w:pPr>
        <w:ind w:left="408" w:hanging="408"/>
        <w:spacing w:before="120" w:after="120"/>
        <w:rPr>
          <w:rFonts w:ascii="Times New Roman" w:hAnsi="Times New Roman" w:cs="宋体"/>
          <w:color w:val="0000ff"/>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6.2.1履约保证金退还方式：</w:t>
      </w:r>
      <w:r>
        <w:rPr>
          <w:rFonts w:ascii="Times New Roman" w:hAnsi="Times New Roman" w:cs="宋体"/>
          <w:color w:val="0000ff"/>
          <w:sz w:val="24"/>
          <w:highlight w:val="none"/>
        </w:rPr>
        <w:t xml:space="preserve">无</w:t>
      </w:r>
      <w:r/>
    </w:p>
    <w:p>
      <w:pPr>
        <w:ind w:left="408" w:hanging="408"/>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6.2.2履约保证金退还时间：</w:t>
      </w:r>
      <w:r>
        <w:rPr>
          <w:rFonts w:ascii="Times New Roman" w:hAnsi="Times New Roman" w:cs="宋体"/>
          <w:color w:val="0000ff"/>
          <w:sz w:val="24"/>
          <w:highlight w:val="none"/>
        </w:rPr>
        <w:t xml:space="preserve">无</w:t>
      </w:r>
      <w:r/>
    </w:p>
    <w:p>
      <w:pPr>
        <w:ind w:left="408" w:hanging="408"/>
        <w:spacing w:before="120" w:after="120"/>
        <w:rPr>
          <w:rFonts w:ascii="Times New Roman" w:hAnsi="Times New Roman" w:cs="宋体"/>
          <w:color w:val="0000ff"/>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6.2.3履约保证金退还条件：</w:t>
      </w:r>
      <w:r>
        <w:rPr>
          <w:rFonts w:ascii="Times New Roman" w:hAnsi="Times New Roman" w:cs="宋体"/>
          <w:color w:val="0000ff"/>
          <w:sz w:val="24"/>
          <w:highlight w:val="none"/>
        </w:rPr>
        <w:t xml:space="preserve">无</w:t>
      </w:r>
      <w:r/>
    </w:p>
    <w:p>
      <w:pPr>
        <w:ind w:left="408" w:hanging="408"/>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6.2.4履约保证金不予退还的情形：</w:t>
      </w:r>
      <w:r>
        <w:rPr>
          <w:rFonts w:ascii="Times New Roman" w:hAnsi="Times New Roman" w:cs="宋体"/>
          <w:color w:val="0000ff"/>
          <w:sz w:val="24"/>
          <w:highlight w:val="none"/>
        </w:rPr>
        <w:t xml:space="preserve">无</w:t>
      </w:r>
      <w:r/>
    </w:p>
    <w:p>
      <w:pPr>
        <w:ind w:left="408" w:hanging="408"/>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6.2.5履约保证金逾期退还的违约责任：</w:t>
      </w:r>
      <w:r>
        <w:rPr>
          <w:rFonts w:ascii="Times New Roman" w:hAnsi="Times New Roman" w:cs="宋体"/>
          <w:color w:val="0000ff"/>
          <w:sz w:val="24"/>
          <w:highlight w:val="none"/>
        </w:rPr>
        <w:t xml:space="preserve">无</w:t>
      </w:r>
      <w:r/>
    </w:p>
    <w:p>
      <w:pPr>
        <w:spacing w:before="145" w:after="14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七、合同转包或分包</w:t>
      </w:r>
      <w:r/>
    </w:p>
    <w:p>
      <w:pPr>
        <w:spacing w:before="145" w:after="14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7.1乙方不得将合同标的转包给他人履行。</w:t>
      </w:r>
      <w:r/>
    </w:p>
    <w:p>
      <w:pPr>
        <w:spacing w:before="145" w:after="14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7.2乙方不得将合同标的分包给他人履行。</w:t>
      </w:r>
      <w:r/>
    </w:p>
    <w:p>
      <w:pPr>
        <w:spacing w:before="145" w:after="14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7.3乙方如有转包或未经甲方同意的分包行为，甲方有权解除合同。</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八、合同款项支付</w:t>
      </w:r>
      <w:r/>
    </w:p>
    <w:p>
      <w:pPr>
        <w:spacing w:before="145" w:after="14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8.1合同款项的支付方式及进度安排</w:t>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 w:val="24"/>
          <w:szCs w:val="24"/>
          <w:highlight w:val="none"/>
        </w:rPr>
        <w:t xml:space="preserve">合同签订后，乙方向甲方开具发票，甲方自收到发票之日起 10 个工作日内，支付乙方</w:t>
      </w:r>
      <w:r>
        <w:rPr>
          <w:rFonts w:hint="eastAsia" w:ascii="宋体" w:hAnsi="宋体"/>
          <w:b/>
          <w:color w:val="auto"/>
          <w:sz w:val="24"/>
          <w:szCs w:val="24"/>
          <w:highlight w:val="none"/>
          <w:lang w:val="en-US" w:eastAsia="zh-CN"/>
        </w:rPr>
        <w:t xml:space="preserve">一年</w:t>
      </w:r>
      <w:r>
        <w:rPr>
          <w:rFonts w:hint="eastAsia" w:ascii="宋体" w:hAnsi="宋体"/>
          <w:b/>
          <w:color w:val="auto"/>
          <w:sz w:val="24"/>
          <w:szCs w:val="24"/>
          <w:highlight w:val="none"/>
        </w:rPr>
        <w:t xml:space="preserve">合同总价30%的预付款。服务开始后，甲乙双方按 3个月为一个周期结算服务费用，每周期结束后，甲乙双方按考核结果确定实际支付费用(先从预付款内抵扣)，乙方必须提供甲方的签发的结算清单及开具的正规增值税发票等材料交甲方办理付款手续，甲方收到发票之日起 10 个工作日内支付</w:t>
      </w:r>
      <w:r>
        <w:rPr>
          <w:rFonts w:hint="eastAsia" w:ascii="宋体" w:hAnsi="宋体"/>
          <w:b/>
          <w:color w:val="auto"/>
          <w:sz w:val="24"/>
          <w:szCs w:val="24"/>
          <w:highlight w:val="none"/>
          <w:lang w:val="en-US" w:eastAsia="zh-CN"/>
        </w:rPr>
        <w:t xml:space="preserve">上一个周期</w:t>
      </w:r>
      <w:r>
        <w:rPr>
          <w:rFonts w:hint="eastAsia" w:ascii="宋体" w:hAnsi="宋体"/>
          <w:b/>
          <w:color w:val="auto"/>
          <w:sz w:val="24"/>
          <w:szCs w:val="24"/>
          <w:highlight w:val="none"/>
        </w:rPr>
        <w:t xml:space="preserve">运维服务费用。</w:t>
      </w:r>
      <w:r>
        <w:rPr>
          <w:rFonts w:hint="eastAsia" w:ascii="宋体" w:hAnsi="宋体"/>
          <w:b/>
          <w:color w:val="auto"/>
          <w:sz w:val="24"/>
          <w:szCs w:val="24"/>
          <w:highlight w:val="none"/>
          <w:lang w:val="en-US" w:eastAsia="zh-CN"/>
        </w:rPr>
        <w:t xml:space="preserve">由于预付款超出第一个考核周期支付费用，</w:t>
      </w:r>
      <w:r>
        <w:rPr>
          <w:rFonts w:hint="eastAsia" w:ascii="宋体" w:hAnsi="宋体"/>
          <w:b/>
          <w:color w:val="auto"/>
          <w:sz w:val="24"/>
          <w:szCs w:val="24"/>
          <w:highlight w:val="none"/>
        </w:rPr>
        <w:t xml:space="preserve">第一</w:t>
      </w:r>
      <w:r>
        <w:rPr>
          <w:rFonts w:hint="eastAsia" w:ascii="宋体" w:hAnsi="宋体"/>
          <w:b/>
          <w:color w:val="auto"/>
          <w:sz w:val="24"/>
          <w:szCs w:val="24"/>
          <w:highlight w:val="none"/>
          <w:lang w:val="en-US" w:eastAsia="zh-CN"/>
        </w:rPr>
        <w:t xml:space="preserve">个</w:t>
      </w:r>
      <w:r>
        <w:rPr>
          <w:rFonts w:hint="eastAsia" w:ascii="宋体" w:hAnsi="宋体"/>
          <w:b/>
          <w:color w:val="auto"/>
          <w:sz w:val="24"/>
          <w:szCs w:val="24"/>
          <w:highlight w:val="none"/>
        </w:rPr>
        <w:t xml:space="preserve">考核周期的考核结果纳入至第二</w:t>
      </w:r>
      <w:r>
        <w:rPr>
          <w:rFonts w:hint="eastAsia" w:ascii="宋体" w:hAnsi="宋体"/>
          <w:b/>
          <w:color w:val="auto"/>
          <w:sz w:val="24"/>
          <w:szCs w:val="24"/>
          <w:highlight w:val="none"/>
          <w:lang w:val="en-US" w:eastAsia="zh-CN"/>
        </w:rPr>
        <w:t xml:space="preserve">个</w:t>
      </w:r>
      <w:r>
        <w:rPr>
          <w:rFonts w:hint="eastAsia" w:ascii="宋体" w:hAnsi="宋体"/>
          <w:b/>
          <w:color w:val="auto"/>
          <w:sz w:val="24"/>
          <w:szCs w:val="24"/>
          <w:highlight w:val="none"/>
        </w:rPr>
        <w:t xml:space="preserve">考核周期统一</w:t>
      </w:r>
      <w:r>
        <w:rPr>
          <w:rFonts w:hint="eastAsia" w:ascii="宋体" w:hAnsi="宋体"/>
          <w:b/>
          <w:color w:val="auto"/>
          <w:sz w:val="24"/>
          <w:szCs w:val="24"/>
          <w:highlight w:val="none"/>
          <w:lang w:val="en-US" w:eastAsia="zh-CN"/>
        </w:rPr>
        <w:t xml:space="preserve">结算。</w:t>
      </w:r>
      <w:r/>
    </w:p>
    <w:p>
      <w:pPr>
        <w:spacing w:before="120" w:after="120"/>
        <w:rPr>
          <w:rFonts w:hint="eastAsia" w:ascii="Times New Roman" w:hAnsi="Times New Roman"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 w:val="24"/>
          <w:highlight w:val="none"/>
          <w:u w:val="single"/>
        </w:rPr>
      </w:r>
      <w:r/>
    </w:p>
    <w:p>
      <w:pPr>
        <w:spacing w:before="145" w:after="14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九、税费</w:t>
      </w:r>
      <w:r/>
    </w:p>
    <w:p>
      <w:pPr>
        <w:spacing w:before="145" w:after="14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9.1本合同执行中相关的一切税费均由乙方负担。</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十、项目验收</w:t>
      </w:r>
      <w:r/>
    </w:p>
    <w:p>
      <w:pPr>
        <w:ind w:left="480" w:hanging="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10.1甲方依法组织履约验收工作。</w:t>
      </w:r>
      <w:r/>
    </w:p>
    <w:p>
      <w:pPr>
        <w:ind w:left="480" w:hanging="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10.3对于实际使用人和甲方分离的项目，甲方邀请实际使用人参与验收。</w:t>
      </w:r>
      <w:r/>
    </w:p>
    <w:p>
      <w:pPr>
        <w:ind w:left="480" w:hanging="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10.4如有必要，甲方邀请参加本项目的其他供应商或第三方专业机构及专家参与验收，相关意见将作为验收书的参考资料。</w:t>
      </w:r>
      <w:r/>
    </w:p>
    <w:p>
      <w:pPr>
        <w:ind w:left="480" w:hanging="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十一、违约责任</w:t>
      </w:r>
      <w:r/>
    </w:p>
    <w:p>
      <w:pPr>
        <w:ind w:left="410" w:hanging="41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11.1甲方无正当理由拒绝接受乙方提供服务的，甲方向乙方偿付拒绝接受服务合同价款总值</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的违约金。</w:t>
      </w:r>
      <w:r/>
    </w:p>
    <w:p>
      <w:pPr>
        <w:ind w:left="410" w:hanging="41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11.2甲方无故逾期验收和办理合同款项支付手续的,甲方应按逾期付款总额</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每日向乙方支付违约金。</w:t>
      </w:r>
      <w:r/>
    </w:p>
    <w:p>
      <w:pPr>
        <w:ind w:left="410" w:hanging="41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的违约金，如造成甲方损失超过违约金的，超出部分由乙方继续承担赔偿责任。 </w:t>
      </w:r>
      <w:r/>
    </w:p>
    <w:p>
      <w:pPr>
        <w:ind w:left="410" w:hanging="41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11.4 乙方所提供服务的标准不符合合同规定及招标文件规定标准的，甲方有权拒绝接受服务，并可单方面解除合同。</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十二、不可抗力事件处理</w:t>
      </w:r>
      <w:r/>
    </w:p>
    <w:p>
      <w:pPr>
        <w:ind w:left="480" w:hanging="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12.1在合同有效期内，任何一方因不可抗力事件导致不能履行合同，则合同履行期可延长，其延长期与不可抗力影响期相同。</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12.2不可抗力事件发生后，应立即通知对方，并寄送有关权威机构出具的证明。</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12.3不可抗力事件延续120天以上，双方应通过友好协商，确定是否继续履行合同。</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十三、解决争议的方法</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13.1双方在签订、履行合同中所发生的一切争议，应通过友好协商解决。如协商不成，由甲方住所地人民法院管辖。</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十四、合同生效及其它</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14.1合同经双方法定代表人或授权委托代表人签字并加盖单位公章后生效。</w:t>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14.2本合同未尽事宜，遵照中华人民共和国现行法律法规有关条文执行。</w:t>
      </w:r>
      <w:r/>
    </w:p>
    <w:p>
      <w:pPr>
        <w:ind w:left="480" w:hanging="480"/>
        <w:spacing w:before="120" w:after="120"/>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14.3本合同正本一式两份，具有同等法律效力，甲方、乙方各执一份。</w:t>
      </w:r>
      <w:r/>
    </w:p>
    <w:p>
      <w:pPr>
        <w:spacing w:before="120" w:after="120"/>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r>
      <w:r/>
    </w:p>
    <w:p>
      <w:pP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r>
      <w:r/>
    </w:p>
    <w:tbl>
      <w:tblPr>
        <w:tblStyle w:val="80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Times New Roman" w:hAnsi="Times New Roman" w:cs="宋体"/>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Times New Roman" w:hAnsi="Times New Roman" w:cs="宋体"/>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Times New Roman" w:hAnsi="Times New Roman" w:cs="宋体"/>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Times New Roman" w:hAnsi="Times New Roman" w:cs="宋体"/>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Times New Roman" w:hAnsi="Times New Roman" w:cs="宋体"/>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Times New Roman" w:hAnsi="Times New Roman" w:cs="宋体"/>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Times New Roman" w:hAnsi="Times New Roman" w:cs="宋体"/>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Times New Roman" w:hAnsi="Times New Roman" w:cs="宋体"/>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联系电话：</w:t>
            </w:r>
            <w:r/>
          </w:p>
        </w:tc>
      </w:tr>
    </w:tbl>
    <w:p>
      <w:pPr>
        <w:jc w:val="cente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jc w:val="right"/>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jc w:val="center"/>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签订日期：年  月 日</w:t>
      </w:r>
      <w:r>
        <w:rPr>
          <w:rFonts w:ascii="Times New Roman" w:hAnsi="Times New Roman" w:cs="宋体"/>
          <w:color w:val="000000"/>
          <w:sz w:val="24"/>
          <w:highlight w:val="none"/>
        </w:rPr>
        <w:br w:type="page" w:clear="all"/>
      </w:r>
      <w:r/>
    </w:p>
    <w:p>
      <w:pPr>
        <w:pStyle w:val="753"/>
        <w:spacing w:before="480" w:after="200"/>
        <w:rPr>
          <w:rFonts w:hint="eastAsia"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黑体"/>
          <w:b/>
          <w:color w:val="000000"/>
          <w:highlight w:val="none"/>
        </w:rPr>
        <w:t xml:space="preserve">第四章 采购需求</w:t>
      </w:r>
      <w:r/>
    </w:p>
    <w:p>
      <w:pPr>
        <w:ind w:left="495" w:hanging="49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项目属性:服务类项目</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rPr>
          <w:rFonts w:ascii="Times New Roman" w:hAnsi="Times New Roman" w:eastAsia="Times New Roman"/>
          <w:color w:val="000000"/>
          <w:sz w:val="24"/>
          <w:highlight w:val="none"/>
        </w:rPr>
        <w:t xml:space="preserve">.</w:t>
      </w:r>
      <w:r>
        <w:rPr>
          <w:rFonts w:ascii="Times New Roman" w:hAnsi="Times New Roman" w:cs="宋体"/>
          <w:color w:val="000000"/>
          <w:sz w:val="24"/>
          <w:highlight w:val="none"/>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ascii="Times New Roman" w:hAnsi="Times New Roman" w:cs="宋体"/>
          <w:color w:val="000000"/>
          <w:sz w:val="24"/>
          <w:highlight w:val="none"/>
          <w:u w:val="single"/>
        </w:rPr>
        <w:t xml:space="preserve"> 无</w:t>
      </w:r>
      <w:r>
        <w:rPr>
          <w:rFonts w:ascii="Times New Roman" w:hAnsi="Times New Roman" w:eastAsia="Times New Roman"/>
          <w:color w:val="000000"/>
          <w:sz w:val="24"/>
          <w:highlight w:val="none"/>
          <w:u w:val="single"/>
        </w:rPr>
        <w:t xml:space="preserve">    </w:t>
      </w:r>
      <w:r>
        <w:rPr>
          <w:rFonts w:ascii="Times New Roman" w:hAnsi="Times New Roman" w:cs="宋体"/>
          <w:color w:val="000000"/>
          <w:sz w:val="24"/>
          <w:highlight w:val="none"/>
        </w:rPr>
        <w:t xml:space="preserve">。</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2.</w:t>
      </w:r>
      <w:r>
        <w:rPr>
          <w:rFonts w:ascii="Times New Roman" w:hAnsi="Times New Roman" w:cs="宋体"/>
          <w:color w:val="000000"/>
          <w:sz w:val="24"/>
          <w:highlight w:val="none"/>
        </w:rPr>
        <w:t xml:space="preserve">供应商对于投标产品的包装应按照“财办库〔</w:t>
      </w:r>
      <w:r>
        <w:rPr>
          <w:rFonts w:ascii="Times New Roman" w:hAnsi="Times New Roman" w:eastAsia="Times New Roman"/>
          <w:color w:val="000000"/>
          <w:sz w:val="24"/>
          <w:highlight w:val="none"/>
        </w:rPr>
        <w:t xml:space="preserve">2020</w:t>
      </w:r>
      <w:r>
        <w:rPr>
          <w:rFonts w:ascii="Times New Roman" w:hAnsi="Times New Roman" w:cs="宋体"/>
          <w:color w:val="000000"/>
          <w:sz w:val="24"/>
          <w:highlight w:val="none"/>
        </w:rPr>
        <w:t xml:space="preserve">〕</w:t>
      </w:r>
      <w:r>
        <w:rPr>
          <w:rFonts w:ascii="Times New Roman" w:hAnsi="Times New Roman" w:eastAsia="Times New Roman"/>
          <w:color w:val="000000"/>
          <w:sz w:val="24"/>
          <w:highlight w:val="none"/>
        </w:rPr>
        <w:t xml:space="preserve">123</w:t>
      </w:r>
      <w:r>
        <w:rPr>
          <w:rFonts w:ascii="Times New Roman" w:hAnsi="Times New Roman" w:cs="宋体"/>
          <w:color w:val="000000"/>
          <w:sz w:val="24"/>
          <w:highlight w:val="none"/>
        </w:rPr>
        <w:t xml:space="preserve">号《关于印发《商品包装政府采购需求标准（试行）》、《快递包装政府采购需求标准（试行）》的通知》”执行。</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3.采购标的清单</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4034"/>
        <w:gridCol w:w="36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6"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rPr>
                <w:rFonts w:ascii="Times New Roman" w:hAnsi="Times New Roman" w:cs="Segoe UI"/>
                <w:highlight w:val="none"/>
                <w:shd w:val="clear" w:color="auto" w:fill="fafafa"/>
              </w:rPr>
              <w:t xml:space="preserve">扬州市市政设施管理中心城市隧道综合监控系统运维服务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6"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 w:val="24"/>
                <w:highlight w:val="none"/>
                <w:lang w:val="en-US" w:eastAsia="zh-CN"/>
              </w:rPr>
              <w:t xml:space="preserve">软件和信息技术服务业</w:t>
            </w:r>
            <w:r>
              <w:rPr>
                <w:rFonts w:ascii="Times New Roman" w:hAnsi="Times New Roman" w:cs="宋体"/>
                <w:color w:val="000000"/>
                <w:sz w:val="24"/>
                <w:highlight w:val="none"/>
              </w:rPr>
              <w:t xml:space="preserve"> </w:t>
            </w:r>
            <w:r/>
          </w:p>
        </w:tc>
      </w:tr>
    </w:tbl>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4.</w:t>
      </w:r>
      <w:r>
        <w:rPr>
          <w:rFonts w:hint="eastAsia" w:ascii="Times New Roman" w:hAnsi="Times New Roman" w:cs="宋体"/>
          <w:b/>
          <w:i/>
          <w:color w:val="ff0000"/>
          <w:sz w:val="24"/>
          <w:highlight w:val="none"/>
          <w:u w:val="single"/>
        </w:rPr>
        <w:t xml:space="preserve"> 斜体且有下划线部分</w:t>
      </w:r>
      <w:r>
        <w:rPr>
          <w:rFonts w:hint="eastAsia" w:ascii="Times New Roman" w:hAnsi="Times New Roman" w:cs="宋体"/>
          <w:b/>
          <w:color w:val="ff0000"/>
          <w:sz w:val="24"/>
          <w:highlight w:val="none"/>
        </w:rPr>
        <w:t xml:space="preserve">为实质性要求</w:t>
      </w:r>
      <w:r/>
    </w:p>
    <w:p>
      <w:pPr>
        <w:pStyle w:val="753"/>
        <w:jc w:val="both"/>
        <w:rPr>
          <w:rFonts w:ascii="Times New Roman" w:hAnsi="Times New Roman" w:eastAsiaTheme="minorEastAsia"/>
          <w:b/>
          <w:sz w:val="24"/>
          <w:szCs w:val="24"/>
          <w:highlight w:val="none"/>
        </w:rPr>
      </w:pPr>
      <w:r>
        <w:rPr>
          <w:rFonts w:ascii="Times New Roman" w:hAnsi="Times New Roman" w:eastAsiaTheme="minorEastAsia"/>
          <w:b/>
          <w:sz w:val="24"/>
          <w:szCs w:val="24"/>
          <w:highlight w:val="none"/>
        </w:rPr>
        <w:t xml:space="preserve">一、</w:t>
      </w:r>
      <w:r>
        <w:rPr>
          <w:rFonts w:hint="eastAsia" w:ascii="Times New Roman" w:hAnsi="Times New Roman" w:eastAsiaTheme="minorEastAsia"/>
          <w:b/>
          <w:sz w:val="24"/>
          <w:szCs w:val="24"/>
          <w:highlight w:val="none"/>
        </w:rPr>
        <w:t xml:space="preserve">项目概况</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本次隧道</w:t>
      </w:r>
      <w:r>
        <w:rPr>
          <w:rFonts w:hint="eastAsia" w:ascii="Times New Roman" w:hAnsi="Times New Roman" w:eastAsiaTheme="minorEastAsia"/>
          <w:sz w:val="24"/>
          <w:szCs w:val="24"/>
          <w:highlight w:val="none"/>
        </w:rPr>
        <w:t xml:space="preserve">综合监控系统</w:t>
      </w:r>
      <w:r>
        <w:rPr>
          <w:rFonts w:ascii="Times New Roman" w:hAnsi="Times New Roman" w:eastAsiaTheme="minorEastAsia"/>
          <w:sz w:val="24"/>
          <w:szCs w:val="24"/>
          <w:highlight w:val="none"/>
        </w:rPr>
        <w:t xml:space="preserve">运维服务覆盖扬州市19条隧道，同时包含隧道信息化系统及配套基础设施的全面运维，总运维里程约36公里。具体服务内容划分为软件和硬</w:t>
      </w:r>
      <w:r>
        <w:rPr>
          <w:rFonts w:hint="eastAsia" w:ascii="Times New Roman" w:hAnsi="Times New Roman" w:eastAsiaTheme="minorEastAsia"/>
          <w:sz w:val="24"/>
          <w:szCs w:val="24"/>
          <w:highlight w:val="none"/>
        </w:rPr>
        <w:t xml:space="preserve">件两大部分系统</w:t>
      </w:r>
      <w:r>
        <w:rPr>
          <w:rFonts w:ascii="Times New Roman" w:hAnsi="Times New Roman" w:eastAsiaTheme="minorEastAsia"/>
          <w:sz w:val="24"/>
          <w:szCs w:val="24"/>
          <w:highlight w:val="none"/>
        </w:rPr>
        <w:t xml:space="preserve">：</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软件</w:t>
      </w:r>
      <w:r>
        <w:rPr>
          <w:rFonts w:hint="eastAsia" w:ascii="Times New Roman" w:hAnsi="Times New Roman" w:eastAsiaTheme="minorEastAsia"/>
          <w:sz w:val="24"/>
          <w:szCs w:val="24"/>
          <w:highlight w:val="none"/>
        </w:rPr>
        <w:t xml:space="preserve">系统</w:t>
      </w:r>
      <w:r>
        <w:rPr>
          <w:rFonts w:ascii="Times New Roman" w:hAnsi="Times New Roman" w:eastAsiaTheme="minorEastAsia"/>
          <w:sz w:val="24"/>
          <w:szCs w:val="24"/>
          <w:highlight w:val="none"/>
        </w:rPr>
        <w:t xml:space="preserve">：涵盖全方位可视系统、安全监测系统、设备集控系统、应急处置系统、养护管理系统、公共服务系统、数字孪生系统及全息监测系统</w:t>
      </w:r>
      <w:r>
        <w:rPr>
          <w:rFonts w:hint="eastAsia" w:ascii="Times New Roman" w:hAnsi="Times New Roman" w:eastAsiaTheme="minorEastAsia"/>
          <w:sz w:val="24"/>
          <w:szCs w:val="24"/>
          <w:highlight w:val="none"/>
        </w:rPr>
        <w:t xml:space="preserve">的例行检查、接口测试、故障诊断、分析和处理等内容。</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硬件</w:t>
      </w:r>
      <w:r>
        <w:rPr>
          <w:rFonts w:hint="eastAsia" w:ascii="Times New Roman" w:hAnsi="Times New Roman" w:eastAsiaTheme="minorEastAsia"/>
          <w:sz w:val="24"/>
          <w:szCs w:val="24"/>
          <w:highlight w:val="none"/>
        </w:rPr>
        <w:t xml:space="preserve">系统</w:t>
      </w:r>
      <w:r>
        <w:rPr>
          <w:rFonts w:ascii="Times New Roman" w:hAnsi="Times New Roman" w:eastAsiaTheme="minorEastAsia"/>
          <w:sz w:val="24"/>
          <w:szCs w:val="24"/>
          <w:highlight w:val="none"/>
        </w:rPr>
        <w:t xml:space="preserve">：包括监控系统、交通诱导系统、数据中心机房及指挥中心相关设施</w:t>
      </w:r>
      <w:r>
        <w:rPr>
          <w:rFonts w:hint="eastAsia" w:ascii="Times New Roman" w:hAnsi="Times New Roman" w:eastAsiaTheme="minorEastAsia"/>
          <w:sz w:val="24"/>
          <w:szCs w:val="24"/>
          <w:highlight w:val="none"/>
        </w:rPr>
        <w:t xml:space="preserve">的日常巡视、清洁维护、机电检修与评定、专项工程等内容。</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本次隧道运维服务通过构建软硬一体的全周期运维体系，致力于保障</w:t>
      </w:r>
      <w:r>
        <w:rPr>
          <w:rFonts w:hint="eastAsia" w:ascii="Times New Roman" w:hAnsi="Times New Roman" w:eastAsiaTheme="minorEastAsia"/>
          <w:sz w:val="24"/>
          <w:szCs w:val="24"/>
          <w:highlight w:val="none"/>
        </w:rPr>
        <w:t xml:space="preserve">扬州市城市</w:t>
      </w:r>
      <w:r>
        <w:rPr>
          <w:rFonts w:ascii="Times New Roman" w:hAnsi="Times New Roman" w:eastAsiaTheme="minorEastAsia"/>
          <w:sz w:val="24"/>
          <w:szCs w:val="24"/>
          <w:highlight w:val="none"/>
        </w:rPr>
        <w:t xml:space="preserve">隧道的安全稳定运行，持续提升运营效率与管理智能化水平。</w:t>
      </w:r>
      <w:r/>
    </w:p>
    <w:p>
      <w:pPr>
        <w:pStyle w:val="753"/>
        <w:jc w:val="both"/>
        <w:rPr>
          <w:rFonts w:ascii="Times New Roman" w:hAnsi="Times New Roman" w:eastAsiaTheme="minorEastAsia"/>
          <w:b/>
          <w:sz w:val="24"/>
          <w:szCs w:val="24"/>
          <w:highlight w:val="none"/>
        </w:rPr>
      </w:pPr>
      <w:r>
        <w:rPr>
          <w:rFonts w:ascii="Times New Roman" w:hAnsi="Times New Roman" w:eastAsiaTheme="minorEastAsia"/>
          <w:b/>
          <w:sz w:val="24"/>
          <w:szCs w:val="24"/>
          <w:highlight w:val="none"/>
        </w:rPr>
        <w:t xml:space="preserve">二、项目运维清单</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3"/>
        <w:gridCol w:w="3985"/>
        <w:gridCol w:w="3965"/>
      </w:tblGrid>
      <w:tr>
        <w:trPr>
          <w:trHeight w:val="382"/>
        </w:trPr>
        <w:tc>
          <w:tcPr>
            <w:tcMar>
              <w:left w:w="15" w:type="dxa"/>
              <w:top w:w="15" w:type="dxa"/>
              <w:right w:w="15" w:type="dxa"/>
              <w:bottom w:w="15" w:type="dxa"/>
            </w:tcMar>
            <w:tcW w:w="575" w:type="pct"/>
            <w:vAlign w:val="center"/>
            <w:textDirection w:val="lrTb"/>
            <w:noWrap w:val="false"/>
          </w:tcPr>
          <w:p>
            <w:pPr>
              <w:ind w:right="-113" w:firstLine="210"/>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序号</w:t>
            </w:r>
            <w:r/>
          </w:p>
        </w:tc>
        <w:tc>
          <w:tcPr>
            <w:tcMar>
              <w:left w:w="15" w:type="dxa"/>
              <w:top w:w="15" w:type="dxa"/>
              <w:right w:w="15" w:type="dxa"/>
              <w:bottom w:w="15" w:type="dxa"/>
            </w:tcMar>
            <w:tcW w:w="2218"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项目</w:t>
            </w:r>
            <w:r/>
          </w:p>
        </w:tc>
        <w:tc>
          <w:tcPr>
            <w:tcMar>
              <w:left w:w="15" w:type="dxa"/>
              <w:top w:w="15" w:type="dxa"/>
              <w:right w:w="15" w:type="dxa"/>
              <w:bottom w:w="15" w:type="dxa"/>
            </w:tcMar>
            <w:tcW w:w="2207"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备注</w:t>
            </w:r>
            <w:r/>
          </w:p>
        </w:tc>
      </w:tr>
      <w:tr>
        <w:trPr>
          <w:trHeight w:val="385"/>
        </w:trPr>
        <w:tc>
          <w:tcPr>
            <w:tcMar>
              <w:left w:w="15" w:type="dxa"/>
              <w:top w:w="15" w:type="dxa"/>
              <w:right w:w="15" w:type="dxa"/>
              <w:bottom w:w="15" w:type="dxa"/>
            </w:tcMar>
            <w:tcW w:w="575" w:type="pct"/>
            <w:vAlign w:val="center"/>
            <w:textDirection w:val="lrTb"/>
            <w:noWrap w:val="false"/>
          </w:tcPr>
          <w:p>
            <w:pPr>
              <w:ind w:left="8" w:right="-113" w:firstLine="420"/>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1</w:t>
            </w:r>
            <w:r/>
          </w:p>
        </w:tc>
        <w:tc>
          <w:tcPr>
            <w:tcMar>
              <w:left w:w="15" w:type="dxa"/>
              <w:top w:w="15" w:type="dxa"/>
              <w:right w:w="15" w:type="dxa"/>
              <w:bottom w:w="15" w:type="dxa"/>
            </w:tcMar>
            <w:tcW w:w="2218"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运维人员费用</w:t>
            </w:r>
            <w:r/>
          </w:p>
        </w:tc>
        <w:tc>
          <w:tcPr>
            <w:tcMar>
              <w:left w:w="15" w:type="dxa"/>
              <w:top w:w="15" w:type="dxa"/>
              <w:right w:w="15" w:type="dxa"/>
              <w:bottom w:w="15" w:type="dxa"/>
            </w:tcMar>
            <w:tcW w:w="2207"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eastAsiaTheme="minorEastAsia"/>
                <w:sz w:val="24"/>
                <w:szCs w:val="24"/>
                <w:highlight w:val="none"/>
              </w:rPr>
            </w:r>
            <w:r/>
          </w:p>
        </w:tc>
      </w:tr>
      <w:tr>
        <w:trPr>
          <w:trHeight w:val="371"/>
        </w:trPr>
        <w:tc>
          <w:tcPr>
            <w:tcMar>
              <w:left w:w="15" w:type="dxa"/>
              <w:top w:w="15" w:type="dxa"/>
              <w:right w:w="15" w:type="dxa"/>
              <w:bottom w:w="15" w:type="dxa"/>
            </w:tcMar>
            <w:tcW w:w="575" w:type="pct"/>
            <w:vAlign w:val="center"/>
            <w:textDirection w:val="lrTb"/>
            <w:noWrap w:val="false"/>
          </w:tcPr>
          <w:p>
            <w:pPr>
              <w:ind w:left="8" w:right="-113" w:firstLine="420"/>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2</w:t>
            </w:r>
            <w:r/>
          </w:p>
        </w:tc>
        <w:tc>
          <w:tcPr>
            <w:tcMar>
              <w:left w:w="15" w:type="dxa"/>
              <w:top w:w="15" w:type="dxa"/>
              <w:right w:w="15" w:type="dxa"/>
              <w:bottom w:w="15" w:type="dxa"/>
            </w:tcMar>
            <w:tcW w:w="2218"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运维备品备件费用</w:t>
            </w:r>
            <w:r/>
          </w:p>
        </w:tc>
        <w:tc>
          <w:tcPr>
            <w:tcMar>
              <w:left w:w="15" w:type="dxa"/>
              <w:top w:w="15" w:type="dxa"/>
              <w:right w:w="15" w:type="dxa"/>
              <w:bottom w:w="15" w:type="dxa"/>
            </w:tcMar>
            <w:tcW w:w="2207"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eastAsiaTheme="minorEastAsia"/>
                <w:sz w:val="24"/>
                <w:szCs w:val="24"/>
                <w:highlight w:val="none"/>
              </w:rPr>
            </w:r>
            <w:r/>
          </w:p>
        </w:tc>
      </w:tr>
      <w:tr>
        <w:trPr>
          <w:trHeight w:val="335"/>
        </w:trPr>
        <w:tc>
          <w:tcPr>
            <w:tcMar>
              <w:left w:w="15" w:type="dxa"/>
              <w:top w:w="15" w:type="dxa"/>
              <w:right w:w="15" w:type="dxa"/>
              <w:bottom w:w="15" w:type="dxa"/>
            </w:tcMar>
            <w:tcW w:w="575" w:type="pct"/>
            <w:vAlign w:val="center"/>
            <w:textDirection w:val="lrTb"/>
            <w:noWrap w:val="false"/>
          </w:tcPr>
          <w:p>
            <w:pPr>
              <w:ind w:left="8" w:right="-113" w:firstLine="420"/>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3</w:t>
            </w:r>
            <w:r/>
          </w:p>
        </w:tc>
        <w:tc>
          <w:tcPr>
            <w:tcMar>
              <w:left w:w="15" w:type="dxa"/>
              <w:top w:w="15" w:type="dxa"/>
              <w:right w:w="15" w:type="dxa"/>
              <w:bottom w:w="15" w:type="dxa"/>
            </w:tcMar>
            <w:tcW w:w="2218"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运维仪器仪表费用</w:t>
            </w:r>
            <w:r/>
          </w:p>
        </w:tc>
        <w:tc>
          <w:tcPr>
            <w:tcMar>
              <w:left w:w="15" w:type="dxa"/>
              <w:top w:w="15" w:type="dxa"/>
              <w:right w:w="15" w:type="dxa"/>
              <w:bottom w:w="15" w:type="dxa"/>
            </w:tcMar>
            <w:tcW w:w="2207"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eastAsiaTheme="minorEastAsia"/>
                <w:sz w:val="24"/>
                <w:szCs w:val="24"/>
                <w:highlight w:val="none"/>
              </w:rPr>
            </w:r>
            <w:r/>
          </w:p>
        </w:tc>
      </w:tr>
      <w:tr>
        <w:trPr>
          <w:trHeight w:val="390"/>
        </w:trPr>
        <w:tc>
          <w:tcPr>
            <w:tcMar>
              <w:left w:w="15" w:type="dxa"/>
              <w:top w:w="15" w:type="dxa"/>
              <w:right w:w="15" w:type="dxa"/>
              <w:bottom w:w="15" w:type="dxa"/>
            </w:tcMar>
            <w:tcW w:w="575" w:type="pct"/>
            <w:vAlign w:val="center"/>
            <w:textDirection w:val="lrTb"/>
            <w:noWrap w:val="false"/>
          </w:tcPr>
          <w:p>
            <w:pPr>
              <w:ind w:left="8" w:right="-113" w:firstLine="420"/>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4</w:t>
            </w:r>
            <w:r/>
          </w:p>
        </w:tc>
        <w:tc>
          <w:tcPr>
            <w:tcMar>
              <w:left w:w="15" w:type="dxa"/>
              <w:top w:w="15" w:type="dxa"/>
              <w:right w:w="15" w:type="dxa"/>
              <w:bottom w:w="15" w:type="dxa"/>
            </w:tcMar>
            <w:tcW w:w="2218"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运维车辆费用</w:t>
            </w:r>
            <w:r/>
          </w:p>
        </w:tc>
        <w:tc>
          <w:tcPr>
            <w:tcMar>
              <w:left w:w="15" w:type="dxa"/>
              <w:top w:w="15" w:type="dxa"/>
              <w:right w:w="15" w:type="dxa"/>
              <w:bottom w:w="15" w:type="dxa"/>
            </w:tcMar>
            <w:tcW w:w="2207"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eastAsiaTheme="minorEastAsia"/>
                <w:sz w:val="24"/>
                <w:szCs w:val="24"/>
                <w:highlight w:val="none"/>
              </w:rPr>
            </w:r>
            <w:r/>
          </w:p>
        </w:tc>
      </w:tr>
      <w:tr>
        <w:trPr>
          <w:trHeight w:val="390"/>
        </w:trPr>
        <w:tc>
          <w:tcPr>
            <w:tcMar>
              <w:left w:w="15" w:type="dxa"/>
              <w:top w:w="15" w:type="dxa"/>
              <w:right w:w="15" w:type="dxa"/>
              <w:bottom w:w="15" w:type="dxa"/>
            </w:tcMar>
            <w:tcW w:w="575" w:type="pct"/>
            <w:vAlign w:val="center"/>
            <w:textDirection w:val="lrTb"/>
            <w:noWrap w:val="false"/>
          </w:tcPr>
          <w:p>
            <w:pPr>
              <w:ind w:left="8" w:right="-113" w:firstLine="420"/>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5</w:t>
            </w:r>
            <w:r/>
          </w:p>
        </w:tc>
        <w:tc>
          <w:tcPr>
            <w:tcMar>
              <w:left w:w="15" w:type="dxa"/>
              <w:top w:w="15" w:type="dxa"/>
              <w:right w:w="15" w:type="dxa"/>
              <w:bottom w:w="15" w:type="dxa"/>
            </w:tcMar>
            <w:tcW w:w="2218"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eastAsiaTheme="minorEastAsia"/>
                <w:sz w:val="24"/>
                <w:szCs w:val="24"/>
                <w:highlight w:val="none"/>
              </w:rPr>
              <w:t xml:space="preserve">运维</w:t>
            </w:r>
            <w:r>
              <w:rPr>
                <w:rFonts w:hint="eastAsia" w:ascii="Times New Roman" w:hAnsi="Times New Roman" w:eastAsiaTheme="minorEastAsia"/>
                <w:sz w:val="24"/>
                <w:szCs w:val="24"/>
                <w:highlight w:val="none"/>
              </w:rPr>
              <w:t xml:space="preserve">安全防护措施</w:t>
            </w:r>
            <w:r>
              <w:rPr>
                <w:rFonts w:ascii="Times New Roman" w:hAnsi="Times New Roman" w:cs="宋体" w:eastAsiaTheme="minorEastAsia"/>
                <w:sz w:val="24"/>
                <w:szCs w:val="24"/>
                <w:highlight w:val="none"/>
              </w:rPr>
              <w:t xml:space="preserve">费用</w:t>
            </w:r>
            <w:r/>
          </w:p>
        </w:tc>
        <w:tc>
          <w:tcPr>
            <w:tcMar>
              <w:left w:w="15" w:type="dxa"/>
              <w:top w:w="15" w:type="dxa"/>
              <w:right w:w="15" w:type="dxa"/>
              <w:bottom w:w="15" w:type="dxa"/>
            </w:tcMar>
            <w:tcW w:w="2207" w:type="pct"/>
            <w:vAlign w:val="center"/>
            <w:textDirection w:val="lrTb"/>
            <w:noWrap w:val="false"/>
          </w:tcPr>
          <w:p>
            <w:pPr>
              <w:ind w:left="8" w:right="-113" w:firstLine="420"/>
              <w:jc w:val="center"/>
              <w:spacing w:line="85" w:lineRule="atLeast"/>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eastAsiaTheme="minorEastAsia"/>
                <w:sz w:val="24"/>
                <w:szCs w:val="24"/>
                <w:highlight w:val="none"/>
              </w:rPr>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2.1</w:t>
      </w:r>
      <w:r>
        <w:rPr>
          <w:rFonts w:hint="eastAsia" w:ascii="Times New Roman" w:hAnsi="Times New Roman" w:eastAsiaTheme="minorEastAsia"/>
          <w:sz w:val="24"/>
          <w:szCs w:val="24"/>
          <w:highlight w:val="none"/>
        </w:rPr>
        <w:t xml:space="preserve">运维人员清单</w:t>
      </w:r>
      <w:r/>
    </w:p>
    <w:tbl>
      <w:tblPr>
        <w:tblStyle w:val="76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75"/>
        <w:gridCol w:w="1879"/>
        <w:gridCol w:w="800"/>
        <w:gridCol w:w="767"/>
        <w:gridCol w:w="4948"/>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人员类别</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备注</w:t>
            </w:r>
            <w:r/>
          </w:p>
        </w:tc>
      </w:tr>
      <w:tr>
        <w:trPr>
          <w:trHeight w:val="2024"/>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widowControl/>
              <w:rPr>
                <w:rFonts w:hint="eastAsia" w:ascii="Times New Roman" w:hAnsi="Times New Roman" w:cs="宋体" w:eastAsiaTheme="minorEastAsia"/>
                <w:color w:val="000000"/>
                <w:sz w:val="24"/>
                <w:szCs w:val="24"/>
                <w:highlight w:val="none"/>
                <w:lang w:eastAsia="zh-CN"/>
              </w:rPr>
            </w:pPr>
            <w:r>
              <w:rPr>
                <w:rFonts w:hint="eastAsia" w:ascii="Times New Roman" w:hAnsi="Times New Roman" w:cs="宋体" w:eastAsiaTheme="minorEastAsia"/>
                <w:color w:val="000000"/>
                <w:sz w:val="24"/>
                <w:szCs w:val="24"/>
                <w:highlight w:val="none"/>
              </w:rPr>
              <w:t xml:space="preserve">1.全面负责本次项目的运维及管理工作，计划每月查一次，复核计划，对运维质量负全面责任，负责实施目标，对安全问题负全面责任；</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2、负责采购人的汇报及各类协调工作；</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3、统管值班经理工作；组织项目部内部人员培训，提升人员技能；组织运维报告的评审，优化改进方案</w:t>
            </w:r>
            <w:r>
              <w:rPr>
                <w:rFonts w:hint="eastAsia" w:ascii="Times New Roman" w:hAnsi="Times New Roman" w:cs="宋体" w:eastAsiaTheme="minorEastAsia"/>
                <w:color w:val="000000"/>
                <w:sz w:val="24"/>
                <w:szCs w:val="24"/>
                <w:highlight w:val="none"/>
                <w:lang w:eastAsia="zh-CN"/>
              </w:rPr>
              <w:t xml:space="preserve">。</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硬件技术负责人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1、负责日常的设备运行维护工作，每日对设备运行情况，进行检查并记录；</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2、编制运维月度进度计划表，针对有故障的设备及时制定解决方案。</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软件技术负责人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widowControl/>
              <w:rPr>
                <w:rFonts w:hint="eastAsia" w:ascii="Times New Roman" w:hAnsi="Times New Roman" w:cs="宋体" w:eastAsiaTheme="minorEastAsia"/>
                <w:color w:val="000000"/>
                <w:sz w:val="24"/>
                <w:szCs w:val="24"/>
                <w:highlight w:val="none"/>
                <w:lang w:eastAsia="zh-CN"/>
              </w:rPr>
            </w:pPr>
            <w:r>
              <w:rPr>
                <w:rFonts w:hint="eastAsia" w:ascii="Times New Roman" w:hAnsi="Times New Roman" w:cs="宋体" w:eastAsiaTheme="minorEastAsia"/>
                <w:color w:val="000000"/>
                <w:sz w:val="24"/>
                <w:szCs w:val="24"/>
                <w:highlight w:val="none"/>
              </w:rPr>
              <w:t xml:space="preserve">1、负责整个项目的软件运维工作，工作包括：系统平台、系统应用、网络等；</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2、出现故障应及时查明故障原因，制定解决方案</w:t>
            </w:r>
            <w:r>
              <w:rPr>
                <w:rFonts w:hint="eastAsia" w:cs="宋体" w:eastAsiaTheme="minorEastAsia"/>
                <w:color w:val="000000"/>
                <w:sz w:val="24"/>
                <w:szCs w:val="24"/>
                <w:highlight w:val="none"/>
                <w:lang w:eastAsia="zh-CN"/>
              </w:rPr>
              <w:t xml:space="preserve">。</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运维实施人员</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widowControl/>
              <w:rPr>
                <w:rFonts w:hint="eastAsia" w:ascii="Times New Roman" w:hAnsi="Times New Roman" w:cs="宋体" w:eastAsiaTheme="minorEastAsia"/>
                <w:color w:val="000000"/>
                <w:sz w:val="24"/>
                <w:szCs w:val="24"/>
                <w:highlight w:val="none"/>
                <w:lang w:eastAsia="zh-CN"/>
              </w:rPr>
            </w:pPr>
            <w:r>
              <w:rPr>
                <w:rFonts w:hint="eastAsia" w:ascii="Times New Roman" w:hAnsi="Times New Roman" w:cs="宋体" w:eastAsiaTheme="minorEastAsia"/>
                <w:color w:val="000000"/>
                <w:sz w:val="24"/>
                <w:szCs w:val="24"/>
                <w:highlight w:val="none"/>
              </w:rPr>
              <w:t xml:space="preserve">1、及时完成日常各项运维工作，包括系统的运行维护、设备设施的巡检、检修、更换、保养、保洁等工作，提交作业记录单；</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2、按时完成各项临时任务，提交检修作业单；</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3、记录常见故障及处理方式，当日或次日提交给值班经理；</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4、按照行业安全规范开展运维实施工作；进行日常安全检查，避免出现安全事故；对发现安全风险及时上报并整改，未及时处理整改进行严肃考核处理</w:t>
            </w:r>
            <w:r>
              <w:rPr>
                <w:rFonts w:hint="eastAsia" w:ascii="Times New Roman" w:hAnsi="Times New Roman" w:cs="宋体" w:eastAsiaTheme="minorEastAsia"/>
                <w:color w:val="000000"/>
                <w:sz w:val="24"/>
                <w:szCs w:val="24"/>
                <w:highlight w:val="none"/>
                <w:lang w:eastAsia="zh-CN"/>
              </w:rPr>
              <w:t xml:space="preserve">。</w:t>
            </w:r>
            <w:r/>
          </w:p>
        </w:tc>
      </w:tr>
      <w:tr>
        <w:trPr>
          <w:trHeight w:val="983"/>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专职安全员</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widowControl/>
              <w:rPr>
                <w:rFonts w:hint="eastAsia" w:ascii="Times New Roman" w:hAnsi="Times New Roman" w:cs="宋体" w:eastAsiaTheme="minorEastAsia"/>
                <w:color w:val="000000"/>
                <w:sz w:val="24"/>
                <w:szCs w:val="24"/>
                <w:highlight w:val="none"/>
                <w:lang w:eastAsia="zh-CN"/>
              </w:rPr>
            </w:pPr>
            <w:r>
              <w:rPr>
                <w:rFonts w:hint="eastAsia" w:ascii="Times New Roman" w:hAnsi="Times New Roman" w:cs="宋体" w:eastAsiaTheme="minorEastAsia"/>
                <w:color w:val="000000"/>
                <w:sz w:val="24"/>
                <w:szCs w:val="24"/>
                <w:highlight w:val="none"/>
              </w:rPr>
              <w:t xml:space="preserve">1、负责整个项目的安全管理工作，落实安全管理的规章制度，监督作业人员严格执行安全管理制度；</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2、按照有关规定，开展职工三级安全教育和安全操作规程的学习培训；</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3、对人员、车辆、设备、环境定期进行隐患排查，及时发现各种事故隐患或不安全因素，做好检查记录并及时向领导和上级主管部门汇报，发现重大事故隐患时，有权责令先行停止生产，并立即报告有关部门进行处理</w:t>
            </w:r>
            <w:r>
              <w:rPr>
                <w:rFonts w:hint="eastAsia" w:ascii="Times New Roman" w:hAnsi="Times New Roman" w:cs="宋体" w:eastAsiaTheme="minorEastAsia"/>
                <w:color w:val="000000"/>
                <w:sz w:val="24"/>
                <w:szCs w:val="24"/>
                <w:highlight w:val="none"/>
                <w:lang w:eastAsia="zh-CN"/>
              </w:rPr>
              <w:t xml:space="preserve">；</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4、督促检查安全生产规章制度和安全操作规程执行情况，参加各类安全检查，做好每日安全巡查记录，对检查中发现的不安全问题提出改进措施和意见，并监督其落实和整改；</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5、按照规定及时为职工发放劳动保护用品，做好相关记录，并指导和督促职工正确佩戴和使用</w:t>
            </w:r>
            <w:r>
              <w:rPr>
                <w:rFonts w:hint="eastAsia" w:ascii="Times New Roman" w:hAnsi="Times New Roman" w:cs="宋体" w:eastAsiaTheme="minorEastAsia"/>
                <w:color w:val="000000"/>
                <w:sz w:val="24"/>
                <w:szCs w:val="24"/>
                <w:highlight w:val="none"/>
                <w:lang w:eastAsia="zh-CN"/>
              </w:rPr>
              <w:t xml:space="preserve">。</w:t>
            </w:r>
            <w:r/>
          </w:p>
        </w:tc>
      </w:tr>
      <w:tr>
        <w:trPr>
          <w:trHeight w:val="392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巡检车驾驶员</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1、准备和检查车辆：确保车辆在每次使用前都处于良好的工作状态，保持车辆干净整洁并且按时保养；</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2、驾驶车辆：安全驾驶车辆，遵守交通规则和法律</w:t>
            </w:r>
            <w:r>
              <w:rPr>
                <w:rFonts w:hint="eastAsia" w:ascii="Times New Roman" w:hAnsi="Times New Roman" w:cs="宋体" w:eastAsiaTheme="minorEastAsia"/>
                <w:color w:val="000000"/>
                <w:sz w:val="24"/>
                <w:szCs w:val="24"/>
                <w:highlight w:val="none"/>
                <w:lang w:eastAsia="zh-CN"/>
              </w:rPr>
              <w:t xml:space="preserve">；</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3、 路线规划：熟悉道路和路线，根据工作计划进行路线规划</w:t>
            </w:r>
            <w:r>
              <w:rPr>
                <w:rFonts w:hint="eastAsia" w:ascii="Times New Roman" w:hAnsi="Times New Roman" w:cs="宋体" w:eastAsiaTheme="minorEastAsia"/>
                <w:color w:val="000000"/>
                <w:sz w:val="24"/>
                <w:szCs w:val="24"/>
                <w:highlight w:val="none"/>
                <w:lang w:eastAsia="zh-CN"/>
              </w:rPr>
              <w:t xml:space="preserve">；</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4、保持通信：与调度员或其他团队成员保持良好的沟通，及时报告行程状态和任何问题</w:t>
            </w:r>
            <w:r>
              <w:rPr>
                <w:rFonts w:hint="eastAsia" w:ascii="Times New Roman" w:hAnsi="Times New Roman" w:cs="宋体" w:eastAsiaTheme="minorEastAsia"/>
                <w:color w:val="000000"/>
                <w:sz w:val="24"/>
                <w:szCs w:val="24"/>
                <w:highlight w:val="none"/>
                <w:lang w:eastAsia="zh-CN"/>
              </w:rPr>
              <w:t xml:space="preserve">；</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5、记录和报告：记录里程、油耗和其他必要的车辆数据，并及时向相关部门报告</w:t>
            </w:r>
            <w:r>
              <w:rPr>
                <w:rFonts w:hint="eastAsia" w:ascii="Times New Roman" w:hAnsi="Times New Roman" w:cs="宋体" w:eastAsiaTheme="minorEastAsia"/>
                <w:color w:val="000000"/>
                <w:sz w:val="24"/>
                <w:szCs w:val="24"/>
                <w:highlight w:val="none"/>
                <w:lang w:eastAsia="zh-CN"/>
              </w:rPr>
              <w:t xml:space="preserve">；</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6、安全意识：时刻保持安全意识，预防事故和紧急情况的发生；熟悉车辆的安全功能和紧急情况的操作。</w:t>
            </w:r>
            <w:r/>
          </w:p>
        </w:tc>
      </w:tr>
      <w:tr>
        <w:trPr>
          <w:trHeight w:val="5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登高车驾驶员</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1、准备和检查车辆：确保车辆在每次使用前都处于良好的工作状态，保持车辆干净整洁并且按时保养；</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2、驾驶车辆：安全驾驶车辆，遵守交通规则和法律</w:t>
            </w:r>
            <w:r>
              <w:rPr>
                <w:rFonts w:hint="eastAsia" w:ascii="Times New Roman" w:hAnsi="Times New Roman" w:cs="宋体" w:eastAsiaTheme="minorEastAsia"/>
                <w:color w:val="000000"/>
                <w:sz w:val="24"/>
                <w:szCs w:val="24"/>
                <w:highlight w:val="none"/>
                <w:lang w:eastAsia="zh-CN"/>
              </w:rPr>
              <w:t xml:space="preserve">；</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3、 路线规划：熟悉道路和路线，根据工作计划进行路线规划</w:t>
            </w:r>
            <w:r>
              <w:rPr>
                <w:rFonts w:hint="eastAsia" w:ascii="Times New Roman" w:hAnsi="Times New Roman" w:cs="宋体" w:eastAsiaTheme="minorEastAsia"/>
                <w:color w:val="000000"/>
                <w:sz w:val="24"/>
                <w:szCs w:val="24"/>
                <w:highlight w:val="none"/>
                <w:lang w:eastAsia="zh-CN"/>
              </w:rPr>
              <w:t xml:space="preserve">；</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4、保持通信：与调度员或其他团队成员保持良好的沟通，及时报告行程状态和任何问题</w:t>
            </w:r>
            <w:r>
              <w:rPr>
                <w:rFonts w:hint="eastAsia" w:ascii="Times New Roman" w:hAnsi="Times New Roman" w:cs="宋体" w:eastAsiaTheme="minorEastAsia"/>
                <w:color w:val="000000"/>
                <w:sz w:val="24"/>
                <w:szCs w:val="24"/>
                <w:highlight w:val="none"/>
                <w:lang w:eastAsia="zh-CN"/>
              </w:rPr>
              <w:t xml:space="preserve">；</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5、记录和报告：记录里程、油耗和其他必要的车辆数据，并及时向相关部门报告</w:t>
            </w:r>
            <w:r>
              <w:rPr>
                <w:rFonts w:hint="eastAsia" w:ascii="Times New Roman" w:hAnsi="Times New Roman" w:cs="宋体" w:eastAsiaTheme="minorEastAsia"/>
                <w:color w:val="000000"/>
                <w:sz w:val="24"/>
                <w:szCs w:val="24"/>
                <w:highlight w:val="none"/>
                <w:lang w:eastAsia="zh-CN"/>
              </w:rPr>
              <w:t xml:space="preserve">；</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6、安全意识：时刻保持安全意识，预防事故和紧急情况的发生；熟悉车辆的安全功能和紧急情况的操作</w:t>
            </w:r>
            <w:r>
              <w:rPr>
                <w:rFonts w:hint="eastAsia" w:ascii="Times New Roman" w:hAnsi="Times New Roman" w:cs="宋体" w:eastAsiaTheme="minorEastAsia"/>
                <w:color w:val="000000"/>
                <w:sz w:val="24"/>
                <w:szCs w:val="24"/>
                <w:highlight w:val="none"/>
                <w:lang w:eastAsia="zh-CN"/>
              </w:rPr>
              <w:t xml:space="preserve">；</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7、登高车驾驶人员须专职，驾驶证执行执照不低于B照。</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后勤保障人员</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widowControl/>
              <w:rPr>
                <w:rFonts w:hint="eastAsia" w:ascii="Times New Roman" w:hAnsi="Times New Roman" w:cs="宋体" w:eastAsiaTheme="minorEastAsia"/>
                <w:color w:val="000000"/>
                <w:sz w:val="24"/>
                <w:szCs w:val="24"/>
                <w:highlight w:val="none"/>
                <w:lang w:eastAsia="zh-CN"/>
              </w:rPr>
            </w:pPr>
            <w:r>
              <w:rPr>
                <w:rFonts w:hint="eastAsia" w:ascii="Times New Roman" w:hAnsi="Times New Roman" w:cs="宋体" w:eastAsiaTheme="minorEastAsia"/>
                <w:color w:val="000000"/>
                <w:sz w:val="24"/>
                <w:szCs w:val="24"/>
                <w:highlight w:val="none"/>
              </w:rPr>
              <w:t xml:space="preserve">1、负责项目部日常办公管理工作、项目会议、接待管理等；</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2、负责项目部文件收发，会议组织及档案管理等综合事务；</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3、负责项目部定期检查，考勤及项目部规章管理制度落实；</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4、负责项目部内外协调服务及办公环境的管理维护工作；</w:t>
            </w:r>
            <w:r>
              <w:rPr>
                <w:rFonts w:hint="eastAsia" w:ascii="Times New Roman" w:hAnsi="Times New Roman" w:cs="宋体" w:eastAsiaTheme="minorEastAsia"/>
                <w:color w:val="000000"/>
                <w:sz w:val="24"/>
                <w:szCs w:val="24"/>
                <w:highlight w:val="none"/>
              </w:rPr>
              <w:br/>
            </w:r>
            <w:r>
              <w:rPr>
                <w:rFonts w:hint="eastAsia" w:ascii="Times New Roman" w:hAnsi="Times New Roman" w:cs="宋体" w:eastAsiaTheme="minorEastAsia"/>
                <w:color w:val="000000"/>
                <w:sz w:val="24"/>
                <w:szCs w:val="24"/>
                <w:highlight w:val="none"/>
              </w:rPr>
              <w:t xml:space="preserve">5、完成领导交办的其他工作</w:t>
            </w:r>
            <w:r>
              <w:rPr>
                <w:rFonts w:hint="eastAsia" w:ascii="Times New Roman" w:hAnsi="Times New Roman" w:cs="宋体" w:eastAsiaTheme="minorEastAsia"/>
                <w:color w:val="000000"/>
                <w:sz w:val="24"/>
                <w:szCs w:val="24"/>
                <w:highlight w:val="none"/>
                <w:lang w:eastAsia="zh-CN"/>
              </w:rPr>
              <w:t xml:space="preserve">。</w:t>
            </w:r>
            <w:r/>
          </w:p>
        </w:tc>
      </w:tr>
      <w:tr>
        <w:trPr>
          <w:trHeight w:val="665"/>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cs="宋体" w:eastAsiaTheme="minorEastAsia"/>
                <w:b/>
                <w:bCs/>
                <w:i/>
                <w:iCs/>
                <w:color w:val="000000"/>
                <w:sz w:val="24"/>
                <w:szCs w:val="24"/>
                <w:highlight w:val="none"/>
                <w:u w:val="single"/>
                <w:lang w:val="en-US" w:eastAsia="zh-CN"/>
              </w:rPr>
            </w:pPr>
            <w:r>
              <w:rPr>
                <w:rFonts w:hint="eastAsia" w:cs="宋体" w:eastAsiaTheme="minorEastAsia"/>
                <w:b/>
                <w:bCs/>
                <w:i/>
                <w:iCs/>
                <w:color w:val="000000"/>
                <w:sz w:val="24"/>
                <w:szCs w:val="24"/>
                <w:highlight w:val="none"/>
                <w:u w:val="single"/>
                <w:lang w:val="en-US" w:eastAsia="zh-CN"/>
              </w:rPr>
              <w:t xml:space="preserve">备注：以上所有人员在合同签订服务期内必须全程驻场，并接受甲方统一考勤，投标人须提供承诺函，格式自拟。</w:t>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2.2</w:t>
      </w:r>
      <w:r>
        <w:rPr>
          <w:rFonts w:hint="eastAsia" w:ascii="Times New Roman" w:hAnsi="Times New Roman" w:eastAsiaTheme="minorEastAsia"/>
          <w:sz w:val="24"/>
          <w:szCs w:val="24"/>
          <w:highlight w:val="none"/>
        </w:rPr>
        <w:t xml:space="preserve">运维备品备件清单</w:t>
      </w:r>
      <w:r/>
    </w:p>
    <w:tbl>
      <w:tblPr>
        <w:tblStyle w:val="76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62"/>
        <w:gridCol w:w="2963"/>
        <w:gridCol w:w="1748"/>
        <w:gridCol w:w="1748"/>
        <w:gridCol w:w="1748"/>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备品备件名称</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备注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事件检测摄像机</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遥控摄像机</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PLC单元模块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交通信号灯</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多功能一体补光灯</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亮度检测器</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车道指示器</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门架式可变情报板模组</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微波车辆检测器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UPS电源模块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光纤KVM发送端（接收端）</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光端机</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工业以太网交换机</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扬声器功放</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信号控制机模块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隔离变压器</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工作站</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CO/VI检测器</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风速风向检测器</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探测器</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紧急电话</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网络跳线</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2.3运维仪器仪表清单</w:t>
      </w:r>
      <w:r/>
    </w:p>
    <w:tbl>
      <w:tblPr>
        <w:tblStyle w:val="76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07"/>
        <w:gridCol w:w="2263"/>
        <w:gridCol w:w="783"/>
        <w:gridCol w:w="943"/>
        <w:gridCol w:w="4473"/>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备注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移动工作站</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t xml:space="preserve">弱电检修专用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网线通断仪</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检测网线的通断</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光纤通光仪</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检测光纤通断，以及检测光纤距离</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数字万用表</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检测电压数值、电流数值、电阻数值</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水晶头压线钳</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用于水晶头与网线的端接</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欧姆表</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t xml:space="preserve">用于测试接地电阻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温湿度仪</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检测隧道内等工作环境的温湿度</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吸盘</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用于LED大屏检修</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t xml:space="preserve">用于车流量人工核准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钥匙箱</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t xml:space="preserve">用于弱电钥匙的综合管理，安装在中控室</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双头</w:t>
            </w:r>
            <w:r>
              <w:rPr>
                <w:rFonts w:ascii="Times New Roman" w:hAnsi="Times New Roman" w:eastAsiaTheme="minorEastAsia"/>
                <w:color w:val="000000"/>
                <w:sz w:val="24"/>
                <w:szCs w:val="24"/>
                <w:highlight w:val="none"/>
              </w:rPr>
              <w:t xml:space="preserve">9</w:t>
            </w:r>
            <w:r>
              <w:rPr>
                <w:rFonts w:ascii="Times New Roman" w:hAnsi="Times New Roman" w:cs="宋体" w:eastAsiaTheme="minorEastAsia"/>
                <w:color w:val="000000"/>
                <w:sz w:val="24"/>
                <w:szCs w:val="24"/>
                <w:highlight w:val="none"/>
              </w:rPr>
              <w:t xml:space="preserve">针串口三芯线</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隧道机电系统PLC控制器等设备维护维修的调试调测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双头</w:t>
            </w:r>
            <w:r>
              <w:rPr>
                <w:rFonts w:ascii="Times New Roman" w:hAnsi="Times New Roman" w:eastAsiaTheme="minorEastAsia"/>
                <w:color w:val="000000"/>
                <w:sz w:val="24"/>
                <w:szCs w:val="24"/>
                <w:highlight w:val="none"/>
              </w:rPr>
              <w:t xml:space="preserve">15</w:t>
            </w:r>
            <w:r>
              <w:rPr>
                <w:rFonts w:ascii="Times New Roman" w:hAnsi="Times New Roman" w:cs="宋体" w:eastAsiaTheme="minorEastAsia"/>
                <w:color w:val="000000"/>
                <w:sz w:val="24"/>
                <w:szCs w:val="24"/>
                <w:highlight w:val="none"/>
              </w:rPr>
              <w:t xml:space="preserve">针串口网线</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隧道机电系统PLC控制器等设备维护维修的调试调测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双头</w:t>
            </w:r>
            <w:r>
              <w:rPr>
                <w:rFonts w:ascii="Times New Roman" w:hAnsi="Times New Roman" w:eastAsiaTheme="minorEastAsia"/>
                <w:color w:val="000000"/>
                <w:sz w:val="24"/>
                <w:szCs w:val="24"/>
                <w:highlight w:val="none"/>
              </w:rPr>
              <w:t xml:space="preserve">25</w:t>
            </w:r>
            <w:r>
              <w:rPr>
                <w:rFonts w:ascii="Times New Roman" w:hAnsi="Times New Roman" w:cs="宋体" w:eastAsiaTheme="minorEastAsia"/>
                <w:color w:val="000000"/>
                <w:sz w:val="24"/>
                <w:szCs w:val="24"/>
                <w:highlight w:val="none"/>
              </w:rPr>
              <w:t xml:space="preserve">针串口网线</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隧道机电系统PLC控制器等设备维护维修的调试调测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2米网络跳线</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44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监控服务器等设备的管理配置、故障分析及调试调测</w:t>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2.4</w:t>
      </w:r>
      <w:r>
        <w:rPr>
          <w:rFonts w:hint="eastAsia" w:ascii="Times New Roman" w:hAnsi="Times New Roman" w:eastAsiaTheme="minorEastAsia"/>
          <w:sz w:val="24"/>
          <w:szCs w:val="24"/>
          <w:highlight w:val="none"/>
        </w:rPr>
        <w:t xml:space="preserve">运维车辆清单</w:t>
      </w:r>
      <w:r/>
    </w:p>
    <w:tbl>
      <w:tblPr>
        <w:tblStyle w:val="76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835"/>
        <w:gridCol w:w="1834"/>
        <w:gridCol w:w="1834"/>
        <w:gridCol w:w="1834"/>
        <w:gridCol w:w="1832"/>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01"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车辆名称</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备注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01"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巡检车</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01"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登高车</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2.5</w:t>
      </w:r>
      <w:r>
        <w:rPr>
          <w:rFonts w:hint="eastAsia" w:ascii="Times New Roman" w:hAnsi="Times New Roman" w:eastAsiaTheme="minorEastAsia"/>
          <w:sz w:val="24"/>
          <w:szCs w:val="24"/>
          <w:highlight w:val="none"/>
        </w:rPr>
        <w:t xml:space="preserve">运维安全防护措施清单</w:t>
      </w:r>
      <w:r/>
    </w:p>
    <w:tbl>
      <w:tblPr>
        <w:tblStyle w:val="76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942"/>
        <w:gridCol w:w="3064"/>
        <w:gridCol w:w="2421"/>
        <w:gridCol w:w="1190"/>
        <w:gridCol w:w="1546"/>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维修项目</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jc w:val="center"/>
              <w:widowControl/>
              <w:rPr>
                <w:rFonts w:ascii="Times New Roman" w:hAnsi="Times New Roman" w:cs="宋体" w:eastAsiaTheme="minorEastAsia"/>
                <w:b/>
                <w:bCs/>
                <w:color w:val="000000"/>
                <w:sz w:val="24"/>
                <w:szCs w:val="24"/>
                <w:highlight w:val="none"/>
              </w:rPr>
            </w:pPr>
            <w:r>
              <w:rPr>
                <w:rFonts w:hint="eastAsia" w:ascii="Times New Roman" w:hAnsi="Times New Roman" w:cs="宋体" w:eastAsiaTheme="minorEastAsia"/>
                <w:b/>
                <w:bCs/>
                <w:color w:val="000000"/>
                <w:sz w:val="24"/>
                <w:szCs w:val="24"/>
                <w:highlight w:val="none"/>
              </w:rPr>
              <w:t xml:space="preserve">数量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肩灯</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通用led肩灯</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定制款</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安全帽</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ABS定制款</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安全绳（15米）</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安全带</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五点式</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锥桶</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70cm</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反光贴</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箭头导向牌</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太阳能加厚款</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太阳能</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文字导向牌</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定制款</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指挥棒</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led充电款</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绝缘靴</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20kv</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带电作业绝缘手套1型</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380mm</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线手套</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丁腈手套</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加绒手套</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过滤式呼吸面罩</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3M</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hint="eastAsia"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安全围栏</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hint="eastAsia" w:ascii="Times New Roman" w:hAnsi="Times New Roman" w:cs="宋体" w:eastAsiaTheme="minorEastAsia"/>
                <w:color w:val="000000"/>
                <w:sz w:val="24"/>
                <w:szCs w:val="24"/>
                <w:highlight w:val="none"/>
                <w:lang w:val="en-US" w:eastAsia="zh-CN"/>
              </w:rPr>
            </w:pPr>
            <w:r>
              <w:rPr>
                <w:rFonts w:hint="eastAsia" w:ascii="Times New Roman" w:hAnsi="Times New Roman" w:cs="宋体" w:eastAsiaTheme="minorEastAsia"/>
                <w:color w:val="000000"/>
                <w:sz w:val="24"/>
                <w:szCs w:val="24"/>
                <w:highlight w:val="none"/>
              </w:rPr>
              <w:t xml:space="preserve">1.2*2.5</w:t>
            </w:r>
            <w:r>
              <w:rPr>
                <w:rFonts w:hint="eastAsia" w:ascii="Times New Roman" w:hAnsi="Times New Roman" w:cs="宋体" w:eastAsiaTheme="minorEastAsia"/>
                <w:color w:val="000000"/>
                <w:sz w:val="24"/>
                <w:szCs w:val="24"/>
                <w:highlight w:val="none"/>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hint="eastAsia"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hint="eastAsia"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hint="eastAsia"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作业服</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hint="eastAsia"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hint="eastAsia"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hint="eastAsia"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18</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hint="eastAsia"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tcPr>
          <w:p>
            <w:pPr>
              <w:jc w:val="center"/>
              <w:widowControl/>
              <w:rPr>
                <w:rFonts w:hint="eastAsia" w:ascii="Times New Roman" w:hAnsi="Times New Roman" w:cs="宋体" w:eastAsiaTheme="minorEastAsia"/>
                <w:color w:val="000000"/>
                <w:sz w:val="24"/>
                <w:szCs w:val="24"/>
                <w:highlight w:val="none"/>
                <w:lang w:val="en-US" w:eastAsia="zh-CN"/>
              </w:rPr>
            </w:pPr>
            <w:r>
              <w:rPr>
                <w:rFonts w:hint="eastAsia" w:ascii="Times New Roman" w:hAnsi="Times New Roman" w:cs="宋体" w:eastAsiaTheme="minorEastAsia"/>
                <w:color w:val="000000"/>
                <w:sz w:val="24"/>
                <w:szCs w:val="24"/>
                <w:highlight w:val="none"/>
              </w:rPr>
              <w:t xml:space="preserve">1.7*1.8*0.95/1.8</w:t>
            </w:r>
            <w:r>
              <w:rPr>
                <w:rFonts w:hint="eastAsia" w:ascii="Times New Roman" w:hAnsi="Times New Roman" w:cs="宋体" w:eastAsiaTheme="minorEastAsia"/>
                <w:color w:val="000000"/>
                <w:sz w:val="24"/>
                <w:szCs w:val="24"/>
                <w:highlight w:val="none"/>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hint="eastAsia"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hint="eastAsia"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防滑鞋</w:t>
            </w:r>
            <w:r/>
          </w:p>
        </w:tc>
        <w:tc>
          <w:tcPr>
            <w:shd w:val="clear" w:color="auto" w:fill="auto"/>
            <w:tcBorders>
              <w:top w:val="single" w:color="000000" w:sz="4" w:space="0"/>
              <w:left w:val="single" w:color="000000" w:sz="4" w:space="0"/>
              <w:bottom w:val="single" w:color="000000" w:sz="4" w:space="0"/>
              <w:right w:val="single" w:color="000000" w:sz="4" w:space="0"/>
            </w:tcBorders>
            <w:tcW w:w="13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20</w:t>
            </w:r>
            <w:r/>
          </w:p>
        </w:tc>
      </w:tr>
    </w:tbl>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br w:type="page" w:clear="all"/>
      </w:r>
      <w:r/>
    </w:p>
    <w:p>
      <w:pPr>
        <w:pStyle w:val="753"/>
        <w:jc w:val="both"/>
        <w:rPr>
          <w:rFonts w:ascii="Times New Roman" w:hAnsi="Times New Roman" w:eastAsiaTheme="minorEastAsia"/>
          <w:b/>
          <w:sz w:val="24"/>
          <w:szCs w:val="24"/>
          <w:highlight w:val="none"/>
        </w:rPr>
      </w:pPr>
      <w:r>
        <w:rPr>
          <w:rFonts w:ascii="Times New Roman" w:hAnsi="Times New Roman" w:eastAsiaTheme="minorEastAsia"/>
          <w:b/>
          <w:sz w:val="24"/>
          <w:szCs w:val="24"/>
          <w:highlight w:val="none"/>
        </w:rPr>
        <w:t xml:space="preserve">三、</w:t>
      </w:r>
      <w:r>
        <w:rPr>
          <w:rFonts w:hint="eastAsia" w:ascii="Times New Roman" w:hAnsi="Times New Roman" w:eastAsiaTheme="minorEastAsia"/>
          <w:b/>
          <w:sz w:val="24"/>
          <w:szCs w:val="24"/>
          <w:highlight w:val="none"/>
        </w:rPr>
        <w:t xml:space="preserve">项目运维内容</w:t>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3.1</w:t>
      </w:r>
      <w:r>
        <w:rPr>
          <w:rFonts w:hint="eastAsia" w:ascii="Times New Roman" w:hAnsi="Times New Roman" w:eastAsiaTheme="minorEastAsia"/>
          <w:sz w:val="24"/>
          <w:szCs w:val="24"/>
          <w:highlight w:val="none"/>
        </w:rPr>
        <w:t xml:space="preserve">运维基本目标</w:t>
      </w:r>
      <w:r/>
    </w:p>
    <w:p>
      <w:pPr>
        <w:numPr>
          <w:ilvl w:val="0"/>
          <w:numId w:val="5"/>
        </w:numPr>
        <w:ind w:left="0"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全方位可视系统、安全监测系统、设备集控系统、应急处置系统、养护管理系统、公共服务系统、数字孪生系统全息监测系统运行安全性、可靠性在100%。</w:t>
      </w:r>
      <w:r/>
    </w:p>
    <w:p>
      <w:pPr>
        <w:numPr>
          <w:ilvl w:val="0"/>
          <w:numId w:val="5"/>
        </w:numPr>
        <w:ind w:left="0"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监控系统、交通诱导系统、数据中心机房、指挥中心设备设施完好率在98%以上。</w:t>
      </w:r>
      <w:r/>
    </w:p>
    <w:p>
      <w:pPr>
        <w:numPr>
          <w:ilvl w:val="0"/>
          <w:numId w:val="5"/>
        </w:numPr>
        <w:ind w:left="0"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完善的专业维护保养服务，确保系统的软硬件正常良好地运转。</w:t>
      </w:r>
      <w:r/>
    </w:p>
    <w:p>
      <w:pPr>
        <w:numPr>
          <w:ilvl w:val="0"/>
          <w:numId w:val="5"/>
        </w:numPr>
        <w:ind w:left="0"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预防性维护策略，把故障消灭在萌芽状态。</w:t>
      </w:r>
      <w:r/>
    </w:p>
    <w:p>
      <w:pPr>
        <w:numPr>
          <w:ilvl w:val="0"/>
          <w:numId w:val="5"/>
        </w:numPr>
        <w:ind w:left="0"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及时响应故障呼叫，力争修复率100%，尽快恢复系统功能。</w:t>
      </w:r>
      <w:r/>
    </w:p>
    <w:p>
      <w:pPr>
        <w:numPr>
          <w:ilvl w:val="0"/>
          <w:numId w:val="5"/>
        </w:numPr>
        <w:ind w:left="0"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为用户设备的升级、改善、改造更新和系统迁移提出建议与解决方案。</w:t>
      </w:r>
      <w:r/>
    </w:p>
    <w:p>
      <w:pPr>
        <w:numPr>
          <w:ilvl w:val="0"/>
          <w:numId w:val="5"/>
        </w:numPr>
        <w:ind w:left="0"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提供对采购人操作人员的必要培训和规范操作及注意事项的建议，并形成培训文字记录。</w:t>
      </w:r>
      <w:r/>
    </w:p>
    <w:tbl>
      <w:tblPr>
        <w:tblStyle w:val="7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2110"/>
        <w:gridCol w:w="1846"/>
        <w:gridCol w:w="1518"/>
        <w:gridCol w:w="2371"/>
      </w:tblGrid>
      <w:tr>
        <w:trPr>
          <w:trHeight w:val="285"/>
        </w:trPr>
        <w:tc>
          <w:tcPr>
            <w:shd w:val="clear" w:color="auto" w:fill="auto"/>
            <w:tcW w:w="72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大类</w:t>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细类</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项目</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目标</w:t>
            </w:r>
            <w:r/>
          </w:p>
        </w:tc>
        <w:tc>
          <w:tcPr>
            <w:shd w:val="clear" w:color="auto" w:fill="auto"/>
            <w:tcW w:w="129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备注</w:t>
            </w:r>
            <w:r/>
          </w:p>
        </w:tc>
      </w:tr>
      <w:tr>
        <w:trPr>
          <w:trHeight w:val="285"/>
        </w:trPr>
        <w:tc>
          <w:tcPr>
            <w:shd w:val="clear" w:color="auto" w:fill="auto"/>
            <w:tcW w:w="720"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平台完好</w:t>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全方位可视系统</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运行可靠性</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100%</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shd w:val="clear" w:color="auto" w:fill="auto"/>
            <w:tcW w:w="72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安全监测系统</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运行可靠性</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100%</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shd w:val="clear" w:color="auto" w:fill="auto"/>
            <w:tcW w:w="72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设备集控系统</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运行可靠性</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100%</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shd w:val="clear" w:color="auto" w:fill="auto"/>
            <w:tcW w:w="72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应急处置系统</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运行可靠性</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100%</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shd w:val="clear" w:color="auto" w:fill="auto"/>
            <w:tcW w:w="72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养护管理系统</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运行可靠性</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100%</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shd w:val="clear" w:color="auto" w:fill="auto"/>
            <w:tcW w:w="72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公共服务系统</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运行可靠性</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100%</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shd w:val="clear" w:color="auto" w:fill="auto"/>
            <w:tcW w:w="72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数字孪生系统</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运行可靠性</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100%</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shd w:val="clear" w:color="auto" w:fill="auto"/>
            <w:tcW w:w="72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全息监测系统</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运行可靠性</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100%</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shd w:val="clear" w:color="auto" w:fill="auto"/>
            <w:tcW w:w="720"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设施完好</w:t>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监控系统</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完好率</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98%</w:t>
            </w:r>
            <w:r/>
          </w:p>
        </w:tc>
        <w:tc>
          <w:tcPr>
            <w:shd w:val="clear" w:color="auto" w:fill="auto"/>
            <w:tcW w:w="129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且不影响正常使用</w:t>
            </w:r>
            <w:r/>
          </w:p>
        </w:tc>
      </w:tr>
      <w:tr>
        <w:trPr>
          <w:trHeight w:val="285"/>
        </w:trPr>
        <w:tc>
          <w:tcPr>
            <w:shd w:val="clear" w:color="auto" w:fill="auto"/>
            <w:tcW w:w="72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交通诱导系统</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完好率</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98%</w:t>
            </w:r>
            <w:r/>
          </w:p>
        </w:tc>
        <w:tc>
          <w:tcPr>
            <w:shd w:val="clear" w:color="auto" w:fill="auto"/>
            <w:tcW w:w="129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且不影响正常使用</w:t>
            </w:r>
            <w:r/>
          </w:p>
        </w:tc>
      </w:tr>
      <w:tr>
        <w:trPr>
          <w:trHeight w:val="285"/>
        </w:trPr>
        <w:tc>
          <w:tcPr>
            <w:shd w:val="clear" w:color="auto" w:fill="auto"/>
            <w:tcW w:w="72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数据中心机房</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完好率</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98%</w:t>
            </w:r>
            <w:r/>
          </w:p>
        </w:tc>
        <w:tc>
          <w:tcPr>
            <w:shd w:val="clear" w:color="auto" w:fill="auto"/>
            <w:tcW w:w="129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且不影响正常使用</w:t>
            </w:r>
            <w:r/>
          </w:p>
        </w:tc>
      </w:tr>
      <w:tr>
        <w:trPr>
          <w:trHeight w:val="285"/>
        </w:trPr>
        <w:tc>
          <w:tcPr>
            <w:shd w:val="clear" w:color="auto" w:fill="auto"/>
            <w:tcW w:w="72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15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指挥中心</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完好率</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98%</w:t>
            </w:r>
            <w:r/>
          </w:p>
        </w:tc>
        <w:tc>
          <w:tcPr>
            <w:shd w:val="clear" w:color="auto" w:fill="auto"/>
            <w:tcW w:w="129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且不影响正常使用</w:t>
            </w:r>
            <w:r/>
          </w:p>
        </w:tc>
      </w:tr>
      <w:tr>
        <w:trPr>
          <w:trHeight w:val="285"/>
        </w:trPr>
        <w:tc>
          <w:tcPr>
            <w:gridSpan w:val="2"/>
            <w:shd w:val="clear" w:color="auto" w:fill="auto"/>
            <w:tcW w:w="1871"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维护保养</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计划完成</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100%</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工作质量</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优</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故障检修</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发现故障</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＜15分钟</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应急抢修</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＜30分钟</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检修</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＜1天</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外协修复</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＜5工作日</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工作质量</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优</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事故应急处置</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发现事故</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＜5分钟</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赶到现场</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＜15分钟</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正确处置</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0错误</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清理现场</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＜15分钟</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意外损失追偿</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＞95%</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5"/>
        </w:trPr>
        <w:tc>
          <w:tcPr>
            <w:gridSpan w:val="2"/>
            <w:shd w:val="clear" w:color="auto" w:fill="auto"/>
            <w:tcW w:w="18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社会满意率</w:t>
            </w:r>
            <w:r/>
          </w:p>
        </w:tc>
        <w:tc>
          <w:tcPr>
            <w:shd w:val="clear" w:color="auto" w:fill="auto"/>
            <w:tcW w:w="1007" w:type="pct"/>
            <w:vAlign w:val="center"/>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＞98%</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95"/>
        </w:trPr>
        <w:tc>
          <w:tcPr>
            <w:gridSpan w:val="2"/>
            <w:shd w:val="clear" w:color="auto" w:fill="auto"/>
            <w:tcW w:w="1871"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安全生产</w:t>
            </w:r>
            <w:r/>
          </w:p>
        </w:tc>
        <w:tc>
          <w:tcPr>
            <w:shd w:val="clear" w:color="auto" w:fill="auto"/>
            <w:tcW w:w="1007"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责任事故</w:t>
            </w:r>
            <w:r/>
          </w:p>
        </w:tc>
        <w:tc>
          <w:tcPr>
            <w:shd w:val="clear" w:color="auto" w:fill="auto"/>
            <w:tcW w:w="828"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0</w:t>
            </w:r>
            <w:r/>
          </w:p>
        </w:tc>
        <w:tc>
          <w:tcPr>
            <w:shd w:val="clear" w:color="auto" w:fill="auto"/>
            <w:tcW w:w="1293"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3.2软件</w:t>
      </w:r>
      <w:r>
        <w:rPr>
          <w:rFonts w:hint="eastAsia" w:ascii="Times New Roman" w:hAnsi="Times New Roman" w:eastAsiaTheme="minorEastAsia"/>
          <w:sz w:val="24"/>
          <w:szCs w:val="24"/>
          <w:highlight w:val="none"/>
        </w:rPr>
        <w:t xml:space="preserve">系统</w:t>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3.2.1全方位可视系统</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3.2.1.1主要运维范围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全方位可视系统基于GIS地图，通过多层信息融合，全面呈现隧道运行态势。系统有效整合建设、运行、环境、管养及结构健康等多源数据，深度挖掘与分析数据价值，实现隧道日常运营、养护管理及区域应急响应的精细化、智能化和智慧化升级。</w:t>
      </w:r>
      <w:r/>
    </w:p>
    <w:p>
      <w:pPr>
        <w:pStyle w:val="756"/>
        <w:numPr>
          <w:ilvl w:val="3"/>
          <w:numId w:val="0"/>
        </w:numPr>
        <w:rPr>
          <w:rFonts w:hint="eastAsia" w:ascii="Times New Roman" w:hAnsi="Times New Roman" w:eastAsiaTheme="minorEastAsia"/>
          <w:sz w:val="24"/>
          <w:szCs w:val="24"/>
          <w:highlight w:val="none"/>
          <w:lang w:eastAsia="zh-CN"/>
        </w:rPr>
      </w:pPr>
      <w:r>
        <w:rPr>
          <w:rFonts w:ascii="Times New Roman" w:hAnsi="Times New Roman" w:eastAsiaTheme="minorEastAsia"/>
          <w:sz w:val="24"/>
          <w:szCs w:val="24"/>
          <w:highlight w:val="none"/>
        </w:rPr>
        <w:t xml:space="preserve">3.2.1.2运行管理</w:t>
      </w:r>
      <w:r>
        <w:rPr>
          <w:rFonts w:hint="eastAsia" w:ascii="Times New Roman" w:hAnsi="Times New Roman" w:eastAsiaTheme="minorEastAsia"/>
          <w:sz w:val="24"/>
          <w:szCs w:val="24"/>
          <w:highlight w:val="none"/>
        </w:rPr>
        <w:t xml:space="preserve">要求</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平台运行效能、设备完好状态及系统整体状况进行检查。重点核查软件启动环节能否正常打开页面，并执行例行功能检查：确认车流量模块数据是否正常生成，设备监测模块中显示的异常设备是否与现场实际情况一致，地图模块的点位展示与打点视频播放是否正常，以及全息模块的页面跳转功能是否运行正常。所有系统及功能异常均须记入巡检记录并及时上报处理。</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针对日常巡查中发现的故障进行诊断、分析并跟踪后续处理情况，保障应用系统涉及的各方面，持续开展故障诊断、系统监控和例行巡检，同时推进应用级运维和性能调优，定期进行评估并协调相关单位完成服务调度与资源优化。</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hint="default" w:eastAsiaTheme="minorEastAsia"/>
          <w:b/>
          <w:bCs/>
          <w:sz w:val="24"/>
          <w:szCs w:val="24"/>
          <w:highlight w:val="none"/>
          <w:lang w:val="en-US" w:eastAsia="zh-CN"/>
        </w:rPr>
      </w:pPr>
      <w:r>
        <w:rPr>
          <w:rFonts w:hint="eastAsia" w:ascii="Times New Roman" w:hAnsi="Times New Roman" w:eastAsiaTheme="minorEastAsia"/>
          <w:sz w:val="24"/>
          <w:szCs w:val="24"/>
          <w:highlight w:val="none"/>
        </w:rPr>
        <w:t xml:space="preserve">利用接口测试工具Postman对操作系统、数据库及中间件接口的运行状态与连通性进行测试；检查系统部署所在服务器的磁盘使用率、内存使用率，评估系统补丁更新需求，并确认病毒防护机制运行正常。</w:t>
      </w:r>
      <w:r/>
    </w:p>
    <w:p>
      <w:pPr>
        <w:ind w:firstLine="482"/>
        <w:spacing w:line="360" w:lineRule="auto"/>
        <w:rPr>
          <w:rFonts w:hint="eastAsia" w:ascii="Times New Roman" w:hAnsi="Times New Roman" w:eastAsiaTheme="minorEastAsia"/>
          <w:b/>
          <w:bCs/>
          <w:sz w:val="24"/>
          <w:szCs w:val="24"/>
          <w:highlight w:val="none"/>
        </w:rPr>
      </w:pPr>
      <w:r>
        <w:rPr>
          <w:rFonts w:hint="eastAsia" w:eastAsiaTheme="minorEastAsia"/>
          <w:b/>
          <w:bCs/>
          <w:sz w:val="24"/>
          <w:szCs w:val="24"/>
          <w:highlight w:val="none"/>
          <w:lang w:val="en-US" w:eastAsia="zh-CN"/>
        </w:rPr>
        <w:t xml:space="preserve">4.</w:t>
      </w:r>
      <w:r>
        <w:rPr>
          <w:rFonts w:hint="eastAsia" w:ascii="Times New Roman" w:hAnsi="Times New Roman" w:eastAsiaTheme="minorEastAsia"/>
          <w:b/>
          <w:bCs/>
          <w:sz w:val="24"/>
          <w:szCs w:val="24"/>
          <w:highlight w:val="none"/>
        </w:rPr>
        <w:t xml:space="preserve">其他要求：</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信息技术服务</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建立服务台与事件管理流程，明确巡检、故障诊断、调度优化等职责，定期评估性能并持续调优。</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信息安全</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系统登录设权限管控，密码专人专管并定期更换；部署病毒防护与补丁更新机制，确保GIS与多源数据安全。</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业务连续性</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设备故障须在目标抢修时间内修复</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定期检查接口与资源状态，保障车流量、设备监测、地图展示等功能连续可用。</w:t>
      </w:r>
      <w:r/>
    </w:p>
    <w:p>
      <w:pPr>
        <w:ind w:firstLine="482"/>
        <w:spacing w:line="360" w:lineRule="auto"/>
        <w:rPr>
          <w:rFonts w:hint="eastAsia" w:eastAsiaTheme="minorEastAsia"/>
          <w:sz w:val="24"/>
          <w:szCs w:val="24"/>
          <w:highlight w:val="none"/>
          <w:lang w:val="en-US" w:eastAsia="zh-CN"/>
        </w:rPr>
      </w:pPr>
      <w:r>
        <w:rPr>
          <w:rFonts w:hint="eastAsia" w:ascii="Times New Roman" w:hAnsi="Times New Roman" w:eastAsiaTheme="minorEastAsia"/>
          <w:b/>
          <w:bCs/>
          <w:sz w:val="24"/>
          <w:szCs w:val="24"/>
          <w:highlight w:val="none"/>
        </w:rPr>
        <w:t xml:space="preserve">大数据安全</w:t>
      </w:r>
      <w:r>
        <w:rPr>
          <w:rFonts w:hint="eastAsia" w:eastAsiaTheme="minorEastAsia"/>
          <w:sz w:val="24"/>
          <w:szCs w:val="24"/>
          <w:highlight w:val="none"/>
          <w:lang w:eastAsia="zh-CN"/>
        </w:rPr>
        <w:t xml:space="preserve">：</w:t>
      </w:r>
      <w:r>
        <w:rPr>
          <w:rFonts w:hint="eastAsia" w:eastAsiaTheme="minorEastAsia"/>
          <w:sz w:val="24"/>
          <w:szCs w:val="24"/>
          <w:highlight w:val="none"/>
          <w:lang w:val="en-US" w:eastAsia="zh-CN"/>
        </w:rPr>
        <w:t xml:space="preserve">对建设、运行、环境、管养及结构健康等多源数据分类管控，确保融合展示过程防篡改、可追溯。</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信息系统服务交付</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明确运维交付清单（巡检记录、故障跟踪报告等），按日/月/年周期执行，确保服务可量化、可验证。</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lang w:val="en-US" w:eastAsia="zh-CN"/>
        </w:rPr>
        <w:t xml:space="preserve">系统访问与密码管理：</w:t>
      </w:r>
      <w:r>
        <w:rPr>
          <w:rFonts w:hint="eastAsia" w:ascii="Times New Roman" w:hAnsi="Times New Roman" w:eastAsiaTheme="minorEastAsia"/>
          <w:sz w:val="24"/>
          <w:szCs w:val="24"/>
          <w:highlight w:val="none"/>
        </w:rPr>
        <w:t xml:space="preserve">进入系统必须设置一定维护权限，只有专业工程师或由其指定的人员才能进入系统进行操作。进入系统的密码必须由专业工程师妥善管理，不得随意泄露。</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lang w:val="en-US" w:eastAsia="zh-CN"/>
        </w:rPr>
        <w:t xml:space="preserve">故障抢修要求</w:t>
      </w:r>
      <w:r>
        <w:rPr>
          <w:rFonts w:hint="eastAsia" w:ascii="Times New Roman" w:hAnsi="Times New Roman" w:eastAsiaTheme="minorEastAsia"/>
          <w:sz w:val="24"/>
          <w:szCs w:val="24"/>
          <w:highlight w:val="none"/>
          <w:lang w:val="en-US" w:eastAsia="zh-CN"/>
        </w:rPr>
        <w:t xml:space="preserve">：</w:t>
      </w: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按计划进行经常性检修和定期检修，维护时应严格按照操作规范说明书的要求进行。全方位可视系统检修主要内容及周期如下表所示：</w:t>
      </w:r>
      <w:r/>
    </w:p>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bl>
      <w:tblPr>
        <w:tblStyle w:val="76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80"/>
        <w:gridCol w:w="1564"/>
        <w:gridCol w:w="2975"/>
        <w:gridCol w:w="1258"/>
        <w:gridCol w:w="1253"/>
        <w:gridCol w:w="1339"/>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经常检修</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定期检修</w:t>
            </w:r>
            <w:r/>
          </w:p>
        </w:tc>
      </w:tr>
      <w:tr>
        <w:trPr>
          <w:trHeight w:val="2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right w:val="single" w:color="000000" w:sz="4" w:space="0"/>
            </w:tcBorders>
            <w:tcW w:w="852" w:type="pct"/>
            <w:vAlign w:val="center"/>
            <w:vMerge w:val="restart"/>
            <w:textDirection w:val="lrTb"/>
            <w:noWrap/>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全方位可视系统</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1.软件启动检查：页面是否能正常打开</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2.软件例行检查：</w:t>
            </w:r>
            <w:r>
              <w:rPr>
                <w:rFonts w:hint="eastAsia" w:ascii="Times New Roman" w:hAnsi="Times New Roman" w:eastAsiaTheme="minorEastAsia"/>
                <w:sz w:val="24"/>
                <w:szCs w:val="24"/>
                <w:highlight w:val="none"/>
              </w:rPr>
              <w:t xml:space="preserve">车流量模块是否有数据；设备监测模块中异常设备是否与现场实际一致；地图模块点位展示是否显示正常，打点视频是否能正常展示；全息模块跳转页面是否正常等</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3.针对日常巡查中发现的故障进行诊断、分析以及跟踪后续处理情况</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4.利用接口测试工具postman来测试</w:t>
            </w:r>
            <w:r>
              <w:rPr>
                <w:rFonts w:hint="eastAsia" w:ascii="Times New Roman" w:hAnsi="Times New Roman" w:eastAsiaTheme="minorEastAsia"/>
                <w:sz w:val="24"/>
                <w:szCs w:val="24"/>
                <w:highlight w:val="none"/>
              </w:rPr>
              <w:t xml:space="preserve">操作系统、数据库和中间件</w:t>
            </w:r>
            <w:r>
              <w:rPr>
                <w:rFonts w:hint="eastAsia" w:ascii="Times New Roman" w:hAnsi="Times New Roman" w:cs="宋体" w:eastAsiaTheme="minorEastAsia"/>
                <w:color w:val="000000"/>
                <w:sz w:val="24"/>
                <w:szCs w:val="24"/>
                <w:highlight w:val="none"/>
              </w:rPr>
              <w:t xml:space="preserve">接口是否有异常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r>
        <w:trPr>
          <w:trHeight w:val="280"/>
        </w:trPr>
        <w:tc>
          <w:tcPr>
            <w:tcBorders>
              <w:left w:val="single" w:color="000000" w:sz="4" w:space="0"/>
              <w:bottom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bottom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5.系统布置所在服务器磁盘使用率、内存使用率，是否需要补丁更新以及病毒防护是否正常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3.2.2</w:t>
      </w:r>
      <w:r>
        <w:rPr>
          <w:rFonts w:hint="eastAsia" w:ascii="Times New Roman" w:hAnsi="Times New Roman" w:eastAsiaTheme="minorEastAsia"/>
          <w:sz w:val="24"/>
          <w:szCs w:val="24"/>
          <w:highlight w:val="none"/>
        </w:rPr>
        <w:t xml:space="preserve">安全监测</w:t>
      </w:r>
      <w:r>
        <w:rPr>
          <w:rFonts w:ascii="Times New Roman" w:hAnsi="Times New Roman" w:eastAsiaTheme="minorEastAsia"/>
          <w:sz w:val="24"/>
          <w:szCs w:val="24"/>
          <w:highlight w:val="none"/>
        </w:rPr>
        <w:t xml:space="preserve">系统</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3.2.2.1主要运维范围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安全监测系统中集成了通行安全监测、本体安全监测两大监测体系，通行安全监测包含隧道车流量监测、事件的统计及分析、隧道机电设备的实时监控和集中管理等子模块；本体安全监测包含结构应变监测、不均匀沉降监测、管片偏转监测、接缝变形监测、振动响应监测、收敛变形监测。安全监测系统</w:t>
      </w:r>
      <w:r>
        <w:rPr>
          <w:rFonts w:hint="eastAsia" w:ascii="Times New Roman" w:hAnsi="Times New Roman" w:cs="宋体" w:eastAsiaTheme="minorEastAsia"/>
          <w:sz w:val="24"/>
          <w:szCs w:val="24"/>
          <w:highlight w:val="none"/>
        </w:rPr>
        <w:t xml:space="preserve">可持续、实时对隧道的运营状态进行监测，确保隧道运营的安全和提高隧道的管理水平。</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3.2.2.2运行管理</w:t>
      </w:r>
      <w:r>
        <w:rPr>
          <w:rFonts w:hint="eastAsia" w:ascii="Times New Roman" w:hAnsi="Times New Roman" w:eastAsiaTheme="minorEastAsia"/>
          <w:sz w:val="24"/>
          <w:szCs w:val="24"/>
          <w:highlight w:val="none"/>
        </w:rPr>
        <w:t xml:space="preserve">要求</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对平台运行效能、设备完好状态和系统整体状况进行检查，重点围绕软件系统运行开展如下检查</w:t>
      </w:r>
      <w:r>
        <w:rPr>
          <w:rFonts w:hint="eastAsia" w:ascii="Times New Roman" w:hAnsi="Times New Roman" w:eastAsiaTheme="minorEastAsia"/>
          <w:sz w:val="24"/>
          <w:szCs w:val="24"/>
          <w:highlight w:val="none"/>
        </w:rPr>
        <w:t xml:space="preserve">：</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系统启动状态检查：核查软件系统各主要功能页面能否正常打开访问；</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系统功能运行检查：对比历史数据对车流量数据的异常情况进行核查，验证事件视频监测中事件切换与视频播放功能是否正常运行，并检查设备告警数据的逻辑一致性及异常情况。</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所有在平台系统运行过程中发现的异常情况，均须在巡检记录中详细登记，并及时上报处理。</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针对日常巡查中发现的故障进行诊断、分析并跟踪后续处理情况，保障应用系统涉及的各方面，持续开展故障诊断、系统监控和例行巡检，同时推进应用级运维和性能调优，定期进行评估并协调相关单位完成服务调度与资源优化。</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利用接口测试工具Postman对操作系统、数据库及中间件接口的运行状态与连通性进行测试；检查系统部署所在服务器的磁盘使用率、内存使用率，评估系统补丁更新需求，并确认病毒防护机制运行正常。</w:t>
      </w:r>
      <w:r/>
    </w:p>
    <w:p>
      <w:pPr>
        <w:numPr>
          <w:ilvl w:val="0"/>
          <w:numId w:val="6"/>
        </w:numPr>
        <w:ind w:firstLine="482"/>
        <w:spacing w:line="360" w:lineRule="auto"/>
        <w:rPr>
          <w:rFonts w:hint="eastAsia"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其他要求：</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信息技术服务</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建立服务台与事件管理流程，明确巡检、故障诊断、调度优化等职责，定期评估性能并持续调优。</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信息安全</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系统登录设权限管控，密码专人专管并定期更换；部署病毒防护与补丁更新机制，防止未授权访问。</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业务连续性</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设备故障须在目标抢修时间内修复，定期检查接口与资源状态，保障通行与本体安全监测连续运行。</w:t>
      </w:r>
      <w:r/>
    </w:p>
    <w:p>
      <w:pPr>
        <w:ind w:firstLine="482"/>
        <w:spacing w:line="360" w:lineRule="auto"/>
        <w:rPr>
          <w:rFonts w:hint="eastAsia" w:eastAsiaTheme="minorEastAsia"/>
          <w:sz w:val="24"/>
          <w:szCs w:val="24"/>
          <w:highlight w:val="none"/>
          <w:lang w:val="en-US" w:eastAsia="zh-CN"/>
        </w:rPr>
      </w:pPr>
      <w:r>
        <w:rPr>
          <w:rFonts w:hint="eastAsia" w:ascii="Times New Roman" w:hAnsi="Times New Roman" w:eastAsiaTheme="minorEastAsia"/>
          <w:b/>
          <w:bCs/>
          <w:sz w:val="24"/>
          <w:szCs w:val="24"/>
          <w:highlight w:val="none"/>
        </w:rPr>
        <w:t xml:space="preserve">大数据安全</w:t>
      </w:r>
      <w:r>
        <w:rPr>
          <w:rFonts w:hint="eastAsia" w:eastAsiaTheme="minorEastAsia"/>
          <w:sz w:val="24"/>
          <w:szCs w:val="24"/>
          <w:highlight w:val="none"/>
          <w:lang w:eastAsia="zh-CN"/>
        </w:rPr>
        <w:t xml:space="preserve">：</w:t>
      </w:r>
      <w:r>
        <w:rPr>
          <w:rFonts w:hint="eastAsia" w:eastAsiaTheme="minorEastAsia"/>
          <w:sz w:val="24"/>
          <w:szCs w:val="24"/>
          <w:highlight w:val="none"/>
          <w:lang w:val="en-US" w:eastAsia="zh-CN"/>
        </w:rPr>
        <w:t xml:space="preserve">车流量、事件、结构监测等多源数据分类分级管控，确保数据采集、对比、告警过程防篡改、可追溯。</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信息系统服务交付</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明确运维交付清单（巡检记录、故障跟踪报告等），按日/月/年周期执行，确保服务可量化、可验证。</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lang w:val="en-US" w:eastAsia="zh-CN"/>
        </w:rPr>
        <w:t xml:space="preserve">系统访问与密码管理：</w:t>
      </w:r>
      <w:r>
        <w:rPr>
          <w:rFonts w:hint="eastAsia" w:ascii="Times New Roman" w:hAnsi="Times New Roman" w:eastAsiaTheme="minorEastAsia"/>
          <w:sz w:val="24"/>
          <w:szCs w:val="24"/>
          <w:highlight w:val="none"/>
        </w:rPr>
        <w:t xml:space="preserve">进入系统必须设置一定维护权限，只有专业工程师或由其指定的人员才能进入系统进行操作。进入系统的密码必须由专业工程师妥善管理，不得随意泄露。</w:t>
      </w:r>
      <w:r/>
    </w:p>
    <w:p>
      <w:pPr>
        <w:ind w:firstLine="482"/>
        <w:spacing w:line="360" w:lineRule="auto"/>
        <w:rPr>
          <w:rFonts w:hint="eastAsia"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lang w:val="en-US" w:eastAsia="zh-CN"/>
        </w:rPr>
        <w:t xml:space="preserve">故障抢修要求</w:t>
      </w:r>
      <w:r>
        <w:rPr>
          <w:rFonts w:hint="eastAsia" w:ascii="Times New Roman" w:hAnsi="Times New Roman" w:eastAsiaTheme="minorEastAsia"/>
          <w:sz w:val="24"/>
          <w:szCs w:val="24"/>
          <w:highlight w:val="none"/>
          <w:lang w:val="en-US" w:eastAsia="zh-CN"/>
        </w:rPr>
        <w:t xml:space="preserve">：</w:t>
      </w: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按计划进行经常性检修和定期检修，维护时应严格按照操作规范说明书的要求进行。安全监测系统检修主要内容及周期如下表所示：</w:t>
      </w:r>
      <w:r/>
    </w:p>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bl>
      <w:tblPr>
        <w:tblStyle w:val="76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80"/>
        <w:gridCol w:w="1564"/>
        <w:gridCol w:w="2975"/>
        <w:gridCol w:w="1258"/>
        <w:gridCol w:w="1253"/>
        <w:gridCol w:w="1339"/>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经常检修</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定期检修</w:t>
            </w:r>
            <w:r/>
          </w:p>
        </w:tc>
      </w:tr>
      <w:tr>
        <w:trPr>
          <w:trHeight w:val="2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right w:val="single" w:color="000000" w:sz="4" w:space="0"/>
            </w:tcBorders>
            <w:tcW w:w="852" w:type="pct"/>
            <w:vAlign w:val="center"/>
            <w:vMerge w:val="restart"/>
            <w:textDirection w:val="lrTb"/>
            <w:noWrap/>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安全监测系统</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1.软件启动检查：页面是否能正常打开</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2.软件例行检查：</w:t>
            </w:r>
            <w:r>
              <w:rPr>
                <w:rFonts w:hint="eastAsia" w:ascii="Times New Roman" w:hAnsi="Times New Roman" w:eastAsiaTheme="minorEastAsia"/>
                <w:sz w:val="24"/>
                <w:szCs w:val="24"/>
                <w:highlight w:val="none"/>
              </w:rPr>
              <w:t xml:space="preserve">车流量数据是否异常，根据以往过往数据进行对比；事件视频监测切换事件，视频播放是否正常；设备告警数据是否异常等</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3.针对日常巡查中发现的故障进行诊断、分析以及跟踪后续处理情况</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4.利用接口测试工具postman来测试</w:t>
            </w:r>
            <w:r>
              <w:rPr>
                <w:rFonts w:hint="eastAsia" w:ascii="Times New Roman" w:hAnsi="Times New Roman" w:eastAsiaTheme="minorEastAsia"/>
                <w:sz w:val="24"/>
                <w:szCs w:val="24"/>
                <w:highlight w:val="none"/>
              </w:rPr>
              <w:t xml:space="preserve">操作系统、数据库和中间件</w:t>
            </w:r>
            <w:r>
              <w:rPr>
                <w:rFonts w:hint="eastAsia" w:ascii="Times New Roman" w:hAnsi="Times New Roman" w:cs="宋体" w:eastAsiaTheme="minorEastAsia"/>
                <w:color w:val="000000"/>
                <w:sz w:val="24"/>
                <w:szCs w:val="24"/>
                <w:highlight w:val="none"/>
              </w:rPr>
              <w:t xml:space="preserve">接口是否有异常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r>
        <w:trPr>
          <w:trHeight w:val="280"/>
        </w:trPr>
        <w:tc>
          <w:tcPr>
            <w:tcBorders>
              <w:left w:val="single" w:color="000000" w:sz="4" w:space="0"/>
              <w:bottom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bottom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5.系统布置所在服务器磁盘使用率、内存使用率，是否需要补丁更新以及病毒防护是否正常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3.2.3设备集控系统</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3.2.3.1主要运维范围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设备集控系统是隧道智能管理的核心子系统，集数据采集、通信处理、协调控制、操作监视与设备控制功能于一体。该系统整合了照明、通风、监控、供配电、交通诱导及消防等关键系统的数据，实现对隧道设备的一体化监测与联动控制。</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其中本次服务仅负责与各系统进行平台级数据对接及指令下发，不承担相关硬件设备的维护、维修及更换工作。涉及系统与具体对接内容如下：</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照明系统：照明灯具状态信息采集与远程开关控制指令下发；</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通风系统：风机运行状态（在线/离线/正转/反转）采集与远程启停控制指令下发；</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供配电系统：电力监控单元通讯链路状态监测；</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消防系统：火灾报警信号、水泵工作状态与启停控制、水位检测仪状态及实时水位高度等信息的接收。</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3.2.3.2运行管理</w:t>
      </w:r>
      <w:r>
        <w:rPr>
          <w:rFonts w:hint="eastAsia" w:ascii="Times New Roman" w:hAnsi="Times New Roman" w:eastAsiaTheme="minorEastAsia"/>
          <w:sz w:val="24"/>
          <w:szCs w:val="24"/>
          <w:highlight w:val="none"/>
        </w:rPr>
        <w:t xml:space="preserve">要求</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对平台整体运行状况及软件系统进行检查，重点核查以下内容：软件启动及访问状态，验证各主要功能页面能否正常打开；系统界面及数据显示功能，检查异常设备数量显示是否正确、各设备信息弹窗显示是否正常等。所有平台系统及设备线上异常都应体现在巡检记录中并及时上报处理。</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针对日常巡查中发现的故障进行诊断、分析并跟踪后续处理情况，保障应用系统涉及的各方面，持续开展故障诊断、系统监控和例行巡检，同时推进应用级运维和性能调优，定期进行评估并协调相关单位完成服务调度与资源优化。</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利用接口测试工具Postman对操作系统、数据库及中间件接口的运行状态与连通性进行测试；检查系统部署所在服务器的磁盘使用率、内存使用率，评估系统补丁更新需求，并确认病毒防护机制运行正常。</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4.其他要求：</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信息技术服务</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建立服务台与事件管理流程，明确巡检、故障诊断、调度优化等职责，定期评估性能并持续调优。</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信息安全</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系统登录设权限管控，密码专人专管并定期更换；部署病毒防护与补丁更新机制，确保平台级数据对接与指令下发安全。</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业务连续性</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设备故障按目标抢修时间修复，定期检查接口与资源状态，保障照明、通风、消防等系统联动控制连续可用。</w:t>
      </w:r>
      <w:r/>
    </w:p>
    <w:p>
      <w:pPr>
        <w:ind w:firstLine="482"/>
        <w:spacing w:line="360" w:lineRule="auto"/>
        <w:rPr>
          <w:rFonts w:hint="eastAsia" w:eastAsiaTheme="minorEastAsia"/>
          <w:sz w:val="24"/>
          <w:szCs w:val="24"/>
          <w:highlight w:val="none"/>
          <w:lang w:val="en-US" w:eastAsia="zh-CN"/>
        </w:rPr>
      </w:pPr>
      <w:r>
        <w:rPr>
          <w:rFonts w:hint="eastAsia" w:ascii="Times New Roman" w:hAnsi="Times New Roman" w:eastAsiaTheme="minorEastAsia"/>
          <w:b/>
          <w:bCs/>
          <w:sz w:val="24"/>
          <w:szCs w:val="24"/>
          <w:highlight w:val="none"/>
        </w:rPr>
        <w:t xml:space="preserve">大数据安全</w:t>
      </w:r>
      <w:r>
        <w:rPr>
          <w:rFonts w:hint="eastAsia" w:eastAsiaTheme="minorEastAsia"/>
          <w:sz w:val="24"/>
          <w:szCs w:val="24"/>
          <w:highlight w:val="none"/>
          <w:lang w:eastAsia="zh-CN"/>
        </w:rPr>
        <w:t xml:space="preserve">：</w:t>
      </w:r>
      <w:r>
        <w:rPr>
          <w:rFonts w:hint="eastAsia" w:eastAsiaTheme="minorEastAsia"/>
          <w:sz w:val="24"/>
          <w:szCs w:val="24"/>
          <w:highlight w:val="none"/>
          <w:lang w:val="en-US" w:eastAsia="zh-CN"/>
        </w:rPr>
        <w:t xml:space="preserve">对设备状态、告警、控制指令等多源数据分类管控，确保采集、对接、下发过程防篡改、可追溯。</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信息系统服务交付</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明确运维交付清单（巡检记录、故障跟踪报告等），按日/月/年周期执行，确保服务可量化、可验证。</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lang w:val="en-US" w:eastAsia="zh-CN"/>
        </w:rPr>
        <w:t xml:space="preserve">系统访问与密码管理：</w:t>
      </w:r>
      <w:r>
        <w:rPr>
          <w:rFonts w:hint="eastAsia" w:ascii="Times New Roman" w:hAnsi="Times New Roman" w:eastAsiaTheme="minorEastAsia"/>
          <w:sz w:val="24"/>
          <w:szCs w:val="24"/>
          <w:highlight w:val="none"/>
        </w:rPr>
        <w:t xml:space="preserve">进入系统必须设置一定维护权限，只有专业工程师或由其指定的人员才能进入系统进行操作。进入系统的密码必须由专业工程师妥善管理，不得随意泄露。</w:t>
      </w:r>
      <w:r/>
    </w:p>
    <w:p>
      <w:pPr>
        <w:ind w:firstLine="482"/>
        <w:spacing w:line="360" w:lineRule="auto"/>
        <w:rPr>
          <w:rFonts w:hint="eastAsia"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lang w:val="en-US" w:eastAsia="zh-CN"/>
        </w:rPr>
        <w:t xml:space="preserve">故障抢修要求</w:t>
      </w:r>
      <w:r>
        <w:rPr>
          <w:rFonts w:hint="eastAsia" w:ascii="Times New Roman" w:hAnsi="Times New Roman" w:eastAsiaTheme="minorEastAsia"/>
          <w:sz w:val="24"/>
          <w:szCs w:val="24"/>
          <w:highlight w:val="none"/>
          <w:lang w:val="en-US" w:eastAsia="zh-CN"/>
        </w:rPr>
        <w:t xml:space="preserve">：</w:t>
      </w: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按计划进行经常性检修和定期检修，维护时应严格按照操作规范说明书的要求进行。设备集控系统检修主要内容及周期如下表所示：</w:t>
      </w:r>
      <w:r/>
    </w:p>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564"/>
        <w:gridCol w:w="2975"/>
        <w:gridCol w:w="1258"/>
        <w:gridCol w:w="1253"/>
        <w:gridCol w:w="1339"/>
      </w:tblGrid>
      <w:tr>
        <w:trPr>
          <w:trHeight w:val="300"/>
        </w:trPr>
        <w:tc>
          <w:tcPr>
            <w:shd w:val="clear" w:color="auto" w:fill="auto"/>
            <w:tcW w:w="426"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序号</w:t>
            </w:r>
            <w:r/>
          </w:p>
        </w:tc>
        <w:tc>
          <w:tcPr>
            <w:shd w:val="clear" w:color="auto" w:fill="auto"/>
            <w:tcW w:w="852"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名称</w:t>
            </w:r>
            <w:r/>
          </w:p>
        </w:tc>
        <w:tc>
          <w:tcPr>
            <w:shd w:val="clear" w:color="auto" w:fill="auto"/>
            <w:tcW w:w="162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维护项目</w:t>
            </w:r>
            <w:r/>
          </w:p>
        </w:tc>
        <w:tc>
          <w:tcPr>
            <w:shd w:val="clear" w:color="auto" w:fill="auto"/>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日常巡查</w:t>
            </w:r>
            <w:r/>
          </w:p>
        </w:tc>
        <w:tc>
          <w:tcPr>
            <w:shd w:val="clear" w:color="auto" w:fill="auto"/>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经常检修</w:t>
            </w:r>
            <w:r/>
          </w:p>
        </w:tc>
        <w:tc>
          <w:tcPr>
            <w:shd w:val="clear" w:color="auto" w:fill="auto"/>
            <w:tcW w:w="72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定期检修</w:t>
            </w:r>
            <w:r/>
          </w:p>
        </w:tc>
      </w:tr>
      <w:tr>
        <w:trPr>
          <w:trHeight w:val="280"/>
        </w:trPr>
        <w:tc>
          <w:tcPr>
            <w:shd w:val="clear" w:color="auto" w:fill="auto"/>
            <w:tcW w:w="426"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W w:w="852" w:type="pct"/>
            <w:vAlign w:val="center"/>
            <w:vMerge w:val="restart"/>
            <w:textDirection w:val="lrTb"/>
            <w:noWrap/>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设备集控系统</w:t>
            </w:r>
            <w:r/>
          </w:p>
        </w:tc>
        <w:tc>
          <w:tcPr>
            <w:shd w:val="clear" w:color="auto" w:fill="auto"/>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1.软件启动检查：页面是否能正常打开</w:t>
            </w:r>
            <w:r/>
          </w:p>
        </w:tc>
        <w:tc>
          <w:tcPr>
            <w:shd w:val="clear" w:color="auto" w:fill="auto"/>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2.软件例行检查：</w:t>
            </w:r>
            <w:r>
              <w:rPr>
                <w:rFonts w:hint="eastAsia" w:ascii="Times New Roman" w:hAnsi="Times New Roman" w:eastAsiaTheme="minorEastAsia"/>
                <w:sz w:val="24"/>
                <w:szCs w:val="24"/>
                <w:highlight w:val="none"/>
              </w:rPr>
              <w:t xml:space="preserve">异常设备数量显示是否正确；各设备弹窗显示是否正常等</w:t>
            </w:r>
            <w:r/>
          </w:p>
        </w:tc>
        <w:tc>
          <w:tcPr>
            <w:shd w:val="clear" w:color="auto" w:fill="auto"/>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3.针对日常巡查中发现的故障进行诊断、分析以及跟踪后续处理情况</w:t>
            </w:r>
            <w:r/>
          </w:p>
        </w:tc>
        <w:tc>
          <w:tcPr>
            <w:shd w:val="clear" w:color="auto" w:fill="auto"/>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1次/月</w:t>
            </w:r>
            <w:r/>
          </w:p>
        </w:tc>
        <w:tc>
          <w:tcPr>
            <w:shd w:val="clear" w:color="auto" w:fill="auto"/>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4.利用接口测试工具postman来测试</w:t>
            </w:r>
            <w:r>
              <w:rPr>
                <w:rFonts w:hint="eastAsia" w:ascii="Times New Roman" w:hAnsi="Times New Roman" w:eastAsiaTheme="minorEastAsia"/>
                <w:sz w:val="24"/>
                <w:szCs w:val="24"/>
                <w:highlight w:val="none"/>
              </w:rPr>
              <w:t xml:space="preserve">操作系统、数据库和中间件</w:t>
            </w:r>
            <w:r>
              <w:rPr>
                <w:rFonts w:hint="eastAsia" w:ascii="Times New Roman" w:hAnsi="Times New Roman" w:cs="宋体" w:eastAsiaTheme="minorEastAsia"/>
                <w:color w:val="000000"/>
                <w:sz w:val="24"/>
                <w:szCs w:val="24"/>
                <w:highlight w:val="none"/>
              </w:rPr>
              <w:t xml:space="preserve">接口是否有异常</w:t>
            </w:r>
            <w:r/>
          </w:p>
        </w:tc>
        <w:tc>
          <w:tcPr>
            <w:shd w:val="clear" w:color="auto" w:fill="auto"/>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r>
        <w:trPr>
          <w:trHeight w:val="280"/>
        </w:trPr>
        <w:tc>
          <w:tcPr>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5.系统布置所在服务器磁盘使用率、内存使用率，是否需要补丁更新以及病毒防护是否正常</w:t>
            </w:r>
            <w:r/>
          </w:p>
        </w:tc>
        <w:tc>
          <w:tcPr>
            <w:shd w:val="clear" w:color="auto" w:fill="auto"/>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3.2.4</w:t>
      </w:r>
      <w:r>
        <w:rPr>
          <w:rFonts w:hint="eastAsia" w:ascii="Times New Roman" w:hAnsi="Times New Roman" w:eastAsiaTheme="minorEastAsia"/>
          <w:sz w:val="24"/>
          <w:szCs w:val="24"/>
          <w:highlight w:val="none"/>
        </w:rPr>
        <w:t xml:space="preserve">应急处置</w:t>
      </w:r>
      <w:r>
        <w:rPr>
          <w:rFonts w:ascii="Times New Roman" w:hAnsi="Times New Roman" w:eastAsiaTheme="minorEastAsia"/>
          <w:sz w:val="24"/>
          <w:szCs w:val="24"/>
          <w:highlight w:val="none"/>
        </w:rPr>
        <w:t xml:space="preserve">系统</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3.2.4.1主要运维范围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应急处置系统集路网调度指挥与抢通保通、应急运输力量与资源调度、应急现场信号传输与通信指挥、专业力量指挥为一体，当隧道发生突发事件时（如火灾、重大交通事故等），能够提前预警，快速启动应急预案，及时协调各种处置资源，同时保证各部门间的互联互通，使决策者对发生在辖区范围内的突发事件能够“看得见、听得清、信息准、反应快”。</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3.2.4.2</w:t>
      </w:r>
      <w:r>
        <w:rPr>
          <w:rFonts w:hint="eastAsia" w:ascii="Times New Roman" w:hAnsi="Times New Roman" w:eastAsiaTheme="minorEastAsia"/>
          <w:sz w:val="24"/>
          <w:szCs w:val="24"/>
          <w:highlight w:val="none"/>
        </w:rPr>
        <w:t xml:space="preserve">运行管理要求</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平台运行效能、系统功能和软件模块的运行状态。重点核查各界面访问和功能操作是否正常。具体包括：软件启动检查，验证页面是否正常打开；软件功能检查，检查事件填报信息是否准确显示，事件关联视频能否正常播放等。所有发现的功能异常需记录在巡检记录中并及时上报处理。</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针对日常巡查中发现的故障进行诊断、分析并跟踪后续处理情况，保障应用系统涉及的各方面，持续开展故障诊断、系统监控和例行巡检，同时推进应用级运维和性能调优，定期进行评估并协调相关单位完成服务调度与资源优化。</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利用接口测试工具Postman对操作系统、数据库及中间件接口的运行状态与连通性进行测试；检查系统部署所在服务器的磁盘使用率、内存使用率，评估系统补丁更新需求，并确认病毒防护机制运行正常。</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4.其他要求：</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信息技术服务</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建立服务台与事件管理流程，明确巡检、故障诊断、调度优化等职责，定期评估性能并持续调优。</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信息安全</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系统登录设权限管控，密码专人专管并定期更换；部署病毒防护与补丁更新机制，防止未授权访问。</w:t>
      </w:r>
      <w:r/>
    </w:p>
    <w:p>
      <w:pPr>
        <w:ind w:firstLine="482"/>
        <w:spacing w:line="360" w:lineRule="auto"/>
        <w:rPr>
          <w:rFonts w:hint="eastAsia" w:eastAsiaTheme="minorEastAsia"/>
          <w:sz w:val="24"/>
          <w:szCs w:val="24"/>
          <w:highlight w:val="none"/>
          <w:lang w:val="en-US" w:eastAsia="zh-CN"/>
        </w:rPr>
      </w:pPr>
      <w:r>
        <w:rPr>
          <w:rFonts w:hint="eastAsia" w:ascii="Times New Roman" w:hAnsi="Times New Roman" w:eastAsiaTheme="minorEastAsia"/>
          <w:b/>
          <w:bCs/>
          <w:sz w:val="24"/>
          <w:szCs w:val="24"/>
          <w:highlight w:val="none"/>
        </w:rPr>
        <w:t xml:space="preserve">大数据安全</w:t>
      </w:r>
      <w:r>
        <w:rPr>
          <w:rFonts w:hint="eastAsia" w:eastAsiaTheme="minorEastAsia"/>
          <w:sz w:val="24"/>
          <w:szCs w:val="24"/>
          <w:highlight w:val="none"/>
          <w:lang w:eastAsia="zh-CN"/>
        </w:rPr>
        <w:t xml:space="preserve">：</w:t>
      </w:r>
      <w:r>
        <w:rPr>
          <w:rFonts w:hint="eastAsia" w:eastAsiaTheme="minorEastAsia"/>
          <w:sz w:val="24"/>
          <w:szCs w:val="24"/>
          <w:highlight w:val="none"/>
          <w:lang w:val="en-US" w:eastAsia="zh-CN"/>
        </w:rPr>
        <w:t xml:space="preserve">对事件信息、视频、资源调度等多源数据分类管控，确保填报、关联、传输过程防篡改、可追溯。</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信息系统服务交付</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明确运维交付清单（巡检记录、故障跟踪报告等），按日/月/年周期执行，确保服务可量化、可验证。</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lang w:val="en-US" w:eastAsia="zh-CN"/>
        </w:rPr>
        <w:t xml:space="preserve">系统访问与密码管理：</w:t>
      </w:r>
      <w:r>
        <w:rPr>
          <w:rFonts w:hint="eastAsia" w:ascii="Times New Roman" w:hAnsi="Times New Roman" w:eastAsiaTheme="minorEastAsia"/>
          <w:sz w:val="24"/>
          <w:szCs w:val="24"/>
          <w:highlight w:val="none"/>
        </w:rPr>
        <w:t xml:space="preserve">进入系统必须设置一定维护权限，只有专业工程师或由其指定的人员才能进入系统进行操作。进入系统的密码必须由专业工程师妥善管理，不得随意泄露。</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lang w:val="en-US" w:eastAsia="zh-CN"/>
        </w:rPr>
        <w:t xml:space="preserve">故障抢修要求</w:t>
      </w:r>
      <w:r>
        <w:rPr>
          <w:rFonts w:hint="eastAsia" w:ascii="Times New Roman" w:hAnsi="Times New Roman" w:eastAsiaTheme="minorEastAsia"/>
          <w:sz w:val="24"/>
          <w:szCs w:val="24"/>
          <w:highlight w:val="none"/>
          <w:lang w:val="en-US" w:eastAsia="zh-CN"/>
        </w:rPr>
        <w:t xml:space="preserve">：</w:t>
      </w: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按计划进行经常性检修和定期检修，维护时应严格按照操作规范说明书的要求进行。应急处置系统检修主要内容及周期如下表所示：</w:t>
      </w:r>
      <w:r/>
    </w:p>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bl>
      <w:tblPr>
        <w:tblStyle w:val="76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80"/>
        <w:gridCol w:w="1564"/>
        <w:gridCol w:w="2975"/>
        <w:gridCol w:w="1258"/>
        <w:gridCol w:w="1253"/>
        <w:gridCol w:w="1339"/>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经常检修</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定期检修</w:t>
            </w:r>
            <w:r/>
          </w:p>
        </w:tc>
      </w:tr>
      <w:tr>
        <w:trPr>
          <w:trHeight w:val="2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right w:val="single" w:color="000000" w:sz="4" w:space="0"/>
            </w:tcBorders>
            <w:tcW w:w="852" w:type="pct"/>
            <w:vAlign w:val="center"/>
            <w:vMerge w:val="restart"/>
            <w:textDirection w:val="lrTb"/>
            <w:noWrap/>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应急处置系统</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1.软件启动检查：页面是否能正常打开</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2.软件例行检查：</w:t>
            </w:r>
            <w:r>
              <w:rPr>
                <w:rFonts w:hint="eastAsia" w:ascii="Times New Roman" w:hAnsi="Times New Roman" w:eastAsiaTheme="minorEastAsia"/>
                <w:sz w:val="24"/>
                <w:szCs w:val="24"/>
                <w:highlight w:val="none"/>
              </w:rPr>
              <w:t xml:space="preserve">检查事件填报信息是否正常显示；检查事件中视频是否能正常打开等</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3.针对日常巡查中发现的故障进行诊断、分析以及跟踪后续处理情况</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4.利用接口测试工具postman来测试</w:t>
            </w:r>
            <w:r>
              <w:rPr>
                <w:rFonts w:hint="eastAsia" w:ascii="Times New Roman" w:hAnsi="Times New Roman" w:eastAsiaTheme="minorEastAsia"/>
                <w:sz w:val="24"/>
                <w:szCs w:val="24"/>
                <w:highlight w:val="none"/>
              </w:rPr>
              <w:t xml:space="preserve">操作系统、数据库和中间件</w:t>
            </w:r>
            <w:r>
              <w:rPr>
                <w:rFonts w:hint="eastAsia" w:ascii="Times New Roman" w:hAnsi="Times New Roman" w:cs="宋体" w:eastAsiaTheme="minorEastAsia"/>
                <w:color w:val="000000"/>
                <w:sz w:val="24"/>
                <w:szCs w:val="24"/>
                <w:highlight w:val="none"/>
              </w:rPr>
              <w:t xml:space="preserve">接口是否有异常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r>
        <w:trPr>
          <w:trHeight w:val="280"/>
        </w:trPr>
        <w:tc>
          <w:tcPr>
            <w:tcBorders>
              <w:left w:val="single" w:color="000000" w:sz="4" w:space="0"/>
              <w:bottom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bottom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5.系统布置所在服务器磁盘使用率、内存使用率，是否需要补丁更新以及病毒防护是否正常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3.2.5</w:t>
      </w:r>
      <w:r>
        <w:rPr>
          <w:rFonts w:hint="eastAsia" w:ascii="Times New Roman" w:hAnsi="Times New Roman" w:eastAsiaTheme="minorEastAsia"/>
          <w:sz w:val="24"/>
          <w:szCs w:val="24"/>
          <w:highlight w:val="none"/>
        </w:rPr>
        <w:t xml:space="preserve">养护</w:t>
      </w:r>
      <w:r>
        <w:rPr>
          <w:rFonts w:ascii="Times New Roman" w:hAnsi="Times New Roman" w:eastAsiaTheme="minorEastAsia"/>
          <w:sz w:val="24"/>
          <w:szCs w:val="24"/>
          <w:highlight w:val="none"/>
        </w:rPr>
        <w:t xml:space="preserve">管理系统</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3.2.5.1主要运维范围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养护管理系统主要是实行隧道管养制度，从实际出发，结合技术、经济条件，有计划、有目的地组织、安排管养的生产和管理活动，并依托大数据分析对设备故障进行预防性管养，从而提高隧道管养管理水平，可以有效减少故障的发生率，保证隧道运行安全、延长隧道使用寿命。从而提高隧道管养管理水平，保证隧道运行安全、延长隧道使用寿命。本系统主要包含计划管理、日常养护管理、任务监督管理以及养护统计等功能。</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3.2.5.2</w:t>
      </w:r>
      <w:r>
        <w:rPr>
          <w:rFonts w:hint="eastAsia" w:ascii="Times New Roman" w:hAnsi="Times New Roman" w:eastAsiaTheme="minorEastAsia"/>
          <w:sz w:val="24"/>
          <w:szCs w:val="24"/>
          <w:highlight w:val="none"/>
        </w:rPr>
        <w:t xml:space="preserve">运行管理要求</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检查平台运行效果、完好状况及系统平台的运行情况。重点对各项表单功能的运行状态进行检查，并逐一核查计划清单、问题清单以及作业单等子功能模块的运行情况是否正常。具体包括：</w:t>
      </w:r>
      <w:r>
        <w:rPr>
          <w:rFonts w:ascii="Times New Roman" w:hAnsi="Times New Roman" w:eastAsiaTheme="minorEastAsia"/>
          <w:sz w:val="24"/>
          <w:szCs w:val="24"/>
          <w:highlight w:val="none"/>
        </w:rPr>
        <w:t xml:space="preserve">软件启动检查，验证平台页面能否正常打开；软件功能检查，确认各项表单（计划清单、问题清单、作业单等）功能是否运行正常。所有平台系统及设备线上异常都应体现在巡检记录中并及时上报处理。</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针对日常巡查中发现的故障进行诊断、分析并跟踪后续处理情况，保障应用系统涉及的各方面，持续开展故障诊断、系统监控和例行巡检，同时推进应用级运维和性能调优，定期进行评估并协调相关单位完成服务调度与资源优化。</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利用接口测试工具Postman对操作系统、数据库及中间件接口的运行状态与连通性进行测试；检查系统部署所在服务器的磁盘使用率、内存使用率，评估系统补丁更新需求，并确认病毒防护机制运行正常。</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4.其他要求：</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信息技术服务</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建立服务台与事件管理流程，明确巡检、故障诊断、调度优化等职责，定期评估性能并持续调优。</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信息安全</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系统登录设权限管控，密码专人专管并定期更换；部署病毒防护与补丁更新机制，防止养护数据未授权访问。</w:t>
      </w:r>
      <w:r/>
    </w:p>
    <w:p>
      <w:pPr>
        <w:ind w:firstLine="482"/>
        <w:spacing w:line="360" w:lineRule="auto"/>
        <w:rPr>
          <w:rFonts w:hint="eastAsia" w:eastAsiaTheme="minorEastAsia"/>
          <w:sz w:val="24"/>
          <w:szCs w:val="24"/>
          <w:highlight w:val="none"/>
          <w:lang w:val="en-US" w:eastAsia="zh-CN"/>
        </w:rPr>
      </w:pPr>
      <w:r>
        <w:rPr>
          <w:rFonts w:hint="eastAsia" w:ascii="Times New Roman" w:hAnsi="Times New Roman" w:eastAsiaTheme="minorEastAsia"/>
          <w:b/>
          <w:bCs/>
          <w:sz w:val="24"/>
          <w:szCs w:val="24"/>
          <w:highlight w:val="none"/>
        </w:rPr>
        <w:t xml:space="preserve">大数据安全</w:t>
      </w:r>
      <w:r>
        <w:rPr>
          <w:rFonts w:hint="eastAsia" w:eastAsiaTheme="minorEastAsia"/>
          <w:sz w:val="24"/>
          <w:szCs w:val="24"/>
          <w:highlight w:val="none"/>
          <w:lang w:eastAsia="zh-CN"/>
        </w:rPr>
        <w:t xml:space="preserve">：</w:t>
      </w:r>
      <w:r>
        <w:rPr>
          <w:rFonts w:hint="eastAsia" w:eastAsiaTheme="minorEastAsia"/>
          <w:sz w:val="24"/>
          <w:szCs w:val="24"/>
          <w:highlight w:val="none"/>
          <w:lang w:val="en-US" w:eastAsia="zh-CN"/>
        </w:rPr>
        <w:t xml:space="preserve">对计划清单、问题清单、作业单等养护数据分类管控，确保采集、分析、展示过程防篡改、可追溯。</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信息系统服务交付</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明确运维交付清单（巡检记录、故障跟踪报告等），按日/月/年周期执行，确保服务可量化、可验证。</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lang w:val="en-US" w:eastAsia="zh-CN"/>
        </w:rPr>
        <w:t xml:space="preserve">系统访问与密码管理：</w:t>
      </w:r>
      <w:r>
        <w:rPr>
          <w:rFonts w:hint="eastAsia" w:ascii="Times New Roman" w:hAnsi="Times New Roman" w:eastAsiaTheme="minorEastAsia"/>
          <w:sz w:val="24"/>
          <w:szCs w:val="24"/>
          <w:highlight w:val="none"/>
        </w:rPr>
        <w:t xml:space="preserve">进入系统必须设置一定维护权限，只有专业工程师或由其指定的人员才能进入系统进行操作。进入系统的密码必须由专业工程师妥善管理，不得随意泄露。</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lang w:val="en-US" w:eastAsia="zh-CN"/>
        </w:rPr>
        <w:t xml:space="preserve">故障抢修要求</w:t>
      </w:r>
      <w:r>
        <w:rPr>
          <w:rFonts w:hint="eastAsia" w:ascii="Times New Roman" w:hAnsi="Times New Roman" w:eastAsiaTheme="minorEastAsia"/>
          <w:sz w:val="24"/>
          <w:szCs w:val="24"/>
          <w:highlight w:val="none"/>
          <w:lang w:val="en-US" w:eastAsia="zh-CN"/>
        </w:rPr>
        <w:t xml:space="preserve">：</w:t>
      </w: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按计划进行经常性检修和定期检修，维护时应严格按照操作规范说明书的要求进行。养护管理系统检修主要内容及周期如下表所示：</w:t>
      </w:r>
      <w:r/>
    </w:p>
    <w:tbl>
      <w:tblPr>
        <w:tblStyle w:val="76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80"/>
        <w:gridCol w:w="1564"/>
        <w:gridCol w:w="2975"/>
        <w:gridCol w:w="1258"/>
        <w:gridCol w:w="1253"/>
        <w:gridCol w:w="1339"/>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经常检修</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定期检修</w:t>
            </w:r>
            <w:r/>
          </w:p>
        </w:tc>
      </w:tr>
      <w:tr>
        <w:trPr>
          <w:trHeight w:val="2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right w:val="single" w:color="000000" w:sz="4" w:space="0"/>
            </w:tcBorders>
            <w:tcW w:w="852" w:type="pct"/>
            <w:vAlign w:val="center"/>
            <w:vMerge w:val="restart"/>
            <w:textDirection w:val="lrTb"/>
            <w:noWrap/>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养护管理系统</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1.软件启动检查：页面是否能正常打开</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2.软件例行检查：检查各项表单功能是否正常，包括计划清单、问题清单以及作业单等</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3.针对日常巡查中发现的故障进行诊断、分析以及跟踪后续处理情况</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4.利用接口测试工具postman来测试</w:t>
            </w:r>
            <w:r>
              <w:rPr>
                <w:rFonts w:hint="eastAsia" w:ascii="Times New Roman" w:hAnsi="Times New Roman" w:eastAsiaTheme="minorEastAsia"/>
                <w:sz w:val="24"/>
                <w:szCs w:val="24"/>
                <w:highlight w:val="none"/>
              </w:rPr>
              <w:t xml:space="preserve">操作系统、数据库和中间件</w:t>
            </w:r>
            <w:r>
              <w:rPr>
                <w:rFonts w:hint="eastAsia" w:ascii="Times New Roman" w:hAnsi="Times New Roman" w:cs="宋体" w:eastAsiaTheme="minorEastAsia"/>
                <w:color w:val="000000"/>
                <w:sz w:val="24"/>
                <w:szCs w:val="24"/>
                <w:highlight w:val="none"/>
              </w:rPr>
              <w:t xml:space="preserve">接口是否有异常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r>
        <w:trPr>
          <w:trHeight w:val="280"/>
        </w:trPr>
        <w:tc>
          <w:tcPr>
            <w:tcBorders>
              <w:left w:val="single" w:color="000000" w:sz="4" w:space="0"/>
              <w:bottom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bottom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5.系统布置所在服务器磁盘使用率、内存使用率，是否需要补丁更新以及病毒防护是否正常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3.2.6</w:t>
      </w:r>
      <w:r>
        <w:rPr>
          <w:rFonts w:hint="eastAsia" w:ascii="Times New Roman" w:hAnsi="Times New Roman" w:eastAsiaTheme="minorEastAsia"/>
          <w:sz w:val="24"/>
          <w:szCs w:val="24"/>
          <w:highlight w:val="none"/>
        </w:rPr>
        <w:t xml:space="preserve">公共服务</w:t>
      </w:r>
      <w:r>
        <w:rPr>
          <w:rFonts w:ascii="Times New Roman" w:hAnsi="Times New Roman" w:eastAsiaTheme="minorEastAsia"/>
          <w:sz w:val="24"/>
          <w:szCs w:val="24"/>
          <w:highlight w:val="none"/>
        </w:rPr>
        <w:t xml:space="preserve">系统</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3.2.6.1主要运维范围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公共服务系统内容上涵盖隧道科普、交通安全、报警指南、防灾减灾消灾和应急救援等各方面，以短视频、宣传画册、应用指南等形式，强化警示教育，提升安全意识和自救互救能力。</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公共服务系统能够保证公众信息的发布、复制以及再分配，保证公众信息获取来源和信息格式的多样化、免费共享。能够促进经济社会发展，增加隧道管理的透明度，提高社会的运行效率，保障公民的知情权。</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3.2.6.2</w:t>
      </w:r>
      <w:r>
        <w:rPr>
          <w:rFonts w:hint="eastAsia" w:ascii="Times New Roman" w:hAnsi="Times New Roman" w:eastAsiaTheme="minorEastAsia"/>
          <w:sz w:val="24"/>
          <w:szCs w:val="24"/>
          <w:highlight w:val="none"/>
        </w:rPr>
        <w:t xml:space="preserve">运行管理要求</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检查平台运行效果、完好状况及系统平台的运行情况。重点对平台页面显示功能及内容展现效果进行检查，确认各模块图文内容显示是否正常。具体包括：</w:t>
      </w:r>
      <w:r>
        <w:rPr>
          <w:rFonts w:ascii="Times New Roman" w:hAnsi="Times New Roman" w:eastAsiaTheme="minorEastAsia"/>
          <w:sz w:val="24"/>
          <w:szCs w:val="24"/>
          <w:highlight w:val="none"/>
        </w:rPr>
        <w:t xml:space="preserve">软件启动检查，验证平台页面能否正常打开；软件内容检查，检查图片、文字等内容是否能正常显示。所有平台系统及设备线上异常都应体现在巡检记录中并及时上报处理。</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针对日常巡查中发现的故障进行诊断、分析并跟踪后续处理情况，保障应用系统涉及的各方面，持续开展故障诊断、系统监控和例行巡检，同时推进应用级运维和性能调优，定期进行评估并协调相关单位完成服务调度与资源优化。</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利用接口测试工具Postman对操作系统、数据库及中间件接口的运行状态与连通性进行测试；检查系统部署所在服务器的磁盘使用率、内存使用率，评估系统补丁更新需求，并确认病毒防护机制运行正常。</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4.其他要求：</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信息技术服务</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建立服务台与事件管理流程，明确巡检、故障诊断、调度优化等职责，定期评估性能并持续调优。</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信息安全</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系统登录设权限管控，密码专人专管并定期更换；部署病毒防护与补丁更新机制，确保公众信息发布内容不被篡改。</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业务连续性</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设备故障按目标抢修时间修复，定期检查接口与资源状态，保障科普、报警、应急等内容持续可访问。</w:t>
      </w:r>
      <w:r/>
    </w:p>
    <w:p>
      <w:pPr>
        <w:ind w:firstLine="482"/>
        <w:spacing w:line="360" w:lineRule="auto"/>
        <w:rPr>
          <w:rFonts w:hint="eastAsia" w:eastAsiaTheme="minorEastAsia"/>
          <w:sz w:val="24"/>
          <w:szCs w:val="24"/>
          <w:highlight w:val="none"/>
          <w:lang w:val="en-US" w:eastAsia="zh-CN"/>
        </w:rPr>
      </w:pPr>
      <w:r>
        <w:rPr>
          <w:rFonts w:hint="eastAsia" w:ascii="Times New Roman" w:hAnsi="Times New Roman" w:eastAsiaTheme="minorEastAsia"/>
          <w:b/>
          <w:bCs/>
          <w:sz w:val="24"/>
          <w:szCs w:val="24"/>
          <w:highlight w:val="none"/>
        </w:rPr>
        <w:t xml:space="preserve">大数据安全</w:t>
      </w:r>
      <w:r>
        <w:rPr>
          <w:rFonts w:hint="eastAsia" w:eastAsiaTheme="minorEastAsia"/>
          <w:sz w:val="24"/>
          <w:szCs w:val="24"/>
          <w:highlight w:val="none"/>
          <w:lang w:eastAsia="zh-CN"/>
        </w:rPr>
        <w:t xml:space="preserve">：</w:t>
      </w:r>
      <w:r>
        <w:rPr>
          <w:rFonts w:hint="eastAsia" w:eastAsiaTheme="minorEastAsia"/>
          <w:sz w:val="24"/>
          <w:szCs w:val="24"/>
          <w:highlight w:val="none"/>
          <w:lang w:val="en-US" w:eastAsia="zh-CN"/>
        </w:rPr>
        <w:t xml:space="preserve">对发布内容、用户访问等数据分类管控，确保信息格式多样、免费共享过程中的完整性与可追溯性。</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信息系统服务交付</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明确运维交付清单（巡检记录、故障跟踪报告等），按日/月/年周期执行，确保服务可量化、可验证。</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lang w:val="en-US" w:eastAsia="zh-CN"/>
        </w:rPr>
        <w:t xml:space="preserve">系统访问与密码管理：</w:t>
      </w:r>
      <w:r>
        <w:rPr>
          <w:rFonts w:hint="eastAsia" w:ascii="Times New Roman" w:hAnsi="Times New Roman" w:eastAsiaTheme="minorEastAsia"/>
          <w:sz w:val="24"/>
          <w:szCs w:val="24"/>
          <w:highlight w:val="none"/>
        </w:rPr>
        <w:t xml:space="preserve">进入系统必须设置一定维护权限，只有专业工程师或由其指定的人员才能进入系统进行操作。进入系统的密码必须由专业工程师妥善管理，不得随意泄露。</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lang w:val="en-US" w:eastAsia="zh-CN"/>
        </w:rPr>
        <w:t xml:space="preserve">故障抢修要求</w:t>
      </w:r>
      <w:r>
        <w:rPr>
          <w:rFonts w:hint="eastAsia" w:ascii="Times New Roman" w:hAnsi="Times New Roman" w:eastAsiaTheme="minorEastAsia"/>
          <w:sz w:val="24"/>
          <w:szCs w:val="24"/>
          <w:highlight w:val="none"/>
          <w:lang w:val="en-US" w:eastAsia="zh-CN"/>
        </w:rPr>
        <w:t xml:space="preserve">：</w:t>
      </w: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按计划进行经常性检修和定期检修，维护时应严格按照操作规范说明书的要求进行。公共服务系统检修主要内容及周期如下表所示：</w:t>
      </w:r>
      <w:r/>
    </w:p>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bl>
      <w:tblPr>
        <w:tblStyle w:val="76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80"/>
        <w:gridCol w:w="1564"/>
        <w:gridCol w:w="2975"/>
        <w:gridCol w:w="1258"/>
        <w:gridCol w:w="1253"/>
        <w:gridCol w:w="1339"/>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经常检修</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定期检修</w:t>
            </w:r>
            <w:r/>
          </w:p>
        </w:tc>
      </w:tr>
      <w:tr>
        <w:trPr>
          <w:trHeight w:val="2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right w:val="single" w:color="000000" w:sz="4" w:space="0"/>
            </w:tcBorders>
            <w:tcW w:w="852" w:type="pct"/>
            <w:vAlign w:val="center"/>
            <w:vMerge w:val="restart"/>
            <w:textDirection w:val="lrTb"/>
            <w:noWrap/>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公共服务系统</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1.软件启动检查：页面是否能正常打开</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2.软件例行检查：是否能正常显示图片及文字内容等</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3.针对日常巡查中发现的故障进行诊断、分析以及跟踪后续处理情况</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4.利用接口测试工具postman来测试</w:t>
            </w:r>
            <w:r>
              <w:rPr>
                <w:rFonts w:hint="eastAsia" w:ascii="Times New Roman" w:hAnsi="Times New Roman" w:eastAsiaTheme="minorEastAsia"/>
                <w:sz w:val="24"/>
                <w:szCs w:val="24"/>
                <w:highlight w:val="none"/>
              </w:rPr>
              <w:t xml:space="preserve">操作系统、数据库和中间件</w:t>
            </w:r>
            <w:r>
              <w:rPr>
                <w:rFonts w:hint="eastAsia" w:ascii="Times New Roman" w:hAnsi="Times New Roman" w:cs="宋体" w:eastAsiaTheme="minorEastAsia"/>
                <w:color w:val="000000"/>
                <w:sz w:val="24"/>
                <w:szCs w:val="24"/>
                <w:highlight w:val="none"/>
              </w:rPr>
              <w:t xml:space="preserve">接口是否有异常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r>
        <w:trPr>
          <w:trHeight w:val="280"/>
        </w:trPr>
        <w:tc>
          <w:tcPr>
            <w:tcBorders>
              <w:left w:val="single" w:color="000000" w:sz="4" w:space="0"/>
              <w:bottom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bottom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5.系统布置所在服务器磁盘使用率、内存使用率，是否需要补丁更新以及病毒防护是否正常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3.2.7数字孪生系统</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3.2.7.1主要运维范围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数字孪生系统以瘦西湖隧道三维可视化模型为基础，深度融合监测数据与设备集控信息，实现对隧道内所有机电设备的位置、状态、实时采集数据及交通流量的一体化三维展示。该系统通过直观、动态的可视化呈现，显著提升隧道整体运维的智能化水平与管理效率。</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3.2.7.2</w:t>
      </w:r>
      <w:r>
        <w:rPr>
          <w:rFonts w:hint="eastAsia" w:ascii="Times New Roman" w:hAnsi="Times New Roman" w:eastAsiaTheme="minorEastAsia"/>
          <w:sz w:val="24"/>
          <w:szCs w:val="24"/>
          <w:highlight w:val="none"/>
        </w:rPr>
        <w:t xml:space="preserve">运行管理要求</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检查平台运行效果、完好状况和系统平台的运行情况。重点核查数据准确性及孪生场景功能性是否运行正常。具体包括：</w:t>
      </w:r>
      <w:r>
        <w:rPr>
          <w:rFonts w:ascii="Times New Roman" w:hAnsi="Times New Roman" w:eastAsiaTheme="minorEastAsia"/>
          <w:sz w:val="24"/>
          <w:szCs w:val="24"/>
          <w:highlight w:val="none"/>
        </w:rPr>
        <w:t xml:space="preserve">软件启动检查，验证平台页面能否正常打开；软件例行检查，检查页面数据是否异常，孪生漫游中车辆模拟显示是否正常、点击查看车辆详情功能是否可用，隧道内设备状态展示是否</w:t>
      </w:r>
      <w:r>
        <w:rPr>
          <w:rFonts w:hint="eastAsia" w:ascii="Times New Roman" w:hAnsi="Times New Roman" w:eastAsiaTheme="minorEastAsia"/>
          <w:sz w:val="24"/>
          <w:szCs w:val="24"/>
          <w:highlight w:val="none"/>
        </w:rPr>
        <w:t xml:space="preserve">正常</w:t>
      </w:r>
      <w:r>
        <w:rPr>
          <w:rFonts w:ascii="Times New Roman" w:hAnsi="Times New Roman" w:eastAsiaTheme="minorEastAsia"/>
          <w:sz w:val="24"/>
          <w:szCs w:val="24"/>
          <w:highlight w:val="none"/>
        </w:rPr>
        <w:t xml:space="preserve">等。所有平台系统及设备线上异常都应体现在巡检记录中并及时上报处理。</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针对日常巡查中发现的故障进行诊断、分析并跟踪后续处理情况，保障应用系统涉及的各方面，持续开展故障诊断、系统监控和例行巡检，同时推进应用级运维和性能调优，定期进行评估并协调相关单位完成服务调度与资源优化。</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利用接口测试工具Postman对操作系统、数据库及中间件接口的运行状态与连通性进行测试；检查系统部署所在服务器的磁盘使用率、内存使用率，评估系统补丁更新需求，并确认病毒防护机制运行正常。</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4.其他要求：</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信息技术服务</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建立服务台与事件管理流程，明确巡检、故障诊断、调度优化等职责，定期评估性能并持续调优。</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信息安全</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系统登录设权限管控，密码专人专管并定期更换；部署病毒防护与补丁更新机制，确保三维模型与监测数据安全。</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业务连续性</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设备故障须在目标抢修时间内修复；定期检查服务器资源与接口连通性，保障孪生漫游、设备状态展示等功能连续可用。</w:t>
      </w:r>
      <w:r/>
    </w:p>
    <w:p>
      <w:pPr>
        <w:ind w:firstLine="482"/>
        <w:spacing w:line="360" w:lineRule="auto"/>
        <w:rPr>
          <w:rFonts w:hint="eastAsia" w:eastAsiaTheme="minorEastAsia"/>
          <w:sz w:val="24"/>
          <w:szCs w:val="24"/>
          <w:highlight w:val="none"/>
          <w:lang w:val="en-US" w:eastAsia="zh-CN"/>
        </w:rPr>
      </w:pPr>
      <w:r>
        <w:rPr>
          <w:rFonts w:hint="eastAsia" w:ascii="Times New Roman" w:hAnsi="Times New Roman" w:eastAsiaTheme="minorEastAsia"/>
          <w:b/>
          <w:bCs/>
          <w:sz w:val="24"/>
          <w:szCs w:val="24"/>
          <w:highlight w:val="none"/>
        </w:rPr>
        <w:t xml:space="preserve">大数据安全</w:t>
      </w:r>
      <w:r>
        <w:rPr>
          <w:rFonts w:hint="eastAsia" w:eastAsiaTheme="minorEastAsia"/>
          <w:sz w:val="24"/>
          <w:szCs w:val="24"/>
          <w:highlight w:val="none"/>
          <w:lang w:eastAsia="zh-CN"/>
        </w:rPr>
        <w:t xml:space="preserve">：</w:t>
      </w:r>
      <w:r>
        <w:rPr>
          <w:rFonts w:hint="eastAsia" w:eastAsiaTheme="minorEastAsia"/>
          <w:sz w:val="24"/>
          <w:szCs w:val="24"/>
          <w:highlight w:val="none"/>
          <w:lang w:val="en-US" w:eastAsia="zh-CN"/>
        </w:rPr>
        <w:t xml:space="preserve">对监测数据、设备状态、交通流量等多源数据分类管控，确保融合展示过程防篡改、可追溯。</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信息系统服务交付</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明确运维交付清单（巡检记录、故障跟踪报告等），按日/月/年周期执行，确保服务可量化、可验证。</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lang w:val="en-US" w:eastAsia="zh-CN"/>
        </w:rPr>
        <w:t xml:space="preserve">系统访问与密码管理：</w:t>
      </w:r>
      <w:r>
        <w:rPr>
          <w:rFonts w:hint="eastAsia" w:ascii="Times New Roman" w:hAnsi="Times New Roman" w:eastAsiaTheme="minorEastAsia"/>
          <w:sz w:val="24"/>
          <w:szCs w:val="24"/>
          <w:highlight w:val="none"/>
        </w:rPr>
        <w:t xml:space="preserve">进入系统必须设置一定维护权限，只有专业工程师或由其指定的人员才能进入系统进行操作。进入系统的密码必须由专业工程师妥善管理，不得随意泄露。</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lang w:val="en-US" w:eastAsia="zh-CN"/>
        </w:rPr>
        <w:t xml:space="preserve">故障抢修要求</w:t>
      </w:r>
      <w:r>
        <w:rPr>
          <w:rFonts w:hint="eastAsia" w:ascii="Times New Roman" w:hAnsi="Times New Roman" w:eastAsiaTheme="minorEastAsia"/>
          <w:sz w:val="24"/>
          <w:szCs w:val="24"/>
          <w:highlight w:val="none"/>
          <w:lang w:val="en-US" w:eastAsia="zh-CN"/>
        </w:rPr>
        <w:t xml:space="preserve">：</w:t>
      </w: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按计划进行经常性检修和定期检修，维护时应严格按照操作规范说明书的要求进行。数字孪生系统检修主要内容及周期如下表所示：</w:t>
      </w:r>
      <w:r/>
    </w:p>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bl>
      <w:tblPr>
        <w:tblStyle w:val="76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80"/>
        <w:gridCol w:w="1564"/>
        <w:gridCol w:w="2975"/>
        <w:gridCol w:w="1258"/>
        <w:gridCol w:w="1253"/>
        <w:gridCol w:w="1339"/>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经常检修</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定期检修</w:t>
            </w:r>
            <w:r/>
          </w:p>
        </w:tc>
      </w:tr>
      <w:tr>
        <w:trPr>
          <w:trHeight w:val="2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right w:val="single" w:color="000000" w:sz="4" w:space="0"/>
            </w:tcBorders>
            <w:tcW w:w="852" w:type="pct"/>
            <w:vAlign w:val="center"/>
            <w:vMerge w:val="restart"/>
            <w:textDirection w:val="lrTb"/>
            <w:noWrap/>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数字孪生系统</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1.软件启动检查：页面是否能正常打开</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2.软件例行检查：</w:t>
            </w:r>
            <w:r>
              <w:rPr>
                <w:rFonts w:hint="eastAsia" w:ascii="Times New Roman" w:hAnsi="Times New Roman" w:eastAsiaTheme="minorEastAsia"/>
                <w:sz w:val="24"/>
                <w:szCs w:val="24"/>
                <w:highlight w:val="none"/>
              </w:rPr>
              <w:t xml:space="preserve">页面数据是否异常；孪生漫游中是否有车辆，点击车辆查看车辆详情是否正常；孪生漫游中隧道内设备状态显示是否正常等</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3.针对日常巡查中发现的故障进行诊断、分析以及跟踪后续处理情况</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4.利用接口测试工具postman来测试</w:t>
            </w:r>
            <w:r>
              <w:rPr>
                <w:rFonts w:hint="eastAsia" w:ascii="Times New Roman" w:hAnsi="Times New Roman" w:eastAsiaTheme="minorEastAsia"/>
                <w:sz w:val="24"/>
                <w:szCs w:val="24"/>
                <w:highlight w:val="none"/>
              </w:rPr>
              <w:t xml:space="preserve">操作系统、数据库和中间件</w:t>
            </w:r>
            <w:r>
              <w:rPr>
                <w:rFonts w:hint="eastAsia" w:ascii="Times New Roman" w:hAnsi="Times New Roman" w:cs="宋体" w:eastAsiaTheme="minorEastAsia"/>
                <w:color w:val="000000"/>
                <w:sz w:val="24"/>
                <w:szCs w:val="24"/>
                <w:highlight w:val="none"/>
              </w:rPr>
              <w:t xml:space="preserve">接口是否有异常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r>
        <w:trPr>
          <w:trHeight w:val="280"/>
        </w:trPr>
        <w:tc>
          <w:tcPr>
            <w:tcBorders>
              <w:left w:val="single" w:color="000000" w:sz="4" w:space="0"/>
              <w:bottom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bottom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5.系统布置所在服务器磁盘使用率、内存使用率，是否需要补丁更新以及病毒防护是否正常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3.2.8全息监测系统</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3.2.8.1主要运维范围</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全息监测系统在全要素感知的基础上，融合物联网数据与机器视觉技术，帮助实现</w:t>
      </w:r>
      <w:r>
        <w:rPr>
          <w:rFonts w:hint="eastAsia" w:ascii="Times New Roman" w:hAnsi="Times New Roman" w:eastAsiaTheme="minorEastAsia"/>
          <w:sz w:val="24"/>
          <w:szCs w:val="24"/>
          <w:highlight w:val="none"/>
        </w:rPr>
        <w:t xml:space="preserve">“</w:t>
      </w:r>
      <w:r>
        <w:rPr>
          <w:rFonts w:ascii="Times New Roman" w:hAnsi="Times New Roman" w:eastAsiaTheme="minorEastAsia"/>
          <w:sz w:val="24"/>
          <w:szCs w:val="24"/>
          <w:highlight w:val="none"/>
        </w:rPr>
        <w:t xml:space="preserve">基础数据采集</w:t>
      </w:r>
      <w:r>
        <w:rPr>
          <w:rFonts w:hint="eastAsia" w:ascii="Times New Roman" w:hAnsi="Times New Roman" w:eastAsiaTheme="minorEastAsia"/>
          <w:sz w:val="24"/>
          <w:szCs w:val="24"/>
          <w:highlight w:val="none"/>
        </w:rPr>
        <w:t xml:space="preserve">”</w:t>
      </w:r>
      <w:r>
        <w:rPr>
          <w:rFonts w:ascii="Times New Roman" w:hAnsi="Times New Roman" w:eastAsiaTheme="minorEastAsia"/>
          <w:sz w:val="24"/>
          <w:szCs w:val="24"/>
          <w:highlight w:val="none"/>
        </w:rPr>
        <w:t xml:space="preserve">向</w:t>
      </w:r>
      <w:r>
        <w:rPr>
          <w:rFonts w:hint="eastAsia" w:ascii="Times New Roman" w:hAnsi="Times New Roman" w:eastAsiaTheme="minorEastAsia"/>
          <w:sz w:val="24"/>
          <w:szCs w:val="24"/>
          <w:highlight w:val="none"/>
        </w:rPr>
        <w:t xml:space="preserve">“</w:t>
      </w:r>
      <w:r>
        <w:rPr>
          <w:rFonts w:ascii="Times New Roman" w:hAnsi="Times New Roman" w:eastAsiaTheme="minorEastAsia"/>
          <w:sz w:val="24"/>
          <w:szCs w:val="24"/>
          <w:highlight w:val="none"/>
        </w:rPr>
        <w:t xml:space="preserve">全域场景构建</w:t>
      </w:r>
      <w:r>
        <w:rPr>
          <w:rFonts w:hint="eastAsia" w:ascii="Times New Roman" w:hAnsi="Times New Roman" w:eastAsiaTheme="minorEastAsia"/>
          <w:sz w:val="24"/>
          <w:szCs w:val="24"/>
          <w:highlight w:val="none"/>
        </w:rPr>
        <w:t xml:space="preserve">”</w:t>
      </w:r>
      <w:r>
        <w:rPr>
          <w:rFonts w:ascii="Times New Roman" w:hAnsi="Times New Roman" w:eastAsiaTheme="minorEastAsia"/>
          <w:sz w:val="24"/>
          <w:szCs w:val="24"/>
          <w:highlight w:val="none"/>
        </w:rPr>
        <w:t xml:space="preserve">的跨越。该系统不仅能提升精准发现问题能力，还支持从点、线、面多个维度对全域态势进行综合把控，辅助管理人员以全局视角做出高效决策。</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3.2.8.2</w:t>
      </w:r>
      <w:r>
        <w:rPr>
          <w:rFonts w:hint="eastAsia" w:ascii="Times New Roman" w:hAnsi="Times New Roman" w:eastAsiaTheme="minorEastAsia"/>
          <w:sz w:val="24"/>
          <w:szCs w:val="24"/>
          <w:highlight w:val="none"/>
        </w:rPr>
        <w:t xml:space="preserve">运行管理要求</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平台运行效果、设备完好状态及系统平台整体运行情况。重点核查以下软件功能模块的运行状态是否正常：软件启动及界面访问功能，确保平台页面能够正常打开；核心业务功能，检查车辆显示是否正常、车辆相关数据展示是否准确、系统管理中巡检模块异常设备识别是否有效、系统各项记录显示是否完整无误。所有平台系统及设备在线异常均需完整记录于巡检报告中，并按要求及时上报处理。</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针对日常巡查中发现的故障进行诊断、分析并跟踪后续处理情况，保障应用系统涉及的各方面，持续开展故障诊断、系统监控和例行巡检，同时推进应用级运维和性能调优，定期进行评估并协调相关单位完成服务调度与资源优化。</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利用接口测试工具Postman对操作系统、数据库及中间件接口的运行状态与连通性进行测试；检查系统部署所在服务器的磁盘使用率、内存使用率，评估系统补丁更新需求，并确认病毒防护机制运行正常。</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4.其他要求：</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信息技术服务</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建立服务台与事件管理流程，明确巡检、故障诊断、调度优化等职责，定期评估性能并持续调优。</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信息安全</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系统登录设权限管控，密码专人专管并定期更换；部署病毒防护与补丁更新机制，确保物联网与机器视觉数据安全。</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业务连续性</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设备故障须在目标抢修时间内修复；</w:t>
      </w:r>
      <w:r>
        <w:rPr>
          <w:rFonts w:hint="eastAsia" w:ascii="Times New Roman" w:hAnsi="Times New Roman" w:cs="Times New Roman" w:eastAsiaTheme="minorEastAsia"/>
          <w:sz w:val="24"/>
          <w:szCs w:val="24"/>
          <w:highlight w:val="none"/>
          <w:lang w:val="en-US" w:eastAsia="zh-CN" w:bidi="ar-SA"/>
        </w:rPr>
        <w:t xml:space="preserve">定期检查接口与资源状态，保障车辆显示、巡检管理等全域监测功能连续可用。</w:t>
      </w:r>
      <w:r>
        <w:rPr>
          <w:rFonts w:hint="eastAsia" w:ascii="Times New Roman" w:hAnsi="Times New Roman" w:eastAsiaTheme="minorEastAsia"/>
          <w:sz w:val="24"/>
          <w:szCs w:val="24"/>
          <w:highlight w:val="none"/>
        </w:rPr>
        <w:t xml:space="preserve">。</w:t>
      </w:r>
      <w:r/>
    </w:p>
    <w:p>
      <w:pPr>
        <w:ind w:firstLine="482"/>
        <w:spacing w:line="360" w:lineRule="auto"/>
        <w:rPr>
          <w:rFonts w:hint="eastAsia" w:eastAsiaTheme="minorEastAsia"/>
          <w:sz w:val="24"/>
          <w:szCs w:val="24"/>
          <w:highlight w:val="none"/>
          <w:lang w:val="en-US" w:eastAsia="zh-CN"/>
        </w:rPr>
      </w:pPr>
      <w:r>
        <w:rPr>
          <w:rFonts w:hint="eastAsia" w:ascii="Times New Roman" w:hAnsi="Times New Roman" w:eastAsiaTheme="minorEastAsia"/>
          <w:b/>
          <w:bCs/>
          <w:sz w:val="24"/>
          <w:szCs w:val="24"/>
          <w:highlight w:val="none"/>
        </w:rPr>
        <w:t xml:space="preserve">大数据安全</w:t>
      </w:r>
      <w:r>
        <w:rPr>
          <w:rFonts w:hint="eastAsia" w:eastAsiaTheme="minorEastAsia"/>
          <w:sz w:val="24"/>
          <w:szCs w:val="24"/>
          <w:highlight w:val="none"/>
          <w:lang w:eastAsia="zh-CN"/>
        </w:rPr>
        <w:t xml:space="preserve">：</w:t>
      </w:r>
      <w:r>
        <w:rPr>
          <w:rFonts w:hint="eastAsia" w:eastAsiaTheme="minorEastAsia"/>
          <w:sz w:val="24"/>
          <w:szCs w:val="24"/>
          <w:highlight w:val="none"/>
          <w:lang w:val="en-US" w:eastAsia="zh-CN"/>
        </w:rPr>
        <w:t xml:space="preserve">对全要素感知、物联网融合等多源数据分类管控，确保数据采集、识别、记录过程防篡改、可追溯。</w:t>
      </w:r>
      <w:r/>
    </w:p>
    <w:p>
      <w:pPr>
        <w:ind w:firstLine="482"/>
        <w:spacing w:line="360" w:lineRule="auto"/>
        <w:rPr>
          <w:rFonts w:hint="eastAsia"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信息系统服务交付</w:t>
      </w:r>
      <w:r>
        <w:rPr>
          <w:rFonts w:hint="eastAsia" w:eastAsiaTheme="minorEastAsia"/>
          <w:sz w:val="24"/>
          <w:szCs w:val="24"/>
          <w:highlight w:val="none"/>
          <w:lang w:eastAsia="zh-CN"/>
        </w:rPr>
        <w:t xml:space="preserve">：</w:t>
      </w:r>
      <w:r>
        <w:rPr>
          <w:rFonts w:hint="eastAsia" w:ascii="Times New Roman" w:hAnsi="Times New Roman" w:eastAsiaTheme="minorEastAsia"/>
          <w:sz w:val="24"/>
          <w:szCs w:val="24"/>
          <w:highlight w:val="none"/>
        </w:rPr>
        <w:t xml:space="preserve">明确运维交付清单（巡检记录、故障跟踪报告等），按日/月/年周期执行，确保服务可量化、可验证。</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lang w:val="en-US" w:eastAsia="zh-CN"/>
        </w:rPr>
        <w:t xml:space="preserve">系统访问与密码管理：</w:t>
      </w:r>
      <w:r>
        <w:rPr>
          <w:rFonts w:hint="eastAsia" w:ascii="Times New Roman" w:hAnsi="Times New Roman" w:eastAsiaTheme="minorEastAsia"/>
          <w:sz w:val="24"/>
          <w:szCs w:val="24"/>
          <w:highlight w:val="none"/>
        </w:rPr>
        <w:t xml:space="preserve">进入系统必须设置一定维护权限，只有专业工程师或由其指定的人员才能进入系统进行操作。进入系统的密码必须由专业工程师妥善管理，不得随意泄露。</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lang w:val="en-US" w:eastAsia="zh-CN"/>
        </w:rPr>
        <w:t xml:space="preserve">故障抢修要求</w:t>
      </w:r>
      <w:r>
        <w:rPr>
          <w:rFonts w:hint="eastAsia" w:ascii="Times New Roman" w:hAnsi="Times New Roman" w:eastAsiaTheme="minorEastAsia"/>
          <w:sz w:val="24"/>
          <w:szCs w:val="24"/>
          <w:highlight w:val="none"/>
          <w:lang w:val="en-US" w:eastAsia="zh-CN"/>
        </w:rPr>
        <w:t xml:space="preserve">：</w:t>
      </w: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按计划进行经常性检修和定期检修，维护时应严格按照操作规范说明书的要求进行。全息监测系统检修主要内容及周期如下表所示：</w:t>
      </w:r>
      <w:r/>
    </w:p>
    <w:p>
      <w:pPr>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bl>
      <w:tblPr>
        <w:tblStyle w:val="76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80"/>
        <w:gridCol w:w="1564"/>
        <w:gridCol w:w="2975"/>
        <w:gridCol w:w="1258"/>
        <w:gridCol w:w="1253"/>
        <w:gridCol w:w="1339"/>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经常检修</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定期检修</w:t>
            </w:r>
            <w:r/>
          </w:p>
        </w:tc>
      </w:tr>
      <w:tr>
        <w:trPr>
          <w:trHeight w:val="2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right w:val="single" w:color="000000" w:sz="4" w:space="0"/>
            </w:tcBorders>
            <w:tcW w:w="852" w:type="pct"/>
            <w:vAlign w:val="center"/>
            <w:vMerge w:val="restart"/>
            <w:textDirection w:val="lrTb"/>
            <w:noWrap/>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全息监测系统</w:t>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1.软件启动检查：页面是否能正常打开</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2.软件例行检查：</w:t>
            </w:r>
            <w:r>
              <w:rPr>
                <w:rFonts w:hint="eastAsia" w:ascii="Times New Roman" w:hAnsi="Times New Roman" w:eastAsiaTheme="minorEastAsia"/>
                <w:sz w:val="24"/>
                <w:szCs w:val="24"/>
                <w:highlight w:val="none"/>
              </w:rPr>
              <w:t xml:space="preserve">车辆显示是否正常；车辆数据显示是否正常；系统管理中巡检管理是否有异常设备；系统管理中各项记录是否正常显示等</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3.针对日常巡查中发现的故障进行诊断、分析以及跟踪后续处理情况</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left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4.利用接口测试工具postman来测试</w:t>
            </w:r>
            <w:r>
              <w:rPr>
                <w:rFonts w:hint="eastAsia" w:ascii="Times New Roman" w:hAnsi="Times New Roman" w:eastAsiaTheme="minorEastAsia"/>
                <w:sz w:val="24"/>
                <w:szCs w:val="24"/>
                <w:highlight w:val="none"/>
              </w:rPr>
              <w:t xml:space="preserve">操作系统、数据库和中间件</w:t>
            </w:r>
            <w:r>
              <w:rPr>
                <w:rFonts w:hint="eastAsia" w:ascii="Times New Roman" w:hAnsi="Times New Roman" w:cs="宋体" w:eastAsiaTheme="minorEastAsia"/>
                <w:color w:val="000000"/>
                <w:sz w:val="24"/>
                <w:szCs w:val="24"/>
                <w:highlight w:val="none"/>
              </w:rPr>
              <w:t xml:space="preserve">接口是否有异常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r>
        <w:trPr>
          <w:trHeight w:val="280"/>
        </w:trPr>
        <w:tc>
          <w:tcPr>
            <w:tcBorders>
              <w:left w:val="single" w:color="000000" w:sz="4" w:space="0"/>
              <w:bottom w:val="single" w:color="000000" w:sz="4" w:space="0"/>
              <w:right w:val="single" w:color="000000" w:sz="4" w:space="0"/>
            </w:tcBorders>
            <w:tcW w:w="426"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left w:val="single" w:color="000000" w:sz="4" w:space="0"/>
              <w:bottom w:val="single" w:color="000000" w:sz="4" w:space="0"/>
              <w:right w:val="single" w:color="000000" w:sz="4" w:space="0"/>
            </w:tcBorders>
            <w:tcW w:w="85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pct"/>
            <w:vAlign w:val="center"/>
            <w:textDirection w:val="lrTb"/>
            <w:noWrap/>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5.系统布置所在服务器磁盘使用率、内存使用率，是否需要补丁更新以及病毒防护是否正常</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4次/年</w:t>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5"/>
        <w:numPr>
          <w:ilvl w:val="2"/>
          <w:numId w:val="0"/>
        </w:num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3.2</w:t>
      </w:r>
      <w:r>
        <w:rPr>
          <w:rFonts w:hint="eastAsia" w:ascii="Times New Roman" w:hAnsi="Times New Roman" w:eastAsiaTheme="minorEastAsia"/>
          <w:sz w:val="24"/>
          <w:szCs w:val="24"/>
          <w:highlight w:val="none"/>
          <w:lang w:val="en-US" w:eastAsia="zh-CN"/>
        </w:rPr>
        <w:t xml:space="preserve">.9跨系统数据共享与交互</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投标人须严格遵循相应数据交互规范，确保系统间连接稳定，数据传输达到低延迟、高可靠的运行要求。具体执行标准如下：</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lang w:eastAsia="zh-CN"/>
        </w:rPr>
        <w:t xml:space="preserve">（</w:t>
      </w:r>
      <w:r>
        <w:rPr>
          <w:rFonts w:hint="eastAsia" w:ascii="Times New Roman" w:hAnsi="Times New Roman" w:eastAsiaTheme="minorEastAsia"/>
          <w:sz w:val="24"/>
          <w:szCs w:val="24"/>
          <w:highlight w:val="none"/>
          <w:lang w:val="en-US" w:eastAsia="zh-CN"/>
        </w:rPr>
        <w:t xml:space="preserve">1</w:t>
      </w:r>
      <w:r>
        <w:rPr>
          <w:rFonts w:hint="eastAsia" w:ascii="Times New Roman" w:hAnsi="Times New Roman" w:eastAsiaTheme="minorEastAsia"/>
          <w:sz w:val="24"/>
          <w:szCs w:val="24"/>
          <w:highlight w:val="none"/>
          <w:lang w:eastAsia="zh-CN"/>
        </w:rPr>
        <w:t xml:space="preserve">）</w:t>
      </w:r>
      <w:r>
        <w:rPr>
          <w:rFonts w:ascii="Times New Roman" w:hAnsi="Times New Roman" w:eastAsiaTheme="minorEastAsia"/>
          <w:sz w:val="24"/>
          <w:szCs w:val="24"/>
          <w:highlight w:val="none"/>
        </w:rPr>
        <w:t xml:space="preserve">隧道数据全量共享</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实现隧道内所有设备状态数据的完整采集与实时同步，包括设备运行状态、环境传感器参数、工作模式、设备基础信息及环境告警数据，确保数据全面覆盖、准确同步。</w:t>
      </w:r>
      <w:r/>
    </w:p>
    <w:p>
      <w:pPr>
        <w:ind w:firstLine="480"/>
        <w:spacing w:line="360" w:lineRule="auto"/>
        <w:rPr>
          <w:rFonts w:hint="eastAsia" w:ascii="Times New Roman" w:hAnsi="Times New Roman" w:eastAsiaTheme="minorEastAsia"/>
          <w:sz w:val="24"/>
          <w:szCs w:val="24"/>
          <w:highlight w:val="none"/>
          <w:lang w:eastAsia="zh-CN"/>
        </w:rPr>
      </w:pPr>
      <w:r>
        <w:rPr>
          <w:rFonts w:hint="eastAsia" w:ascii="Times New Roman" w:hAnsi="Times New Roman" w:eastAsiaTheme="minorEastAsia"/>
          <w:sz w:val="24"/>
          <w:szCs w:val="24"/>
          <w:highlight w:val="none"/>
          <w:lang w:eastAsia="zh-CN"/>
        </w:rPr>
        <w:t xml:space="preserve">（</w:t>
      </w:r>
      <w:r>
        <w:rPr>
          <w:rFonts w:hint="eastAsia" w:ascii="Times New Roman" w:hAnsi="Times New Roman" w:eastAsiaTheme="minorEastAsia"/>
          <w:sz w:val="24"/>
          <w:szCs w:val="24"/>
          <w:highlight w:val="none"/>
          <w:lang w:val="en-US" w:eastAsia="zh-CN"/>
        </w:rPr>
        <w:t xml:space="preserve">2</w:t>
      </w:r>
      <w:r>
        <w:rPr>
          <w:rFonts w:hint="eastAsia" w:ascii="Times New Roman" w:hAnsi="Times New Roman" w:eastAsiaTheme="minorEastAsia"/>
          <w:sz w:val="24"/>
          <w:szCs w:val="24"/>
          <w:highlight w:val="none"/>
          <w:lang w:eastAsia="zh-CN"/>
        </w:rPr>
        <w:t xml:space="preserve">）数据格式与规范适配</w:t>
      </w:r>
      <w:r/>
    </w:p>
    <w:p>
      <w:pPr>
        <w:ind w:firstLine="480"/>
        <w:spacing w:line="360" w:lineRule="auto"/>
        <w:rPr>
          <w:rFonts w:hint="eastAsia" w:ascii="Times New Roman" w:hAnsi="Times New Roman" w:eastAsiaTheme="minorEastAsia"/>
          <w:sz w:val="24"/>
          <w:szCs w:val="24"/>
          <w:highlight w:val="none"/>
          <w:lang w:eastAsia="zh-CN"/>
        </w:rPr>
      </w:pPr>
      <w:r>
        <w:rPr>
          <w:rFonts w:hint="eastAsia" w:ascii="Times New Roman" w:hAnsi="Times New Roman" w:eastAsiaTheme="minorEastAsia"/>
          <w:sz w:val="24"/>
          <w:szCs w:val="24"/>
          <w:highlight w:val="none"/>
          <w:lang w:eastAsia="zh-CN"/>
        </w:rPr>
        <w:t xml:space="preserve">依据指定的数据编码、字段定义和传输协议，完成本系统数据的格式转换与协议适配，实现跨系统数据的无缝解析与一体化展示。</w:t>
      </w:r>
      <w:r/>
    </w:p>
    <w:p>
      <w:pPr>
        <w:ind w:firstLine="480"/>
        <w:spacing w:line="360" w:lineRule="auto"/>
        <w:rPr>
          <w:rFonts w:hint="eastAsia" w:ascii="Times New Roman" w:hAnsi="Times New Roman" w:eastAsiaTheme="minorEastAsia"/>
          <w:sz w:val="24"/>
          <w:szCs w:val="24"/>
          <w:highlight w:val="none"/>
          <w:lang w:eastAsia="zh-CN"/>
        </w:rPr>
      </w:pPr>
      <w:r>
        <w:rPr>
          <w:rFonts w:hint="eastAsia" w:ascii="Times New Roman" w:hAnsi="Times New Roman" w:eastAsiaTheme="minorEastAsia"/>
          <w:sz w:val="24"/>
          <w:szCs w:val="24"/>
          <w:highlight w:val="none"/>
          <w:lang w:eastAsia="zh-CN"/>
        </w:rPr>
        <w:t xml:space="preserve">（</w:t>
      </w:r>
      <w:r>
        <w:rPr>
          <w:rFonts w:hint="eastAsia" w:ascii="Times New Roman" w:hAnsi="Times New Roman" w:eastAsiaTheme="minorEastAsia"/>
          <w:sz w:val="24"/>
          <w:szCs w:val="24"/>
          <w:highlight w:val="none"/>
          <w:lang w:val="en-US" w:eastAsia="zh-CN"/>
        </w:rPr>
        <w:t xml:space="preserve">3</w:t>
      </w:r>
      <w:r>
        <w:rPr>
          <w:rFonts w:hint="eastAsia" w:ascii="Times New Roman" w:hAnsi="Times New Roman" w:eastAsiaTheme="minorEastAsia"/>
          <w:sz w:val="24"/>
          <w:szCs w:val="24"/>
          <w:highlight w:val="none"/>
          <w:lang w:eastAsia="zh-CN"/>
        </w:rPr>
        <w:t xml:space="preserve">）数据对接安全机制</w:t>
      </w:r>
      <w:r/>
    </w:p>
    <w:p>
      <w:pPr>
        <w:ind w:firstLine="480"/>
        <w:spacing w:line="360" w:lineRule="auto"/>
        <w:rPr>
          <w:rFonts w:hint="eastAsia" w:ascii="Times New Roman" w:hAnsi="Times New Roman" w:eastAsiaTheme="minorEastAsia"/>
          <w:sz w:val="24"/>
          <w:szCs w:val="24"/>
          <w:highlight w:val="none"/>
          <w:lang w:eastAsia="zh-CN"/>
        </w:rPr>
      </w:pPr>
      <w:r>
        <w:rPr>
          <w:rFonts w:hint="eastAsia" w:ascii="Times New Roman" w:hAnsi="Times New Roman" w:eastAsiaTheme="minorEastAsia"/>
          <w:sz w:val="24"/>
          <w:szCs w:val="24"/>
          <w:highlight w:val="none"/>
          <w:lang w:eastAsia="zh-CN"/>
        </w:rPr>
        <w:t xml:space="preserve">采用加密传输、身份认证与分级权限控制等安全技术，构建可靠的数据防护体系，防止数据泄露、篡改及非法访问，保障系统与数据安全。</w:t>
      </w:r>
      <w:r/>
    </w:p>
    <w:p>
      <w:pPr>
        <w:ind w:firstLine="480"/>
        <w:spacing w:line="360" w:lineRule="auto"/>
        <w:rPr>
          <w:rFonts w:hint="eastAsia" w:ascii="Times New Roman" w:hAnsi="Times New Roman" w:eastAsiaTheme="minorEastAsia"/>
          <w:sz w:val="24"/>
          <w:szCs w:val="24"/>
          <w:highlight w:val="none"/>
          <w:lang w:eastAsia="zh-CN"/>
        </w:rPr>
      </w:pPr>
      <w:r>
        <w:rPr>
          <w:rFonts w:hint="eastAsia" w:ascii="Times New Roman" w:hAnsi="Times New Roman" w:eastAsiaTheme="minorEastAsia"/>
          <w:sz w:val="24"/>
          <w:szCs w:val="24"/>
          <w:highlight w:val="none"/>
          <w:lang w:eastAsia="zh-CN"/>
        </w:rPr>
        <w:t xml:space="preserve">（</w:t>
      </w:r>
      <w:r>
        <w:rPr>
          <w:rFonts w:hint="eastAsia" w:ascii="Times New Roman" w:hAnsi="Times New Roman" w:eastAsiaTheme="minorEastAsia"/>
          <w:sz w:val="24"/>
          <w:szCs w:val="24"/>
          <w:highlight w:val="none"/>
          <w:lang w:val="en-US" w:eastAsia="zh-CN"/>
        </w:rPr>
        <w:t xml:space="preserve">4</w:t>
      </w:r>
      <w:r>
        <w:rPr>
          <w:rFonts w:hint="eastAsia" w:ascii="Times New Roman" w:hAnsi="Times New Roman" w:eastAsiaTheme="minorEastAsia"/>
          <w:sz w:val="24"/>
          <w:szCs w:val="24"/>
          <w:highlight w:val="none"/>
          <w:lang w:eastAsia="zh-CN"/>
        </w:rPr>
        <w:t xml:space="preserve">）可视化监测与异常告警</w:t>
      </w:r>
      <w:r/>
    </w:p>
    <w:p>
      <w:pPr>
        <w:ind w:firstLine="480"/>
        <w:spacing w:line="360" w:lineRule="auto"/>
        <w:rPr>
          <w:rFonts w:hint="eastAsia" w:ascii="Times New Roman" w:hAnsi="Times New Roman" w:eastAsiaTheme="minorEastAsia"/>
          <w:sz w:val="24"/>
          <w:szCs w:val="24"/>
          <w:highlight w:val="none"/>
          <w:lang w:eastAsia="zh-CN"/>
        </w:rPr>
      </w:pPr>
      <w:r>
        <w:rPr>
          <w:rFonts w:hint="eastAsia" w:ascii="Times New Roman" w:hAnsi="Times New Roman" w:eastAsiaTheme="minorEastAsia"/>
          <w:sz w:val="24"/>
          <w:szCs w:val="24"/>
          <w:highlight w:val="none"/>
          <w:lang w:eastAsia="zh-CN"/>
        </w:rPr>
        <w:t xml:space="preserve">支持监测数据传输状态与设备数据更新情况，具备异常检测与告警功能，在数据中断或异常时及时预警并记录完整日志。</w:t>
      </w:r>
      <w:r/>
    </w:p>
    <w:p>
      <w:pPr>
        <w:ind w:firstLine="480"/>
        <w:spacing w:line="360" w:lineRule="auto"/>
        <w:rPr>
          <w:rFonts w:hint="eastAsia" w:ascii="Times New Roman" w:hAnsi="Times New Roman" w:eastAsiaTheme="minorEastAsia"/>
          <w:sz w:val="24"/>
          <w:szCs w:val="24"/>
          <w:highlight w:val="none"/>
          <w:lang w:eastAsia="zh-CN"/>
        </w:rPr>
      </w:pPr>
      <w:r>
        <w:rPr>
          <w:rFonts w:hint="eastAsia" w:ascii="Times New Roman" w:hAnsi="Times New Roman" w:eastAsiaTheme="minorEastAsia"/>
          <w:sz w:val="24"/>
          <w:szCs w:val="24"/>
          <w:highlight w:val="none"/>
          <w:lang w:eastAsia="zh-CN"/>
        </w:rPr>
        <w:t xml:space="preserve">（</w:t>
      </w:r>
      <w:r>
        <w:rPr>
          <w:rFonts w:hint="eastAsia" w:ascii="Times New Roman" w:hAnsi="Times New Roman" w:eastAsiaTheme="minorEastAsia"/>
          <w:sz w:val="24"/>
          <w:szCs w:val="24"/>
          <w:highlight w:val="none"/>
          <w:lang w:val="en-US" w:eastAsia="zh-CN"/>
        </w:rPr>
        <w:t xml:space="preserve">5</w:t>
      </w:r>
      <w:r>
        <w:rPr>
          <w:rFonts w:hint="eastAsia" w:ascii="Times New Roman" w:hAnsi="Times New Roman" w:eastAsiaTheme="minorEastAsia"/>
          <w:sz w:val="24"/>
          <w:szCs w:val="24"/>
          <w:highlight w:val="none"/>
          <w:lang w:eastAsia="zh-CN"/>
        </w:rPr>
        <w:t xml:space="preserve">）长期技术支持与系统维护</w:t>
      </w:r>
      <w:r/>
    </w:p>
    <w:p>
      <w:pPr>
        <w:ind w:firstLine="480"/>
        <w:spacing w:line="360" w:lineRule="auto"/>
        <w:rPr>
          <w:rFonts w:hint="eastAsia" w:ascii="Times New Roman" w:hAnsi="Times New Roman" w:eastAsiaTheme="minorEastAsia"/>
          <w:sz w:val="24"/>
          <w:szCs w:val="24"/>
          <w:highlight w:val="none"/>
          <w:lang w:eastAsia="zh-CN"/>
        </w:rPr>
      </w:pPr>
      <w:r>
        <w:rPr>
          <w:rFonts w:hint="eastAsia" w:ascii="Times New Roman" w:hAnsi="Times New Roman" w:eastAsiaTheme="minorEastAsia"/>
          <w:sz w:val="24"/>
          <w:szCs w:val="24"/>
          <w:highlight w:val="none"/>
          <w:lang w:eastAsia="zh-CN"/>
        </w:rPr>
        <w:t xml:space="preserve">提供持续的技术支持与系统维护服务，如对接平台升级或数据规范变更，须及时完成本系统适配，确保数据共享长期稳定运行。</w:t>
      </w:r>
      <w:r/>
    </w:p>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br w:type="page" w:clear="all"/>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w:t>
      </w:r>
      <w:r>
        <w:rPr>
          <w:rFonts w:hint="eastAsia" w:ascii="Times New Roman" w:hAnsi="Times New Roman" w:eastAsiaTheme="minorEastAsia"/>
          <w:sz w:val="24"/>
          <w:szCs w:val="24"/>
          <w:highlight w:val="none"/>
        </w:rPr>
        <w:t xml:space="preserve">硬件系统</w:t>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4.1.1</w:t>
      </w:r>
      <w:r>
        <w:rPr>
          <w:rFonts w:hint="eastAsia" w:ascii="Times New Roman" w:hAnsi="Times New Roman" w:eastAsiaTheme="minorEastAsia"/>
          <w:sz w:val="24"/>
          <w:szCs w:val="24"/>
          <w:highlight w:val="none"/>
        </w:rPr>
        <w:t xml:space="preserve">监控</w:t>
      </w:r>
      <w:r>
        <w:rPr>
          <w:rFonts w:ascii="Times New Roman" w:hAnsi="Times New Roman" w:eastAsiaTheme="minorEastAsia"/>
          <w:sz w:val="24"/>
          <w:szCs w:val="24"/>
          <w:highlight w:val="none"/>
        </w:rPr>
        <w:t xml:space="preserve">系统</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4.1.1.1</w:t>
      </w:r>
      <w:r>
        <w:rPr>
          <w:rFonts w:hint="eastAsia" w:ascii="Times New Roman" w:hAnsi="Times New Roman" w:eastAsiaTheme="minorEastAsia"/>
          <w:sz w:val="24"/>
          <w:szCs w:val="24"/>
          <w:highlight w:val="none"/>
        </w:rPr>
        <w:t xml:space="preserve">主要运维范围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隧道监控系统主要对隧道、引道、匝道及道口等全路段交通运行状况进行全天候、全断面实时监测，并对隧道管理处大楼运行状态实施集中监视，为紧急情况下快速掌握现场态势、高效指挥调度提供直观可靠的视频支持，切实保障人员、车辆及隧道设施的安全。</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监控系统</w:t>
      </w:r>
      <w:bookmarkStart w:id="2" w:name="OLE_LINK14"/>
      <w:r/>
      <w:bookmarkStart w:id="3" w:name="OLE_LINK15"/>
      <w:r>
        <w:rPr>
          <w:rFonts w:hint="eastAsia" w:ascii="Times New Roman" w:hAnsi="Times New Roman" w:eastAsiaTheme="minorEastAsia"/>
          <w:sz w:val="24"/>
          <w:szCs w:val="24"/>
          <w:highlight w:val="none"/>
        </w:rPr>
        <w:t xml:space="preserve">主要包括但不限于以下设备</w:t>
      </w:r>
      <w:bookmarkEnd w:id="2"/>
      <w:r/>
      <w:bookmarkEnd w:id="3"/>
      <w:r>
        <w:rPr>
          <w:rFonts w:hint="eastAsia" w:ascii="Times New Roman" w:hAnsi="Times New Roman" w:eastAsiaTheme="minorEastAsia"/>
          <w:sz w:val="24"/>
          <w:szCs w:val="24"/>
          <w:highlight w:val="none"/>
        </w:rPr>
        <w:t xml:space="preserve">：摄像机406套、工业以太网交换机34台、监控配电箱167套、紧急电话154台、广播调度主机5台、广播功放110台、号筒扬声器229套、PLC箱58套、远端控制I/O 58套、光端机114台、COVI检测仪13组、风速风向检测仪13组、全息摄像机62套。</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4.1.1.2</w:t>
      </w:r>
      <w:r>
        <w:rPr>
          <w:rFonts w:hint="eastAsia" w:ascii="Times New Roman" w:hAnsi="Times New Roman" w:eastAsiaTheme="minorEastAsia"/>
          <w:sz w:val="24"/>
          <w:szCs w:val="24"/>
          <w:highlight w:val="none"/>
        </w:rPr>
        <w:t xml:space="preserve">运行管理要求</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检查视频图像清晰度是否达标、是否存在抖动现象、亮度和对比度是否适宜、镜头视野内有无异物遮挡。</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对广播调度主机设备表面进行清洁除尘，并观察电源指示灯显示是否正常。</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在监控中心平台快速查看紧急电话、广播、车检器、CO/VI检测仪、亮度仪等主要设备的在线状态是否正常。</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对视频监控摄像机的各项运动控制功能进行测试验证；</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检查工业以太网交换机设备运行是否正常、各类指示灯是否正常显示、远程数据接收是否正常、设备接线是否牢固可靠；</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检查监控配电箱门锁完好程度与有效性；目视检查封堵和防水措施是否完好；检查箱门合叶有无生锈；进行温湿度检测；</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手动关闭广播调度主机软件并重新启动，检查能否正常启动；检查系统物理内存和CPU占用情况，确认系统正常运行；</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检查广播功放电源指示灯是否正常；测试广播播放功能是否正常；</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对PLC箱设备箱内外（含设备）进行除尘清洁；手动检查门锁完好程度与有效性；目视检查封堵和防水措施是否完好；检查箱门合叶有无生锈；测量温湿度；紧固接线端子；</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检查远端控制I/O远程与就地控制功能是否正常；确认远程信息显示准确；检查各线缆标签是否清晰；</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检查光端机设备运行是否正常、各类指示灯是否正常显示、远程数据接收是否正常；对设备外表面进行除尘保养；检查设备接线是否牢固；</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检查CO/VI检测仪空气过滤器是否污染并清洁；确认吸气泵外观无污染损伤、运转无异响、过热或振动；检查检测仪读数是否正常；</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确认风速风向检测仪分析仪指示值是否准确；确认自动校正装置功能是否正常。</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进行摄像机外观清洁与紧固检查，包括清洁摄像机表面、检查指示灯、紧固底座螺丝，并检查配置是否与中控一致；检查接线情况；开展电流电压测试；</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对工业以太网交换机设备内外清洁进行检查，包括设备、柜体及外表面除尘；</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检查监控配电箱设备箱内外（含设备）的灰尘；</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测试紧急电话所有电话通话功能；测试输入输出电流；对设备内外表面进行检查与除尘；</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检查广播功放、号筒扬声器设备外表面，检查底座紧固情况，如松动则紧固螺丝；</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检查远端控制I/O电源电压是否正常；清洁设备外表面；</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CO/VI检测仪分析仪及自动校正装置的指标值；确认除湿装置、自动校正装置及通风装置的功能；清洁或更换采气口过滤器；检查监控单元中计量仪、显示器、故障显示灯及开关、继电器等是否正常，检查配线情况，并进行清扫；</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检查风速风向检测仪监控单元中计量仪、显示器、故障显示灯及开关、继电器等是否正常，检查配线情况，并进行清扫；检查仪器整体检测精度。</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4.其他要求：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室外设备应注重季节性维护：梅雨季节应注意对现场设备进行防潮处理。夏季高温期间应注意检查设备散热情况是否完好。雨季要注意查看设施周围的排水和防水情况。冬季应避免冰冻给设备带来的损伤。</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按计划进行经常性检修和定期检修。维护时应严格按照操作规范和厂家说明书的要求进行。监控系统设施检修主要内容及周期如下表所示：</w:t>
      </w:r>
      <w:r/>
    </w:p>
    <w:tbl>
      <w:tblPr>
        <w:tblStyle w:val="76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656"/>
        <w:gridCol w:w="3284"/>
        <w:gridCol w:w="1176"/>
        <w:gridCol w:w="1176"/>
        <w:gridCol w:w="1177"/>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经常检修</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定期检修</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外观检测：擦拭摄像机表面的灰尘、目测电源指示灯是否显示正常，紧固设备的底座螺丝，确保设备稳固不摇晃，查看摄像机配置确保摄像机的编码、视频时间与中控所需保持一致</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电流电压测试</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动作确认</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打开视频图像清晰无抖动、亮度对比度正常、无异物阻碍视线</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工业以太网交换机</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设备运行检查：各类指示灯显示是否正常，远程接收数据是否正常</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设备保养：设备、柜内、外表面除尘</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监控配电箱</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擦拭设备箱内、外灰尘</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包含设备）</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手动检查门锁是否完好，能否有效上锁</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目测封堵和防水措施是否完好</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检查箱门合叶有无生锈</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温湿度检测</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p>
        </w:tc>
        <w:tc>
          <w:tcPr>
            <w:shd w:val="clear" w:color="auto" w:fill="auto"/>
            <w:tcBorders>
              <w:top w:val="single" w:color="000000" w:sz="4" w:space="0"/>
              <w:left w:val="single" w:color="000000" w:sz="4" w:space="0"/>
              <w:right w:val="single" w:color="000000" w:sz="4" w:space="0"/>
            </w:tcBorders>
            <w:tcW w:w="866"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紧急电话</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查看指示灯显示是否正常</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40"/>
        </w:trPr>
        <w:tc>
          <w:tcPr>
            <w:shd w:val="clear" w:color="auto" w:fill="auto"/>
            <w:tcBorders>
              <w:left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left w:val="single" w:color="000000" w:sz="4" w:space="0"/>
              <w:right w:val="single" w:color="000000" w:sz="4" w:space="0"/>
            </w:tcBorders>
            <w:tcW w:w="866"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测试所有电话的通话功能</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540"/>
        </w:trPr>
        <w:tc>
          <w:tcPr>
            <w:shd w:val="clear" w:color="auto" w:fill="auto"/>
            <w:tcBorders>
              <w:left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left w:val="single" w:color="000000" w:sz="4" w:space="0"/>
              <w:right w:val="single" w:color="000000" w:sz="4" w:space="0"/>
            </w:tcBorders>
            <w:tcW w:w="866"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lang w:bidi="ar"/>
              </w:rPr>
            </w:pPr>
            <w:r>
              <w:rPr>
                <w:rFonts w:hint="eastAsia" w:ascii="Times New Roman" w:hAnsi="Times New Roman" w:eastAsiaTheme="minorEastAsia"/>
                <w:color w:val="000000"/>
                <w:sz w:val="24"/>
                <w:szCs w:val="24"/>
                <w:highlight w:val="none"/>
                <w:lang w:bidi="ar"/>
              </w:rPr>
              <w:t xml:space="preserve">3.测试输入输出电流</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lang w:bidi="ar"/>
              </w:rPr>
            </w:pPr>
            <w:r>
              <w:rPr>
                <w:rFonts w:hint="eastAsia"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540"/>
        </w:trPr>
        <w:tc>
          <w:tcPr>
            <w:shd w:val="clear" w:color="auto" w:fill="auto"/>
            <w:tcBorders>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left w:val="single" w:color="000000" w:sz="4" w:space="0"/>
              <w:bottom w:val="single" w:color="000000" w:sz="4" w:space="0"/>
              <w:right w:val="single" w:color="000000" w:sz="4" w:space="0"/>
            </w:tcBorders>
            <w:tcW w:w="866"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lang w:bidi="ar"/>
              </w:rPr>
            </w:pPr>
            <w:r>
              <w:rPr>
                <w:rFonts w:hint="eastAsia"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设备保养：对设备内外表面检查除尘</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lang w:bidi="ar"/>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广播调度主机</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外观检测：对设备表面进行除尘、目测电源指示灯是否正常</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手动关闭软件，再打开，检查能否正常启动</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检查系统物理内存以及</w:t>
            </w:r>
            <w:r>
              <w:rPr>
                <w:rFonts w:ascii="Times New Roman" w:hAnsi="Times New Roman" w:eastAsiaTheme="minorEastAsia"/>
                <w:color w:val="000000"/>
                <w:sz w:val="24"/>
                <w:szCs w:val="24"/>
                <w:highlight w:val="none"/>
                <w:lang w:bidi="ar"/>
              </w:rPr>
              <w:t xml:space="preserve">CPU</w:t>
            </w:r>
            <w:r>
              <w:rPr>
                <w:rFonts w:hint="eastAsia" w:ascii="Times New Roman" w:hAnsi="Times New Roman" w:cs="宋体" w:eastAsiaTheme="minorEastAsia"/>
                <w:color w:val="000000"/>
                <w:sz w:val="24"/>
                <w:szCs w:val="24"/>
                <w:highlight w:val="none"/>
                <w:lang w:bidi="ar"/>
              </w:rPr>
              <w:t xml:space="preserve">的占用情况，确认系统是否正常运行</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广播功放</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电源检查：目测电源指示灯是否显示正常</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测试广播能否正常播放</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设备保养：对设备外表面除尘</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号筒扬声器</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设备保养：对设备外表面除尘、用手测试底座是否紧固，若松动则紧固螺丝</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PLC</w:t>
            </w:r>
            <w:r>
              <w:rPr>
                <w:rFonts w:hint="eastAsia" w:ascii="Times New Roman" w:hAnsi="Times New Roman" w:eastAsiaTheme="minorEastAsia"/>
                <w:color w:val="000000"/>
                <w:sz w:val="24"/>
                <w:szCs w:val="24"/>
                <w:highlight w:val="none"/>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擦拭设备箱内、外灰尘</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包含设备）</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手动检查门锁是否完好，能否有效上锁</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目测封堵和防水措施是否完好</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检查箱门合叶有无生锈</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测量温湿度</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紧固接线端子</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远端控制</w:t>
            </w:r>
            <w:r>
              <w:rPr>
                <w:rFonts w:ascii="Times New Roman" w:hAnsi="Times New Roman" w:eastAsiaTheme="minorEastAsia"/>
                <w:color w:val="000000"/>
                <w:sz w:val="24"/>
                <w:szCs w:val="24"/>
                <w:highlight w:val="none"/>
                <w:lang w:bidi="ar"/>
              </w:rPr>
              <w:t xml:space="preserve">I/O</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远程、就地控制功能检查：是否正常</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远程信息显示是否准确</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检查各线缆标签是否清晰</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电源检查；电源电压是否正常；</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设备保养：对设备外表面除尘</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光端机</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设备运行检查：各类指示灯显示是否正常，远程接收数据是否正常</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设备保养：对设备外表面除尘</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COVI</w:t>
            </w:r>
            <w:r>
              <w:rPr>
                <w:rFonts w:hint="eastAsia" w:ascii="Times New Roman" w:hAnsi="Times New Roman" w:cs="宋体" w:eastAsiaTheme="minorEastAsia"/>
                <w:color w:val="000000"/>
                <w:sz w:val="24"/>
                <w:szCs w:val="24"/>
                <w:highlight w:val="none"/>
                <w:lang w:bidi="ar"/>
              </w:rPr>
              <w:t xml:space="preserve">检测仪</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空气过滤器及时发现有误污染，及时进行清洁</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吸气泵外观应无污染、损伤，运转时应无异响、过热、振动现象</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检测仪数读正常</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分析仪及自动校正装置的指标值应保持正确</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分析仪及自动校正装置确认除湿装置的功能，确认自动校正装置的功能，检查通风装置的功能</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采气口过滤器的清洁与更换</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7.</w:t>
            </w:r>
            <w:r>
              <w:rPr>
                <w:rFonts w:hint="eastAsia" w:ascii="Times New Roman" w:hAnsi="Times New Roman" w:cs="宋体" w:eastAsiaTheme="minorEastAsia"/>
                <w:color w:val="000000"/>
                <w:sz w:val="24"/>
                <w:szCs w:val="24"/>
                <w:highlight w:val="none"/>
                <w:lang w:bidi="ar"/>
              </w:rPr>
              <w:t xml:space="preserve">监控单元：计量仪、显示器、故障显示灯是否正常；操作开关、继电器、电磁开关、配线断路器是否正常；配线有无正常、污染、损伤、过热、松动、断线等；清扫</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风速风向检测仪</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确认分析仪指示值是否正确；确认自动校正装置功能</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监控单元：计量仪、显示器、故障显示灯是否正常；操作开关、继电器、电磁开关、配线断路器是否正常；配线有无正常、污染、损伤、过热、松动、断线等；清扫</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仪器整体检测精度</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全息摄像机</w:t>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外观检测：擦拭摄像机表面的灰尘、目测电源指示灯是否显示正常，紧固设备的底座螺丝，确保设备稳固不摇晃</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电流电压测试</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widowControl/>
              <w:rPr>
                <w:rFonts w:ascii="Times New Roman" w:hAnsi="Times New Roman" w:eastAsiaTheme="minorEastAsia"/>
                <w:color w:val="000000"/>
                <w:sz w:val="24"/>
                <w:szCs w:val="24"/>
                <w:highlight w:val="none"/>
              </w:rPr>
            </w:pPr>
            <w:r>
              <w:rPr>
                <w:rFonts w:hint="eastAsia" w:ascii="Times New Roman" w:hAnsi="Times New Roman" w:eastAsiaTheme="minorEastAsia"/>
                <w:color w:val="000000"/>
                <w:sz w:val="24"/>
                <w:szCs w:val="24"/>
                <w:highlight w:val="none"/>
                <w:lang w:bidi="ar"/>
              </w:rPr>
              <w:t xml:space="preserve">4</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打开视频图像清晰无抖动、亮度对比度正常、无异物阻碍视线</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bl>
    <w:p>
      <w:pPr>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4.1.2</w:t>
      </w:r>
      <w:r>
        <w:rPr>
          <w:rFonts w:hint="eastAsia" w:ascii="Times New Roman" w:hAnsi="Times New Roman" w:eastAsiaTheme="minorEastAsia"/>
          <w:sz w:val="24"/>
          <w:szCs w:val="24"/>
          <w:highlight w:val="none"/>
        </w:rPr>
        <w:t xml:space="preserve">交通诱导</w:t>
      </w:r>
      <w:r>
        <w:rPr>
          <w:rFonts w:ascii="Times New Roman" w:hAnsi="Times New Roman" w:eastAsiaTheme="minorEastAsia"/>
          <w:sz w:val="24"/>
          <w:szCs w:val="24"/>
          <w:highlight w:val="none"/>
        </w:rPr>
        <w:t xml:space="preserve">系统</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4.1.2.1</w:t>
      </w:r>
      <w:r>
        <w:rPr>
          <w:rFonts w:hint="eastAsia" w:ascii="Times New Roman" w:hAnsi="Times New Roman" w:eastAsiaTheme="minorEastAsia"/>
          <w:sz w:val="24"/>
          <w:szCs w:val="24"/>
          <w:highlight w:val="none"/>
        </w:rPr>
        <w:t xml:space="preserve">主要运维范围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交通诱导系统的主要功能包括：交通事故自动检测、交通流量采集、交通诱导、超高检测、信号控制和交通流量分析等，是隧道系统的重要组成部分。</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交通诱导系统主要包括但不限于以下设备：可变情报板60块、可变限速板18块、交通信号灯98套、车道指示器300组、超高检测器3对、洞内照度仪26组。</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4.1.2.2</w:t>
      </w:r>
      <w:r>
        <w:rPr>
          <w:rFonts w:hint="eastAsia" w:ascii="Times New Roman" w:hAnsi="Times New Roman" w:eastAsiaTheme="minorEastAsia"/>
          <w:sz w:val="24"/>
          <w:szCs w:val="24"/>
          <w:highlight w:val="none"/>
        </w:rPr>
        <w:t xml:space="preserve">运行管理要求</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检查可变情报板、可变限速板显示屏是否完整、色彩显示是否均匀、有无闪屏现象，并评估设备安装是否牢固、是否存在掉落风险；</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检查交通信号灯灯盘是否完整、灯光色彩是否均匀、有无闪屏现象，并评估设备安装是否牢固、是否存在掉落风险；</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检查车道指示器“红×”、“绿→”等指示标志是否完整、色彩是否均匀、有无闪屏现象；</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检查车道指示器、超高检测器、洞内照度仪设备安装是否牢固、是否存在掉落风险。</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w:t>
      </w:r>
      <w:r>
        <w:rPr>
          <w:rFonts w:ascii="Times New Roman" w:hAnsi="Times New Roman" w:eastAsiaTheme="minorEastAsia"/>
          <w:sz w:val="24"/>
          <w:szCs w:val="24"/>
          <w:highlight w:val="none"/>
        </w:rPr>
        <w:t xml:space="preserve">可变情报板、可变限速板进行外观检查确认有无损坏或锈蚀氧化现象；检查整体显示效果，确认字迹完整、色彩均匀且无闪屏；检查各灯点显示是否正常；对接发信号水平进行测定，确认是否正常；查找并更换不良像素管</w:t>
      </w:r>
      <w:r>
        <w:rPr>
          <w:rFonts w:hint="eastAsia" w:ascii="Times New Roman" w:hAnsi="Times New Roman" w:eastAsiaTheme="minorEastAsia"/>
          <w:sz w:val="24"/>
          <w:szCs w:val="24"/>
          <w:highlight w:val="none"/>
        </w:rPr>
        <w:t xml:space="preserve">；</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w:t>
      </w:r>
      <w:r>
        <w:rPr>
          <w:rFonts w:ascii="Times New Roman" w:hAnsi="Times New Roman" w:eastAsiaTheme="minorEastAsia"/>
          <w:sz w:val="24"/>
          <w:szCs w:val="24"/>
          <w:highlight w:val="none"/>
        </w:rPr>
        <w:t xml:space="preserve">交通信号灯进行外观与功能检查，测试信号灯更改过程中是否出现不亮、坏点、损坏或锈蚀氧化；对接发信号水平进行测定，确认其正常</w:t>
      </w:r>
      <w:r>
        <w:rPr>
          <w:rFonts w:hint="eastAsia" w:ascii="Times New Roman" w:hAnsi="Times New Roman" w:eastAsiaTheme="minorEastAsia"/>
          <w:sz w:val="24"/>
          <w:szCs w:val="24"/>
          <w:highlight w:val="none"/>
        </w:rPr>
        <w:t xml:space="preserve">；</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w:t>
      </w:r>
      <w:r>
        <w:rPr>
          <w:rFonts w:ascii="Times New Roman" w:hAnsi="Times New Roman" w:eastAsiaTheme="minorEastAsia"/>
          <w:sz w:val="24"/>
          <w:szCs w:val="24"/>
          <w:highlight w:val="none"/>
        </w:rPr>
        <w:t xml:space="preserve">车道指示器进行外观与功能检查，测试信号灯更改过程中是否出现不亮、坏点、损坏或锈蚀氧化；对接发信号水平进行测定，测试批量控制与单独控制功能是否正常</w:t>
      </w:r>
      <w:r>
        <w:rPr>
          <w:rFonts w:hint="eastAsia" w:ascii="Times New Roman" w:hAnsi="Times New Roman" w:eastAsiaTheme="minorEastAsia"/>
          <w:sz w:val="24"/>
          <w:szCs w:val="24"/>
          <w:highlight w:val="none"/>
        </w:rPr>
        <w:t xml:space="preserve">；</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对超高检测器接发信号水平进行测定，确认能及时接收报警信息并能有效复位</w:t>
      </w:r>
      <w:r>
        <w:rPr>
          <w:rFonts w:hint="eastAsia" w:ascii="Times New Roman" w:hAnsi="Times New Roman" w:eastAsiaTheme="minorEastAsia"/>
          <w:sz w:val="24"/>
          <w:szCs w:val="24"/>
          <w:highlight w:val="none"/>
        </w:rPr>
        <w:t xml:space="preserve">；</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w:t>
      </w:r>
      <w:r>
        <w:rPr>
          <w:rFonts w:ascii="Times New Roman" w:hAnsi="Times New Roman" w:eastAsiaTheme="minorEastAsia"/>
          <w:sz w:val="24"/>
          <w:szCs w:val="24"/>
          <w:highlight w:val="none"/>
        </w:rPr>
        <w:t xml:space="preserve">洞内照度仪进行检测精度检查，确认是否存在测量误差。</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可变情报板、可变限速板进行外观检查确认有无损坏或锈蚀氧化现象；检查整体显示效果，确认字迹完整、色彩均匀且无闪屏；检查各灯点显示是否正常；对接发信号水平进行测定，确认是否正常；查找并更换不良像素管；</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对交通信号灯进行外观与功能检查，测试信号灯更改过程中是否出现不亮、坏点、损坏或锈蚀氧化；对接发信号水平进行测定，确认其正常；</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对车道指示器进行外观与功能检查，测试信号灯更改过程中是否出现不亮、坏点、损坏或锈蚀氧化；对接发信号水平进行测定，测试批量控制与单独控制功能是否正常；</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对超高检测器对接发信号水平进行测定，确认能及时接收报警信息并能有效复位；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对洞内照度仪进行检测精度检查，确认是否存在测量误差。</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4.其他要求：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室外设备应注重季节性维护：梅雨季节应注意对现场设备进行防潮处理。夏季高温期间应注意检查设备散热情况是否完好。雨季要注意查看设施周围的排水和防水情况。冬季应避免冰冻给设备带来的损伤。</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按计划进行经常性检修和定期检修。维护时应严格按照操作规范和厂家说明书的要求进行。交通诱导系统设施检修主要内容及周期如下表所示：</w:t>
      </w:r>
      <w:r/>
    </w:p>
    <w:tbl>
      <w:tblPr>
        <w:tblStyle w:val="76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24"/>
        <w:gridCol w:w="994"/>
        <w:gridCol w:w="3550"/>
        <w:gridCol w:w="1300"/>
        <w:gridCol w:w="1300"/>
        <w:gridCol w:w="1301"/>
      </w:tblGrid>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经常检修</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定期检修</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可变情报板</w:t>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1.目测显示屏是否完整、色彩是否均匀、有无闪屏现象，且是否有掉落风险</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2.外观检查：有无损坏、有无锈蚀氧化现象</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3.整体效果检查：字迹是否完整、色彩是否均匀、有无闪屏现象</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4.检查各灯点显示是否正常</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5.接发信号水平测定：是否正常</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6.查找不良像素管，有则更换</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7.设备保养：外表面除锈、除尘保养；安装紧固性检查；检查设备接线是否良好；清洁像素管、电路板</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4次/年</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可变限速板</w:t>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1.目测显示屏是否完整、色彩是否均匀、有无闪屏现象，且是否有掉落风险</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2.外观检查：有无损坏、有无锈蚀氧化现象</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3.整体效果检查：字迹是否完整、色彩是否均匀、有无闪屏现象</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4.检查各灯点显示是否正常</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5.查找不良像素管，有则更换</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6.网络检查：用ping命令测试情报板是否存在丢包现象</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7.设备保养：外表面除锈、除尘保养；安装紧固性检查；检查设备接线是否良好；清洁像素管、电路板</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4次/年</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交通信号灯</w:t>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1.目测灯盘是否完整、色彩是否均匀、有无闪屏现象，且是否有掉落风险</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2.外观检查：测试更改信号灯是否有不亮、坏点、损坏锈蚀氧化的情况</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3.接发信号水平测定：是否正常</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4.设备保养：外表面除锈、除尘保养；紧固设备的底座螺丝，确保设备稳固不摇晃；检查设备接线是否良好；各接线端子是否松动</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4次/年</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车道指示器</w:t>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1.目测“红×绿→”是否完整、色彩是否均匀、有无闪屏现象，且是否有掉落风险</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2.外观检查：测试更改信号灯是否有不亮、坏点、损坏锈蚀氧化的情况</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3.接发信号水平测定：批量控制、单独控制</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4.设备保养：外表面除锈、除尘保养；紧固设备的底座螺丝，确保设备稳固不摇晃；检查设备信号线是否良好；查找不良像素管，有则更换；清洁像素管、电路板；</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4次/年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超高检测器</w:t>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1.目测其是否有掉落风险</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2.接发信号水平测定：能及时接受报警信息、能有效复位</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3.红外对射电源指示灯是否显示正常，电流是否稳定</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4次/年</w:t>
            </w:r>
            <w:r/>
          </w:p>
        </w:tc>
      </w:tr>
      <w:tr>
        <w:trPr>
          <w:trHeight w:val="56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4.设备保养：探头外表面除尘；紧固设备的底座螺丝，确保设备稳固不摇晃；检查设备接线是否良好</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4次/年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洞内照度仪</w:t>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1.目测其是否有掉落风险</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2.有无误差</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3.仪器检测精度标定</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1次/年</w:t>
            </w:r>
            <w:r/>
          </w:p>
        </w:tc>
      </w:tr>
      <w:tr>
        <w:trPr>
          <w:trHeight w:val="560"/>
        </w:trPr>
        <w:tc>
          <w:tcPr>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4.设备保养：对设备表面除尘；紧固设备的底座螺丝，确保设备稳固不摇晃</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widowControl/>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rPr>
              <w:t xml:space="preserve">4次/年</w:t>
            </w:r>
            <w:r/>
          </w:p>
        </w:tc>
      </w:tr>
    </w:tbl>
    <w:p>
      <w:pPr>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4.1.3</w:t>
      </w:r>
      <w:r>
        <w:rPr>
          <w:rFonts w:hint="eastAsia" w:ascii="Times New Roman" w:hAnsi="Times New Roman" w:eastAsiaTheme="minorEastAsia"/>
          <w:sz w:val="24"/>
          <w:szCs w:val="24"/>
          <w:highlight w:val="none"/>
        </w:rPr>
        <w:t xml:space="preserve">数据中心机房</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4.1.3.1</w:t>
      </w:r>
      <w:r>
        <w:rPr>
          <w:rFonts w:hint="eastAsia" w:ascii="Times New Roman" w:hAnsi="Times New Roman" w:eastAsiaTheme="minorEastAsia"/>
          <w:sz w:val="24"/>
          <w:szCs w:val="24"/>
          <w:highlight w:val="none"/>
        </w:rPr>
        <w:t xml:space="preserve">主要运维范围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数据中心机房位于隧道管理处内，其基础环境设施主要包括但不限于：供配电系统、不间断电源（UPS）系统、机柜、精密空调、消防系统、弱电系统及综合布线等。需对这些基础设施开展全面运维与维护，确保机房环境持续稳定、可靠运行，为隧道监控与管理系统提供坚实支撑。</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数据中心机房主要包括但不限于以下设备：数据核</w:t>
      </w:r>
      <w:r>
        <w:rPr>
          <w:rFonts w:hint="eastAsia" w:ascii="Times New Roman" w:hAnsi="Times New Roman" w:eastAsiaTheme="minorEastAsia"/>
          <w:sz w:val="24"/>
          <w:szCs w:val="24"/>
          <w:highlight w:val="none"/>
        </w:rPr>
        <w:t xml:space="preserve">心交换机（主备）2台、视频核心接入交换机（主备）2台、接入交换机1台、防火墙1套、接口服务器1台、超融合服务器5台、数字孪生GPU服务器1台、结构健康监测服务器2台、全息服务器8台、养护运维本地服务器1台、存储服务器8台、视频管理服务器1台、事件检测服务器6台、视频国标网关服务器1台、流媒体服务器4台、容错服务器2台、门楣显示屏2套、动环本地触摸显示屏2套、空调8台、一体化身份与访问管理平台1套、机柜56套、双开自动平移滑动门4扇、门禁控制器8个、指纹门禁读卡器4套、供配电系统数1套、UPS及电池维护2套。</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4.1.3.2</w:t>
      </w:r>
      <w:r>
        <w:rPr>
          <w:rFonts w:hint="eastAsia" w:ascii="Times New Roman" w:hAnsi="Times New Roman" w:eastAsiaTheme="minorEastAsia"/>
          <w:sz w:val="24"/>
          <w:szCs w:val="24"/>
          <w:highlight w:val="none"/>
        </w:rPr>
        <w:t xml:space="preserve">运行管理要求</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检查交换机、防火墙等设备的电源与运行指示灯状态，确认远程数据接收正常、接线牢固、线缆标签清晰；</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检查服务器设备接线是否良好，运行指示灯是否正常，是否存在过热现象；</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检查门楣显示屏有无损坏或黑屏；</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检查动环本地触摸显示屏电源指示灯及显示屏是否正常显示；</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检查空调系统电源状态，核对显示屏功能参数，测量温湿度并比对显示值，确认温湿度传感器工作正常；</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测试打开一体化身份与访问管理平台网页查看告警信息，重启平台测试登录是否正常；</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检查机柜门锁是否完好、可正常上锁；</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测试使用双开自动平移滑动门门禁控制器测试移动门是否正常开闭；</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检查门禁控制器按钮是否存在接触不良或损坏；</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检查指纹门禁读卡器指纹或密码开门功能是否正常；</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检查机房基础环境卫生整洁情况，吊顶、静电地板完好程度，照明与应急照明状态，线缆整理与标签完整性，设备是否存在报警；</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检查供配电系统电源状态、运行情况、外壳是否漏电、电气触点与接线柱有无氧化锈蚀；</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检查UPS及蓄电池电源指示灯、运行参数，确认蓄电池无变形、渗漏，安全阀周围无液体。</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对交换机、防火墙等设备进行清洁保养，检查电源及运行指示灯状态，确保远程数据接收正常、接线可靠、线缆标签清晰；</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对服务器进行外观除尘及网络连接测试；</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检查空调系统是否漏电，并完成设备表面清洁；</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检查一体化身份与访问管理平台中各设备的实时数据状态；</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检查指纹门禁读卡器的开门功能是否正常；</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对机房环境进行机柜除尘、设备整理与线缆规整；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检查供配电系统设备表面清洁状况及服务器连接件是否松动或过热；</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检查UPS系统电池绝缘状况，检查电源保险丝、隔离开关安装与完好程度，确认蓄电池外观、液位、接线柱状态正常，并核对电池电压与数量的匹配性。</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检查服务器运行状态，查看有无坏盘，确保各指示灯正常显示；</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检查空调系统运行状态，清洗过滤网，确保温湿度传感器工作正常；</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检查机房接地系统，完成地电阻测试、主接地点除锈、土壤降阻、接头紧固、防雷器检测及接地线触点防氧化加固。</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4.其他要求：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室外设备应注重季节性维护：梅雨季节应注意对现场设备进行防潮处理。夏季高温期间应注意检查设备散热情况是否完好。雨季要注意查看设施周围的排水和防水情况。</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按计划进行经常性检修和定期检修。维护时应严格按照操作规范和厂家说明书的要求进行。数据中心机房设施检修主要内容及周期如下表所示：</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976"/>
        <w:gridCol w:w="1119"/>
        <w:gridCol w:w="2697"/>
        <w:gridCol w:w="1209"/>
        <w:gridCol w:w="1209"/>
        <w:gridCol w:w="1212"/>
      </w:tblGrid>
      <w:tr>
        <w:trPr>
          <w:trHeight w:val="295"/>
        </w:trPr>
        <w:tc>
          <w:tcPr>
            <w:shd w:val="clear" w:color="auto" w:fill="auto"/>
            <w:tcW w:w="40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序号</w:t>
            </w:r>
            <w:r/>
          </w:p>
        </w:tc>
        <w:tc>
          <w:tcPr>
            <w:gridSpan w:val="2"/>
            <w:shd w:val="clear" w:color="auto" w:fill="auto"/>
            <w:tcW w:w="1142"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名称</w:t>
            </w:r>
            <w:r/>
          </w:p>
        </w:tc>
        <w:tc>
          <w:tcPr>
            <w:shd w:val="clear" w:color="auto" w:fill="auto"/>
            <w:tcW w:w="147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维护项目</w:t>
            </w:r>
            <w:r/>
          </w:p>
        </w:tc>
        <w:tc>
          <w:tcPr>
            <w:shd w:val="clear" w:color="auto" w:fill="auto"/>
            <w:tcW w:w="65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日常巡查</w:t>
            </w:r>
            <w:r/>
          </w:p>
        </w:tc>
        <w:tc>
          <w:tcPr>
            <w:shd w:val="clear" w:color="auto" w:fill="auto"/>
            <w:tcW w:w="65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经常检修</w:t>
            </w:r>
            <w:r/>
          </w:p>
        </w:tc>
        <w:tc>
          <w:tcPr>
            <w:shd w:val="clear" w:color="auto" w:fill="auto"/>
            <w:tcW w:w="660"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定期检修</w:t>
            </w:r>
            <w:r/>
          </w:p>
        </w:tc>
      </w:tr>
      <w:tr>
        <w:trPr>
          <w:trHeight w:val="295"/>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数据核心交换机（主备）</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设备保养：对设备、柜内、外表面除尘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电源检查：检查指示灯是否显示正常</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5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设备运行检查：各类指示灯是否正常，远程接受数据是否正常检查各接线是否良好、线缆标签是否清晰</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90"/>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视频核心接入交换机（主备）</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设备保养：对设备、柜内、外表面除尘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电源检查：检查指示灯是否显示正常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5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设备运行检查：各类指示灯是否正常，远程接受数据是否正常检查各接线是否良好、线缆标签是否清晰</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接入交换机</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设备保养：对设备、柜内、外表面除尘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电源检查：检查指示灯是否显示正常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5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设备运行检查：各类指示灯是否正常，远程接受数据是否正常检查各接线是否良好、线缆标签是否清晰</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防火墙</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设备保养：对设备、柜内、外表面除尘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电源检查：检查指示灯是否显示正常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5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设备运行检查：各类指示灯是否正常，远程接受数据是否正常检查各接线是否良好、线缆标签是否清晰</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接口服务器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超融合服务器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7</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数字孪生GPU服务器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8</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结构健康监测服务器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9</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全息服务器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10</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养护运维本地服务器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11</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存储服务器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测试服务器的磁盘容量、网络通断情况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9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12</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视频管理服务器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13</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事件检测服务器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0"/>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14</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视频国标网关服务器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0"/>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15</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流媒体服务器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8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85"/>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16</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容错服务器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检查设备接线是否良好</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检查设备运转有无过热现象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外观检测：擦拭设备表面灰尘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测试服务器的网络通断情况</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查看服务器有无坏盘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95"/>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hint="eastAsia" w:ascii="Times New Roman" w:hAnsi="Times New Roman" w:eastAsiaTheme="minorEastAsia"/>
                <w:color w:val="000000"/>
                <w:sz w:val="24"/>
                <w:szCs w:val="24"/>
                <w:highlight w:val="none"/>
                <w:lang w:bidi="ar"/>
              </w:rPr>
              <w:t xml:space="preserve">17</w:t>
            </w:r>
            <w:r/>
          </w:p>
        </w:tc>
        <w:tc>
          <w:tcPr>
            <w:shd w:val="clear" w:color="auto" w:fill="auto"/>
            <w:tcW w:w="53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动力环境监控平台</w:t>
            </w:r>
            <w:r/>
          </w:p>
        </w:tc>
        <w:tc>
          <w:tcPr>
            <w:shd w:val="clear" w:color="auto" w:fill="auto"/>
            <w:tcW w:w="6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门楣显示屏</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查看门楣显示屏是否存在损坏、黑屏现象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动环本地触摸显示屏</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电源检查：目测检查电源指示灯是否显示正常；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设备运行检查：目测显示屏是否显示正常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空调</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电源检查</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5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从空调系统的显示屏上检查空调系统的各项功能及参数是否正常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设备运行检查</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5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测量温、湿度值，与面板上显示得值进行比较，是否正常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检查温度、湿度传感器的工作状态是否正常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外壳漏电检查</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无漏电现象</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7.</w:t>
            </w:r>
            <w:r>
              <w:rPr>
                <w:rFonts w:hint="eastAsia" w:ascii="Times New Roman" w:hAnsi="Times New Roman" w:cs="宋体" w:eastAsiaTheme="minorEastAsia"/>
                <w:color w:val="000000"/>
                <w:sz w:val="24"/>
                <w:szCs w:val="24"/>
                <w:highlight w:val="none"/>
                <w:lang w:bidi="ar"/>
              </w:rPr>
              <w:t xml:space="preserve">设备保养</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设备、柜内、外表面除尘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8.</w:t>
            </w:r>
            <w:r>
              <w:rPr>
                <w:rFonts w:hint="eastAsia" w:ascii="Times New Roman" w:hAnsi="Times New Roman" w:cs="宋体" w:eastAsiaTheme="minorEastAsia"/>
                <w:color w:val="000000"/>
                <w:sz w:val="24"/>
                <w:szCs w:val="24"/>
                <w:highlight w:val="none"/>
                <w:lang w:bidi="ar"/>
              </w:rPr>
              <w:t xml:space="preserve">清洗过滤网</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55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一体化身份与访问管理平台</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输入网址打开网页版平台，查看平台有无报警信息，若发现故障及时处理</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重启网页平台，目测是否存在平台登录不上的情况</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查看各设备实时数据是否正常</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hint="eastAsia" w:ascii="Times New Roman" w:hAnsi="Times New Roman" w:eastAsiaTheme="minorEastAsia"/>
                <w:color w:val="000000"/>
                <w:sz w:val="24"/>
                <w:szCs w:val="24"/>
                <w:highlight w:val="none"/>
                <w:lang w:bidi="ar"/>
              </w:rPr>
              <w:t xml:space="preserve">18</w:t>
            </w:r>
            <w:r/>
          </w:p>
        </w:tc>
        <w:tc>
          <w:tcPr>
            <w:shd w:val="clear" w:color="auto" w:fill="auto"/>
            <w:tcW w:w="53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机房安全防范</w:t>
            </w:r>
            <w:r/>
          </w:p>
        </w:tc>
        <w:tc>
          <w:tcPr>
            <w:shd w:val="clear" w:color="auto" w:fill="auto"/>
            <w:tcW w:w="6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机柜</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检查门锁是否完好，能否有效上锁</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双开自动平移滑动门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用门禁控制器测试移动门是否移动正常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门禁控制器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测试门禁按钮是否有接触不良或者损坏的故障</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53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609"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指纹门禁读卡器</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测试指纹或输入密码是否有故障打不开门禁的故障</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hint="eastAsia" w:ascii="Times New Roman" w:hAnsi="Times New Roman" w:eastAsiaTheme="minorEastAsia"/>
                <w:color w:val="000000"/>
                <w:sz w:val="24"/>
                <w:szCs w:val="24"/>
                <w:highlight w:val="none"/>
                <w:lang w:bidi="ar"/>
              </w:rPr>
              <w:t xml:space="preserve">19</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机房基础环境</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机房卫生是否整洁</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吊顶表面清洁</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板材松动、翘起修复，变形、损坏更换</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5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静电地板清洗清洁，地面除尘</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缝隙调整</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平整度调整</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损坏更换</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模块、光纤配线检查</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标签检查</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整理凌乱线缆</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普通照明与应急照明是否正常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设备运行是否有报警情况</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7.</w:t>
            </w:r>
            <w:r>
              <w:rPr>
                <w:rFonts w:hint="eastAsia" w:ascii="Times New Roman" w:hAnsi="Times New Roman" w:cs="宋体" w:eastAsiaTheme="minorEastAsia"/>
                <w:color w:val="000000"/>
                <w:sz w:val="24"/>
                <w:szCs w:val="24"/>
                <w:highlight w:val="none"/>
                <w:lang w:bidi="ar"/>
              </w:rPr>
              <w:t xml:space="preserve">机柜除尘、清洁</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机柜及网络设备整理</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5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8.</w:t>
            </w:r>
            <w:r>
              <w:rPr>
                <w:rFonts w:hint="eastAsia" w:ascii="Times New Roman" w:hAnsi="Times New Roman" w:cs="宋体" w:eastAsiaTheme="minorEastAsia"/>
                <w:color w:val="000000"/>
                <w:sz w:val="24"/>
                <w:szCs w:val="24"/>
                <w:highlight w:val="none"/>
                <w:lang w:bidi="ar"/>
              </w:rPr>
              <w:t xml:space="preserve">接地电阻测试</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主接地点除锈、土壤降阻、接头紧固</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防雷器检测</w:t>
            </w:r>
            <w:r>
              <w:rPr>
                <w:rFonts w:hint="eastAsia"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接地线触点防氧化加固。</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年</w:t>
            </w:r>
            <w:r/>
          </w:p>
        </w:tc>
      </w:tr>
      <w:tr>
        <w:trPr>
          <w:trHeight w:val="295"/>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eastAsiaTheme="minorEastAsia"/>
                <w:color w:val="000000"/>
                <w:sz w:val="24"/>
                <w:szCs w:val="24"/>
                <w:highlight w:val="none"/>
                <w:lang w:bidi="ar"/>
              </w:rPr>
              <w:t xml:space="preserve">0</w:t>
            </w:r>
            <w:r/>
          </w:p>
        </w:tc>
        <w:tc>
          <w:tcPr>
            <w:gridSpan w:val="2"/>
            <w:shd w:val="clear" w:color="auto" w:fill="auto"/>
            <w:tcW w:w="1142"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供配电系统</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设备保养：设备、柜内、外表面除尘</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电源检查</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设备运行检查：正常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检查服务器所有连接件有无松动、有无过热现象</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月</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外壳漏电检查：无漏电现象</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检查电气盘柜的部分触点、接线柱等有氧化锈蚀</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eastAsiaTheme="minorEastAsia"/>
                <w:color w:val="000000"/>
                <w:sz w:val="24"/>
                <w:szCs w:val="24"/>
                <w:highlight w:val="none"/>
                <w:lang w:bidi="ar"/>
              </w:rPr>
              <w:t xml:space="preserve">1</w:t>
            </w:r>
            <w:r/>
          </w:p>
        </w:tc>
        <w:tc>
          <w:tcPr>
            <w:gridSpan w:val="2"/>
            <w:shd w:val="clear" w:color="auto" w:fill="auto"/>
            <w:tcW w:w="1142" w:type="pct"/>
            <w:vAlign w:val="center"/>
            <w:vMerge w:val="restart"/>
            <w:textDirection w:val="lrTb"/>
            <w:noWrap/>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UPS</w:t>
            </w:r>
            <w:r>
              <w:rPr>
                <w:rFonts w:hint="eastAsia" w:ascii="Times New Roman" w:hAnsi="Times New Roman" w:cs="宋体" w:eastAsiaTheme="minorEastAsia"/>
                <w:color w:val="000000"/>
                <w:sz w:val="24"/>
                <w:szCs w:val="24"/>
                <w:highlight w:val="none"/>
                <w:lang w:bidi="ar"/>
              </w:rPr>
              <w:t xml:space="preserve">及电池维护</w:t>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电源检查</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2.</w:t>
            </w:r>
            <w:r>
              <w:rPr>
                <w:rFonts w:hint="eastAsia" w:ascii="Times New Roman" w:hAnsi="Times New Roman" w:cs="宋体" w:eastAsiaTheme="minorEastAsia"/>
                <w:color w:val="000000"/>
                <w:sz w:val="24"/>
                <w:szCs w:val="24"/>
                <w:highlight w:val="none"/>
                <w:lang w:bidi="ar"/>
              </w:rPr>
              <w:t xml:space="preserve">设备运行检查：各类指示灯显示是否正常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3.</w:t>
            </w:r>
            <w:r>
              <w:rPr>
                <w:rFonts w:hint="eastAsia" w:ascii="Times New Roman" w:hAnsi="Times New Roman" w:cs="宋体" w:eastAsiaTheme="minorEastAsia"/>
                <w:color w:val="000000"/>
                <w:sz w:val="24"/>
                <w:szCs w:val="24"/>
                <w:highlight w:val="none"/>
                <w:lang w:bidi="ar"/>
              </w:rPr>
              <w:t xml:space="preserve">整流器、逆变器、静态旁路、负载运行参数是否正常</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4.</w:t>
            </w:r>
            <w:r>
              <w:rPr>
                <w:rFonts w:hint="eastAsia" w:ascii="Times New Roman" w:hAnsi="Times New Roman" w:cs="宋体" w:eastAsiaTheme="minorEastAsia"/>
                <w:color w:val="000000"/>
                <w:sz w:val="24"/>
                <w:szCs w:val="24"/>
                <w:highlight w:val="none"/>
                <w:lang w:bidi="ar"/>
              </w:rPr>
              <w:t xml:space="preserve">蓄电池外观是否变形、渗漏，安全阀周围有无液体</w:t>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58"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5.</w:t>
            </w:r>
            <w:r>
              <w:rPr>
                <w:rFonts w:hint="eastAsia" w:ascii="Times New Roman" w:hAnsi="Times New Roman" w:cs="宋体" w:eastAsiaTheme="minorEastAsia"/>
                <w:color w:val="000000"/>
                <w:sz w:val="24"/>
                <w:szCs w:val="24"/>
                <w:highlight w:val="none"/>
                <w:lang w:bidi="ar"/>
              </w:rPr>
              <w:t xml:space="preserve">电池绝缘是否正常</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55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6.</w:t>
            </w:r>
            <w:r>
              <w:rPr>
                <w:rFonts w:hint="eastAsia" w:ascii="Times New Roman" w:hAnsi="Times New Roman" w:cs="宋体" w:eastAsiaTheme="minorEastAsia"/>
                <w:color w:val="000000"/>
                <w:sz w:val="24"/>
                <w:szCs w:val="24"/>
                <w:highlight w:val="none"/>
                <w:lang w:bidi="ar"/>
              </w:rPr>
              <w:t xml:space="preserve">检查所有的电源保险丝、隔离开关的完好程度及是否安装牢固</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7.</w:t>
            </w:r>
            <w:r>
              <w:rPr>
                <w:rFonts w:hint="eastAsia" w:ascii="Times New Roman" w:hAnsi="Times New Roman" w:cs="宋体" w:eastAsiaTheme="minorEastAsia"/>
                <w:color w:val="000000"/>
                <w:sz w:val="24"/>
                <w:szCs w:val="24"/>
                <w:highlight w:val="none"/>
                <w:lang w:bidi="ar"/>
              </w:rPr>
              <w:t xml:space="preserve">蓄电池情况（外观、液位、接线柱）是否正常</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60" w:type="pct"/>
            <w:vAlign w:val="center"/>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r>
      <w:tr>
        <w:trPr>
          <w:trHeight w:val="295"/>
        </w:trPr>
        <w:tc>
          <w:tcPr>
            <w:shd w:val="clear" w:color="auto" w:fill="auto"/>
            <w:tcW w:w="408"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gridSpan w:val="2"/>
            <w:shd w:val="clear" w:color="auto" w:fill="auto"/>
            <w:tcW w:w="1142" w:type="pct"/>
            <w:vAlign w:val="center"/>
            <w:vMerge w:val="continue"/>
            <w:textDirection w:val="lrTb"/>
            <w:noWrap/>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1470" w:type="pct"/>
            <w:vAlign w:val="center"/>
            <w:textDirection w:val="lrTb"/>
            <w:noWrap w:val="false"/>
          </w:tcPr>
          <w:p>
            <w:pP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8.</w:t>
            </w:r>
            <w:r>
              <w:rPr>
                <w:rFonts w:hint="eastAsia" w:ascii="Times New Roman" w:hAnsi="Times New Roman" w:cs="宋体" w:eastAsiaTheme="minorEastAsia"/>
                <w:color w:val="000000"/>
                <w:sz w:val="24"/>
                <w:szCs w:val="24"/>
                <w:highlight w:val="none"/>
                <w:lang w:bidi="ar"/>
              </w:rPr>
              <w:t xml:space="preserve">检查电池电压是否和电池数量相匹配</w:t>
            </w:r>
            <w:r/>
          </w:p>
        </w:tc>
        <w:tc>
          <w:tcPr>
            <w:shd w:val="clear" w:color="auto" w:fill="auto"/>
            <w:tcW w:w="658" w:type="pct"/>
            <w:vAlign w:val="center"/>
            <w:textDirection w:val="lrTb"/>
            <w:noWrap w:val="false"/>
          </w:tcPr>
          <w:p>
            <w:pPr>
              <w:jc w:val="center"/>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rPr>
            </w:r>
            <w:r/>
          </w:p>
        </w:tc>
        <w:tc>
          <w:tcPr>
            <w:shd w:val="clear" w:color="auto" w:fill="auto"/>
            <w:tcW w:w="658" w:type="pct"/>
            <w:vAlign w:val="center"/>
            <w:textDirection w:val="lrTb"/>
            <w:noWrap w:val="false"/>
          </w:tcPr>
          <w:p>
            <w:pPr>
              <w:jc w:val="center"/>
              <w:widowControl/>
              <w:rPr>
                <w:rFonts w:ascii="Times New Roman" w:hAnsi="Times New Roman" w:eastAsiaTheme="minorEastAsia"/>
                <w:color w:val="000000"/>
                <w:sz w:val="24"/>
                <w:szCs w:val="24"/>
                <w:highlight w:val="none"/>
              </w:rPr>
            </w:pPr>
            <w:r>
              <w:rPr>
                <w:rFonts w:ascii="Times New Roman" w:hAnsi="Times New Roman" w:eastAsiaTheme="minorEastAsia"/>
                <w:color w:val="000000"/>
                <w:sz w:val="24"/>
                <w:szCs w:val="24"/>
                <w:highlight w:val="none"/>
                <w:lang w:bidi="ar"/>
              </w:rPr>
              <w:t xml:space="preserve">1</w:t>
            </w:r>
            <w:r>
              <w:rPr>
                <w:rFonts w:hint="eastAsia" w:ascii="Times New Roman" w:hAnsi="Times New Roman" w:cs="宋体" w:eastAsiaTheme="minorEastAsia"/>
                <w:color w:val="000000"/>
                <w:sz w:val="24"/>
                <w:szCs w:val="24"/>
                <w:highlight w:val="none"/>
                <w:lang w:bidi="ar"/>
              </w:rPr>
              <w:t xml:space="preserve">次</w:t>
            </w:r>
            <w:r>
              <w:rPr>
                <w:rFonts w:ascii="Times New Roman" w:hAnsi="Times New Roman" w:eastAsiaTheme="minorEastAsia"/>
                <w:color w:val="000000"/>
                <w:sz w:val="24"/>
                <w:szCs w:val="24"/>
                <w:highlight w:val="none"/>
                <w:lang w:bidi="ar"/>
              </w:rPr>
              <w:t xml:space="preserve">/</w:t>
            </w:r>
            <w:r>
              <w:rPr>
                <w:rFonts w:hint="eastAsia" w:ascii="Times New Roman" w:hAnsi="Times New Roman" w:cs="宋体" w:eastAsiaTheme="minorEastAsia"/>
                <w:color w:val="000000"/>
                <w:sz w:val="24"/>
                <w:szCs w:val="24"/>
                <w:highlight w:val="none"/>
                <w:lang w:bidi="ar"/>
              </w:rPr>
              <w:t xml:space="preserve">日</w:t>
            </w:r>
            <w:r/>
          </w:p>
        </w:tc>
        <w:tc>
          <w:tcPr>
            <w:shd w:val="clear" w:color="auto" w:fill="auto"/>
            <w:tcW w:w="660"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bl>
    <w:p>
      <w:pPr>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755"/>
        <w:numPr>
          <w:ilvl w:val="2"/>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4.1.4</w:t>
      </w:r>
      <w:r>
        <w:rPr>
          <w:rFonts w:hint="eastAsia" w:ascii="Times New Roman" w:hAnsi="Times New Roman" w:eastAsiaTheme="minorEastAsia"/>
          <w:sz w:val="24"/>
          <w:szCs w:val="24"/>
          <w:highlight w:val="none"/>
        </w:rPr>
        <w:t xml:space="preserve">指挥中心</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4.1.4.1</w:t>
      </w:r>
      <w:r>
        <w:rPr>
          <w:rFonts w:hint="eastAsia" w:ascii="Times New Roman" w:hAnsi="Times New Roman" w:eastAsiaTheme="minorEastAsia"/>
          <w:sz w:val="24"/>
          <w:szCs w:val="24"/>
          <w:highlight w:val="none"/>
        </w:rPr>
        <w:t xml:space="preserve">主要运维范围</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指挥中心系统主要由大屏显示系统、KVM智能协作系统、会议系统、操作台、专业工作站、配套会议室等组成。大屏系统采用小间距LED大屏，尺寸为91.125㎡。大屏显示将隧道全景及其具体情况以大屏方式、中央计算机方式、控制台方式有机结合、显示出来，达到隧道运作、管理的大脑和核心作用。</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指挥中心主要包括但不限于以下设备：LED中控大屏1面、LED大屏幕控制计算机1台、图像拼接处理器1套、操作台工控机27台、交换机3台、操作台设备柜1套、音箱设备16套、钢型屏架1套、话筒4套、无纸化会议系统1套、功率放大器4台、音频控制处理器2台、主席发言单元1套、代表发言单元6套、无纸化会议系统1套。</w:t>
      </w:r>
      <w:r/>
    </w:p>
    <w:p>
      <w:pPr>
        <w:pStyle w:val="756"/>
        <w:numPr>
          <w:ilvl w:val="3"/>
          <w:numId w:val="0"/>
        </w:num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4.1.4.2</w:t>
      </w:r>
      <w:r>
        <w:rPr>
          <w:rFonts w:hint="eastAsia" w:ascii="Times New Roman" w:hAnsi="Times New Roman" w:eastAsiaTheme="minorEastAsia"/>
          <w:sz w:val="24"/>
          <w:szCs w:val="24"/>
          <w:highlight w:val="none"/>
        </w:rPr>
        <w:t xml:space="preserve">运行管理要求</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1.日常检查要求：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检查LED中控大屏环境温、湿度状态，确认亮度、对比度正常；</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检查LED大屏幕控制计算机设备运行是否正常、电源指示灯是否亮起、输出图像是否清晰稳定、设备有无过热现象；</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检查图像拼接处理器各类指示灯是否正常显示，进行图像拼接功能测试（包括切换隧道全景检查图像整体一致性、开关视频与PC信号窗口、执行窗口缩放、移动及多视窗显示），并测试对视频矩阵的调用与切换；</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检查操作台工控机设备运行是否正常、电源指示灯是否正常、输出图像是否清晰稳定、设备有无过热现象；</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目测交换机电源指示灯是否正常，查看各类指示灯显示状态；</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检查钢型屏架外观有无损坏、锈蚀或氧化现象，检查固定结构螺栓有无松动、生锈；</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检查无纸化会议系统软件是否能正常控制会议，确认数据接口连接可靠，并随机抽取一台升降设备测试运行是否正常、有无卡壳或异响；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检查功率放大器电源指示灯是否正常、所有连接件有无松动或过热；</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检查音频控制处理器电源指示灯是否正常、所有连接件有无松动或过热。</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2.</w:t>
      </w:r>
      <w:r>
        <w:rPr>
          <w:rFonts w:ascii="Times New Roman" w:hAnsi="Times New Roman" w:eastAsiaTheme="minorEastAsia"/>
          <w:b/>
          <w:bCs/>
          <w:sz w:val="24"/>
          <w:szCs w:val="24"/>
          <w:highlight w:val="none"/>
        </w:rPr>
        <w:t xml:space="preserve">经常</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检查LED中控大屏大屏显示质量，测试亮度一致性、色彩与分辨率是否正常；检查通过图像拼接处理器输出视频图像的完整性、清晰度及同步性；完成外表面除锈、除尘保养。</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检查LED大屏幕控制计算机、操作台工控机设备运行状态，完成外表面除尘，确认可正常开机、各项功能正常；进行外壳漏电检查，确保无漏电现象；完成磁盘扫描和碎片整理。</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检查图像拼接处理器信号处理设备状态，紧固设备接线，确保连接正常；完成设备表面除尘。</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检查交换机网络连接状态，通过DOS命令测试远程接收数据是否正常；检查设备接线是否良好、牢固。</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检查操作台设备柜供电与辅助设备状态，检查插座是否松动、连接是否正常；检查光带是否损坏，若有损坏及时切换；对设备、柜内、外表面进行除尘。</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检查话筒、主席发言单元、代表发言单元音频输入设备状态，清洁设备外观；测试各发言单元功能，按压说话键确认能否正常发言；检查紧急播音功能是否正常。</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检查无纸化会议系统综合状态，对设备、柜内、外表面进行除尘；检查视频会议终端连接状态和工作状态；测试系统图像显示是否正常；进行统一升降测试，检查运行是否正常、有无卡壳异响。</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检查功率放大器音频输出设备状态，对设备、柜内、外表面进行除尘。</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检查所有设备（包括LED屏体、操作台、会议终端）的外观清洁度、有无物理损伤，线缆连接是否整齐、牢固；测试音频系统在不同模式下的音质、回声消除及声场覆盖均匀性。</w:t>
      </w:r>
      <w:r/>
    </w:p>
    <w:p>
      <w:pPr>
        <w:ind w:firstLine="482"/>
        <w:spacing w:line="360" w:lineRule="auto"/>
        <w:rPr>
          <w:rFonts w:ascii="Times New Roman" w:hAnsi="Times New Roman" w:eastAsiaTheme="minorEastAsia"/>
          <w:sz w:val="24"/>
          <w:szCs w:val="24"/>
          <w:highlight w:val="none"/>
        </w:rPr>
      </w:pPr>
      <w:r>
        <w:rPr>
          <w:rFonts w:hint="eastAsia" w:ascii="Times New Roman" w:hAnsi="Times New Roman" w:eastAsiaTheme="minorEastAsia"/>
          <w:b/>
          <w:bCs/>
          <w:sz w:val="24"/>
          <w:szCs w:val="24"/>
          <w:highlight w:val="none"/>
        </w:rPr>
        <w:t xml:space="preserve">3.</w:t>
      </w:r>
      <w:r>
        <w:rPr>
          <w:rFonts w:ascii="Times New Roman" w:hAnsi="Times New Roman" w:eastAsiaTheme="minorEastAsia"/>
          <w:b/>
          <w:bCs/>
          <w:sz w:val="24"/>
          <w:szCs w:val="24"/>
          <w:highlight w:val="none"/>
        </w:rPr>
        <w:t xml:space="preserve">定期</w:t>
      </w:r>
      <w:r>
        <w:rPr>
          <w:rFonts w:hint="eastAsia" w:ascii="Times New Roman" w:hAnsi="Times New Roman" w:eastAsiaTheme="minorEastAsia"/>
          <w:b/>
          <w:bCs/>
          <w:sz w:val="24"/>
          <w:szCs w:val="24"/>
          <w:highlight w:val="none"/>
        </w:rPr>
        <w:t xml:space="preserve">检查要求：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检查所有设备（包括LED中控大屏、控制计算机、图像拼接处理器、操作台设备柜及功率放大器等）的外观清洁度、有无物理损伤，线缆及接插件连接是否整齐、牢固，并进行表面除尘。</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对LED中控大屏、操作台设备柜及相关设备的底座、连接件进行紧固，确保设备稳固、不摇晃。</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检查LED中控大屏通风孔和通风槽，确保散热性能良好。</w:t>
      </w:r>
      <w:r/>
    </w:p>
    <w:p>
      <w:pPr>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检查LED大屏幕控制计算机、功率放大器等设备的电源电压及响应时间，确保输入、输出电压正常，符合设计要求，各项调节功能运行正常。</w:t>
      </w:r>
      <w:r/>
    </w:p>
    <w:p>
      <w:pPr>
        <w:ind w:firstLine="482"/>
        <w:spacing w:line="360" w:lineRule="auto"/>
        <w:rPr>
          <w:rFonts w:ascii="Times New Roman" w:hAnsi="Times New Roman" w:eastAsiaTheme="minorEastAsia"/>
          <w:b/>
          <w:bCs/>
          <w:sz w:val="24"/>
          <w:szCs w:val="24"/>
          <w:highlight w:val="none"/>
        </w:rPr>
      </w:pPr>
      <w:r>
        <w:rPr>
          <w:rFonts w:hint="eastAsia" w:ascii="Times New Roman" w:hAnsi="Times New Roman" w:eastAsiaTheme="minorEastAsia"/>
          <w:b/>
          <w:bCs/>
          <w:sz w:val="24"/>
          <w:szCs w:val="24"/>
          <w:highlight w:val="none"/>
        </w:rPr>
        <w:t xml:space="preserve">4.其他要求：</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室外设备应注重季节性维护：梅雨季节应注意对现场设备进行防潮处理。夏季高温期间应注意检查设备散热情况是否完好。雨季要注意查看设施周围的排水和防水情况。</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日常运行中出现的所有设备设施故障都应按照运维目标中要求的抢修时间进行修复。</w:t>
      </w:r>
      <w:r/>
    </w:p>
    <w:p>
      <w:pPr>
        <w:ind w:firstLine="480"/>
        <w:spacing w:line="360" w:lineRule="auto"/>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按计划进行经常性检修和定期检修。维护时应严格按照操作规范和厂家说明书的要求进行。指挥中心设施检修主要内容及周期如下表所示：</w:t>
      </w:r>
      <w:r/>
    </w:p>
    <w:tbl>
      <w:tblPr>
        <w:tblStyle w:val="763"/>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710"/>
        <w:gridCol w:w="2347"/>
        <w:gridCol w:w="2266"/>
        <w:gridCol w:w="1279"/>
        <w:gridCol w:w="1279"/>
        <w:gridCol w:w="1281"/>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经常检修</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定期检修</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LED中控大屏</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1.温、湿度检查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2.亮度、对比度检查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3.亮度一致性</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4.色彩、分辨率是否正常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5.经图像拼接处理器的视频图像检查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6.设备保养：外表面除锈、除尘保养</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7.检查通风孔和通风槽散热性</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4次/年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8.紧固设备的底座螺丝，确保设备稳固不摇晃</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4次/年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9.电源检查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LED大屏幕控制计算机</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1.设备运行检查：是否正常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2.电源检查：检查电源指示灯是否显示正常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3.图像是否清晰、稳定</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4.检查设备运转有无过热现象</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5.设备外表面除尘</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6.软件维护即开机检查：可正常开机，各项功能正常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7.外壳漏电检查：无漏电现象</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8.磁盘扫描和碎片整理</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9.电源电压：输入、输出电压正常，响应时间符合设计要求</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1次/年</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图像拼接处理器</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1.设备运行检查：检查各类指示灯是否显示正常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2.图像拼接功能检查：切换隧道全景，检查图像整体一致性</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3.温、湿度检查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4.开关视频、PC信号窗口</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5.窗口缩放、移动、多视窗显示等</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6.对视频矩阵的调用、切换</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7.紧固设备的接线，确保接线正常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8.设备保养：对设备表面除尘</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操作台工控机</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1.设备运行检查：是否正常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2.电源检查：检查电源指示灯是否显示正常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3.图像是否清晰、稳定</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4.检查设备运转有无过热现象</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5.设备外表面除尘</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shd w:val="clear" w:color="auto" w:fill="auto"/>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6.软件维护即开机检查：可正常开机，各项功能正常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7.外壳漏电检查：无漏电现象</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8.磁盘扫描和碎片整理</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1.目测电源指示灯是否显示正常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2.查看各类指示灯显示是否正常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3.通过DOS命令检查远程接收数据是否正常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4.检查设备接线是否良好</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操作台设备柜</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1.电源检查：检查插座是否松动、连接是否正常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2.检查光带是否损坏，若有损坏及时切换</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3.设备保养：对设备、柜内、外表面除尘</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4.紧固设备柜连接件</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4次/年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5.接地情况检查：接地性能是否良好</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音箱设备</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1.工作状态检测</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2.广播试验</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3.设备保养：设备外表面除尘、基座紧固</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钢型屏架</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1.外观检查：无损坏、无锈蚀氧化现象</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2.固定结构检查：螺栓无松动、生锈</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话筒</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1.外观维护：清洁</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2.紧急播音功能正常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1280"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无纸化会议系统</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1.软件检查：检查软件是否能正常运行控制</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2.数据接口检查：连接可靠</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3.随机一台升降测试是否运行正常，并查看是否有卡壳异响</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4.设备保养：设备、柜内、外表面除尘</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5.检查视频会议终端连接状态和工作状态</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6.图像显示是否正常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7.统一升降测试是否运行正常，并查看是否有卡壳异响</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功率放大器</w:t>
            </w:r>
            <w:r/>
          </w:p>
        </w:tc>
        <w:tc>
          <w:tcPr>
            <w:shd w:val="clear" w:color="auto" w:fill="auto"/>
            <w:tcBorders>
              <w:top w:val="single" w:color="000000" w:sz="4" w:space="0"/>
              <w:left w:val="non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1.电源检查：检查电源指示灯是否显示正常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2.检查所有连接件有无松动、有无过热现象</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3.设备保养：设备、柜内、外表面除尘</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4.检查各项调节器是否正常、接插件是否连接良好</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697"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4次/年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1280" w:type="pct"/>
            <w:vAlign w:val="center"/>
            <w:vMerge w:val="restart"/>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音频控制处理器</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1.电源检查：检查电源指示灯是否显示正常</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2.检查所有连接件有无松动、有无过热现象</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3.设备保养：设备、柜内、外表面除尘</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280" w:type="pct"/>
            <w:vAlign w:val="center"/>
            <w:vMerge w:val="continue"/>
            <w:textDirection w:val="lrTb"/>
            <w:noWrap w:val="false"/>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4.电压输出输入功率测定：符合设计要求</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697"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4次/年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主席发言单元</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1.对设备表面除尘，用手按一下说话键，查看是否能正常说话，室内温湿度测试</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代表发言单元</w:t>
            </w:r>
            <w:r/>
          </w:p>
        </w:tc>
        <w:tc>
          <w:tcPr>
            <w:shd w:val="clear" w:color="auto" w:fill="auto"/>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1.对设备表面除尘，用手按一下说话键，查看是否能正常说话，室内温湿度测试</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Times New Roman" w:hAnsi="Times New Roman" w:cs="宋体" w:eastAsiaTheme="minorEastAsia"/>
                <w:color w:val="000000"/>
                <w:sz w:val="24"/>
                <w:szCs w:val="24"/>
                <w:highlight w:val="none"/>
              </w:rPr>
            </w:pPr>
            <w:r>
              <w:rPr>
                <w:rFonts w:hint="eastAsia" w:ascii="Times New Roman" w:hAnsi="Times New Roman" w:cs="宋体" w:eastAsiaTheme="minorEastAsia"/>
                <w:color w:val="000000"/>
                <w:sz w:val="24"/>
                <w:szCs w:val="24"/>
                <w:highlight w:val="none"/>
                <w:lang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rPr>
                <w:rFonts w:ascii="Times New Roman" w:hAnsi="Times New Roman" w:cs="宋体" w:eastAsiaTheme="minorEastAsia"/>
                <w:color w:val="000000"/>
                <w:sz w:val="24"/>
                <w:szCs w:val="24"/>
                <w:highlight w:val="none"/>
              </w:rPr>
            </w:pPr>
            <w:r>
              <w:rPr>
                <w:rFonts w:ascii="Times New Roman" w:hAnsi="Times New Roman" w:cs="宋体" w:eastAsiaTheme="minorEastAsia"/>
                <w:color w:val="000000"/>
                <w:sz w:val="24"/>
                <w:szCs w:val="24"/>
                <w:highlight w:val="none"/>
              </w:rPr>
            </w:r>
            <w:r/>
          </w:p>
        </w:tc>
      </w:tr>
    </w:tbl>
    <w:p>
      <w:pPr>
        <w:pStyle w:val="754"/>
        <w:numPr>
          <w:ilvl w:val="1"/>
          <w:numId w:val="0"/>
        </w:numPr>
        <w:jc w:val="both"/>
        <w:rPr>
          <w:rFonts w:ascii="Times New Roman" w:hAnsi="Times New Roman" w:cs="宋体" w:eastAsiaTheme="minorEastAsia"/>
          <w:sz w:val="24"/>
          <w:szCs w:val="24"/>
          <w:highlight w:val="none"/>
        </w:rPr>
      </w:pPr>
      <w:r>
        <w:rPr>
          <w:rFonts w:ascii="Times New Roman" w:hAnsi="Times New Roman" w:eastAsiaTheme="minorEastAsia"/>
          <w:sz w:val="24"/>
          <w:szCs w:val="24"/>
          <w:highlight w:val="none"/>
        </w:rPr>
        <w:t xml:space="preserve">4.2</w:t>
      </w:r>
      <w:r>
        <w:rPr>
          <w:rFonts w:hint="eastAsia" w:ascii="Times New Roman" w:hAnsi="Times New Roman" w:eastAsiaTheme="minorEastAsia"/>
          <w:sz w:val="24"/>
          <w:szCs w:val="24"/>
          <w:highlight w:val="none"/>
        </w:rPr>
        <w:t xml:space="preserve">与土建、机电、保洁及其他专业间的配合</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在项目维护全过程中，投标人须建立高效的协同管理体系，全面负责与土建、机电系统、隧道保洁养护及其他相关专业的无缝衔接与配合。具体要求如下：</w:t>
      </w:r>
      <w:r/>
    </w:p>
    <w:p>
      <w:pPr>
        <w:ind w:firstLine="482"/>
        <w:spacing w:line="360" w:lineRule="auto"/>
        <w:rPr>
          <w:rFonts w:ascii="Times New Roman" w:hAnsi="Times New Roman" w:cs="宋体" w:eastAsia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b/>
          <w:bCs/>
          <w:sz w:val="24"/>
          <w:szCs w:val="24"/>
          <w:highlight w:val="none"/>
        </w:rPr>
        <w:t xml:space="preserve">（1）作业前协同告知</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弱电运维在进行设备巡检、固件升级、故障维修、点位调整、管线敷设等作业前，须提前通报可能涉及的相关专业：</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涉及用电安全或电源切换的，通知机电专业确认电源状态与操作安全；</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涉及钻孔、开槽、附着安装等影响土建结构的，通知土建专业评估作业可行性；</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涉及影响现场环境或需保洁配合的，通知物业保洁单位做好协同准备。</w:t>
      </w:r>
      <w:r/>
    </w:p>
    <w:p>
      <w:pPr>
        <w:ind w:firstLine="482"/>
        <w:spacing w:line="360" w:lineRule="auto"/>
        <w:rPr>
          <w:rFonts w:ascii="Times New Roman" w:hAnsi="Times New Roman" w:cs="宋体" w:eastAsia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b/>
          <w:bCs/>
          <w:sz w:val="24"/>
          <w:szCs w:val="24"/>
          <w:highlight w:val="none"/>
        </w:rPr>
        <w:t xml:space="preserve">（2）作业过程现场管控</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弱电作业期间须规范设置施工警示标识，实施必要的现场防护措施，防止作业产生的杂物、灰尘等影响土建结构完好、机电设备正常运行或物业保洁日常作业，确保各专业作业面互不干扰。</w:t>
      </w:r>
      <w:r/>
    </w:p>
    <w:p>
      <w:pPr>
        <w:ind w:firstLine="482"/>
        <w:spacing w:line="360" w:lineRule="auto"/>
        <w:rPr>
          <w:rFonts w:ascii="Times New Roman" w:hAnsi="Times New Roman" w:cs="宋体" w:eastAsia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b/>
          <w:bCs/>
          <w:sz w:val="24"/>
          <w:szCs w:val="24"/>
          <w:highlight w:val="none"/>
        </w:rPr>
        <w:t xml:space="preserve">（3）作业后恢复与反馈</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作业结束后须立即清理现场，恢复设备周边环境，确保无遗留物、无安全隐患，并及时向相关专业通报作业完成情况与注意事项，实现作业信息的闭环传递，避免对后续其他专业工作造成交叉影响。</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特殊环境下的综合保障：隧道内需统筹协调通风、照明、临时用电、施工运输通道及安全疏散路径等共用资源。投标人须关注高风险作业（如高空安装、带电调试）期间的协调与隔离，确保多专业并行作业时的安全与效率。</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投标人须充分认知城市隧道工程多专业交叉的复杂性与系统性，将配合成本与风险纳入报价。因协调不力导致的工作面冲突、成品损坏、工期延误或安全事故，由投标人承担相应责任。</w:t>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4.3</w:t>
      </w:r>
      <w:r>
        <w:rPr>
          <w:rFonts w:hint="eastAsia" w:ascii="Times New Roman" w:hAnsi="Times New Roman" w:eastAsiaTheme="minorEastAsia"/>
          <w:sz w:val="24"/>
          <w:szCs w:val="24"/>
          <w:highlight w:val="none"/>
        </w:rPr>
        <w:t xml:space="preserve">安全及应急管理</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运维安全应包括正常营运及运维作业时和发生事故时的交通组织和安全防护。</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运维单位应及时掌握隧道的信息并做出预测，采用必要的预防性安全措施。</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超限运输和运送危险品的车辆需要通过隧道时，须按有关规定报经有关部门批准方可通过。</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运维作业的安全防护应包括运维作业机械、人员的安全防护。</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运维作业夜间封闭时段进行。在进行运维作业前，应做好以下工作：</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（1）制定周密的</w:t>
      </w:r>
      <w:r>
        <w:rPr>
          <w:rFonts w:hint="eastAsia" w:ascii="Times New Roman" w:hAnsi="Times New Roman" w:cs="宋体" w:eastAsiaTheme="minorEastAsia"/>
          <w:sz w:val="24"/>
          <w:szCs w:val="24"/>
          <w:highlight w:val="none"/>
          <w:lang w:val="en-US" w:eastAsia="zh-CN"/>
        </w:rPr>
        <w:t xml:space="preserve">运维作业</w:t>
      </w:r>
      <w:r>
        <w:rPr>
          <w:rFonts w:hint="eastAsia" w:ascii="Times New Roman" w:hAnsi="Times New Roman" w:cs="宋体" w:eastAsiaTheme="minorEastAsia"/>
          <w:sz w:val="24"/>
          <w:szCs w:val="24"/>
          <w:highlight w:val="none"/>
        </w:rPr>
        <w:t xml:space="preserve">计划，确定合理的工作区。</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（2）作业人员必须接受专门的安全教育和作业规程训练，并统一着装、统一佩戴安全帽，外穿有反光标识的识别服。同时要求管理人员在岗时统一着装。运维单位需充分考虑制服的换季、换洗。</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（3）检测隧道内CO、烟雾等有害气体的浓度及能见度是否会影响施工安全。</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（4）观察隧道结构状况是否会影响作业安全，如有危险，应先处理后作业。</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（5）检查施工信号灯是否准确，明显，施工标志设置是否规范。</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（6）对运维机械、台架应进行全面的安全检查，并应在机械上设置明显的反光标志，在台架周围设置防眩灯，以反映作业现场的轮廓。</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（7）隧道内最多设置两个运维作业面，分别占用两条车道施工时，应保证间隔在500米以上。</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（8）电力设施等有特别要求的维护，应按有关部门的安全操作规程执行。</w:t>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4.4</w:t>
      </w:r>
      <w:r>
        <w:rPr>
          <w:rFonts w:hint="eastAsia" w:ascii="Times New Roman" w:hAnsi="Times New Roman" w:eastAsiaTheme="minorEastAsia"/>
          <w:sz w:val="24"/>
          <w:szCs w:val="24"/>
          <w:highlight w:val="none"/>
        </w:rPr>
        <w:t xml:space="preserve">运维合理化建议</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bookmarkStart w:id="4" w:name="OLE_LINK3"/>
      <w:r>
        <w:rPr>
          <w:rFonts w:ascii="Times New Roman" w:hAnsi="Times New Roman" w:cs="宋体" w:eastAsiaTheme="minorEastAsia"/>
          <w:sz w:val="24"/>
          <w:szCs w:val="24"/>
          <w:highlight w:val="none"/>
        </w:rPr>
        <w:t xml:space="preserve">投标人应在系统运维服务过程中，针对主要系统提出具体可行、具备可操作性的技术优化方案，并系统识别项目实施可能面临的技术、管理、数据安全等方面风险，</w:t>
      </w:r>
      <w:r>
        <w:rPr>
          <w:rFonts w:hint="eastAsia" w:ascii="Times New Roman" w:hAnsi="Times New Roman" w:cs="宋体" w:eastAsiaTheme="minorEastAsia"/>
          <w:sz w:val="24"/>
          <w:szCs w:val="24"/>
          <w:highlight w:val="none"/>
        </w:rPr>
        <w:t xml:space="preserve">并</w:t>
      </w:r>
      <w:r>
        <w:rPr>
          <w:rFonts w:ascii="Times New Roman" w:hAnsi="Times New Roman" w:cs="宋体" w:eastAsiaTheme="minorEastAsia"/>
          <w:sz w:val="24"/>
          <w:szCs w:val="24"/>
          <w:highlight w:val="none"/>
        </w:rPr>
        <w:t xml:space="preserve">制定相应的应对与保障措施。通过持续优化与风险防控，最终构建“安全可靠、高效集约、智慧先进、可持续发展”的现代化隧道机电运维体系，全面提升隧道运营服务水平、设施设备全生命周期可靠性及整体经济效益。</w:t>
      </w:r>
      <w:bookmarkEnd w:id="4"/>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4.5维修说明</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1、本次报价采用固定总价的方式，不因实际数量与采购文件所述数量存在差异而变更总价。价格中包含了单项维修费用3000元（含）以内的小修项目。</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2、运维范围内单项超过3000元标准的维修费用由采购人</w:t>
      </w:r>
      <w:r>
        <w:rPr>
          <w:rFonts w:hint="eastAsia" w:ascii="Times New Roman" w:hAnsi="Times New Roman" w:cs="宋体" w:eastAsiaTheme="minorEastAsia"/>
          <w:sz w:val="24"/>
          <w:szCs w:val="24"/>
          <w:highlight w:val="none"/>
          <w:lang w:val="en-US" w:eastAsia="zh-CN"/>
        </w:rPr>
        <w:t xml:space="preserve">另行</w:t>
      </w:r>
      <w:r>
        <w:rPr>
          <w:rFonts w:hint="eastAsia" w:ascii="Times New Roman" w:hAnsi="Times New Roman" w:cs="宋体" w:eastAsiaTheme="minorEastAsia"/>
          <w:sz w:val="24"/>
          <w:szCs w:val="24"/>
          <w:highlight w:val="none"/>
        </w:rPr>
        <w:t xml:space="preserve">承担（如不可抗力导致的损坏等），特殊紧急情况，中标人先行汇报得到采购人确认后进行维修，但事后须补办维修审批单，维修完毕后及时报采购人确认验收，中标人按季度对维修工作量进行汇总编制，采购人委托具有审计资质的单位进行审计，审计结束后按审定价一次性付清。审计时中标人须根据审计单位要求提供相应的结算资料，因中标人提供结算资料不完整或无正当理由拒不接受审计单位的意见，造成审计时间拖后，其责任由中标人自行负责。无采购人指令，中标人擅自对设施设备进行维修的，采购人不予计量。因运维不善导致的损坏修复费用由运维单位承担。</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在审计后，如单项结算费用未达到3000元标准，该项维修费用由中标人自行承担。</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（注：单项系指每处、每台、每套或每个等可分解的最小计量单位；如情报板为每台、每套，信号灯为每套等，以此类推。）</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3、维修项目中的设备、配件、材料更换时应采用与原品牌规格相同的配件，如原品牌淘汰或规格更新则需采用同档次产品并经须采购人认可。如果单项维修项目达到政府采购限额标准的，需另行招标。</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4、在日常运维工作中，如某项运维工作、故障维修任务，中标人无法处理或处理不积极，问题长时间拖延得不到解决，采购人有权将该项运维工作工程量直接交给第三方进行处理，发生费用由中标人予以结算。</w:t>
      </w:r>
      <w:r/>
    </w:p>
    <w:p>
      <w:pPr>
        <w:pStyle w:val="754"/>
        <w:numPr>
          <w:ilvl w:val="1"/>
          <w:numId w:val="0"/>
        </w:numPr>
        <w:jc w:val="both"/>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4.6考核及其他要求</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1、中标人提供的服务必须达到采购人提出的运维要求，同时明确详细的运维方案。</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2、本次报价应包括所有服务内容（专项维修、大修维修费用价格除外）、专用工具费用、税费、保险、检测验收、安装调试、技术支持与培训、相关劳务支出等工作所发生的全部费用以及中标人利润、税金和政策性文件规定及合同包含的所有风险、责任等各项应有费用。</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3、本次采购项目内所有设施、设备种类及数量均以隧道工程竣工图为准。</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4、中标人在运维过程中需做好相关技术、安全等资料，采购人可随时抽查并作为考核重要依据。在合同完成前，中标人有义务配合采购人做好资料等交接工作。</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5、运维考核集中检查次数每周2次，随机抽查2到3次。</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6、根据项目应急需求，中标单位适时提供相关应急车辆及机械设备。</w:t>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7、本项目运维考核内容及奖惩条例</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4916"/>
        <w:gridCol w:w="1876"/>
        <w:gridCol w:w="317"/>
        <w:gridCol w:w="1185"/>
      </w:tblGrid>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序号</w:t>
            </w:r>
            <w:r/>
          </w:p>
        </w:tc>
        <w:tc>
          <w:tcPr>
            <w:tcW w:w="2681"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考核内容（考核分值）</w:t>
            </w:r>
            <w:r/>
          </w:p>
        </w:tc>
        <w:tc>
          <w:tcPr>
            <w:gridSpan w:val="2"/>
            <w:tcW w:w="1196"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考核分数</w:t>
            </w:r>
            <w:r/>
          </w:p>
        </w:tc>
        <w:tc>
          <w:tcPr>
            <w:tcW w:w="646" w:type="pct"/>
            <w:vAlign w:val="center"/>
            <w:textDirection w:val="lrTb"/>
            <w:noWrap w:val="false"/>
          </w:tcPr>
          <w:p>
            <w:pPr>
              <w:jc w:val="center"/>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备注</w:t>
            </w:r>
            <w:r/>
          </w:p>
        </w:tc>
      </w:tr>
      <w:tr>
        <w:trPr>
          <w:trHeight w:val="450"/>
        </w:trPr>
        <w:tc>
          <w:tcPr>
            <w:gridSpan w:val="5"/>
            <w:tcW w:w="1" w:type="pct"/>
            <w:vAlign w:val="center"/>
            <w:textDirection w:val="lrTb"/>
            <w:noWrap w:val="false"/>
          </w:tcPr>
          <w:p>
            <w:pPr>
              <w:rPr>
                <w:rFonts w:ascii="Times New Roman" w:hAnsi="Times New Roman" w:eastAsiaTheme="minorEastAsia"/>
                <w:b/>
                <w:sz w:val="24"/>
                <w:szCs w:val="24"/>
                <w:highlight w:val="none"/>
              </w:rPr>
            </w:pPr>
            <w:r>
              <w:rPr>
                <w:rFonts w:hint="eastAsia" w:ascii="Times New Roman" w:hAnsi="Times New Roman" w:eastAsiaTheme="minorEastAsia"/>
                <w:b/>
                <w:sz w:val="24"/>
                <w:szCs w:val="24"/>
                <w:highlight w:val="none"/>
                <w:lang w:val="zh-CN"/>
              </w:rPr>
              <w:t xml:space="preserve">评分标准</w:t>
            </w:r>
            <w:r/>
          </w:p>
        </w:tc>
      </w:tr>
      <w:tr>
        <w:trPr>
          <w:trHeight w:val="450"/>
        </w:trPr>
        <w:tc>
          <w:tcPr>
            <w:tcW w:w="477" w:type="pct"/>
            <w:vAlign w:val="center"/>
            <w:textDirection w:val="lrTb"/>
            <w:noWrap w:val="false"/>
          </w:tcPr>
          <w:p>
            <w:pPr>
              <w:jc w:val="center"/>
              <w:widowControl/>
              <w:rPr>
                <w:rFonts w:ascii="Times New Roman" w:hAnsi="Times New Roman" w:cs="宋体" w:eastAsiaTheme="minorEastAsia"/>
                <w:b/>
                <w:sz w:val="24"/>
                <w:szCs w:val="24"/>
                <w:highlight w:val="none"/>
              </w:rPr>
            </w:pPr>
            <w:r>
              <w:rPr>
                <w:rFonts w:hint="eastAsia" w:ascii="Times New Roman" w:hAnsi="Times New Roman" w:cs="宋体" w:eastAsiaTheme="minorEastAsia"/>
                <w:b/>
                <w:sz w:val="24"/>
                <w:szCs w:val="24"/>
                <w:highlight w:val="none"/>
              </w:rPr>
              <w:t xml:space="preserve">一</w:t>
            </w:r>
            <w:r/>
          </w:p>
        </w:tc>
        <w:tc>
          <w:tcPr>
            <w:tcW w:w="2681" w:type="pct"/>
            <w:vAlign w:val="center"/>
            <w:textDirection w:val="lrTb"/>
            <w:noWrap w:val="false"/>
          </w:tcPr>
          <w:p>
            <w:pPr>
              <w:widowControl/>
              <w:rPr>
                <w:rFonts w:ascii="Times New Roman" w:hAnsi="Times New Roman" w:cs="宋体" w:eastAsiaTheme="minorEastAsia"/>
                <w:b/>
                <w:sz w:val="24"/>
                <w:szCs w:val="24"/>
                <w:highlight w:val="none"/>
              </w:rPr>
            </w:pPr>
            <w:r>
              <w:rPr>
                <w:rFonts w:hint="eastAsia" w:ascii="Times New Roman" w:hAnsi="Times New Roman" w:cs="宋体" w:eastAsiaTheme="minorEastAsia"/>
                <w:b/>
                <w:sz w:val="24"/>
                <w:szCs w:val="24"/>
                <w:highlight w:val="none"/>
              </w:rPr>
              <w:t xml:space="preserve">人员考核</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1</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运维人员少于或不符合规定要求(经书面申请，同意更换除外)</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cs="宋体" w:eastAsiaTheme="minorEastAsia"/>
                <w:sz w:val="24"/>
                <w:szCs w:val="24"/>
                <w:highlight w:val="none"/>
              </w:rPr>
              <w:t xml:space="preserve">每延迟一天扣2分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2</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现场技术负责人</w:t>
            </w:r>
            <w:r>
              <w:rPr>
                <w:rFonts w:hint="eastAsia" w:ascii="Times New Roman" w:hAnsi="Times New Roman" w:cs="宋体" w:eastAsiaTheme="minorEastAsia"/>
                <w:sz w:val="24"/>
                <w:szCs w:val="24"/>
                <w:highlight w:val="none"/>
              </w:rPr>
              <w:t xml:space="preserve">未经批准私自缺岗</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cs="宋体" w:eastAsiaTheme="minorEastAsia"/>
                <w:sz w:val="24"/>
                <w:szCs w:val="24"/>
                <w:highlight w:val="none"/>
              </w:rPr>
              <w:t xml:space="preserve">每缺岗一次扣2分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3</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cs="宋体" w:eastAsiaTheme="minorEastAsia"/>
                <w:sz w:val="24"/>
                <w:szCs w:val="24"/>
                <w:highlight w:val="none"/>
              </w:rPr>
              <w:t xml:space="preserve">现场技术负责人未按要求参加例会。</w:t>
            </w:r>
            <w:r/>
          </w:p>
        </w:tc>
        <w:tc>
          <w:tcPr>
            <w:gridSpan w:val="2"/>
            <w:tcW w:w="1196" w:type="pct"/>
            <w:vAlign w:val="center"/>
            <w:textDirection w:val="lrTb"/>
            <w:noWrap w:val="false"/>
          </w:tcPr>
          <w:p>
            <w:pPr>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每缺席一次扣1分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w:t>
            </w:r>
            <w:r/>
          </w:p>
        </w:tc>
        <w:tc>
          <w:tcPr>
            <w:tcW w:w="2681" w:type="pct"/>
            <w:vAlign w:val="center"/>
            <w:textDirection w:val="lrTb"/>
            <w:noWrap w:val="false"/>
          </w:tcPr>
          <w:p>
            <w:pPr>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未经批准私自带无关人员进入指挥中心、机房等设施设备间</w:t>
            </w:r>
            <w:r/>
          </w:p>
        </w:tc>
        <w:tc>
          <w:tcPr>
            <w:gridSpan w:val="2"/>
            <w:tcW w:w="1196" w:type="pct"/>
            <w:vAlign w:val="center"/>
            <w:textDirection w:val="lrTb"/>
            <w:noWrap w:val="false"/>
          </w:tcPr>
          <w:p>
            <w:pPr>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每发现一次扣2分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5</w:t>
            </w:r>
            <w:r/>
          </w:p>
        </w:tc>
        <w:tc>
          <w:tcPr>
            <w:tcW w:w="2681" w:type="pct"/>
            <w:vAlign w:val="center"/>
            <w:textDirection w:val="lrTb"/>
            <w:noWrap w:val="false"/>
          </w:tcPr>
          <w:p>
            <w:pPr>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项目负责人及</w:t>
            </w:r>
            <w:r>
              <w:rPr>
                <w:rFonts w:hint="eastAsia" w:ascii="Times New Roman" w:hAnsi="Times New Roman" w:eastAsiaTheme="minorEastAsia"/>
                <w:sz w:val="24"/>
                <w:szCs w:val="24"/>
                <w:highlight w:val="none"/>
              </w:rPr>
              <w:t xml:space="preserve">计算机软、硬件技术人员</w:t>
            </w:r>
            <w:r>
              <w:rPr>
                <w:rFonts w:hint="eastAsia" w:ascii="Times New Roman" w:hAnsi="Times New Roman" w:cs="宋体" w:eastAsiaTheme="minorEastAsia"/>
                <w:sz w:val="24"/>
                <w:szCs w:val="24"/>
                <w:highlight w:val="none"/>
              </w:rPr>
              <w:t xml:space="preserve">每两月一次到现场一次负责对系统进行维护检查</w:t>
            </w:r>
            <w:r/>
          </w:p>
        </w:tc>
        <w:tc>
          <w:tcPr>
            <w:gridSpan w:val="2"/>
            <w:tcW w:w="1196" w:type="pct"/>
            <w:vAlign w:val="center"/>
            <w:textDirection w:val="lrTb"/>
            <w:noWrap w:val="false"/>
          </w:tcPr>
          <w:p>
            <w:pPr>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每缺一次扣10分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6</w:t>
            </w:r>
            <w:r/>
          </w:p>
        </w:tc>
        <w:tc>
          <w:tcPr>
            <w:tcW w:w="2681" w:type="pct"/>
            <w:vAlign w:val="center"/>
            <w:textDirection w:val="lrTb"/>
            <w:noWrap w:val="false"/>
          </w:tcPr>
          <w:p>
            <w:pPr>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设备设施故障，如现场技术人员未能解决，</w:t>
            </w:r>
            <w:r>
              <w:rPr>
                <w:rFonts w:hint="eastAsia" w:ascii="Times New Roman" w:hAnsi="Times New Roman" w:eastAsiaTheme="minorEastAsia"/>
                <w:sz w:val="24"/>
                <w:szCs w:val="24"/>
                <w:highlight w:val="none"/>
              </w:rPr>
              <w:t xml:space="preserve">计算机软硬件技术人员需在48小时内到场负责解决设备设施故障。</w:t>
            </w:r>
            <w:r/>
          </w:p>
        </w:tc>
        <w:tc>
          <w:tcPr>
            <w:gridSpan w:val="2"/>
            <w:tcW w:w="1196" w:type="pct"/>
            <w:vAlign w:val="center"/>
            <w:textDirection w:val="lrTb"/>
            <w:noWrap w:val="false"/>
          </w:tcPr>
          <w:p>
            <w:pPr>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每延迟一天扣5分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5</w:t>
            </w:r>
            <w:r/>
          </w:p>
        </w:tc>
        <w:tc>
          <w:tcPr>
            <w:tcW w:w="2681" w:type="pct"/>
            <w:vAlign w:val="center"/>
            <w:textDirection w:val="lrTb"/>
            <w:noWrap w:val="false"/>
          </w:tcPr>
          <w:p>
            <w:pPr>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不服从采购人单位指令或顶撞采购人单位领导的。</w:t>
            </w:r>
            <w:r/>
          </w:p>
        </w:tc>
        <w:tc>
          <w:tcPr>
            <w:gridSpan w:val="2"/>
            <w:tcW w:w="1196" w:type="pct"/>
            <w:vAlign w:val="center"/>
            <w:textDirection w:val="lrTb"/>
            <w:noWrap w:val="false"/>
          </w:tcPr>
          <w:p>
            <w:pPr>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每发现一次扣5分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6</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因人员请假，运维单位工作安排不合理，而导致工作延误、失误，并造成负面影响</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每一例扣10分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7</w:t>
            </w:r>
            <w:r/>
          </w:p>
        </w:tc>
        <w:tc>
          <w:tcPr>
            <w:tcW w:w="2681"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cs="宋体" w:eastAsiaTheme="minorEastAsia"/>
                <w:sz w:val="24"/>
                <w:szCs w:val="24"/>
                <w:highlight w:val="none"/>
              </w:rPr>
              <w:t xml:space="preserve">重大节假日、重大活动及冬防防汛期间现场技术负责人未值守值班。</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每一例扣5分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8</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对外参观、学习及其他重大活动配合不力</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每一例扣5分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6"/>
        </w:trPr>
        <w:tc>
          <w:tcPr>
            <w:tcW w:w="477" w:type="pct"/>
            <w:vAlign w:val="center"/>
            <w:textDirection w:val="lrTb"/>
            <w:noWrap w:val="false"/>
          </w:tcPr>
          <w:p>
            <w:pPr>
              <w:jc w:val="center"/>
              <w:rPr>
                <w:rFonts w:ascii="Times New Roman" w:hAnsi="Times New Roman" w:cs="宋体" w:eastAsiaTheme="minorEastAsia"/>
                <w:b/>
                <w:sz w:val="24"/>
                <w:szCs w:val="24"/>
                <w:highlight w:val="none"/>
              </w:rPr>
            </w:pPr>
            <w:r>
              <w:rPr>
                <w:rFonts w:hint="eastAsia" w:ascii="Times New Roman" w:hAnsi="Times New Roman" w:cs="宋体" w:eastAsiaTheme="minorEastAsia"/>
                <w:b/>
                <w:sz w:val="24"/>
                <w:szCs w:val="24"/>
                <w:highlight w:val="none"/>
              </w:rPr>
              <w:t xml:space="preserve">二</w:t>
            </w:r>
            <w:r/>
          </w:p>
        </w:tc>
        <w:tc>
          <w:tcPr>
            <w:tcW w:w="2681" w:type="pct"/>
            <w:vAlign w:val="center"/>
            <w:textDirection w:val="lrTb"/>
            <w:noWrap w:val="false"/>
          </w:tcPr>
          <w:p>
            <w:pPr>
              <w:rPr>
                <w:rFonts w:ascii="Times New Roman" w:hAnsi="Times New Roman" w:cs="宋体" w:eastAsiaTheme="minorEastAsia"/>
                <w:b/>
                <w:sz w:val="24"/>
                <w:szCs w:val="24"/>
                <w:highlight w:val="none"/>
              </w:rPr>
            </w:pPr>
            <w:r>
              <w:rPr>
                <w:rFonts w:hint="eastAsia" w:ascii="Times New Roman" w:hAnsi="Times New Roman" w:cs="宋体" w:eastAsiaTheme="minorEastAsia"/>
                <w:b/>
                <w:sz w:val="24"/>
                <w:szCs w:val="24"/>
                <w:highlight w:val="none"/>
              </w:rPr>
              <w:t xml:space="preserve">运维资料管理</w:t>
            </w:r>
            <w:r/>
          </w:p>
        </w:tc>
        <w:tc>
          <w:tcPr>
            <w:gridSpan w:val="2"/>
            <w:tcW w:w="1196" w:type="pct"/>
            <w:vAlign w:val="center"/>
            <w:textDirection w:val="lrTb"/>
            <w:noWrap w:val="false"/>
          </w:tcPr>
          <w:p>
            <w:pPr>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1</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管理人员未按时上报运维计划（月、年计划）</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每一例扣3分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2</w:t>
            </w:r>
            <w:r/>
          </w:p>
        </w:tc>
        <w:tc>
          <w:tcPr>
            <w:tcW w:w="2681" w:type="pct"/>
            <w:vAlign w:val="center"/>
            <w:textDirection w:val="lrTb"/>
            <w:noWrap w:val="false"/>
          </w:tcPr>
          <w:p>
            <w:pP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施工作业单未及时上报、作业内容未按计划、按要求填写。</w:t>
            </w:r>
            <w:r/>
          </w:p>
        </w:tc>
        <w:tc>
          <w:tcPr>
            <w:gridSpan w:val="2"/>
            <w:tcW w:w="1196" w:type="pct"/>
            <w:vAlign w:val="center"/>
            <w:textDirection w:val="lrTb"/>
            <w:noWrap w:val="false"/>
          </w:tcPr>
          <w:p>
            <w:pP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每项扣1分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3</w:t>
            </w:r>
            <w:r/>
          </w:p>
        </w:tc>
        <w:tc>
          <w:tcPr>
            <w:tcW w:w="2681" w:type="pct"/>
            <w:vAlign w:val="center"/>
            <w:textDirection w:val="lrTb"/>
            <w:noWrap w:val="false"/>
          </w:tcPr>
          <w:p>
            <w:pP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各项资料与实际不相符；台帐记录不完整或记录错误；资料保管不善造成脏污、毁损、丢失。</w:t>
            </w:r>
            <w:r/>
          </w:p>
        </w:tc>
        <w:tc>
          <w:tcPr>
            <w:gridSpan w:val="2"/>
            <w:tcW w:w="1196" w:type="pct"/>
            <w:vAlign w:val="center"/>
            <w:textDirection w:val="lrTb"/>
            <w:noWrap w:val="false"/>
          </w:tcPr>
          <w:p>
            <w:pP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每处扣1分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未按年度培训计划要求进行培训或未作培训记录</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每一例扣3分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5</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未按年度软件检测计划要求进行软件检测或未出示文字检测报告</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每一例扣3分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6</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rPr>
              <w:t xml:space="preserve">未做好配合招标单位抽查相关技术、安全等资料，未配合招标单位做好资料等交接工作。</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每一例扣5分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b/>
                <w:sz w:val="24"/>
                <w:szCs w:val="24"/>
                <w:highlight w:val="none"/>
              </w:rPr>
            </w:pPr>
            <w:r>
              <w:rPr>
                <w:rFonts w:hint="eastAsia" w:ascii="Times New Roman" w:hAnsi="Times New Roman" w:eastAsiaTheme="minorEastAsia"/>
                <w:b/>
                <w:sz w:val="24"/>
                <w:szCs w:val="24"/>
                <w:highlight w:val="none"/>
              </w:rPr>
              <w:t xml:space="preserve">三</w:t>
            </w:r>
            <w:r/>
          </w:p>
        </w:tc>
        <w:tc>
          <w:tcPr>
            <w:tcW w:w="2681" w:type="pct"/>
            <w:vAlign w:val="center"/>
            <w:textDirection w:val="lrTb"/>
            <w:noWrap w:val="false"/>
          </w:tcPr>
          <w:p>
            <w:pPr>
              <w:widowControl/>
              <w:rPr>
                <w:rFonts w:ascii="Times New Roman" w:hAnsi="Times New Roman" w:cs="宋体" w:eastAsiaTheme="minorEastAsia"/>
                <w:b/>
                <w:sz w:val="24"/>
                <w:szCs w:val="24"/>
                <w:highlight w:val="none"/>
              </w:rPr>
            </w:pPr>
            <w:r>
              <w:rPr>
                <w:rFonts w:hint="eastAsia" w:ascii="Times New Roman" w:hAnsi="Times New Roman" w:cs="宋体" w:eastAsiaTheme="minorEastAsia"/>
                <w:b/>
                <w:sz w:val="24"/>
                <w:szCs w:val="24"/>
                <w:highlight w:val="none"/>
              </w:rPr>
              <w:t xml:space="preserve">运行维护</w:t>
            </w:r>
            <w:r/>
          </w:p>
        </w:tc>
        <w:tc>
          <w:tcPr>
            <w:gridSpan w:val="2"/>
            <w:tcW w:w="1196" w:type="pct"/>
            <w:vAlign w:val="center"/>
            <w:textDirection w:val="lrTb"/>
            <w:noWrap w:val="false"/>
          </w:tcPr>
          <w:p>
            <w:pPr>
              <w:widowControl/>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1</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rPr>
              <w:t xml:space="preserve">指挥中心、机房、</w:t>
            </w:r>
            <w:r>
              <w:rPr>
                <w:rFonts w:hint="eastAsia" w:ascii="Times New Roman" w:hAnsi="Times New Roman" w:eastAsiaTheme="minorEastAsia"/>
                <w:sz w:val="24"/>
                <w:szCs w:val="24"/>
                <w:highlight w:val="none"/>
                <w:lang w:val="zh-CN"/>
              </w:rPr>
              <w:t xml:space="preserve">监控系统设施、设备故障、缺损情况未及时发现</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每一例扣2分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2</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未按运维计划要求对</w:t>
            </w:r>
            <w:r>
              <w:rPr>
                <w:rFonts w:hint="eastAsia" w:ascii="Times New Roman" w:hAnsi="Times New Roman" w:eastAsiaTheme="minorEastAsia"/>
                <w:sz w:val="24"/>
                <w:szCs w:val="24"/>
                <w:highlight w:val="none"/>
              </w:rPr>
              <w:t xml:space="preserve">各系统</w:t>
            </w:r>
            <w:r>
              <w:rPr>
                <w:rFonts w:hint="eastAsia" w:ascii="Times New Roman" w:hAnsi="Times New Roman" w:eastAsiaTheme="minorEastAsia"/>
                <w:sz w:val="24"/>
                <w:szCs w:val="24"/>
                <w:highlight w:val="none"/>
                <w:lang w:val="zh-CN"/>
              </w:rPr>
              <w:t xml:space="preserve">进行日常检查</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每一项扣2分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3</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未按运维计划要求对各系统设备进行经常性检查及定期检查</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每一项扣3分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4</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未按运维计划要求对</w:t>
            </w:r>
            <w:r>
              <w:rPr>
                <w:rFonts w:hint="eastAsia" w:ascii="Times New Roman" w:hAnsi="Times New Roman" w:eastAsiaTheme="minorEastAsia"/>
                <w:sz w:val="24"/>
                <w:szCs w:val="24"/>
                <w:highlight w:val="none"/>
              </w:rPr>
              <w:t xml:space="preserve">系统联动功能及</w:t>
            </w:r>
            <w:r>
              <w:rPr>
                <w:rFonts w:hint="eastAsia" w:ascii="Times New Roman" w:hAnsi="Times New Roman" w:eastAsiaTheme="minorEastAsia"/>
                <w:sz w:val="24"/>
                <w:szCs w:val="24"/>
                <w:highlight w:val="none"/>
                <w:lang w:val="zh-CN"/>
              </w:rPr>
              <w:t xml:space="preserve">综合监控软件进行定期检查、测试及平台优化</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每一项扣5分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5</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未配合消防、供电等单位的检查或其设施不符合规范</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每一例扣2分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6</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人为疏忽或检修操作失误导致设备故障，影响正常工作，未对隧道安全运行造成影响</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每一例扣5分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7</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人为疏忽或检修操作失误导致设备故障，影响正常工作，对隧道安全运行造成影响</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每一例扣10分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8</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情报板、信号灯、限速牌等显示异常未及时处理或未采取有效措施，未对隧道安全运行造成影响</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每一例扣5分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9</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情报板、信号灯、限速牌等显示异常未及时处理或未采取有效措施，对隧道安全运行造成影响</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每一例扣10分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10</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综合监控系统突发性故障未能在30分钟内展开故障检修</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每延迟一小时扣2分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11</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综合监控系统突发性故障未能在24小时内查明故障原因</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每延迟一天扣3分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12</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综合监控系统突发性故障未能在3日内修复（如需外协维修未能在5个工作日内修复）。</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每延迟一天扣5分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13</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未按维护保养服务要求，对综合监控设备维保，导致故障发生，对安全运行造成影响</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每一例扣10分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14</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lang w:val="zh-CN"/>
              </w:rPr>
              <w:t xml:space="preserve">违反用电使用安全，造成安全隐患</w:t>
            </w:r>
            <w:r/>
          </w:p>
        </w:tc>
        <w:tc>
          <w:tcPr>
            <w:gridSpan w:val="2"/>
            <w:tcW w:w="1196"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每一例扣5分</w:t>
            </w:r>
            <w:r/>
          </w:p>
        </w:tc>
        <w:tc>
          <w:tcPr>
            <w:tcW w:w="646"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gridSpan w:val="5"/>
            <w:tcW w:w="5000" w:type="pct"/>
            <w:vAlign w:val="center"/>
            <w:textDirection w:val="lrTb"/>
            <w:noWrap w:val="false"/>
          </w:tcPr>
          <w:p>
            <w:pPr>
              <w:jc w:val="left"/>
              <w:rPr>
                <w:rFonts w:ascii="Times New Roman" w:hAnsi="Times New Roman" w:eastAsiaTheme="minorEastAsia"/>
                <w:sz w:val="24"/>
                <w:szCs w:val="24"/>
                <w:highlight w:val="none"/>
              </w:rPr>
            </w:pPr>
            <w:r>
              <w:rPr>
                <w:rFonts w:hint="eastAsia" w:ascii="Times New Roman" w:hAnsi="Times New Roman" w:cs="宋体" w:eastAsiaTheme="minorEastAsia"/>
                <w:b/>
                <w:sz w:val="24"/>
                <w:szCs w:val="24"/>
                <w:highlight w:val="none"/>
              </w:rPr>
              <w:t xml:space="preserve">奖惩条款</w:t>
            </w:r>
            <w:r/>
          </w:p>
        </w:tc>
      </w:tr>
      <w:tr>
        <w:trPr>
          <w:trHeight w:val="450"/>
        </w:trPr>
        <w:tc>
          <w:tcPr>
            <w:tcW w:w="477" w:type="pct"/>
            <w:vAlign w:val="center"/>
            <w:textDirection w:val="lrTb"/>
            <w:noWrap w:val="false"/>
          </w:tcPr>
          <w:p>
            <w:pPr>
              <w:jc w:val="center"/>
              <w:rPr>
                <w:rFonts w:ascii="Times New Roman" w:hAnsi="Times New Roman" w:eastAsiaTheme="minorEastAsia"/>
                <w:b/>
                <w:sz w:val="24"/>
                <w:szCs w:val="24"/>
                <w:highlight w:val="none"/>
              </w:rPr>
            </w:pPr>
            <w:r>
              <w:rPr>
                <w:rFonts w:hint="eastAsia" w:ascii="Times New Roman" w:hAnsi="Times New Roman" w:eastAsiaTheme="minorEastAsia"/>
                <w:b/>
                <w:sz w:val="24"/>
                <w:szCs w:val="24"/>
                <w:highlight w:val="none"/>
              </w:rPr>
              <w:t xml:space="preserve">一</w:t>
            </w:r>
            <w:r/>
          </w:p>
        </w:tc>
        <w:tc>
          <w:tcPr>
            <w:tcW w:w="2681" w:type="pct"/>
            <w:vAlign w:val="center"/>
            <w:textDirection w:val="lrTb"/>
            <w:noWrap w:val="false"/>
          </w:tcPr>
          <w:p>
            <w:pPr>
              <w:rPr>
                <w:rFonts w:ascii="Times New Roman" w:hAnsi="Times New Roman" w:eastAsiaTheme="minorEastAsia"/>
                <w:b/>
                <w:sz w:val="24"/>
                <w:szCs w:val="24"/>
                <w:highlight w:val="none"/>
                <w:lang w:val="zh-CN"/>
              </w:rPr>
            </w:pPr>
            <w:r>
              <w:rPr>
                <w:rFonts w:hint="eastAsia" w:ascii="Times New Roman" w:hAnsi="Times New Roman" w:eastAsiaTheme="minorEastAsia"/>
                <w:b/>
                <w:sz w:val="24"/>
                <w:szCs w:val="24"/>
                <w:highlight w:val="none"/>
                <w:lang w:val="zh-CN"/>
              </w:rPr>
              <w:t xml:space="preserve">重大事项（处罚条例）</w:t>
            </w:r>
            <w:r/>
          </w:p>
        </w:tc>
        <w:tc>
          <w:tcPr>
            <w:tcW w:w="1023"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c>
          <w:tcPr>
            <w:gridSpan w:val="2"/>
            <w:tcW w:w="819"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1</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rPr>
              <w:t xml:space="preserve">因运维不力导致，</w:t>
            </w:r>
            <w:r>
              <w:rPr>
                <w:rFonts w:hint="eastAsia" w:ascii="Times New Roman" w:hAnsi="Times New Roman" w:eastAsiaTheme="minorEastAsia"/>
                <w:sz w:val="24"/>
                <w:szCs w:val="24"/>
                <w:highlight w:val="none"/>
                <w:lang w:val="zh-CN"/>
              </w:rPr>
              <w:t xml:space="preserve">监控系统发生重大故障造成部分或整体系统瘫痪，对隧道实时监控产生重大影响，未对隧道安全运行造成后果</w:t>
            </w:r>
            <w:r/>
          </w:p>
        </w:tc>
        <w:tc>
          <w:tcPr>
            <w:tcW w:w="1023"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每发生一例罚款一万元</w:t>
            </w:r>
            <w:r/>
          </w:p>
        </w:tc>
        <w:tc>
          <w:tcPr>
            <w:gridSpan w:val="2"/>
            <w:tcW w:w="819"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9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2</w:t>
            </w:r>
            <w:r/>
          </w:p>
        </w:tc>
        <w:tc>
          <w:tcPr>
            <w:tcW w:w="2681" w:type="pct"/>
            <w:vAlign w:val="center"/>
            <w:textDirection w:val="lrTb"/>
            <w:noWrap w:val="false"/>
          </w:tcPr>
          <w:p>
            <w:pPr>
              <w:rPr>
                <w:rFonts w:ascii="Times New Roman" w:hAnsi="Times New Roman" w:eastAsiaTheme="minorEastAsia"/>
                <w:sz w:val="24"/>
                <w:szCs w:val="24"/>
                <w:highlight w:val="none"/>
                <w:lang w:val="zh-CN"/>
              </w:rPr>
            </w:pPr>
            <w:r>
              <w:rPr>
                <w:rFonts w:hint="eastAsia" w:ascii="Times New Roman" w:hAnsi="Times New Roman" w:eastAsiaTheme="minorEastAsia"/>
                <w:sz w:val="24"/>
                <w:szCs w:val="24"/>
                <w:highlight w:val="none"/>
              </w:rPr>
              <w:t xml:space="preserve">因运维不力导致，</w:t>
            </w:r>
            <w:r>
              <w:rPr>
                <w:rFonts w:hint="eastAsia" w:ascii="Times New Roman" w:hAnsi="Times New Roman" w:eastAsiaTheme="minorEastAsia"/>
                <w:sz w:val="24"/>
                <w:szCs w:val="24"/>
                <w:highlight w:val="none"/>
                <w:lang w:val="zh-CN"/>
              </w:rPr>
              <w:t xml:space="preserve">监控系统发生重大故障造成部分或整体系统瘫痪，对隧道实时监控产生重大影响，对隧道安全运行造成后果</w:t>
            </w:r>
            <w:r/>
          </w:p>
        </w:tc>
        <w:tc>
          <w:tcPr>
            <w:tcW w:w="1023"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每发生一例罚款两万元</w:t>
            </w:r>
            <w:r/>
          </w:p>
        </w:tc>
        <w:tc>
          <w:tcPr>
            <w:gridSpan w:val="2"/>
            <w:tcW w:w="819"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同时承担一切后果</w:t>
            </w:r>
            <w:r/>
          </w:p>
        </w:tc>
      </w:tr>
      <w:tr>
        <w:trPr>
          <w:trHeight w:val="450"/>
        </w:trPr>
        <w:tc>
          <w:tcPr>
            <w:tcW w:w="477" w:type="pct"/>
            <w:vAlign w:val="center"/>
            <w:textDirection w:val="lrTb"/>
            <w:noWrap w:val="false"/>
          </w:tcPr>
          <w:p>
            <w:pPr>
              <w:jc w:val="cente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3</w:t>
            </w:r>
            <w:r/>
          </w:p>
        </w:tc>
        <w:tc>
          <w:tcPr>
            <w:tcW w:w="2681"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cs="宋体" w:eastAsiaTheme="minorEastAsia"/>
                <w:sz w:val="24"/>
                <w:szCs w:val="24"/>
                <w:highlight w:val="none"/>
              </w:rPr>
              <w:t xml:space="preserve">运维工作不得力，产生负面的社会影响，对采购人单位声誉造成影响的。</w:t>
            </w:r>
            <w:r/>
          </w:p>
        </w:tc>
        <w:tc>
          <w:tcPr>
            <w:tcW w:w="1023" w:type="pct"/>
            <w:vAlign w:val="center"/>
            <w:textDirection w:val="lrTb"/>
            <w:noWrap w:val="false"/>
          </w:tcPr>
          <w:p>
            <w:pPr>
              <w:rPr>
                <w:rFonts w:ascii="Times New Roman" w:hAnsi="Times New Roman" w:eastAsiaTheme="minorEastAsia"/>
                <w:sz w:val="24"/>
                <w:szCs w:val="24"/>
                <w:highlight w:val="none"/>
              </w:rPr>
            </w:pPr>
            <w:r>
              <w:rPr>
                <w:rFonts w:hint="eastAsia" w:ascii="Times New Roman" w:hAnsi="Times New Roman" w:eastAsiaTheme="minorEastAsia"/>
                <w:sz w:val="24"/>
                <w:szCs w:val="24"/>
                <w:highlight w:val="none"/>
              </w:rPr>
              <w:t xml:space="preserve">每发生一例罚款一万元</w:t>
            </w:r>
            <w:r/>
          </w:p>
        </w:tc>
        <w:tc>
          <w:tcPr>
            <w:gridSpan w:val="2"/>
            <w:tcW w:w="819" w:type="pct"/>
            <w:vAlign w:val="center"/>
            <w:textDirection w:val="lrTb"/>
            <w:noWrap w:val="false"/>
          </w:tcPr>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tc>
      </w:tr>
      <w:tr>
        <w:trPr>
          <w:trHeight w:val="450"/>
        </w:trPr>
        <w:tc>
          <w:tcPr>
            <w:tcW w:w="477" w:type="pct"/>
            <w:vAlign w:val="center"/>
            <w:textDirection w:val="lrTb"/>
            <w:noWrap w:val="false"/>
          </w:tcPr>
          <w:p>
            <w:pPr>
              <w:jc w:val="center"/>
              <w:widowControl/>
              <w:rPr>
                <w:rFonts w:ascii="Times New Roman" w:hAnsi="Times New Roman" w:cs="宋体" w:eastAsiaTheme="minorEastAsia"/>
                <w:b/>
                <w:sz w:val="24"/>
                <w:szCs w:val="24"/>
                <w:highlight w:val="none"/>
              </w:rPr>
            </w:pPr>
            <w:r>
              <w:rPr>
                <w:rFonts w:hint="eastAsia" w:ascii="Times New Roman" w:hAnsi="Times New Roman" w:cs="宋体" w:eastAsiaTheme="minorEastAsia"/>
                <w:b/>
                <w:sz w:val="24"/>
                <w:szCs w:val="24"/>
                <w:highlight w:val="none"/>
              </w:rPr>
              <w:t xml:space="preserve">二</w:t>
            </w:r>
            <w:r/>
          </w:p>
        </w:tc>
        <w:tc>
          <w:tcPr>
            <w:tcW w:w="2681" w:type="pct"/>
            <w:vAlign w:val="center"/>
            <w:textDirection w:val="lrTb"/>
            <w:noWrap w:val="false"/>
          </w:tcPr>
          <w:p>
            <w:pPr>
              <w:widowControl/>
              <w:rPr>
                <w:rFonts w:ascii="Times New Roman" w:hAnsi="Times New Roman" w:cs="宋体" w:eastAsiaTheme="minorEastAsia"/>
                <w:b/>
                <w:sz w:val="24"/>
                <w:szCs w:val="24"/>
                <w:highlight w:val="none"/>
              </w:rPr>
            </w:pPr>
            <w:r>
              <w:rPr>
                <w:rFonts w:hint="eastAsia" w:ascii="Times New Roman" w:hAnsi="Times New Roman" w:cs="宋体" w:eastAsiaTheme="minorEastAsia"/>
                <w:b/>
                <w:sz w:val="24"/>
                <w:szCs w:val="24"/>
                <w:highlight w:val="none"/>
              </w:rPr>
              <w:t xml:space="preserve">奖励事项</w:t>
            </w:r>
            <w:r/>
          </w:p>
        </w:tc>
        <w:tc>
          <w:tcPr>
            <w:tcW w:w="1023" w:type="pct"/>
            <w:vAlign w:val="center"/>
            <w:textDirection w:val="lrTb"/>
            <w:noWrap w:val="false"/>
          </w:tcPr>
          <w:p>
            <w:pPr>
              <w:widowControl/>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c>
          <w:tcPr>
            <w:gridSpan w:val="2"/>
            <w:tcW w:w="819" w:type="pct"/>
            <w:vAlign w:val="center"/>
            <w:textDirection w:val="lrTb"/>
            <w:noWrap w:val="false"/>
          </w:tcPr>
          <w:p>
            <w:pPr>
              <w:widowControl/>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r>
      <w:tr>
        <w:trPr>
          <w:trHeight w:val="450"/>
        </w:trPr>
        <w:tc>
          <w:tcPr>
            <w:tcW w:w="477" w:type="pct"/>
            <w:vAlign w:val="center"/>
            <w:textDirection w:val="lrTb"/>
            <w:noWrap w:val="false"/>
          </w:tcPr>
          <w:p>
            <w:pPr>
              <w:jc w:val="cente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1</w:t>
            </w:r>
            <w:r/>
          </w:p>
        </w:tc>
        <w:tc>
          <w:tcPr>
            <w:tcW w:w="2681" w:type="pct"/>
            <w:vAlign w:val="center"/>
            <w:textDirection w:val="lrTb"/>
            <w:noWrap w:val="false"/>
          </w:tcPr>
          <w:p>
            <w:pP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运维单位在日常运维中能主动提出合理化建议、改造方案。</w:t>
            </w:r>
            <w:r/>
          </w:p>
        </w:tc>
        <w:tc>
          <w:tcPr>
            <w:tcW w:w="1023" w:type="pct"/>
            <w:vAlign w:val="center"/>
            <w:textDirection w:val="lrTb"/>
            <w:noWrap w:val="false"/>
          </w:tcPr>
          <w:p>
            <w:pP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一经采用每次奖励三千元</w:t>
            </w:r>
            <w:r/>
          </w:p>
        </w:tc>
        <w:tc>
          <w:tcPr>
            <w:gridSpan w:val="2"/>
            <w:tcW w:w="819" w:type="pct"/>
            <w:vAlign w:val="center"/>
            <w:textDirection w:val="lrTb"/>
            <w:noWrap w:val="false"/>
          </w:tcPr>
          <w:p>
            <w:pPr>
              <w:widowControl/>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r>
      <w:tr>
        <w:trPr>
          <w:trHeight w:val="450"/>
        </w:trPr>
        <w:tc>
          <w:tcPr>
            <w:tcW w:w="477" w:type="pct"/>
            <w:vAlign w:val="center"/>
            <w:textDirection w:val="lrTb"/>
            <w:noWrap w:val="false"/>
          </w:tcPr>
          <w:p>
            <w:pPr>
              <w:jc w:val="cente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2</w:t>
            </w:r>
            <w:r/>
          </w:p>
        </w:tc>
        <w:tc>
          <w:tcPr>
            <w:tcW w:w="2681" w:type="pct"/>
            <w:vAlign w:val="center"/>
            <w:textDirection w:val="lrTb"/>
            <w:noWrap w:val="false"/>
          </w:tcPr>
          <w:p>
            <w:pP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积极探索运维管养新技术、新材料、新工艺，对运维工作产生重大技术革新，取得良好经济效益的。</w:t>
            </w:r>
            <w:r/>
          </w:p>
        </w:tc>
        <w:tc>
          <w:tcPr>
            <w:tcW w:w="1023" w:type="pct"/>
            <w:vAlign w:val="center"/>
            <w:textDirection w:val="lrTb"/>
            <w:noWrap w:val="false"/>
          </w:tcPr>
          <w:p>
            <w:pP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一经采用每次奖励三千元</w:t>
            </w:r>
            <w:r/>
          </w:p>
        </w:tc>
        <w:tc>
          <w:tcPr>
            <w:gridSpan w:val="2"/>
            <w:tcW w:w="819" w:type="pct"/>
            <w:vAlign w:val="center"/>
            <w:textDirection w:val="lrTb"/>
            <w:noWrap w:val="false"/>
          </w:tcPr>
          <w:p>
            <w:pPr>
              <w:widowControl/>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r>
      <w:tr>
        <w:trPr>
          <w:trHeight w:val="450"/>
        </w:trPr>
        <w:tc>
          <w:tcPr>
            <w:tcW w:w="477" w:type="pct"/>
            <w:vAlign w:val="center"/>
            <w:textDirection w:val="lrTb"/>
            <w:noWrap w:val="false"/>
          </w:tcPr>
          <w:p>
            <w:pPr>
              <w:jc w:val="cente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3</w:t>
            </w:r>
            <w:r/>
          </w:p>
        </w:tc>
        <w:tc>
          <w:tcPr>
            <w:tcW w:w="2681" w:type="pct"/>
            <w:vAlign w:val="center"/>
            <w:textDirection w:val="lrTb"/>
            <w:noWrap w:val="false"/>
          </w:tcPr>
          <w:p>
            <w:pP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运维工作获得局、市、省表彰奖励的</w:t>
            </w:r>
            <w:r/>
          </w:p>
        </w:tc>
        <w:tc>
          <w:tcPr>
            <w:tcW w:w="1023" w:type="pct"/>
            <w:vAlign w:val="center"/>
            <w:textDirection w:val="lrTb"/>
            <w:noWrap w:val="false"/>
          </w:tcPr>
          <w:p>
            <w:pPr>
              <w:widowControl/>
              <w:rPr>
                <w:rFonts w:ascii="Times New Roman" w:hAnsi="Times New Roman" w:cs="宋体" w:eastAsiaTheme="minorEastAsia"/>
                <w:sz w:val="24"/>
                <w:szCs w:val="24"/>
                <w:highlight w:val="none"/>
              </w:rPr>
            </w:pPr>
            <w:r>
              <w:rPr>
                <w:rFonts w:hint="eastAsia" w:ascii="Times New Roman" w:hAnsi="Times New Roman" w:cs="宋体" w:eastAsiaTheme="minorEastAsia"/>
                <w:sz w:val="24"/>
                <w:szCs w:val="24"/>
                <w:highlight w:val="none"/>
              </w:rPr>
              <w:t xml:space="preserve">每次奖励三千元</w:t>
            </w:r>
            <w:r/>
          </w:p>
        </w:tc>
        <w:tc>
          <w:tcPr>
            <w:gridSpan w:val="2"/>
            <w:tcW w:w="819" w:type="pct"/>
            <w:vAlign w:val="center"/>
            <w:textDirection w:val="lrTb"/>
            <w:noWrap w:val="false"/>
          </w:tcPr>
          <w:p>
            <w:pPr>
              <w:widowControl/>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r>
    </w:tbl>
    <w:p>
      <w:pPr>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ind w:firstLine="480"/>
        <w:spacing w:line="360" w:lineRule="auto"/>
        <w:rPr>
          <w:rFonts w:ascii="Times New Roman" w:hAnsi="Times New Roman" w:cs="宋体"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eastAsiaTheme="minorEastAsia"/>
          <w:sz w:val="24"/>
          <w:szCs w:val="24"/>
          <w:highlight w:val="none"/>
        </w:rPr>
        <w:t xml:space="preserve">采购人与中标单位签订政府采购合同，根据招标文件及合同规定和中标人投标承诺的具体事项和考核办法进行考核。当月考核得分达到90分（含90分），月支付费用为当年中标价÷12；当月考核得分高于80分（含80分）未达到90分，月支付费用为当年中标价÷12×70%+当年中标价÷12 ×30%×（当月考核得分÷100）；当月考核得分低于80分，月支付费用为当年中标价÷12×当月考核得分÷100。如单月得分低于60分或连续3个月考核低于80分，采购人有权解除合同。</w:t>
      </w:r>
      <w:r/>
    </w:p>
    <w:p>
      <w:pPr>
        <w:ind w:firstLine="480"/>
        <w:rPr>
          <w:rFonts w:ascii="Times New Roman" w:hAnsi="Times New Roman" w:eastAsiaTheme="minorEastAsia"/>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eastAsiaTheme="minorEastAsia"/>
          <w:color w:val="000000"/>
          <w:sz w:val="24"/>
          <w:szCs w:val="24"/>
          <w:highlight w:val="none"/>
        </w:rPr>
        <w:t xml:space="preserve"> </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spacing w:before="240" w:after="240"/>
        <w:rPr>
          <w:rFonts w:ascii="Times New Roman" w:hAnsi="Times New Roman" w:eastAsia="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spacing w:before="240" w:after="240"/>
        <w:rPr>
          <w:rFonts w:ascii="Times New Roman" w:hAnsi="Times New Roman" w:eastAsia="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r>
      <w:r/>
    </w:p>
    <w:p>
      <w:pPr>
        <w:spacing w:before="240" w:after="240"/>
        <w:rPr>
          <w:rFonts w:ascii="Times New Roman" w:hAnsi="Times New Roman" w:eastAsia="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r>
      <w:r/>
    </w:p>
    <w:p>
      <w:pPr>
        <w:spacing w:before="240" w:after="240"/>
        <w:rPr>
          <w:rFonts w:ascii="Times New Roman" w:hAnsi="Times New Roman" w:eastAsia="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r>
      <w:r/>
    </w:p>
    <w:p>
      <w:pPr>
        <w:spacing w:before="240" w:after="240"/>
        <w:rPr>
          <w:rFonts w:ascii="Times New Roman" w:hAnsi="Times New Roman" w:eastAsia="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r>
      <w:r/>
    </w:p>
    <w:p>
      <w:pPr>
        <w:spacing w:before="240" w:after="240"/>
        <w:rPr>
          <w:rFonts w:ascii="Times New Roman" w:hAnsi="Times New Roman" w:eastAsia="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r>
      <w:r/>
    </w:p>
    <w:p>
      <w:pPr>
        <w:spacing w:before="240" w:after="240"/>
        <w:rPr>
          <w:rFonts w:ascii="Times New Roman" w:hAnsi="Times New Roman" w:eastAsia="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r>
      <w:r/>
    </w:p>
    <w:p>
      <w:pPr>
        <w:spacing w:before="240" w:after="240"/>
        <w:rPr>
          <w:rFonts w:ascii="Times New Roman" w:hAnsi="Times New Roman" w:eastAsia="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r>
      <w:r/>
    </w:p>
    <w:p>
      <w:pPr>
        <w:rPr>
          <w:rFonts w:ascii="Times New Roman" w:hAnsi="Times New Roman" w:eastAsia="Times New Roman"/>
          <w:color w:val="000000"/>
          <w:highlight w:val="none"/>
        </w:rPr>
      </w:pPr>
      <w:r>
        <w:rPr>
          <w:rFonts w:ascii="Times New Roman" w:hAnsi="Times New Roman" w:eastAsia="Times New Roman"/>
          <w:color w:val="000000"/>
          <w:highlight w:val="none"/>
        </w:rPr>
        <w:br w:type="page" w:clear="all"/>
      </w:r>
      <w:r/>
    </w:p>
    <w:p>
      <w:pPr>
        <w:pStyle w:val="753"/>
        <w:jc w:val="center"/>
        <w:rPr>
          <w:rFonts w:hint="eastAsia" w:ascii="Times New Roman" w:hAnsi="Times New Roman"/>
          <w:highlight w:val="none"/>
        </w:rPr>
      </w:pPr>
      <w:r>
        <w:rPr>
          <w:rFonts w:ascii="Times New Roman" w:hAnsi="Times New Roman" w:cs="黑体"/>
          <w:color w:val="000000"/>
          <w:highlight w:val="none"/>
        </w:rPr>
        <w:t xml:space="preserve">第五章评标方法与评标标准</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ind w:firstLine="439"/>
        <w:spacing w:before="240" w:after="240"/>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采用综合评分法的，评标结果按评审后得分由高到低顺序排列。得分相同的，按投标报价由低到高顺序排列。得分且投标报价相同的并列。</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满足招标文件全部实质性要求，且按照评审因素的量化指标评审得分最高的投标人为中标候选人。</w:t>
            </w:r>
            <w:r/>
          </w:p>
          <w:p>
            <w:pPr>
              <w:jc w:val="center"/>
              <w:rPr>
                <w:rFonts w:ascii="Times New Roman" w:hAnsi="Times New Roman"/>
                <w:color w:val="0070c0"/>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70c0"/>
                <w:highlight w:val="none"/>
              </w:rPr>
            </w:r>
            <w:r/>
          </w:p>
        </w:tc>
      </w:tr>
    </w:tbl>
    <w:p>
      <w:pPr>
        <w:ind w:firstLine="441"/>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政府采购政策功能落实</w:t>
      </w:r>
      <w:r/>
    </w:p>
    <w:p>
      <w:pPr>
        <w:ind w:firstLine="441"/>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ff0000"/>
          <w:sz w:val="24"/>
          <w:highlight w:val="none"/>
        </w:rPr>
        <w:t xml:space="preserve">本项目专门面向中小企业：否</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3"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3"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否</w:t>
            </w:r>
            <w:r/>
          </w:p>
        </w:tc>
      </w:tr>
    </w:tbl>
    <w:p>
      <w:pPr>
        <w:ind w:firstLine="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1、小微型企业价格扣除</w:t>
      </w:r>
      <w:r/>
    </w:p>
    <w:p>
      <w:pPr>
        <w:ind w:firstLine="360"/>
        <w:spacing w:before="120" w:after="120"/>
        <w:rPr>
          <w:rFonts w:ascii="Times New Roman" w:hAnsi="Times New Roman" w:cs="宋体"/>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（1）本项目对小型和微型企业产品给予</w:t>
      </w:r>
      <w:r>
        <w:rPr>
          <w:rFonts w:ascii="Times New Roman" w:hAnsi="Times New Roman" w:cs="宋体"/>
          <w:color w:val="000000"/>
          <w:sz w:val="24"/>
          <w:highlight w:val="none"/>
          <w:u w:val="single"/>
        </w:rPr>
        <w:t xml:space="preserve">20%</w:t>
      </w:r>
      <w:r>
        <w:rPr>
          <w:rFonts w:ascii="Times New Roman" w:hAnsi="Times New Roman" w:cs="宋体"/>
          <w:color w:val="000000"/>
          <w:sz w:val="24"/>
          <w:highlight w:val="none"/>
        </w:rPr>
        <w:t xml:space="preserve">的扣除价格，用扣除后的价格参与评审。</w:t>
      </w:r>
      <w:r/>
    </w:p>
    <w:p>
      <w:pPr>
        <w:ind w:firstLine="36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（2）供应商需按照采购文件的要求提供相应的《中小企业声明函》。</w:t>
      </w:r>
      <w:r/>
    </w:p>
    <w:p>
      <w:pPr>
        <w:ind w:firstLine="360"/>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（3）企业标准请参照《关于印发中小企业划型标准规定的通知》（工信部联企业[2011]300号）文件规定自行填写。</w:t>
      </w:r>
      <w:r/>
    </w:p>
    <w:p>
      <w:pPr>
        <w:ind w:firstLine="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2、残疾人福利单位价格扣除</w:t>
      </w:r>
      <w:r/>
    </w:p>
    <w:p>
      <w:pPr>
        <w:ind w:left="120" w:firstLine="36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（1）本项目对残疾人福利性单位视同小型、微型企业，给予</w:t>
      </w:r>
      <w:r>
        <w:rPr>
          <w:rFonts w:ascii="Times New Roman" w:hAnsi="Times New Roman" w:cs="宋体"/>
          <w:color w:val="000000"/>
          <w:sz w:val="24"/>
          <w:highlight w:val="none"/>
          <w:u w:val="single"/>
        </w:rPr>
        <w:t xml:space="preserve">20%</w:t>
      </w:r>
      <w:r>
        <w:rPr>
          <w:rFonts w:ascii="Times New Roman" w:hAnsi="Times New Roman" w:cs="宋体"/>
          <w:color w:val="000000"/>
          <w:sz w:val="24"/>
          <w:highlight w:val="none"/>
        </w:rPr>
        <w:t xml:space="preserve">的价格扣除，用扣除后的价格参与评审。</w:t>
      </w:r>
      <w:r/>
    </w:p>
    <w:p>
      <w:pPr>
        <w:ind w:left="120" w:firstLine="36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（2）残疾人福利单位需按照采购文件的要求提供《残疾人福利性单位声明函》。</w:t>
      </w:r>
      <w:r/>
    </w:p>
    <w:p>
      <w:pPr>
        <w:ind w:left="120" w:firstLine="36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（3）残疾人福利单位标准请参照《关于促进残疾人就业政府采购政策的通知》（财库〔2017〕141号）。</w:t>
      </w:r>
      <w:r/>
    </w:p>
    <w:p>
      <w:pPr>
        <w:ind w:firstLine="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3、监狱和戒毒企业价格扣除</w:t>
      </w:r>
      <w:r/>
    </w:p>
    <w:p>
      <w:pPr>
        <w:ind w:firstLine="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（1）本项目对监狱和戒毒企业（简称监狱企业）视同小型、微型企业，给予</w:t>
      </w:r>
      <w:r>
        <w:rPr>
          <w:rFonts w:ascii="Times New Roman" w:hAnsi="Times New Roman" w:cs="宋体"/>
          <w:color w:val="000000"/>
          <w:sz w:val="24"/>
          <w:highlight w:val="none"/>
          <w:u w:val="single"/>
        </w:rPr>
        <w:t xml:space="preserve">20%</w:t>
      </w:r>
      <w:r>
        <w:rPr>
          <w:rFonts w:ascii="Times New Roman" w:hAnsi="Times New Roman" w:cs="宋体"/>
          <w:color w:val="000000"/>
          <w:sz w:val="24"/>
          <w:highlight w:val="none"/>
        </w:rPr>
        <w:t xml:space="preserve">的价格扣除，用扣除后的价格参与评审。</w:t>
      </w:r>
      <w:r/>
    </w:p>
    <w:p>
      <w:pPr>
        <w:ind w:firstLine="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（3）监狱企业标准请参照《关于政府采购支持监狱企业发展有关问题的通知》（财库〔2014〕68号）。</w:t>
      </w:r>
      <w:r/>
    </w:p>
    <w:p>
      <w:pPr>
        <w:ind w:firstLine="480"/>
        <w:spacing w:before="120" w:after="120"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4、残疾人福利单位、监狱企业属于小型、微型企业的，不重复享受政策。</w:t>
      </w:r>
      <w:r/>
    </w:p>
    <w:p>
      <w:pPr>
        <w:ind w:firstLine="480"/>
        <w:spacing w:before="120" w:after="120" w:line="400" w:lineRule="atLeast"/>
        <w:rPr>
          <w:rFonts w:ascii="Times New Roman" w:hAnsi="Times New Roman" w:cs="宋体"/>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imes New Roman" w:hAnsi="Times New Roman" w:cs="宋体"/>
          <w:color w:val="000000"/>
          <w:sz w:val="24"/>
          <w:highlight w:val="none"/>
          <w:u w:val="single"/>
        </w:rPr>
        <w:t xml:space="preserve">6%</w:t>
      </w:r>
      <w:r>
        <w:rPr>
          <w:rFonts w:ascii="Times New Roman" w:hAnsi="Times New Roman" w:cs="宋体"/>
          <w:color w:val="000000"/>
          <w:sz w:val="24"/>
          <w:highlight w:val="none"/>
        </w:rPr>
        <w:t xml:space="preserve">的价格扣除，用扣除后的价格参与评审。</w:t>
      </w:r>
      <w:r/>
    </w:p>
    <w:p>
      <w:pPr>
        <w:ind w:firstLine="480"/>
        <w:spacing w:before="120" w:after="120"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6、联合体各方均为小型、微型企业（残疾人福利单位、监狱企业）的，联合体享受</w:t>
      </w:r>
      <w:r>
        <w:rPr>
          <w:rFonts w:ascii="Times New Roman" w:hAnsi="Times New Roman" w:cs="宋体"/>
          <w:color w:val="000000"/>
          <w:sz w:val="24"/>
          <w:highlight w:val="none"/>
          <w:u w:val="single"/>
        </w:rPr>
        <w:t xml:space="preserve">20%</w:t>
      </w:r>
      <w:r>
        <w:rPr>
          <w:rFonts w:ascii="Times New Roman" w:hAnsi="Times New Roman" w:cs="宋体"/>
          <w:color w:val="000000"/>
          <w:sz w:val="24"/>
          <w:highlight w:val="none"/>
        </w:rPr>
        <w:t xml:space="preserve">价格扣除，用扣除后的价格参与评审。</w:t>
      </w:r>
      <w:r/>
    </w:p>
    <w:p>
      <w:pPr>
        <w:ind w:firstLine="482"/>
        <w:spacing w:before="240" w:after="240"/>
        <w:rPr>
          <w:rFonts w:ascii="Times New Roman" w:hAnsi="Times New Roman" w:cs="宋体"/>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评标方法与评标标准</w:t>
      </w:r>
      <w:r/>
    </w:p>
    <w:tbl>
      <w:tblPr>
        <w:tblStyle w:val="76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3"/>
        <w:gridCol w:w="7442"/>
      </w:tblGrid>
      <w:tr>
        <w:trPr>
          <w:jc w:val="center"/>
          <w:trHeight w:val="414"/>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jc w:val="cente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评分标准</w:t>
            </w:r>
            <w:r/>
          </w:p>
        </w:tc>
      </w:tr>
      <w:tr>
        <w:trPr>
          <w:jc w:val="center"/>
          <w:trHeight w:val="817"/>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价</w:t>
            </w:r>
            <w:r>
              <w:rPr>
                <w:rFonts w:ascii="Times New Roman" w:hAnsi="Times New Roman" w:cs="宋体"/>
                <w:b/>
                <w:bCs/>
                <w:color w:val="000000"/>
                <w:sz w:val="24"/>
                <w:szCs w:val="24"/>
                <w:highlight w:val="none"/>
              </w:rPr>
              <w:t xml:space="preserve"> </w:t>
            </w:r>
            <w:r>
              <w:rPr>
                <w:rFonts w:hint="eastAsia" w:ascii="Times New Roman" w:hAnsi="Times New Roman" w:cs="宋体"/>
                <w:b/>
                <w:bCs/>
                <w:color w:val="000000"/>
                <w:sz w:val="24"/>
                <w:szCs w:val="24"/>
                <w:highlight w:val="none"/>
              </w:rPr>
              <w:t xml:space="preserve">格</w:t>
            </w:r>
            <w:r/>
          </w:p>
          <w:p>
            <w:pPr>
              <w:jc w:val="cente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w:t>
            </w:r>
            <w:r>
              <w:rPr>
                <w:rFonts w:ascii="Times New Roman" w:hAnsi="Times New Roman" w:cs="宋体"/>
                <w:b/>
                <w:bCs/>
                <w:color w:val="000000"/>
                <w:sz w:val="24"/>
                <w:szCs w:val="24"/>
                <w:highlight w:val="none"/>
              </w:rPr>
              <w:t xml:space="preserve">10</w:t>
            </w:r>
            <w:r>
              <w:rPr>
                <w:rFonts w:hint="eastAsia" w:ascii="Times New Roman" w:hAnsi="Times New Roman" w:cs="宋体"/>
                <w:b/>
                <w:bCs/>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spacing w:line="360" w:lineRule="exact"/>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以满足招标文件要求的最低投标报价为评标基准价，得满分</w:t>
            </w:r>
            <w:r>
              <w:rPr>
                <w:rFonts w:ascii="Times New Roman" w:hAnsi="Times New Roman" w:cs="宋体"/>
                <w:color w:val="000000"/>
                <w:sz w:val="24"/>
                <w:szCs w:val="24"/>
                <w:highlight w:val="none"/>
              </w:rPr>
              <w:t xml:space="preserve">10</w:t>
            </w:r>
            <w:r>
              <w:rPr>
                <w:rFonts w:hint="eastAsia" w:ascii="Times New Roman" w:hAnsi="Times New Roman" w:cs="宋体"/>
                <w:color w:val="000000"/>
                <w:sz w:val="24"/>
                <w:szCs w:val="24"/>
                <w:highlight w:val="none"/>
              </w:rPr>
              <w:t xml:space="preserve">分，其他投标报价得分＝（评标基准价</w:t>
            </w:r>
            <w:r>
              <w:rPr>
                <w:rFonts w:ascii="Times New Roman" w:hAnsi="Times New Roman" w:cs="宋体"/>
                <w:color w:val="000000"/>
                <w:sz w:val="24"/>
                <w:szCs w:val="24"/>
                <w:highlight w:val="none"/>
              </w:rPr>
              <w:t xml:space="preserve">/</w:t>
            </w:r>
            <w:r>
              <w:rPr>
                <w:rFonts w:hint="eastAsia" w:ascii="Times New Roman" w:hAnsi="Times New Roman" w:cs="宋体"/>
                <w:color w:val="000000"/>
                <w:sz w:val="24"/>
                <w:szCs w:val="24"/>
                <w:highlight w:val="none"/>
              </w:rPr>
              <w:t xml:space="preserve">其他投标报价）×</w:t>
            </w:r>
            <w:r>
              <w:rPr>
                <w:rFonts w:ascii="Times New Roman" w:hAnsi="Times New Roman" w:cs="宋体"/>
                <w:color w:val="000000"/>
                <w:sz w:val="24"/>
                <w:szCs w:val="24"/>
                <w:highlight w:val="none"/>
              </w:rPr>
              <w:t xml:space="preserve">10</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t xml:space="preserve">100</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t xml:space="preserve"> </w:t>
            </w:r>
            <w:r>
              <w:rPr>
                <w:rFonts w:hint="eastAsia" w:ascii="Times New Roman" w:hAnsi="Times New Roman" w:cs="宋体"/>
                <w:color w:val="000000"/>
                <w:sz w:val="24"/>
                <w:szCs w:val="24"/>
                <w:highlight w:val="none"/>
              </w:rPr>
              <w:t xml:space="preserve">。</w:t>
            </w:r>
            <w:r/>
          </w:p>
        </w:tc>
      </w:tr>
      <w:tr>
        <w:trPr>
          <w:jc w:val="center"/>
          <w:trHeight w:val="736"/>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软件系统技术方案（</w:t>
            </w:r>
            <w:r>
              <w:rPr>
                <w:rFonts w:ascii="Times New Roman" w:hAnsi="Times New Roman" w:cs="宋体"/>
                <w:b/>
                <w:bCs/>
                <w:color w:val="000000"/>
                <w:sz w:val="24"/>
                <w:szCs w:val="24"/>
                <w:highlight w:val="none"/>
              </w:rPr>
              <w:t xml:space="preserve">20</w:t>
            </w:r>
            <w:r>
              <w:rPr>
                <w:rFonts w:hint="eastAsia" w:ascii="Times New Roman" w:hAnsi="Times New Roman" w:cs="宋体"/>
                <w:b/>
                <w:bCs/>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jc w:val="left"/>
              <w:keepLines w:val="0"/>
              <w:keepNext w:val="0"/>
              <w:pageBreakBefore w:val="0"/>
              <w:spacing w:line="360" w:lineRule="auto"/>
              <w:widowControl w:val="off"/>
              <w:rPr>
                <w:rFonts w:ascii="Times New Roman" w:hAnsi="Times New Roman" w:cs="仿宋" w:eastAsiaTheme="minorEastAsia"/>
                <w:color w:val="000000"/>
                <w:sz w:val="24"/>
                <w:szCs w:val="24"/>
                <w:highlight w:val="none"/>
              </w:rPr>
            </w:pPr>
            <w:r>
              <w:rPr>
                <w:rFonts w:ascii="Times New Roman" w:hAnsi="Times New Roman" w:cs="仿宋"/>
                <w:color w:val="000000"/>
                <w:sz w:val="24"/>
                <w:szCs w:val="24"/>
                <w:highlight w:val="none"/>
              </w:rPr>
              <w:t xml:space="preserve">1</w:t>
            </w:r>
            <w:r>
              <w:rPr>
                <w:rFonts w:hint="eastAsia" w:ascii="Times New Roman" w:hAnsi="Times New Roman" w:cs="仿宋"/>
                <w:color w:val="000000"/>
                <w:sz w:val="24"/>
                <w:szCs w:val="24"/>
                <w:highlight w:val="none"/>
              </w:rPr>
              <w:t xml:space="preserve">、全方位可视系统运维方案。根据投标人提供的全方位可视系统运维方案进行评分：优于招标文件要求的得</w:t>
            </w:r>
            <w:r>
              <w:rPr>
                <w:rFonts w:ascii="Times New Roman" w:hAnsi="Times New Roman" w:cs="仿宋"/>
                <w:color w:val="000000"/>
                <w:sz w:val="24"/>
                <w:szCs w:val="24"/>
                <w:highlight w:val="none"/>
              </w:rPr>
              <w:t xml:space="preserve">2.5</w:t>
            </w:r>
            <w:r>
              <w:rPr>
                <w:rFonts w:hint="eastAsia" w:ascii="Times New Roman" w:hAnsi="Times New Roman" w:cs="仿宋"/>
                <w:color w:val="000000"/>
                <w:sz w:val="24"/>
                <w:szCs w:val="24"/>
                <w:highlight w:val="none"/>
              </w:rPr>
              <w:t xml:space="preserve">分，符合招标文件要求的得</w:t>
            </w:r>
            <w:r>
              <w:rPr>
                <w:rFonts w:ascii="Times New Roman" w:hAnsi="Times New Roman" w:cs="仿宋"/>
                <w:color w:val="000000"/>
                <w:sz w:val="24"/>
                <w:szCs w:val="24"/>
                <w:highlight w:val="none"/>
              </w:rPr>
              <w:t xml:space="preserve">1.5</w:t>
            </w:r>
            <w:r>
              <w:rPr>
                <w:rFonts w:hint="eastAsia" w:ascii="Times New Roman" w:hAnsi="Times New Roman" w:cs="仿宋"/>
                <w:color w:val="000000"/>
                <w:sz w:val="24"/>
                <w:szCs w:val="24"/>
                <w:highlight w:val="none"/>
              </w:rPr>
              <w:t xml:space="preserve">分，不符合招标文件要求或未提供的不得分。</w:t>
            </w:r>
            <w:r/>
          </w:p>
          <w:p>
            <w:pPr>
              <w:jc w:val="left"/>
              <w:keepLines w:val="0"/>
              <w:keepNext w:val="0"/>
              <w:pageBreakBefore w:val="0"/>
              <w:spacing w:line="360" w:lineRule="auto"/>
              <w:widowControl w:val="off"/>
              <w:rPr>
                <w:rFonts w:ascii="Times New Roman" w:hAnsi="Times New Roman" w:cs="仿宋"/>
                <w:sz w:val="24"/>
                <w:szCs w:val="24"/>
                <w:highlight w:val="none"/>
              </w:rPr>
            </w:pPr>
            <w:r>
              <w:rPr>
                <w:rFonts w:ascii="Times New Roman" w:hAnsi="Times New Roman" w:cs="仿宋"/>
                <w:sz w:val="24"/>
                <w:szCs w:val="24"/>
                <w:highlight w:val="none"/>
              </w:rPr>
              <w:t xml:space="preserve">2</w:t>
            </w:r>
            <w:r>
              <w:rPr>
                <w:rFonts w:hint="eastAsia" w:ascii="Times New Roman" w:hAnsi="Times New Roman" w:cs="仿宋"/>
                <w:sz w:val="24"/>
                <w:szCs w:val="24"/>
                <w:highlight w:val="none"/>
              </w:rPr>
              <w:t xml:space="preserve">、安全监测系统运维方案。根据投标人提供的安全监测系统运维方案进行评分：优于招标文件要求的得</w:t>
            </w:r>
            <w:r>
              <w:rPr>
                <w:rFonts w:ascii="Times New Roman" w:hAnsi="Times New Roman" w:cs="仿宋"/>
                <w:sz w:val="24"/>
                <w:szCs w:val="24"/>
                <w:highlight w:val="none"/>
              </w:rPr>
              <w:t xml:space="preserve">2.5</w:t>
            </w:r>
            <w:r>
              <w:rPr>
                <w:rFonts w:hint="eastAsia" w:ascii="Times New Roman" w:hAnsi="Times New Roman" w:cs="仿宋"/>
                <w:sz w:val="24"/>
                <w:szCs w:val="24"/>
                <w:highlight w:val="none"/>
              </w:rPr>
              <w:t xml:space="preserve">分，符合招标文件要求的得</w:t>
            </w:r>
            <w:r>
              <w:rPr>
                <w:rFonts w:ascii="Times New Roman" w:hAnsi="Times New Roman" w:cs="仿宋"/>
                <w:sz w:val="24"/>
                <w:szCs w:val="24"/>
                <w:highlight w:val="none"/>
              </w:rPr>
              <w:t xml:space="preserve">1.5</w:t>
            </w:r>
            <w:r>
              <w:rPr>
                <w:rFonts w:hint="eastAsia" w:ascii="Times New Roman" w:hAnsi="Times New Roman" w:cs="仿宋"/>
                <w:sz w:val="24"/>
                <w:szCs w:val="24"/>
                <w:highlight w:val="none"/>
              </w:rPr>
              <w:t xml:space="preserve">分，不符合招标文件要求或未提供的不得分。</w:t>
            </w:r>
            <w:r/>
          </w:p>
          <w:p>
            <w:pPr>
              <w:jc w:val="left"/>
              <w:keepLines w:val="0"/>
              <w:keepNext w:val="0"/>
              <w:pageBreakBefore w:val="0"/>
              <w:spacing w:line="360" w:lineRule="auto"/>
              <w:widowControl w:val="off"/>
              <w:rPr>
                <w:rFonts w:ascii="Times New Roman" w:hAnsi="Times New Roman" w:cs="仿宋"/>
                <w:sz w:val="24"/>
                <w:szCs w:val="24"/>
                <w:highlight w:val="none"/>
              </w:rPr>
            </w:pPr>
            <w:r>
              <w:rPr>
                <w:rFonts w:ascii="Times New Roman" w:hAnsi="Times New Roman" w:cs="仿宋"/>
                <w:sz w:val="24"/>
                <w:szCs w:val="24"/>
                <w:highlight w:val="none"/>
              </w:rPr>
              <w:t xml:space="preserve">3</w:t>
            </w:r>
            <w:r>
              <w:rPr>
                <w:rFonts w:hint="eastAsia" w:ascii="Times New Roman" w:hAnsi="Times New Roman" w:cs="仿宋"/>
                <w:sz w:val="24"/>
                <w:szCs w:val="24"/>
                <w:highlight w:val="none"/>
              </w:rPr>
              <w:t xml:space="preserve">、设备集控系统运维方案。根据投标人提供的设备集控系统运维方案进行评分：优于招标文件要求的得</w:t>
            </w:r>
            <w:r>
              <w:rPr>
                <w:rFonts w:ascii="Times New Roman" w:hAnsi="Times New Roman" w:cs="仿宋"/>
                <w:sz w:val="24"/>
                <w:szCs w:val="24"/>
                <w:highlight w:val="none"/>
              </w:rPr>
              <w:t xml:space="preserve">2.5</w:t>
            </w:r>
            <w:r>
              <w:rPr>
                <w:rFonts w:hint="eastAsia" w:ascii="Times New Roman" w:hAnsi="Times New Roman" w:cs="仿宋"/>
                <w:sz w:val="24"/>
                <w:szCs w:val="24"/>
                <w:highlight w:val="none"/>
              </w:rPr>
              <w:t xml:space="preserve">分，符合招标文件要求的得</w:t>
            </w:r>
            <w:r>
              <w:rPr>
                <w:rFonts w:ascii="Times New Roman" w:hAnsi="Times New Roman" w:cs="仿宋"/>
                <w:sz w:val="24"/>
                <w:szCs w:val="24"/>
                <w:highlight w:val="none"/>
              </w:rPr>
              <w:t xml:space="preserve">1.5</w:t>
            </w:r>
            <w:r>
              <w:rPr>
                <w:rFonts w:hint="eastAsia" w:ascii="Times New Roman" w:hAnsi="Times New Roman" w:cs="仿宋"/>
                <w:sz w:val="24"/>
                <w:szCs w:val="24"/>
                <w:highlight w:val="none"/>
              </w:rPr>
              <w:t xml:space="preserve">分，不符合招标文件要求或未提供的不得分。</w:t>
            </w:r>
            <w:r/>
          </w:p>
          <w:p>
            <w:pPr>
              <w:jc w:val="left"/>
              <w:keepLines w:val="0"/>
              <w:keepNext w:val="0"/>
              <w:pageBreakBefore w:val="0"/>
              <w:spacing w:line="360" w:lineRule="auto"/>
              <w:widowControl w:val="off"/>
              <w:rPr>
                <w:rFonts w:ascii="Times New Roman" w:hAnsi="Times New Roman" w:cs="仿宋"/>
                <w:sz w:val="24"/>
                <w:szCs w:val="24"/>
                <w:highlight w:val="none"/>
              </w:rPr>
            </w:pPr>
            <w:r>
              <w:rPr>
                <w:rFonts w:ascii="Times New Roman" w:hAnsi="Times New Roman" w:cs="仿宋"/>
                <w:sz w:val="24"/>
                <w:szCs w:val="24"/>
                <w:highlight w:val="none"/>
              </w:rPr>
              <w:t xml:space="preserve">4</w:t>
            </w:r>
            <w:r>
              <w:rPr>
                <w:rFonts w:hint="eastAsia" w:ascii="Times New Roman" w:hAnsi="Times New Roman" w:cs="仿宋"/>
                <w:sz w:val="24"/>
                <w:szCs w:val="24"/>
                <w:highlight w:val="none"/>
              </w:rPr>
              <w:t xml:space="preserve">、应急处置系统运维方案。根据投标人提供的应急处置系统运维方案进行评分：优于招标文件要求的得</w:t>
            </w:r>
            <w:r>
              <w:rPr>
                <w:rFonts w:ascii="Times New Roman" w:hAnsi="Times New Roman" w:cs="仿宋"/>
                <w:sz w:val="24"/>
                <w:szCs w:val="24"/>
                <w:highlight w:val="none"/>
              </w:rPr>
              <w:t xml:space="preserve">2.5</w:t>
            </w:r>
            <w:r>
              <w:rPr>
                <w:rFonts w:hint="eastAsia" w:ascii="Times New Roman" w:hAnsi="Times New Roman" w:cs="仿宋"/>
                <w:sz w:val="24"/>
                <w:szCs w:val="24"/>
                <w:highlight w:val="none"/>
              </w:rPr>
              <w:t xml:space="preserve">分，符合招标文件要求的得</w:t>
            </w:r>
            <w:r>
              <w:rPr>
                <w:rFonts w:ascii="Times New Roman" w:hAnsi="Times New Roman" w:cs="仿宋"/>
                <w:sz w:val="24"/>
                <w:szCs w:val="24"/>
                <w:highlight w:val="none"/>
              </w:rPr>
              <w:t xml:space="preserve">1.5</w:t>
            </w:r>
            <w:r>
              <w:rPr>
                <w:rFonts w:hint="eastAsia" w:ascii="Times New Roman" w:hAnsi="Times New Roman" w:cs="仿宋"/>
                <w:sz w:val="24"/>
                <w:szCs w:val="24"/>
                <w:highlight w:val="none"/>
              </w:rPr>
              <w:t xml:space="preserve">分，不符合招标文件要求或未提供的不得分。</w:t>
            </w:r>
            <w:r/>
          </w:p>
          <w:p>
            <w:pPr>
              <w:jc w:val="left"/>
              <w:keepLines w:val="0"/>
              <w:keepNext w:val="0"/>
              <w:pageBreakBefore w:val="0"/>
              <w:spacing w:line="360" w:lineRule="auto"/>
              <w:widowControl w:val="off"/>
              <w:rPr>
                <w:rFonts w:ascii="Times New Roman" w:hAnsi="Times New Roman" w:cs="仿宋"/>
                <w:sz w:val="24"/>
                <w:szCs w:val="24"/>
                <w:highlight w:val="none"/>
              </w:rPr>
            </w:pPr>
            <w:r>
              <w:rPr>
                <w:rFonts w:ascii="Times New Roman" w:hAnsi="Times New Roman" w:cs="仿宋"/>
                <w:sz w:val="24"/>
                <w:szCs w:val="24"/>
                <w:highlight w:val="none"/>
              </w:rPr>
              <w:t xml:space="preserve">5</w:t>
            </w:r>
            <w:r>
              <w:rPr>
                <w:rFonts w:hint="eastAsia" w:ascii="Times New Roman" w:hAnsi="Times New Roman" w:cs="仿宋"/>
                <w:sz w:val="24"/>
                <w:szCs w:val="24"/>
                <w:highlight w:val="none"/>
              </w:rPr>
              <w:t xml:space="preserve">、养护管理系统运维方案。根据投标人提供的养护管理系统运维方案进行评分：优于招标文件要求的得</w:t>
            </w:r>
            <w:r>
              <w:rPr>
                <w:rFonts w:ascii="Times New Roman" w:hAnsi="Times New Roman" w:cs="仿宋"/>
                <w:sz w:val="24"/>
                <w:szCs w:val="24"/>
                <w:highlight w:val="none"/>
              </w:rPr>
              <w:t xml:space="preserve">2.5</w:t>
            </w:r>
            <w:r>
              <w:rPr>
                <w:rFonts w:hint="eastAsia" w:ascii="Times New Roman" w:hAnsi="Times New Roman" w:cs="仿宋"/>
                <w:sz w:val="24"/>
                <w:szCs w:val="24"/>
                <w:highlight w:val="none"/>
              </w:rPr>
              <w:t xml:space="preserve">分，符合招标文件要求的得</w:t>
            </w:r>
            <w:r>
              <w:rPr>
                <w:rFonts w:ascii="Times New Roman" w:hAnsi="Times New Roman" w:cs="仿宋"/>
                <w:sz w:val="24"/>
                <w:szCs w:val="24"/>
                <w:highlight w:val="none"/>
              </w:rPr>
              <w:t xml:space="preserve">1.5</w:t>
            </w:r>
            <w:r>
              <w:rPr>
                <w:rFonts w:hint="eastAsia" w:ascii="Times New Roman" w:hAnsi="Times New Roman" w:cs="仿宋"/>
                <w:sz w:val="24"/>
                <w:szCs w:val="24"/>
                <w:highlight w:val="none"/>
              </w:rPr>
              <w:t xml:space="preserve">分，不符合招标文件要求或未提供的不得分。</w:t>
            </w:r>
            <w:r/>
          </w:p>
          <w:p>
            <w:pPr>
              <w:jc w:val="left"/>
              <w:keepLines w:val="0"/>
              <w:keepNext w:val="0"/>
              <w:pageBreakBefore w:val="0"/>
              <w:spacing w:line="360" w:lineRule="auto"/>
              <w:widowControl w:val="off"/>
              <w:rPr>
                <w:rFonts w:ascii="Times New Roman" w:hAnsi="Times New Roman" w:cs="仿宋"/>
                <w:sz w:val="24"/>
                <w:szCs w:val="24"/>
                <w:highlight w:val="none"/>
              </w:rPr>
            </w:pPr>
            <w:r>
              <w:rPr>
                <w:rFonts w:ascii="Times New Roman" w:hAnsi="Times New Roman" w:cs="仿宋"/>
                <w:sz w:val="24"/>
                <w:szCs w:val="24"/>
                <w:highlight w:val="none"/>
              </w:rPr>
              <w:t xml:space="preserve">6</w:t>
            </w:r>
            <w:r>
              <w:rPr>
                <w:rFonts w:hint="eastAsia" w:ascii="Times New Roman" w:hAnsi="Times New Roman" w:cs="仿宋"/>
                <w:sz w:val="24"/>
                <w:szCs w:val="24"/>
                <w:highlight w:val="none"/>
              </w:rPr>
              <w:t xml:space="preserve">、公共服务系统运维方案。根据投标人提供的公共服务系统运维方案进行评分：优于招标文件要求的得</w:t>
            </w:r>
            <w:r>
              <w:rPr>
                <w:rFonts w:ascii="Times New Roman" w:hAnsi="Times New Roman" w:cs="仿宋"/>
                <w:sz w:val="24"/>
                <w:szCs w:val="24"/>
                <w:highlight w:val="none"/>
              </w:rPr>
              <w:t xml:space="preserve">2.5</w:t>
            </w:r>
            <w:r>
              <w:rPr>
                <w:rFonts w:hint="eastAsia" w:ascii="Times New Roman" w:hAnsi="Times New Roman" w:cs="仿宋"/>
                <w:sz w:val="24"/>
                <w:szCs w:val="24"/>
                <w:highlight w:val="none"/>
              </w:rPr>
              <w:t xml:space="preserve">分，符合招标文件要求的得</w:t>
            </w:r>
            <w:r>
              <w:rPr>
                <w:rFonts w:ascii="Times New Roman" w:hAnsi="Times New Roman" w:cs="仿宋"/>
                <w:sz w:val="24"/>
                <w:szCs w:val="24"/>
                <w:highlight w:val="none"/>
              </w:rPr>
              <w:t xml:space="preserve">1.5</w:t>
            </w:r>
            <w:r>
              <w:rPr>
                <w:rFonts w:hint="eastAsia" w:ascii="Times New Roman" w:hAnsi="Times New Roman" w:cs="仿宋"/>
                <w:sz w:val="24"/>
                <w:szCs w:val="24"/>
                <w:highlight w:val="none"/>
              </w:rPr>
              <w:t xml:space="preserve">分，不符合招标文件要求或未提供的不得分。</w:t>
            </w:r>
            <w:r/>
          </w:p>
          <w:p>
            <w:pPr>
              <w:jc w:val="left"/>
              <w:keepLines w:val="0"/>
              <w:keepNext w:val="0"/>
              <w:pageBreakBefore w:val="0"/>
              <w:spacing w:line="360" w:lineRule="auto"/>
              <w:widowControl w:val="off"/>
              <w:rPr>
                <w:rFonts w:ascii="Times New Roman" w:hAnsi="Times New Roman" w:cs="宋体"/>
                <w:sz w:val="24"/>
                <w:szCs w:val="24"/>
                <w:highlight w:val="none"/>
              </w:rPr>
            </w:pPr>
            <w:r>
              <w:rPr>
                <w:rFonts w:ascii="Times New Roman" w:hAnsi="Times New Roman" w:cs="宋体"/>
                <w:sz w:val="24"/>
                <w:szCs w:val="24"/>
                <w:highlight w:val="none"/>
              </w:rPr>
              <w:t xml:space="preserve">7</w:t>
            </w:r>
            <w:r>
              <w:rPr>
                <w:rFonts w:hint="eastAsia" w:ascii="Times New Roman" w:hAnsi="Times New Roman" w:cs="宋体"/>
                <w:sz w:val="24"/>
                <w:szCs w:val="24"/>
                <w:highlight w:val="none"/>
              </w:rPr>
              <w:t xml:space="preserve">、</w:t>
            </w:r>
            <w:r>
              <w:rPr>
                <w:rFonts w:hint="eastAsia" w:ascii="Times New Roman" w:hAnsi="Times New Roman" w:cs="仿宋"/>
                <w:sz w:val="24"/>
                <w:szCs w:val="24"/>
                <w:highlight w:val="none"/>
              </w:rPr>
              <w:t xml:space="preserve">跨系统数据共享与交互方案。根据投标人提供的跨系统数据共</w:t>
            </w:r>
            <w:r>
              <w:rPr>
                <w:rFonts w:hint="eastAsia" w:ascii="Times New Roman" w:hAnsi="Times New Roman" w:cs="仿宋"/>
                <w:color w:val="000000"/>
                <w:sz w:val="24"/>
                <w:szCs w:val="24"/>
                <w:highlight w:val="none"/>
              </w:rPr>
              <w:t xml:space="preserve">享与交互方案进行评分：优于招标文件要求的得</w:t>
            </w:r>
            <w:r>
              <w:rPr>
                <w:rFonts w:ascii="Times New Roman" w:hAnsi="Times New Roman" w:cs="仿宋"/>
                <w:color w:val="000000"/>
                <w:sz w:val="24"/>
                <w:szCs w:val="24"/>
                <w:highlight w:val="none"/>
              </w:rPr>
              <w:t xml:space="preserve">5</w:t>
            </w:r>
            <w:r>
              <w:rPr>
                <w:rFonts w:hint="eastAsia" w:ascii="Times New Roman" w:hAnsi="Times New Roman" w:cs="仿宋"/>
                <w:color w:val="000000"/>
                <w:sz w:val="24"/>
                <w:szCs w:val="24"/>
                <w:highlight w:val="none"/>
              </w:rPr>
              <w:t xml:space="preserve">分，符合招标文件要求的得</w:t>
            </w:r>
            <w:r>
              <w:rPr>
                <w:rFonts w:ascii="Times New Roman" w:hAnsi="Times New Roman" w:cs="仿宋"/>
                <w:color w:val="000000"/>
                <w:sz w:val="24"/>
                <w:szCs w:val="24"/>
                <w:highlight w:val="none"/>
              </w:rPr>
              <w:t xml:space="preserve">3</w:t>
            </w:r>
            <w:r>
              <w:rPr>
                <w:rFonts w:hint="eastAsia" w:ascii="Times New Roman" w:hAnsi="Times New Roman" w:cs="仿宋"/>
                <w:color w:val="000000"/>
                <w:sz w:val="24"/>
                <w:szCs w:val="24"/>
                <w:highlight w:val="none"/>
              </w:rPr>
              <w:t xml:space="preserve">分，不符合招标文件要求或未提供的不得分。</w:t>
            </w:r>
            <w:r/>
          </w:p>
        </w:tc>
      </w:tr>
      <w:tr>
        <w:trPr>
          <w:jc w:val="center"/>
          <w:trHeight w:val="237"/>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pacing w:line="360" w:lineRule="exact"/>
              <w:rPr>
                <w:rFonts w:ascii="Times New Roman" w:hAnsi="Times New Roman" w:cs="宋体"/>
                <w:b/>
                <w:bCs/>
                <w:sz w:val="24"/>
                <w:szCs w:val="24"/>
                <w:highlight w:val="none"/>
              </w:rPr>
            </w:pPr>
            <w:r>
              <w:rPr>
                <w:rFonts w:hint="eastAsia" w:ascii="Times New Roman" w:hAnsi="Times New Roman" w:cs="宋体"/>
                <w:b/>
                <w:bCs/>
                <w:sz w:val="24"/>
                <w:szCs w:val="24"/>
                <w:highlight w:val="none"/>
              </w:rPr>
              <w:t xml:space="preserve">硬件系统技术方案（</w:t>
            </w:r>
            <w:r>
              <w:rPr>
                <w:rFonts w:ascii="Times New Roman" w:hAnsi="Times New Roman" w:cs="宋体"/>
                <w:b/>
                <w:bCs/>
                <w:sz w:val="24"/>
                <w:szCs w:val="24"/>
                <w:highlight w:val="none"/>
              </w:rPr>
              <w:t xml:space="preserve">20</w:t>
            </w:r>
            <w:r>
              <w:rPr>
                <w:rFonts w:hint="eastAsia" w:ascii="Times New Roman" w:hAnsi="Times New Roman" w:cs="宋体"/>
                <w:b/>
                <w:bCs/>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numPr>
                <w:ilvl w:val="0"/>
                <w:numId w:val="7"/>
              </w:numPr>
              <w:ind w:left="0" w:firstLine="0"/>
              <w:jc w:val="left"/>
              <w:keepLines w:val="0"/>
              <w:keepNext w:val="0"/>
              <w:pageBreakBefore w:val="0"/>
              <w:spacing w:line="360" w:lineRule="auto"/>
              <w:widowControl w:val="off"/>
              <w:rPr>
                <w:rFonts w:ascii="Times New Roman" w:hAnsi="Times New Roman" w:cs="仿宋" w:eastAsiaTheme="minorEastAsia"/>
                <w:sz w:val="24"/>
                <w:szCs w:val="24"/>
                <w:highlight w:val="none"/>
              </w:rPr>
            </w:pPr>
            <w:r>
              <w:rPr>
                <w:rFonts w:hint="eastAsia" w:ascii="Times New Roman" w:hAnsi="Times New Roman" w:cs="仿宋"/>
                <w:sz w:val="24"/>
                <w:szCs w:val="24"/>
                <w:highlight w:val="none"/>
              </w:rPr>
              <w:t xml:space="preserve">监控系统运维方案。根据投标人提供的监控系统运维方案进行评分：优于招标文件要求的得</w:t>
            </w:r>
            <w:r>
              <w:rPr>
                <w:rFonts w:ascii="Times New Roman" w:hAnsi="Times New Roman" w:cs="仿宋"/>
                <w:sz w:val="24"/>
                <w:szCs w:val="24"/>
                <w:highlight w:val="none"/>
              </w:rPr>
              <w:t xml:space="preserve">5</w:t>
            </w:r>
            <w:r>
              <w:rPr>
                <w:rFonts w:hint="eastAsia" w:ascii="Times New Roman" w:hAnsi="Times New Roman" w:cs="仿宋"/>
                <w:sz w:val="24"/>
                <w:szCs w:val="24"/>
                <w:highlight w:val="none"/>
              </w:rPr>
              <w:t xml:space="preserve">分，符合招标文件要求的得</w:t>
            </w:r>
            <w:r>
              <w:rPr>
                <w:rFonts w:ascii="Times New Roman" w:hAnsi="Times New Roman" w:cs="仿宋"/>
                <w:sz w:val="24"/>
                <w:szCs w:val="24"/>
                <w:highlight w:val="none"/>
              </w:rPr>
              <w:t xml:space="preserve">3</w:t>
            </w:r>
            <w:r>
              <w:rPr>
                <w:rFonts w:hint="eastAsia" w:ascii="Times New Roman" w:hAnsi="Times New Roman" w:cs="仿宋"/>
                <w:sz w:val="24"/>
                <w:szCs w:val="24"/>
                <w:highlight w:val="none"/>
              </w:rPr>
              <w:t xml:space="preserve">分，不符合招标文件要求或未提供的不得分。</w:t>
            </w:r>
            <w:r/>
          </w:p>
          <w:p>
            <w:pPr>
              <w:numPr>
                <w:ilvl w:val="0"/>
                <w:numId w:val="7"/>
              </w:numPr>
              <w:ind w:left="0" w:firstLine="0"/>
              <w:jc w:val="left"/>
              <w:keepLines w:val="0"/>
              <w:keepNext w:val="0"/>
              <w:pageBreakBefore w:val="0"/>
              <w:spacing w:line="360" w:lineRule="auto"/>
              <w:widowControl w:val="off"/>
              <w:rPr>
                <w:rFonts w:ascii="Times New Roman" w:hAnsi="Times New Roman" w:cs="仿宋"/>
                <w:sz w:val="24"/>
                <w:szCs w:val="24"/>
                <w:highlight w:val="none"/>
              </w:rPr>
            </w:pPr>
            <w:r>
              <w:rPr>
                <w:rFonts w:hint="eastAsia" w:ascii="Times New Roman" w:hAnsi="Times New Roman" w:cs="仿宋"/>
                <w:sz w:val="24"/>
                <w:szCs w:val="24"/>
                <w:highlight w:val="none"/>
              </w:rPr>
              <w:t xml:space="preserve">交通诱导系统运维方案。根据投标人提供的交通诱导系统运维方案进行评分：优于招标文件要求的得</w:t>
            </w:r>
            <w:r>
              <w:rPr>
                <w:rFonts w:ascii="Times New Roman" w:hAnsi="Times New Roman" w:cs="仿宋"/>
                <w:sz w:val="24"/>
                <w:szCs w:val="24"/>
                <w:highlight w:val="none"/>
              </w:rPr>
              <w:t xml:space="preserve">5</w:t>
            </w:r>
            <w:r>
              <w:rPr>
                <w:rFonts w:hint="eastAsia" w:ascii="Times New Roman" w:hAnsi="Times New Roman" w:cs="仿宋"/>
                <w:sz w:val="24"/>
                <w:szCs w:val="24"/>
                <w:highlight w:val="none"/>
              </w:rPr>
              <w:t xml:space="preserve">分，符合招标文件要求的得</w:t>
            </w:r>
            <w:r>
              <w:rPr>
                <w:rFonts w:ascii="Times New Roman" w:hAnsi="Times New Roman" w:cs="仿宋"/>
                <w:sz w:val="24"/>
                <w:szCs w:val="24"/>
                <w:highlight w:val="none"/>
              </w:rPr>
              <w:t xml:space="preserve">3</w:t>
            </w:r>
            <w:r>
              <w:rPr>
                <w:rFonts w:hint="eastAsia" w:ascii="Times New Roman" w:hAnsi="Times New Roman" w:cs="仿宋"/>
                <w:sz w:val="24"/>
                <w:szCs w:val="24"/>
                <w:highlight w:val="none"/>
              </w:rPr>
              <w:t xml:space="preserve">分，不符合招标文件要求或未提供的不得分。</w:t>
            </w:r>
            <w:r/>
          </w:p>
          <w:p>
            <w:pPr>
              <w:numPr>
                <w:ilvl w:val="0"/>
                <w:numId w:val="7"/>
              </w:numPr>
              <w:ind w:left="0" w:firstLine="0"/>
              <w:jc w:val="left"/>
              <w:keepLines w:val="0"/>
              <w:keepNext w:val="0"/>
              <w:pageBreakBefore w:val="0"/>
              <w:spacing w:line="360" w:lineRule="auto"/>
              <w:widowControl w:val="off"/>
              <w:rPr>
                <w:rFonts w:ascii="Times New Roman" w:hAnsi="Times New Roman" w:cs="仿宋"/>
                <w:sz w:val="24"/>
                <w:szCs w:val="24"/>
                <w:highlight w:val="none"/>
              </w:rPr>
            </w:pPr>
            <w:r>
              <w:rPr>
                <w:rFonts w:hint="eastAsia" w:ascii="Times New Roman" w:hAnsi="Times New Roman" w:cs="仿宋"/>
                <w:sz w:val="24"/>
                <w:szCs w:val="24"/>
                <w:highlight w:val="none"/>
              </w:rPr>
              <w:t xml:space="preserve">数据中心机房运维方案。根据投标人提供的数据中心机房运维方案进行评分：优于招标文件要求的得</w:t>
            </w:r>
            <w:r>
              <w:rPr>
                <w:rFonts w:ascii="Times New Roman" w:hAnsi="Times New Roman" w:cs="仿宋"/>
                <w:sz w:val="24"/>
                <w:szCs w:val="24"/>
                <w:highlight w:val="none"/>
              </w:rPr>
              <w:t xml:space="preserve">5</w:t>
            </w:r>
            <w:r>
              <w:rPr>
                <w:rFonts w:hint="eastAsia" w:ascii="Times New Roman" w:hAnsi="Times New Roman" w:cs="仿宋"/>
                <w:sz w:val="24"/>
                <w:szCs w:val="24"/>
                <w:highlight w:val="none"/>
              </w:rPr>
              <w:t xml:space="preserve">分，符合招标文件要求的得</w:t>
            </w:r>
            <w:r>
              <w:rPr>
                <w:rFonts w:ascii="Times New Roman" w:hAnsi="Times New Roman" w:cs="仿宋"/>
                <w:sz w:val="24"/>
                <w:szCs w:val="24"/>
                <w:highlight w:val="none"/>
              </w:rPr>
              <w:t xml:space="preserve">3</w:t>
            </w:r>
            <w:r>
              <w:rPr>
                <w:rFonts w:hint="eastAsia" w:ascii="Times New Roman" w:hAnsi="Times New Roman" w:cs="仿宋"/>
                <w:sz w:val="24"/>
                <w:szCs w:val="24"/>
                <w:highlight w:val="none"/>
              </w:rPr>
              <w:t xml:space="preserve">分，不符合招标文件要求或未提供的不得分。</w:t>
            </w:r>
            <w:r/>
          </w:p>
          <w:p>
            <w:pPr>
              <w:numPr>
                <w:ilvl w:val="0"/>
                <w:numId w:val="7"/>
              </w:numPr>
              <w:ind w:left="0" w:firstLine="0"/>
              <w:jc w:val="left"/>
              <w:keepLines w:val="0"/>
              <w:keepNext w:val="0"/>
              <w:pageBreakBefore w:val="0"/>
              <w:spacing w:line="360" w:lineRule="auto"/>
              <w:widowControl w:val="off"/>
              <w:rPr>
                <w:rFonts w:ascii="Times New Roman" w:hAnsi="Times New Roman" w:cs="仿宋"/>
                <w:sz w:val="24"/>
                <w:szCs w:val="24"/>
                <w:highlight w:val="none"/>
              </w:rPr>
            </w:pPr>
            <w:r>
              <w:rPr>
                <w:rFonts w:hint="eastAsia" w:ascii="Times New Roman" w:hAnsi="Times New Roman" w:cs="仿宋"/>
                <w:sz w:val="24"/>
                <w:szCs w:val="24"/>
                <w:highlight w:val="none"/>
              </w:rPr>
              <w:t xml:space="preserve">指挥中心运维方案。根据投标人提供的指挥中心运维方案进行评分：优于招标文件要求的得</w:t>
            </w:r>
            <w:r>
              <w:rPr>
                <w:rFonts w:ascii="Times New Roman" w:hAnsi="Times New Roman" w:cs="仿宋"/>
                <w:sz w:val="24"/>
                <w:szCs w:val="24"/>
                <w:highlight w:val="none"/>
              </w:rPr>
              <w:t xml:space="preserve">5</w:t>
            </w:r>
            <w:r>
              <w:rPr>
                <w:rFonts w:hint="eastAsia" w:ascii="Times New Roman" w:hAnsi="Times New Roman" w:cs="仿宋"/>
                <w:sz w:val="24"/>
                <w:szCs w:val="24"/>
                <w:highlight w:val="none"/>
              </w:rPr>
              <w:t xml:space="preserve">分，符合招标文件要求的得</w:t>
            </w:r>
            <w:r>
              <w:rPr>
                <w:rFonts w:ascii="Times New Roman" w:hAnsi="Times New Roman" w:cs="仿宋"/>
                <w:sz w:val="24"/>
                <w:szCs w:val="24"/>
                <w:highlight w:val="none"/>
              </w:rPr>
              <w:t xml:space="preserve">3</w:t>
            </w:r>
            <w:r>
              <w:rPr>
                <w:rFonts w:hint="eastAsia" w:ascii="Times New Roman" w:hAnsi="Times New Roman" w:cs="仿宋"/>
                <w:sz w:val="24"/>
                <w:szCs w:val="24"/>
                <w:highlight w:val="none"/>
              </w:rPr>
              <w:t xml:space="preserve">分，不符合招标文件要求或未提供的不得分。</w:t>
            </w:r>
            <w:r/>
          </w:p>
        </w:tc>
      </w:tr>
      <w:tr>
        <w:trPr>
          <w:jc w:val="center"/>
          <w:trHeight w:val="736"/>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其他运维方案</w:t>
            </w:r>
            <w:r/>
          </w:p>
          <w:p>
            <w:pPr>
              <w:jc w:val="cente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w:t>
            </w:r>
            <w:r>
              <w:rPr>
                <w:rFonts w:hint="eastAsia" w:cs="宋体"/>
                <w:b/>
                <w:bCs/>
                <w:color w:val="000000"/>
                <w:sz w:val="24"/>
                <w:szCs w:val="24"/>
                <w:highlight w:val="none"/>
                <w:lang w:val="en-US" w:eastAsia="zh-CN"/>
              </w:rPr>
              <w:t xml:space="preserve">6</w:t>
            </w:r>
            <w:r>
              <w:rPr>
                <w:rFonts w:hint="eastAsia" w:ascii="Times New Roman" w:hAnsi="Times New Roman" w:cs="宋体"/>
                <w:b/>
                <w:bCs/>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numPr>
                <w:ilvl w:val="0"/>
                <w:numId w:val="0"/>
              </w:numPr>
              <w:ind w:left="0" w:firstLine="0"/>
              <w:jc w:val="left"/>
              <w:keepLines w:val="0"/>
              <w:keepNext w:val="0"/>
              <w:pageBreakBefore w:val="0"/>
              <w:spacing w:line="360" w:lineRule="auto"/>
              <w:widowControl w:val="off"/>
              <w:rPr>
                <w:rFonts w:ascii="Times New Roman" w:hAnsi="Times New Roman" w:cs="仿宋" w:eastAsiaTheme="minorEastAsia"/>
                <w:color w:val="000000"/>
                <w:sz w:val="24"/>
                <w:szCs w:val="24"/>
                <w:highlight w:val="none"/>
              </w:rPr>
            </w:pPr>
            <w:r>
              <w:rPr>
                <w:rFonts w:hint="default" w:ascii="Times New Roman" w:hAnsi="Times New Roman" w:cs="仿宋" w:eastAsiaTheme="minorEastAsia"/>
                <w:color w:val="000000"/>
                <w:sz w:val="24"/>
                <w:szCs w:val="24"/>
                <w:highlight w:val="none"/>
                <w:lang w:val="en-US" w:eastAsia="zh-CN" w:bidi="ar-SA"/>
              </w:rPr>
              <w:t xml:space="preserve">1、</w:t>
            </w:r>
            <w:r>
              <w:rPr>
                <w:rFonts w:hint="eastAsia" w:ascii="Times New Roman" w:hAnsi="Times New Roman" w:cs="仿宋"/>
                <w:color w:val="000000"/>
                <w:sz w:val="24"/>
                <w:szCs w:val="24"/>
                <w:highlight w:val="none"/>
              </w:rPr>
              <w:t xml:space="preserve">与保洁、土建、机电及其他专业间的配合。根据投标人提供的与保洁、土建、机电及其他专业间的配合方案进行评分：优于招标文件要求的得</w:t>
            </w:r>
            <w:r>
              <w:rPr>
                <w:rFonts w:ascii="Times New Roman" w:hAnsi="Times New Roman" w:cs="仿宋"/>
                <w:color w:val="000000"/>
                <w:sz w:val="24"/>
                <w:szCs w:val="24"/>
                <w:highlight w:val="none"/>
              </w:rPr>
              <w:t xml:space="preserve">3</w:t>
            </w:r>
            <w:r>
              <w:rPr>
                <w:rFonts w:hint="eastAsia" w:ascii="Times New Roman" w:hAnsi="Times New Roman" w:cs="仿宋"/>
                <w:color w:val="000000"/>
                <w:sz w:val="24"/>
                <w:szCs w:val="24"/>
                <w:highlight w:val="none"/>
              </w:rPr>
              <w:t xml:space="preserve">分，符合招标文件要求的得</w:t>
            </w:r>
            <w:r>
              <w:rPr>
                <w:rFonts w:ascii="Times New Roman" w:hAnsi="Times New Roman" w:cs="仿宋"/>
                <w:color w:val="000000"/>
                <w:sz w:val="24"/>
                <w:szCs w:val="24"/>
                <w:highlight w:val="none"/>
              </w:rPr>
              <w:t xml:space="preserve">1.5</w:t>
            </w:r>
            <w:r>
              <w:rPr>
                <w:rFonts w:hint="eastAsia" w:ascii="Times New Roman" w:hAnsi="Times New Roman" w:cs="仿宋"/>
                <w:color w:val="000000"/>
                <w:sz w:val="24"/>
                <w:szCs w:val="24"/>
                <w:highlight w:val="none"/>
              </w:rPr>
              <w:t xml:space="preserve">分，不符合招标文件要求或未提供的不得分。</w:t>
            </w:r>
            <w:r/>
          </w:p>
          <w:p>
            <w:pPr>
              <w:numPr>
                <w:ilvl w:val="0"/>
                <w:numId w:val="0"/>
              </w:numPr>
              <w:ind w:left="0" w:firstLine="0"/>
              <w:jc w:val="left"/>
              <w:keepLines w:val="0"/>
              <w:keepNext w:val="0"/>
              <w:pageBreakBefore w:val="0"/>
              <w:spacing w:line="360" w:lineRule="auto"/>
              <w:widowControl w:val="off"/>
              <w:rPr>
                <w:rFonts w:hint="eastAsia" w:ascii="Times New Roman" w:hAnsi="Times New Roman" w:cs="仿宋"/>
                <w:color w:val="000000"/>
                <w:sz w:val="24"/>
                <w:szCs w:val="24"/>
                <w:highlight w:val="none"/>
              </w:rPr>
            </w:pPr>
            <w:r>
              <w:rPr>
                <w:rFonts w:hint="default" w:ascii="Times New Roman" w:hAnsi="Times New Roman" w:eastAsia="宋体" w:cs="仿宋"/>
                <w:color w:val="000000"/>
                <w:sz w:val="24"/>
                <w:szCs w:val="24"/>
                <w:highlight w:val="none"/>
                <w:lang w:val="en-US" w:eastAsia="zh-CN" w:bidi="ar-SA"/>
              </w:rPr>
              <w:t xml:space="preserve">2、</w:t>
            </w:r>
            <w:r>
              <w:rPr>
                <w:rFonts w:hint="eastAsia" w:ascii="Times New Roman" w:hAnsi="Times New Roman" w:cs="仿宋"/>
                <w:color w:val="000000"/>
                <w:sz w:val="24"/>
                <w:szCs w:val="24"/>
                <w:highlight w:val="none"/>
              </w:rPr>
              <w:t xml:space="preserve">安全及应急管理方案。根据投标人提供的安全及应急管理方案进行评分：优于招标文件要求的得</w:t>
            </w:r>
            <w:r>
              <w:rPr>
                <w:rFonts w:ascii="Times New Roman" w:hAnsi="Times New Roman" w:cs="仿宋"/>
                <w:color w:val="000000"/>
                <w:sz w:val="24"/>
                <w:szCs w:val="24"/>
                <w:highlight w:val="none"/>
              </w:rPr>
              <w:t xml:space="preserve">3</w:t>
            </w:r>
            <w:r>
              <w:rPr>
                <w:rFonts w:hint="eastAsia" w:ascii="Times New Roman" w:hAnsi="Times New Roman" w:cs="仿宋"/>
                <w:color w:val="000000"/>
                <w:sz w:val="24"/>
                <w:szCs w:val="24"/>
                <w:highlight w:val="none"/>
              </w:rPr>
              <w:t xml:space="preserve">分，符合招标文件要求的得</w:t>
            </w:r>
            <w:r>
              <w:rPr>
                <w:rFonts w:ascii="Times New Roman" w:hAnsi="Times New Roman" w:cs="仿宋"/>
                <w:color w:val="000000"/>
                <w:sz w:val="24"/>
                <w:szCs w:val="24"/>
                <w:highlight w:val="none"/>
              </w:rPr>
              <w:t xml:space="preserve">1.5</w:t>
            </w:r>
            <w:r>
              <w:rPr>
                <w:rFonts w:hint="eastAsia" w:ascii="Times New Roman" w:hAnsi="Times New Roman" w:cs="仿宋"/>
                <w:color w:val="000000"/>
                <w:sz w:val="24"/>
                <w:szCs w:val="24"/>
                <w:highlight w:val="none"/>
              </w:rPr>
              <w:t xml:space="preserve">分，不符合招标文件要求或未提供的不得分。</w:t>
            </w:r>
            <w:r/>
          </w:p>
        </w:tc>
      </w:tr>
      <w:tr>
        <w:trPr>
          <w:jc w:val="center"/>
          <w:trHeight w:val="736"/>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pacing w:line="360" w:lineRule="exact"/>
              <w:rPr>
                <w:rFonts w:hint="eastAsia"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合理化建议（</w:t>
            </w:r>
            <w:r>
              <w:rPr>
                <w:rFonts w:hint="eastAsia" w:cs="宋体"/>
                <w:b/>
                <w:bCs/>
                <w:color w:val="000000"/>
                <w:sz w:val="24"/>
                <w:szCs w:val="24"/>
                <w:highlight w:val="none"/>
                <w:lang w:val="en-US" w:eastAsia="zh-CN"/>
              </w:rPr>
              <w:t xml:space="preserve">8</w:t>
            </w:r>
            <w:r>
              <w:rPr>
                <w:rFonts w:hint="eastAsia" w:ascii="Times New Roman" w:hAnsi="Times New Roman" w:cs="宋体"/>
                <w:b/>
                <w:bCs/>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numPr>
                <w:ilvl w:val="0"/>
                <w:numId w:val="0"/>
              </w:numPr>
              <w:jc w:val="left"/>
              <w:keepLines w:val="0"/>
              <w:keepNext w:val="0"/>
              <w:pageBreakBefore w:val="0"/>
              <w:spacing w:line="360" w:lineRule="auto"/>
              <w:widowControl w:val="off"/>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r>
            <w:r/>
          </w:p>
          <w:p>
            <w:pPr>
              <w:numPr>
                <w:ilvl w:val="0"/>
                <w:numId w:val="0"/>
              </w:numPr>
              <w:jc w:val="left"/>
              <w:keepLines w:val="0"/>
              <w:keepNext w:val="0"/>
              <w:pageBreakBefore w:val="0"/>
              <w:spacing w:line="360" w:lineRule="auto"/>
              <w:widowControl w:val="off"/>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投标人需结合本项目具体运维内容及项目实施案例经验，提供有效的合理化建议方案。根据投标人提供的合理化建议方案进行评分：</w:t>
            </w:r>
            <w:r>
              <w:rPr>
                <w:rFonts w:hint="eastAsia" w:ascii="Times New Roman" w:hAnsi="Times New Roman" w:cs="仿宋"/>
                <w:color w:val="000000"/>
                <w:sz w:val="24"/>
                <w:szCs w:val="24"/>
                <w:highlight w:val="none"/>
                <w:lang w:eastAsia="zh-CN"/>
              </w:rPr>
              <w:t xml:space="preserve">每提供一条</w:t>
            </w:r>
            <w:r>
              <w:rPr>
                <w:rFonts w:hint="eastAsia" w:ascii="Times New Roman" w:hAnsi="Times New Roman" w:cs="仿宋"/>
                <w:color w:val="000000"/>
                <w:sz w:val="24"/>
                <w:szCs w:val="24"/>
                <w:highlight w:val="none"/>
              </w:rPr>
              <w:t xml:space="preserve">有效的合理化建议</w:t>
            </w:r>
            <w:r>
              <w:rPr>
                <w:rFonts w:hint="eastAsia" w:ascii="Times New Roman" w:hAnsi="Times New Roman" w:cs="仿宋"/>
                <w:color w:val="auto"/>
                <w:sz w:val="24"/>
                <w:szCs w:val="24"/>
                <w:highlight w:val="none"/>
              </w:rPr>
              <w:t xml:space="preserve">方案</w:t>
            </w:r>
            <w:r>
              <w:rPr>
                <w:rFonts w:hint="eastAsia" w:ascii="Times New Roman" w:hAnsi="Times New Roman" w:cs="仿宋"/>
                <w:color w:val="auto"/>
                <w:sz w:val="24"/>
                <w:szCs w:val="24"/>
                <w:highlight w:val="none"/>
                <w:lang w:eastAsia="zh-CN"/>
              </w:rPr>
              <w:t xml:space="preserve">得</w:t>
            </w:r>
            <w:r>
              <w:rPr>
                <w:rFonts w:hint="eastAsia" w:cs="仿宋"/>
                <w:color w:val="auto"/>
                <w:sz w:val="24"/>
                <w:szCs w:val="24"/>
                <w:highlight w:val="none"/>
                <w:lang w:val="en-US" w:eastAsia="zh-CN"/>
              </w:rPr>
              <w:t xml:space="preserve">2</w:t>
            </w:r>
            <w:r>
              <w:rPr>
                <w:rFonts w:hint="eastAsia" w:ascii="Times New Roman" w:hAnsi="Times New Roman" w:cs="仿宋"/>
                <w:color w:val="auto"/>
                <w:sz w:val="24"/>
                <w:szCs w:val="24"/>
                <w:highlight w:val="none"/>
                <w:lang w:val="en-US" w:eastAsia="zh-CN"/>
              </w:rPr>
              <w:t xml:space="preserve">分，满分</w:t>
            </w:r>
            <w:r>
              <w:rPr>
                <w:rFonts w:hint="eastAsia" w:cs="仿宋"/>
                <w:color w:val="auto"/>
                <w:sz w:val="24"/>
                <w:szCs w:val="24"/>
                <w:highlight w:val="none"/>
                <w:lang w:val="en-US" w:eastAsia="zh-CN"/>
              </w:rPr>
              <w:t xml:space="preserve">8</w:t>
            </w:r>
            <w:r>
              <w:rPr>
                <w:rFonts w:hint="eastAsia" w:ascii="Times New Roman" w:hAnsi="Times New Roman" w:cs="仿宋"/>
                <w:color w:val="auto"/>
                <w:sz w:val="24"/>
                <w:szCs w:val="24"/>
                <w:highlight w:val="none"/>
                <w:lang w:val="en-US" w:eastAsia="zh-CN"/>
              </w:rPr>
              <w:t xml:space="preserve">分</w:t>
            </w:r>
            <w:r>
              <w:rPr>
                <w:rFonts w:hint="eastAsia" w:ascii="Times New Roman" w:hAnsi="Times New Roman" w:cs="仿宋"/>
                <w:color w:val="auto"/>
                <w:sz w:val="24"/>
                <w:szCs w:val="24"/>
                <w:highlight w:val="none"/>
              </w:rPr>
              <w:t xml:space="preserve">。</w:t>
            </w:r>
            <w:r/>
          </w:p>
        </w:tc>
      </w:tr>
      <w:tr>
        <w:trPr>
          <w:jc w:val="center"/>
          <w:trHeight w:val="594"/>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项目运维团队实力</w:t>
            </w:r>
            <w:r/>
          </w:p>
          <w:p>
            <w:pPr>
              <w:jc w:val="cente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w:t>
            </w:r>
            <w:r>
              <w:rPr>
                <w:rFonts w:hint="eastAsia" w:cs="宋体"/>
                <w:b/>
                <w:bCs/>
                <w:color w:val="000000"/>
                <w:sz w:val="24"/>
                <w:szCs w:val="24"/>
                <w:highlight w:val="none"/>
                <w:lang w:val="en-US" w:eastAsia="zh-CN"/>
              </w:rPr>
              <w:t xml:space="preserve">30</w:t>
            </w:r>
            <w:r>
              <w:rPr>
                <w:rFonts w:hint="eastAsia" w:ascii="Times New Roman" w:hAnsi="Times New Roman" w:cs="宋体"/>
                <w:b/>
                <w:bCs/>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spacing w:line="360" w:lineRule="exact"/>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1、项目经理：</w:t>
            </w:r>
            <w:r/>
          </w:p>
          <w:p>
            <w:pPr>
              <w:spacing w:line="360" w:lineRule="exact"/>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rPr>
              <w:t xml:space="preserve">（1）项目经理具有机电工程专业</w:t>
            </w:r>
            <w:r>
              <w:rPr>
                <w:rFonts w:hint="eastAsia" w:ascii="Times New Roman" w:hAnsi="Times New Roman" w:eastAsia="宋体" w:cs="宋体"/>
                <w:color w:val="000000"/>
                <w:sz w:val="24"/>
                <w:szCs w:val="24"/>
                <w:highlight w:val="none"/>
                <w:lang w:eastAsia="zh-CN"/>
              </w:rPr>
              <w:t xml:space="preserve">二</w:t>
            </w:r>
            <w:r>
              <w:rPr>
                <w:rFonts w:hint="eastAsia" w:ascii="Times New Roman" w:hAnsi="Times New Roman" w:eastAsia="宋体" w:cs="宋体"/>
                <w:color w:val="000000"/>
                <w:sz w:val="24"/>
                <w:szCs w:val="24"/>
                <w:highlight w:val="none"/>
              </w:rPr>
              <w:t xml:space="preserve">级</w:t>
            </w:r>
            <w:r>
              <w:rPr>
                <w:rFonts w:hint="eastAsia" w:ascii="Times New Roman" w:hAnsi="Times New Roman" w:eastAsia="宋体" w:cs="宋体"/>
                <w:color w:val="000000"/>
                <w:sz w:val="24"/>
                <w:szCs w:val="24"/>
                <w:highlight w:val="none"/>
                <w:lang w:eastAsia="zh-CN"/>
              </w:rPr>
              <w:t xml:space="preserve">及以上</w:t>
            </w:r>
            <w:r>
              <w:rPr>
                <w:rFonts w:hint="eastAsia" w:ascii="Times New Roman" w:hAnsi="Times New Roman" w:eastAsia="宋体" w:cs="宋体"/>
                <w:color w:val="000000"/>
                <w:sz w:val="24"/>
                <w:szCs w:val="24"/>
                <w:highlight w:val="none"/>
              </w:rPr>
              <w:t xml:space="preserve">注册建造师资格证书得2分；</w:t>
            </w:r>
            <w:r>
              <w:rPr>
                <w:rFonts w:hint="eastAsia" w:ascii="Times New Roman" w:hAnsi="Times New Roman" w:eastAsia="宋体" w:cs="宋体"/>
                <w:color w:val="000000"/>
                <w:sz w:val="24"/>
                <w:szCs w:val="24"/>
                <w:highlight w:val="none"/>
                <w:lang w:eastAsia="zh-CN"/>
              </w:rPr>
              <w:t xml:space="preserve">具有</w:t>
            </w:r>
            <w:r>
              <w:rPr>
                <w:rFonts w:hint="eastAsia" w:ascii="Times New Roman" w:hAnsi="Times New Roman" w:eastAsia="宋体" w:cs="宋体"/>
                <w:color w:val="000000"/>
                <w:sz w:val="24"/>
                <w:szCs w:val="24"/>
                <w:highlight w:val="none"/>
              </w:rPr>
              <w:t xml:space="preserve">信息系统项目管理师证书得</w:t>
            </w:r>
            <w:r>
              <w:rPr>
                <w:rFonts w:hint="eastAsia" w:ascii="Times New Roman" w:hAnsi="Times New Roman" w:eastAsia="宋体"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rPr>
              <w:t xml:space="preserve">分</w:t>
            </w:r>
            <w:r>
              <w:rPr>
                <w:rFonts w:hint="eastAsia" w:ascii="Times New Roman" w:hAnsi="Times New Roman" w:eastAsia="宋体" w:cs="宋体"/>
                <w:color w:val="000000"/>
                <w:sz w:val="24"/>
                <w:szCs w:val="24"/>
                <w:highlight w:val="none"/>
                <w:lang w:eastAsia="zh-CN"/>
              </w:rPr>
              <w:t xml:space="preserve">；具有</w:t>
            </w:r>
            <w:r>
              <w:rPr>
                <w:rFonts w:hint="eastAsia" w:ascii="Times New Roman" w:hAnsi="Times New Roman" w:eastAsia="宋体" w:cs="宋体"/>
                <w:color w:val="000000"/>
                <w:sz w:val="24"/>
                <w:szCs w:val="24"/>
                <w:highlight w:val="none"/>
              </w:rPr>
              <w:t xml:space="preserve">注册信息安全专业人员（CISP）</w:t>
            </w:r>
            <w:r>
              <w:rPr>
                <w:rFonts w:hint="eastAsia" w:ascii="Times New Roman" w:hAnsi="Times New Roman" w:eastAsia="宋体" w:cs="宋体"/>
                <w:color w:val="000000"/>
                <w:sz w:val="24"/>
                <w:szCs w:val="24"/>
                <w:highlight w:val="none"/>
                <w:lang w:eastAsia="zh-CN"/>
              </w:rPr>
              <w:t xml:space="preserve">证书得</w:t>
            </w:r>
            <w:r>
              <w:rPr>
                <w:rFonts w:hint="eastAsia" w:ascii="Times New Roman" w:hAnsi="Times New Roman" w:eastAsia="宋体" w:cs="宋体"/>
                <w:color w:val="000000"/>
                <w:sz w:val="24"/>
                <w:szCs w:val="24"/>
                <w:highlight w:val="none"/>
                <w:lang w:val="en-US" w:eastAsia="zh-CN"/>
              </w:rPr>
              <w:t xml:space="preserve">2分</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满分</w:t>
            </w:r>
            <w:r>
              <w:rPr>
                <w:rFonts w:hint="eastAsia" w:ascii="Times New Roman" w:hAnsi="Times New Roman" w:eastAsia="宋体" w:cs="宋体"/>
                <w:color w:val="000000"/>
                <w:sz w:val="24"/>
                <w:szCs w:val="24"/>
                <w:highlight w:val="none"/>
                <w:lang w:val="en-US" w:eastAsia="zh-CN"/>
              </w:rPr>
              <w:t xml:space="preserve">6</w:t>
            </w:r>
            <w:r>
              <w:rPr>
                <w:rFonts w:hint="eastAsia" w:ascii="Times New Roman" w:hAnsi="Times New Roman" w:eastAsia="宋体" w:cs="宋体"/>
                <w:color w:val="000000"/>
                <w:sz w:val="24"/>
                <w:szCs w:val="24"/>
                <w:highlight w:val="none"/>
              </w:rPr>
              <w:t xml:space="preserve">分</w:t>
            </w:r>
            <w:r>
              <w:rPr>
                <w:rFonts w:hint="eastAsia" w:ascii="Times New Roman" w:hAnsi="Times New Roman" w:eastAsia="宋体" w:cs="宋体"/>
                <w:color w:val="000000"/>
                <w:sz w:val="24"/>
                <w:szCs w:val="24"/>
                <w:highlight w:val="none"/>
                <w:lang w:eastAsia="zh-CN"/>
              </w:rPr>
              <w:t xml:space="preserve">。</w:t>
            </w:r>
            <w:r/>
          </w:p>
          <w:p>
            <w:pPr>
              <w:spacing w:line="3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（2）项目经理自 2023 年 1 月 1 日以来（以合同签订时间为准）承接过类似项目案例的，担任过类似项目的项目经理或技术负责人的，每提供一个案例得2分，满分</w:t>
            </w:r>
            <w:r>
              <w:rPr>
                <w:rFonts w:hint="eastAsia" w:ascii="Times New Roman" w:hAnsi="Times New Roman" w:eastAsia="宋体"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rPr>
              <w:t xml:space="preserve">分。</w:t>
            </w:r>
            <w:r>
              <w:rPr>
                <w:rFonts w:hint="eastAsia" w:cs="宋体"/>
                <w:color w:val="auto"/>
                <w:sz w:val="24"/>
                <w:szCs w:val="24"/>
                <w:highlight w:val="none"/>
                <w:lang w:eastAsia="zh-CN"/>
              </w:rPr>
              <w:t xml:space="preserve">（提供相关证明材料，扫描上传）</w:t>
            </w:r>
            <w:r/>
          </w:p>
          <w:p>
            <w:pPr>
              <w:spacing w:line="3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2、</w:t>
            </w:r>
            <w:r>
              <w:rPr>
                <w:rFonts w:hint="eastAsia" w:ascii="Times New Roman" w:hAnsi="Times New Roman" w:eastAsia="宋体" w:cs="宋体"/>
                <w:color w:val="auto"/>
                <w:sz w:val="24"/>
                <w:szCs w:val="24"/>
                <w:highlight w:val="none"/>
              </w:rPr>
              <w:t xml:space="preserve">软件技术负责人：</w:t>
            </w:r>
            <w:r/>
          </w:p>
          <w:p>
            <w:pPr>
              <w:spacing w:line="3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软件技术负责人</w:t>
            </w:r>
            <w:r>
              <w:rPr>
                <w:rFonts w:hint="eastAsia" w:ascii="Times New Roman" w:hAnsi="Times New Roman" w:eastAsia="宋体" w:cs="宋体"/>
                <w:color w:val="auto"/>
                <w:sz w:val="24"/>
                <w:szCs w:val="24"/>
                <w:highlight w:val="none"/>
                <w:lang w:val="en-US" w:eastAsia="zh-CN"/>
              </w:rPr>
              <w:t xml:space="preserve">具有系统分析师</w:t>
            </w:r>
            <w:r>
              <w:rPr>
                <w:rFonts w:hint="eastAsia" w:ascii="Times New Roman" w:hAnsi="Times New Roman" w:eastAsia="宋体" w:cs="宋体"/>
                <w:color w:val="auto"/>
                <w:sz w:val="24"/>
                <w:szCs w:val="24"/>
                <w:highlight w:val="none"/>
                <w:lang w:eastAsia="zh-CN"/>
              </w:rPr>
              <w:t xml:space="preserve">证书</w:t>
            </w:r>
            <w:r>
              <w:rPr>
                <w:rFonts w:hint="eastAsia" w:ascii="Times New Roman" w:hAnsi="Times New Roman" w:eastAsia="宋体" w:cs="宋体"/>
                <w:color w:val="auto"/>
                <w:sz w:val="24"/>
                <w:szCs w:val="24"/>
                <w:highlight w:val="none"/>
                <w:lang w:val="en-US" w:eastAsia="zh-CN"/>
              </w:rPr>
              <w:t xml:space="preserve">得2分</w:t>
            </w:r>
            <w:r>
              <w:rPr>
                <w:rFonts w:hint="eastAsia" w:ascii="Times New Roman" w:hAnsi="Times New Roman" w:eastAsia="宋体" w:cs="宋体"/>
                <w:color w:val="auto"/>
                <w:sz w:val="24"/>
                <w:szCs w:val="24"/>
                <w:highlight w:val="none"/>
                <w:lang w:eastAsia="zh-CN"/>
              </w:rPr>
              <w:t xml:space="preserve">；</w:t>
            </w:r>
            <w:r/>
          </w:p>
          <w:p>
            <w:pPr>
              <w:spacing w:line="3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软件技术负责人自 2023 年 1 月 1 日以来（以合同签订时间为准）承接过类似项目案例的，每提供一个案例得</w:t>
            </w:r>
            <w:r>
              <w:rPr>
                <w:rFonts w:hint="eastAsia" w:ascii="Times New Roman" w:hAnsi="Times New Roman" w:eastAsia="宋体" w:cs="宋体"/>
                <w:color w:val="auto"/>
                <w:sz w:val="24"/>
                <w:szCs w:val="24"/>
                <w:highlight w:val="none"/>
                <w:lang w:val="en-US" w:eastAsia="zh-CN"/>
              </w:rPr>
              <w:t xml:space="preserve">2</w:t>
            </w:r>
            <w:r>
              <w:rPr>
                <w:rFonts w:hint="eastAsia" w:ascii="Times New Roman" w:hAnsi="Times New Roman" w:eastAsia="宋体" w:cs="宋体"/>
                <w:color w:val="auto"/>
                <w:sz w:val="24"/>
                <w:szCs w:val="24"/>
                <w:highlight w:val="none"/>
              </w:rPr>
              <w:t xml:space="preserve">分，满分</w:t>
            </w:r>
            <w:r>
              <w:rPr>
                <w:rFonts w:hint="eastAsia"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rPr>
              <w:t xml:space="preserve">分。</w:t>
            </w:r>
            <w:r>
              <w:rPr>
                <w:rFonts w:hint="eastAsia" w:cs="宋体"/>
                <w:color w:val="auto"/>
                <w:sz w:val="24"/>
                <w:szCs w:val="24"/>
                <w:highlight w:val="none"/>
                <w:lang w:eastAsia="zh-CN"/>
              </w:rPr>
              <w:t xml:space="preserve">（提供相关证明材料，扫描上传）</w:t>
            </w:r>
            <w:r/>
          </w:p>
          <w:p>
            <w:pPr>
              <w:spacing w:line="3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w:t>
            </w:r>
            <w:r>
              <w:rPr>
                <w:rFonts w:hint="eastAsia" w:ascii="Times New Roman" w:hAnsi="Times New Roman" w:eastAsia="宋体" w:cs="宋体"/>
                <w:color w:val="auto"/>
                <w:sz w:val="24"/>
                <w:szCs w:val="24"/>
                <w:highlight w:val="none"/>
              </w:rPr>
              <w:t xml:space="preserve">硬件技术负责人：</w:t>
            </w:r>
            <w:r/>
          </w:p>
          <w:p>
            <w:pPr>
              <w:spacing w:line="3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硬件技术负责人具有机电工程专业</w:t>
            </w:r>
            <w:r>
              <w:rPr>
                <w:rFonts w:hint="eastAsia" w:ascii="Times New Roman" w:hAnsi="Times New Roman" w:eastAsia="宋体" w:cs="宋体"/>
                <w:color w:val="auto"/>
                <w:sz w:val="24"/>
                <w:szCs w:val="24"/>
                <w:highlight w:val="none"/>
                <w:lang w:eastAsia="zh-CN"/>
              </w:rPr>
              <w:t xml:space="preserve">二</w:t>
            </w:r>
            <w:r>
              <w:rPr>
                <w:rFonts w:hint="eastAsia" w:ascii="Times New Roman" w:hAnsi="Times New Roman" w:eastAsia="宋体" w:cs="宋体"/>
                <w:color w:val="auto"/>
                <w:sz w:val="24"/>
                <w:szCs w:val="24"/>
                <w:highlight w:val="none"/>
              </w:rPr>
              <w:t xml:space="preserve">级</w:t>
            </w:r>
            <w:r>
              <w:rPr>
                <w:rFonts w:hint="eastAsia" w:ascii="Times New Roman" w:hAnsi="Times New Roman" w:eastAsia="宋体" w:cs="宋体"/>
                <w:color w:val="auto"/>
                <w:sz w:val="24"/>
                <w:szCs w:val="24"/>
                <w:highlight w:val="none"/>
                <w:lang w:eastAsia="zh-CN"/>
              </w:rPr>
              <w:t xml:space="preserve">及以上</w:t>
            </w:r>
            <w:r>
              <w:rPr>
                <w:rFonts w:hint="eastAsia" w:ascii="Times New Roman" w:hAnsi="Times New Roman" w:eastAsia="宋体" w:cs="宋体"/>
                <w:color w:val="auto"/>
                <w:sz w:val="24"/>
                <w:szCs w:val="24"/>
                <w:highlight w:val="none"/>
              </w:rPr>
              <w:t xml:space="preserve">注册建造师资格证书得2分；</w:t>
            </w:r>
            <w:r/>
          </w:p>
          <w:p>
            <w:pPr>
              <w:spacing w:line="3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Times New Roman" w:hAnsi="Times New Roman" w:eastAsia="宋体" w:cs="宋体"/>
                <w:color w:val="auto"/>
                <w:sz w:val="24"/>
                <w:szCs w:val="24"/>
                <w:highlight w:val="none"/>
                <w:lang w:eastAsia="zh-CN"/>
              </w:rPr>
              <w:t xml:space="preserve">）硬</w:t>
            </w:r>
            <w:r>
              <w:rPr>
                <w:rFonts w:hint="eastAsia" w:ascii="Times New Roman" w:hAnsi="Times New Roman" w:eastAsia="宋体" w:cs="宋体"/>
                <w:color w:val="auto"/>
                <w:sz w:val="24"/>
                <w:szCs w:val="24"/>
                <w:highlight w:val="none"/>
              </w:rPr>
              <w:t xml:space="preserve">件技术负责人自 2023 年 1 月 1 日以来（以合同签订时间为准）承接过类似项目案例的，每提供一个案例得</w:t>
            </w:r>
            <w:r>
              <w:rPr>
                <w:rFonts w:hint="eastAsia" w:ascii="Times New Roman" w:hAnsi="Times New Roman" w:eastAsia="宋体" w:cs="宋体"/>
                <w:color w:val="auto"/>
                <w:sz w:val="24"/>
                <w:szCs w:val="24"/>
                <w:highlight w:val="none"/>
                <w:lang w:val="en-US" w:eastAsia="zh-CN"/>
              </w:rPr>
              <w:t xml:space="preserve">2</w:t>
            </w:r>
            <w:r>
              <w:rPr>
                <w:rFonts w:hint="eastAsia" w:ascii="Times New Roman" w:hAnsi="Times New Roman" w:eastAsia="宋体" w:cs="宋体"/>
                <w:color w:val="auto"/>
                <w:sz w:val="24"/>
                <w:szCs w:val="24"/>
                <w:highlight w:val="none"/>
              </w:rPr>
              <w:t xml:space="preserve">分，满分</w:t>
            </w:r>
            <w:r>
              <w:rPr>
                <w:rFonts w:hint="eastAsia"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rPr>
              <w:t xml:space="preserve">分。</w:t>
            </w:r>
            <w:r>
              <w:rPr>
                <w:rFonts w:hint="eastAsia" w:cs="宋体"/>
                <w:color w:val="auto"/>
                <w:sz w:val="24"/>
                <w:szCs w:val="24"/>
                <w:highlight w:val="none"/>
                <w:lang w:eastAsia="zh-CN"/>
              </w:rPr>
              <w:t xml:space="preserve">（提供相关证明材料，扫描上传）</w:t>
            </w:r>
            <w:r/>
          </w:p>
          <w:p>
            <w:pPr>
              <w:spacing w:line="360" w:lineRule="exact"/>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rPr>
              <w:t xml:space="preserve">项目组其他人员（不包括项目经理、软件技</w:t>
            </w:r>
            <w:r>
              <w:rPr>
                <w:rFonts w:hint="eastAsia" w:ascii="Times New Roman" w:hAnsi="Times New Roman" w:eastAsia="宋体" w:cs="宋体"/>
                <w:color w:val="000000"/>
                <w:sz w:val="24"/>
                <w:szCs w:val="24"/>
                <w:highlight w:val="none"/>
              </w:rPr>
              <w:t xml:space="preserve">术负责人、硬件技术负责人）：</w:t>
            </w:r>
            <w:r/>
          </w:p>
          <w:p>
            <w:pPr>
              <w:spacing w:line="360" w:lineRule="exact"/>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项目组人员具有网络</w:t>
            </w:r>
            <w:r>
              <w:rPr>
                <w:rFonts w:hint="eastAsia" w:ascii="Times New Roman" w:hAnsi="Times New Roman" w:eastAsia="宋体" w:cs="宋体"/>
                <w:color w:val="000000"/>
                <w:sz w:val="24"/>
                <w:szCs w:val="24"/>
                <w:highlight w:val="none"/>
                <w:lang w:val="en-US" w:eastAsia="zh-CN"/>
              </w:rPr>
              <w:t xml:space="preserve">工程师</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信息安全保障人员认证证书（CIS</w:t>
            </w:r>
            <w:r>
              <w:rPr>
                <w:rFonts w:hint="eastAsia" w:ascii="Times New Roman" w:hAnsi="Times New Roman" w:eastAsia="宋体" w:cs="宋体"/>
                <w:color w:val="000000"/>
                <w:sz w:val="24"/>
                <w:szCs w:val="24"/>
                <w:highlight w:val="none"/>
                <w:lang w:val="en-US" w:eastAsia="zh-CN"/>
              </w:rPr>
              <w:t xml:space="preserve">AW</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lang w:val="en-US" w:eastAsia="zh-CN"/>
              </w:rPr>
              <w:t xml:space="preserve">数据库系统工程师</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IT服务工程师证书的，每提供1项得</w:t>
            </w:r>
            <w:r>
              <w:rPr>
                <w:rFonts w:hint="eastAsia" w:ascii="Times New Roman" w:hAnsi="Times New Roman" w:eastAsia="宋体"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rPr>
              <w:t xml:space="preserve">分，满分</w:t>
            </w:r>
            <w:r>
              <w:rPr>
                <w:rFonts w:hint="eastAsia" w:ascii="Times New Roman" w:hAnsi="Times New Roman" w:eastAsia="宋体" w:cs="宋体"/>
                <w:color w:val="000000"/>
                <w:sz w:val="24"/>
                <w:szCs w:val="24"/>
                <w:highlight w:val="none"/>
                <w:lang w:val="en-US" w:eastAsia="zh-CN"/>
              </w:rPr>
              <w:t xml:space="preserve">8</w:t>
            </w:r>
            <w:r>
              <w:rPr>
                <w:rFonts w:hint="eastAsia" w:ascii="Times New Roman" w:hAnsi="Times New Roman" w:eastAsia="宋体" w:cs="宋体"/>
                <w:color w:val="000000"/>
                <w:sz w:val="24"/>
                <w:szCs w:val="24"/>
                <w:highlight w:val="none"/>
              </w:rPr>
              <w:t xml:space="preserve">分。</w:t>
            </w:r>
            <w:r/>
          </w:p>
          <w:p>
            <w:pP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注：以上提供证书及投标人近</w:t>
            </w:r>
            <w:r>
              <w:rPr>
                <w:rFonts w:ascii="Times New Roman" w:hAnsi="Times New Roman" w:cs="宋体"/>
                <w:b/>
                <w:bCs/>
                <w:color w:val="000000"/>
                <w:sz w:val="24"/>
                <w:szCs w:val="24"/>
                <w:highlight w:val="none"/>
              </w:rPr>
              <w:t xml:space="preserve">3</w:t>
            </w:r>
            <w:r>
              <w:rPr>
                <w:rFonts w:hint="eastAsia" w:ascii="Times New Roman" w:hAnsi="Times New Roman" w:cs="宋体"/>
                <w:b/>
                <w:bCs/>
                <w:color w:val="000000"/>
                <w:sz w:val="24"/>
                <w:szCs w:val="24"/>
                <w:highlight w:val="none"/>
              </w:rPr>
              <w:t xml:space="preserve">个月内任意一个月为其缴纳社保的证明；材料提供不齐全或不提供不得分。</w:t>
            </w:r>
            <w:r/>
          </w:p>
          <w:p>
            <w:pPr>
              <w:spacing w:line="360" w:lineRule="exact"/>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r>
            <w:r/>
          </w:p>
        </w:tc>
      </w:tr>
      <w:tr>
        <w:trPr>
          <w:jc w:val="center"/>
          <w:trHeight w:val="304"/>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企业综合实力</w:t>
            </w:r>
            <w:r/>
          </w:p>
          <w:p>
            <w:pPr>
              <w:jc w:val="center"/>
              <w:spacing w:line="360" w:lineRule="exact"/>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w:t>
            </w:r>
            <w:r>
              <w:rPr>
                <w:rFonts w:hint="eastAsia" w:cs="宋体"/>
                <w:b/>
                <w:bCs/>
                <w:color w:val="000000"/>
                <w:sz w:val="24"/>
                <w:szCs w:val="24"/>
                <w:highlight w:val="none"/>
                <w:lang w:val="en-US" w:eastAsia="zh-CN"/>
              </w:rPr>
              <w:t xml:space="preserve">6</w:t>
            </w:r>
            <w:r>
              <w:rPr>
                <w:rFonts w:hint="eastAsia" w:ascii="Times New Roman" w:hAnsi="Times New Roman" w:cs="宋体"/>
                <w:b/>
                <w:bCs/>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spacing w:line="360" w:lineRule="exact"/>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lang w:val="en-US" w:eastAsia="zh-CN"/>
              </w:rPr>
              <w:t xml:space="preserve">1、</w:t>
            </w:r>
            <w:r>
              <w:rPr>
                <w:rFonts w:hint="eastAsia" w:ascii="Times New Roman" w:hAnsi="Times New Roman" w:cs="宋体"/>
                <w:b/>
                <w:color w:val="000000"/>
                <w:sz w:val="24"/>
                <w:szCs w:val="24"/>
                <w:highlight w:val="none"/>
              </w:rPr>
              <w:t xml:space="preserve">企业</w:t>
            </w:r>
            <w:r>
              <w:rPr>
                <w:rFonts w:hint="eastAsia" w:ascii="Times New Roman" w:hAnsi="Times New Roman" w:cs="宋体"/>
                <w:b/>
                <w:color w:val="000000"/>
                <w:sz w:val="24"/>
                <w:szCs w:val="24"/>
                <w:highlight w:val="none"/>
                <w:lang w:eastAsia="zh-CN"/>
              </w:rPr>
              <w:t xml:space="preserve">实力</w:t>
            </w:r>
            <w:r>
              <w:rPr>
                <w:rFonts w:hint="eastAsia" w:ascii="Times New Roman" w:hAnsi="Times New Roman" w:cs="宋体"/>
                <w:b/>
                <w:color w:val="000000"/>
                <w:sz w:val="24"/>
                <w:szCs w:val="24"/>
                <w:highlight w:val="none"/>
              </w:rPr>
              <w:t xml:space="preserve">：</w:t>
            </w:r>
            <w:r/>
          </w:p>
          <w:p>
            <w:pPr>
              <w:spacing w:line="360" w:lineRule="exact"/>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lang w:val="en-US" w:eastAsia="zh-CN"/>
              </w:rPr>
              <w:t xml:space="preserve">（</w:t>
            </w:r>
            <w:r>
              <w:rPr>
                <w:rFonts w:hint="eastAsia"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lang w:val="en-US" w:eastAsia="zh-CN"/>
              </w:rPr>
              <w:t xml:space="preserve">）</w:t>
            </w:r>
            <w:r>
              <w:rPr>
                <w:rFonts w:hint="eastAsia" w:ascii="Times New Roman" w:hAnsi="Times New Roman" w:eastAsia="宋体" w:cs="宋体"/>
                <w:color w:val="000000"/>
                <w:sz w:val="24"/>
                <w:szCs w:val="24"/>
                <w:highlight w:val="none"/>
              </w:rPr>
              <w:t xml:space="preserve">投标人具有</w:t>
            </w:r>
            <w:r>
              <w:rPr>
                <w:rFonts w:hint="eastAsia" w:ascii="Times New Roman" w:hAnsi="Times New Roman" w:cs="宋体"/>
                <w:color w:val="000000"/>
                <w:sz w:val="24"/>
                <w:highlight w:val="none"/>
              </w:rPr>
              <w:t xml:space="preserve">公路交通工程（公路机电工程分项）专业承包</w:t>
            </w:r>
            <w:r>
              <w:rPr>
                <w:rFonts w:hint="eastAsia" w:cs="宋体"/>
                <w:color w:val="000000"/>
                <w:sz w:val="24"/>
                <w:highlight w:val="none"/>
                <w:lang w:eastAsia="zh-CN"/>
              </w:rPr>
              <w:t xml:space="preserve">二</w:t>
            </w:r>
            <w:r>
              <w:rPr>
                <w:rFonts w:hint="eastAsia" w:ascii="Times New Roman" w:hAnsi="Times New Roman" w:cs="宋体"/>
                <w:color w:val="000000"/>
                <w:sz w:val="24"/>
                <w:highlight w:val="none"/>
              </w:rPr>
              <w:t xml:space="preserve">级及以上资质</w:t>
            </w:r>
            <w:r>
              <w:rPr>
                <w:rFonts w:hint="eastAsia" w:cs="宋体"/>
                <w:color w:val="000000"/>
                <w:sz w:val="24"/>
                <w:highlight w:val="none"/>
                <w:lang w:val="en-US" w:eastAsia="zh-CN"/>
              </w:rPr>
              <w:t xml:space="preserve">证书</w:t>
            </w:r>
            <w:r>
              <w:rPr>
                <w:rFonts w:hint="eastAsia" w:ascii="Times New Roman" w:hAnsi="Times New Roman" w:eastAsia="宋体" w:cs="宋体"/>
                <w:color w:val="000000"/>
                <w:sz w:val="24"/>
                <w:szCs w:val="24"/>
                <w:highlight w:val="none"/>
              </w:rPr>
              <w:t xml:space="preserve">得</w:t>
            </w:r>
            <w:r>
              <w:rPr>
                <w:rFonts w:hint="eastAsia" w:cs="宋体"/>
                <w:color w:val="000000"/>
                <w:sz w:val="24"/>
                <w:szCs w:val="24"/>
                <w:highlight w:val="none"/>
                <w:lang w:val="en-US" w:eastAsia="zh-CN"/>
              </w:rPr>
              <w:t xml:space="preserve">3</w:t>
            </w:r>
            <w:r>
              <w:rPr>
                <w:rFonts w:hint="eastAsia" w:ascii="Times New Roman" w:hAnsi="Times New Roman" w:eastAsia="宋体" w:cs="宋体"/>
                <w:color w:val="000000"/>
                <w:sz w:val="24"/>
                <w:szCs w:val="24"/>
                <w:highlight w:val="none"/>
              </w:rPr>
              <w:t xml:space="preserve">分</w:t>
            </w:r>
            <w:r>
              <w:rPr>
                <w:rFonts w:hint="eastAsia" w:ascii="Times New Roman" w:hAnsi="Times New Roman" w:eastAsia="宋体" w:cs="宋体"/>
                <w:color w:val="000000"/>
                <w:sz w:val="24"/>
                <w:szCs w:val="24"/>
                <w:highlight w:val="none"/>
                <w:lang w:eastAsia="zh-CN"/>
              </w:rPr>
              <w:t xml:space="preserve">；</w:t>
            </w:r>
            <w:r/>
          </w:p>
          <w:p>
            <w:pPr>
              <w:spacing w:line="360" w:lineRule="exact"/>
              <w:rPr>
                <w:rFonts w:hint="eastAsia" w:eastAsia="宋体" w:cs="宋体"/>
                <w:color w:val="000000"/>
                <w:sz w:val="24"/>
                <w:szCs w:val="24"/>
                <w:highlight w:val="none"/>
                <w:lang w:eastAsia="zh-CN"/>
              </w:rPr>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2</w:t>
            </w:r>
            <w:r>
              <w:rPr>
                <w:rFonts w:hint="eastAsia"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投标人具有</w:t>
            </w:r>
            <w:r>
              <w:rPr>
                <w:rFonts w:hint="eastAsia" w:cs="宋体"/>
                <w:color w:val="000000"/>
                <w:sz w:val="24"/>
                <w:szCs w:val="24"/>
                <w:highlight w:val="none"/>
                <w:lang w:val="en-US" w:eastAsia="zh-CN"/>
              </w:rPr>
              <w:t xml:space="preserve">CCRC</w:t>
            </w:r>
            <w:r>
              <w:rPr>
                <w:rFonts w:hint="eastAsia" w:ascii="Times New Roman" w:hAnsi="Times New Roman" w:eastAsia="宋体" w:cs="宋体"/>
                <w:color w:val="000000"/>
                <w:sz w:val="24"/>
                <w:szCs w:val="24"/>
                <w:highlight w:val="none"/>
              </w:rPr>
              <w:t xml:space="preserve">信息安全服务资质认证证书</w:t>
            </w:r>
            <w:r>
              <w:rPr>
                <w:rFonts w:hint="eastAsia" w:ascii="Times New Roman" w:hAnsi="Times New Roman" w:cs="宋体"/>
                <w:color w:val="000000"/>
                <w:sz w:val="24"/>
                <w:highlight w:val="none"/>
                <w:lang w:eastAsia="zh-CN"/>
              </w:rPr>
              <w:t xml:space="preserve">（</w:t>
            </w:r>
            <w:r>
              <w:rPr>
                <w:rFonts w:hint="eastAsia" w:ascii="Times New Roman" w:hAnsi="Times New Roman" w:cs="宋体"/>
                <w:color w:val="000000"/>
                <w:sz w:val="24"/>
                <w:highlight w:val="none"/>
                <w:lang w:val="en-US" w:eastAsia="zh-CN"/>
              </w:rPr>
              <w:t xml:space="preserve">安全运维服务</w:t>
            </w:r>
            <w:r>
              <w:rPr>
                <w:rFonts w:hint="eastAsia" w:ascii="Times New Roman" w:hAnsi="Times New Roman" w:cs="宋体"/>
                <w:color w:val="000000"/>
                <w:sz w:val="24"/>
                <w:highlight w:val="none"/>
                <w:lang w:eastAsia="zh-CN"/>
              </w:rPr>
              <w:t xml:space="preserve">）</w:t>
            </w:r>
            <w:r>
              <w:rPr>
                <w:rFonts w:hint="eastAsia" w:ascii="Times New Roman" w:hAnsi="Times New Roman" w:cs="宋体"/>
                <w:color w:val="000000"/>
                <w:sz w:val="24"/>
                <w:highlight w:val="none"/>
              </w:rPr>
              <w:t xml:space="preserve">得</w:t>
            </w:r>
            <w:r>
              <w:rPr>
                <w:rFonts w:hint="eastAsia" w:cs="宋体"/>
                <w:color w:val="000000"/>
                <w:sz w:val="24"/>
                <w:highlight w:val="none"/>
                <w:lang w:val="en-US" w:eastAsia="zh-CN"/>
              </w:rPr>
              <w:t xml:space="preserve">3</w:t>
            </w:r>
            <w:r>
              <w:rPr>
                <w:rFonts w:hint="eastAsia" w:ascii="Times New Roman" w:hAnsi="Times New Roman" w:cs="宋体"/>
                <w:color w:val="000000"/>
                <w:sz w:val="24"/>
                <w:highlight w:val="none"/>
              </w:rPr>
              <w:t xml:space="preserve">分（证书信息可在国家认证认可监督管理委</w:t>
            </w:r>
            <w:r>
              <w:rPr>
                <w:rFonts w:hint="eastAsia" w:ascii="Times New Roman" w:hAnsi="Times New Roman" w:eastAsia="宋体" w:cs="宋体"/>
                <w:color w:val="000000"/>
                <w:sz w:val="24"/>
                <w:szCs w:val="24"/>
                <w:highlight w:val="none"/>
              </w:rPr>
              <w:t xml:space="preserve">员会官方网站www.cnca.gov.cn上查询）</w:t>
            </w:r>
            <w:r>
              <w:rPr>
                <w:rFonts w:hint="eastAsia" w:cs="宋体"/>
                <w:color w:val="000000"/>
                <w:sz w:val="24"/>
                <w:szCs w:val="24"/>
                <w:highlight w:val="none"/>
                <w:lang w:eastAsia="zh-CN"/>
              </w:rPr>
              <w:t xml:space="preserve">。</w:t>
            </w:r>
            <w:bookmarkStart w:id="5" w:name="_GoBack"/>
            <w:r/>
            <w:bookmarkEnd w:id="5"/>
            <w:r/>
            <w:r/>
          </w:p>
          <w:p>
            <w:pPr>
              <w:spacing w:line="360" w:lineRule="exact"/>
              <w:rPr>
                <w:rFonts w:ascii="Times New Roman" w:hAnsi="Times New Roman" w:cs="宋体"/>
                <w:color w:val="000000"/>
                <w:sz w:val="24"/>
                <w:szCs w:val="24"/>
                <w:highlight w:val="none"/>
              </w:rPr>
            </w:pPr>
            <w:r>
              <w:rPr>
                <w:rFonts w:hint="eastAsia" w:ascii="Times New Roman" w:hAnsi="Times New Roman" w:cs="宋体"/>
                <w:b/>
                <w:bCs/>
                <w:color w:val="000000"/>
                <w:sz w:val="24"/>
                <w:szCs w:val="24"/>
                <w:highlight w:val="none"/>
              </w:rPr>
              <w:t xml:space="preserve">注：以上证书须提供原件扫描上传，</w:t>
            </w:r>
            <w:r>
              <w:rPr>
                <w:rFonts w:hint="eastAsia" w:ascii="Times New Roman" w:hAnsi="Times New Roman" w:cs="宋体"/>
                <w:b/>
                <w:bCs/>
                <w:color w:val="000000"/>
                <w:sz w:val="24"/>
                <w:szCs w:val="24"/>
                <w:highlight w:val="none"/>
                <w:lang w:val="zh-CN"/>
              </w:rPr>
              <w:t xml:space="preserve">否则不得分</w:t>
            </w:r>
            <w:r>
              <w:rPr>
                <w:rFonts w:hint="eastAsia" w:ascii="Times New Roman" w:hAnsi="Times New Roman" w:cs="宋体"/>
                <w:b/>
                <w:bCs/>
                <w:color w:val="000000"/>
                <w:sz w:val="24"/>
                <w:szCs w:val="24"/>
                <w:highlight w:val="none"/>
                <w:lang w:val="zh-CN"/>
              </w:rPr>
              <w:t xml:space="preserve">。</w:t>
            </w:r>
            <w:r/>
          </w:p>
        </w:tc>
      </w:tr>
    </w:tbl>
    <w:p>
      <w:pPr>
        <w:ind w:firstLine="482"/>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r>
      <w:r/>
    </w:p>
    <w:p>
      <w:pPr>
        <w:jc w:val="center"/>
        <w:spacing w:before="240" w:after="240"/>
        <w:rPr>
          <w:rFonts w:ascii="Times New Roman" w:hAnsi="Times New Roman" w:eastAsia="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highlight w:val="none"/>
        </w:rPr>
      </w:r>
      <w:r/>
    </w:p>
    <w:p>
      <w:pPr>
        <w:jc w:val="center"/>
        <w:spacing w:before="240" w:after="240"/>
        <w:rPr>
          <w:rFonts w:ascii="Times New Roman" w:hAnsi="Times New Roman"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44"/>
          <w:szCs w:val="44"/>
          <w:highlight w:val="none"/>
        </w:rPr>
      </w:r>
      <w:r/>
    </w:p>
    <w:p>
      <w:pPr>
        <w:jc w:val="center"/>
        <w:spacing w:before="240" w:after="240"/>
        <w:rPr>
          <w:rFonts w:ascii="Times New Roman" w:hAnsi="Times New Roman"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44"/>
          <w:szCs w:val="44"/>
          <w:highlight w:val="none"/>
        </w:rPr>
      </w:r>
      <w:r/>
    </w:p>
    <w:p>
      <w:pPr>
        <w:jc w:val="left"/>
        <w:spacing w:before="240" w:after="240"/>
        <w:rPr>
          <w:rFonts w:ascii="Times New Roman" w:hAnsi="Times New Roman"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sz w:val="44"/>
          <w:szCs w:val="44"/>
          <w:highlight w:val="none"/>
        </w:rPr>
      </w:r>
      <w:r/>
    </w:p>
    <w:p>
      <w:pPr>
        <w:pStyle w:val="753"/>
        <w:ind w:firstLine="420"/>
        <w:rPr>
          <w:rFonts w:ascii="Times New Roman" w:hAnsi="Times New Roman" w:cs="黑体"/>
          <w:color w:val="000000"/>
          <w:szCs w:val="44"/>
          <w:highlight w:val="none"/>
        </w:rPr>
      </w:pPr>
      <w:r>
        <w:rPr>
          <w:rStyle w:val="970"/>
          <w:rFonts w:ascii="Times New Roman" w:hAnsi="Times New Roman" w:cs="黑体"/>
          <w:highlight w:val="none"/>
        </w:rPr>
        <w:t xml:space="preserve">第六章投标文件格式</w:t>
      </w:r>
      <w:r>
        <w:rPr>
          <w:rFonts w:ascii="Times New Roman" w:hAnsi="Times New Roman" w:cs="黑体"/>
          <w:color w:val="000000"/>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72"/>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72"/>
          <w:highlight w:val="none"/>
        </w:rPr>
        <w:t xml:space="preserve">投标文件</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72"/>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72"/>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6"/>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6"/>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6"/>
          <w:highlight w:val="none"/>
        </w:rPr>
        <w:t xml:space="preserve"> </w:t>
      </w:r>
      <w:r/>
    </w:p>
    <w:p>
      <w:pPr>
        <w:ind w:firstLine="1084"/>
        <w:jc w:val="lef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6"/>
          <w:highlight w:val="none"/>
        </w:rPr>
        <w:t xml:space="preserve">项 目 名 称：</w:t>
      </w:r>
      <w:r>
        <w:rPr>
          <w:rFonts w:ascii="Times New Roman" w:hAnsi="Times New Roman" w:cs="宋体"/>
          <w:b/>
          <w:color w:val="000000"/>
          <w:sz w:val="36"/>
          <w:highlight w:val="none"/>
          <w:u w:val="single"/>
        </w:rPr>
        <w:t xml:space="preserve">               </w:t>
      </w:r>
      <w:r/>
    </w:p>
    <w:p>
      <w:pPr>
        <w:ind w:firstLine="1084"/>
        <w:jc w:val="left"/>
        <w:rPr>
          <w:rFonts w:ascii="Times New Roman" w:hAnsi="Times New Roman" w:cs="宋体"/>
          <w:b/>
          <w:bCs/>
          <w:color w:val="000000"/>
          <w:sz w:val="36"/>
          <w:szCs w:val="36"/>
          <w:highlight w:val="none"/>
          <w:u w:val="singl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6"/>
          <w:highlight w:val="none"/>
        </w:rPr>
        <w:t xml:space="preserve">项 目 编 号：</w:t>
      </w:r>
      <w:r>
        <w:rPr>
          <w:rFonts w:ascii="Times New Roman" w:hAnsi="Times New Roman" w:cs="宋体"/>
          <w:b/>
          <w:color w:val="000000"/>
          <w:sz w:val="36"/>
          <w:highlight w:val="none"/>
          <w:u w:val="single"/>
        </w:rPr>
        <w:t xml:space="preserve">              </w:t>
      </w:r>
      <w:r/>
    </w:p>
    <w:p>
      <w:pPr>
        <w:ind w:firstLine="1084"/>
        <w:jc w:val="left"/>
        <w:rPr>
          <w:rFonts w:ascii="Times New Roman" w:hAnsi="Times New Roman" w:cs="宋体"/>
          <w:b/>
          <w:bCs/>
          <w:color w:val="000000"/>
          <w:sz w:val="36"/>
          <w:szCs w:val="36"/>
          <w:highlight w:val="none"/>
          <w:u w:val="singl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6"/>
          <w:highlight w:val="none"/>
        </w:rPr>
        <w:t xml:space="preserve">投标人名称 ：</w:t>
      </w:r>
      <w:r>
        <w:rPr>
          <w:rFonts w:ascii="Times New Roman" w:hAnsi="Times New Roman" w:cs="宋体"/>
          <w:b/>
          <w:color w:val="000000"/>
          <w:sz w:val="36"/>
          <w:highlight w:val="none"/>
          <w:u w:val="single"/>
        </w:rPr>
        <w:t xml:space="preserve">（加盖CA电子公章）</w:t>
      </w:r>
      <w:r/>
    </w:p>
    <w:p>
      <w:pPr>
        <w:ind w:firstLine="1084"/>
        <w:jc w:val="lef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6"/>
          <w:highlight w:val="none"/>
        </w:rPr>
        <w:t xml:space="preserve">日期 ：</w:t>
      </w:r>
      <w:r>
        <w:rPr>
          <w:rFonts w:ascii="Times New Roman" w:hAnsi="Times New Roman" w:cs="宋体"/>
          <w:b/>
          <w:color w:val="000000"/>
          <w:sz w:val="36"/>
          <w:highlight w:val="none"/>
          <w:u w:val="single"/>
        </w:rPr>
        <w:t xml:space="preserve">               </w:t>
      </w:r>
      <w:r/>
    </w:p>
    <w:p>
      <w:pPr>
        <w:jc w:val="center"/>
        <w:spacing w:line="43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 </w:t>
      </w:r>
      <w:r/>
    </w:p>
    <w:p>
      <w:pPr>
        <w:spacing w:line="43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highlight w:val="none"/>
        </w:rPr>
        <w:t xml:space="preserve"> </w:t>
      </w:r>
      <w:r/>
    </w:p>
    <w:p>
      <w:pPr>
        <w:ind w:firstLine="1084"/>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br w:type="page" w:clear="all"/>
      </w:r>
      <w:r/>
    </w:p>
    <w:p>
      <w:pPr>
        <w:jc w:val="center"/>
        <w:spacing w:line="43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投标文件的组成</w:t>
      </w:r>
      <w:r/>
    </w:p>
    <w:p>
      <w:pPr>
        <w:jc w:val="center"/>
        <w:spacing w:line="43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 </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一、基本目录</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1.开标一览表（格式见附件1）</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2.投标分项报价表（格式见附件2）</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3.技术要求响应及偏离表（格式见附件3）</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4.商务要求响应及偏离表（格式见附件4）</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5.法人授权书（格式见附件5）</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6.投标函（格式见附件6）</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7.主要标的信息（格式见附件7）</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8.其他</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二、资格审查内容</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1.法人或者其他组织的营业执照等证明文件，自然人的身份证明</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2.上一年度的财务状况报告（成立不满一年无需提供）</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4.具备履行合同所必需的设备和专业技术能力的书面声明（格式见附件8）</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5.参加政府采购活动前 3 年内在经营活动中没有重大违法记录的书面声明（格式见附件9）</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6.供应商信用承诺函（格式见附件10）</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7.企业报价折扣证明文件：</w:t>
      </w:r>
      <w:r/>
    </w:p>
    <w:p>
      <w:pPr>
        <w:ind w:firstLine="7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中小企业声明函（格式见附件11）。</w:t>
      </w:r>
      <w:r>
        <w:rPr>
          <w:rFonts w:ascii="Times New Roman" w:hAnsi="Times New Roman" w:cs="宋体"/>
          <w:color w:val="ff0000"/>
          <w:sz w:val="24"/>
          <w:highlight w:val="none"/>
        </w:rPr>
        <w:t xml:space="preserve">如果本项目专门面向中小企业采购，则必须提供。</w:t>
      </w:r>
      <w:r/>
    </w:p>
    <w:p>
      <w:pPr>
        <w:ind w:firstLine="7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残疾人福利性单位声明函（格式见附件12）。</w:t>
      </w:r>
      <w:r>
        <w:rPr>
          <w:rFonts w:ascii="Times New Roman" w:hAnsi="Times New Roman" w:cs="宋体"/>
          <w:color w:val="ff0000"/>
          <w:sz w:val="24"/>
          <w:highlight w:val="none"/>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监狱企业的证明文件。</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8.联合体协议（格式见附件13）。</w:t>
      </w:r>
      <w:r>
        <w:rPr>
          <w:rFonts w:ascii="Times New Roman" w:hAnsi="Times New Roman" w:cs="宋体"/>
          <w:color w:val="ff0000"/>
          <w:sz w:val="24"/>
          <w:highlight w:val="none"/>
        </w:rPr>
        <w:t xml:space="preserve">如果本项目接受联合体投标，投标人是联合体的，则必须提供。</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9.特定资格要求的证明文件。</w:t>
      </w:r>
      <w:r>
        <w:rPr>
          <w:rFonts w:ascii="Times New Roman" w:hAnsi="Times New Roman" w:cs="宋体"/>
          <w:color w:val="ff0000"/>
          <w:sz w:val="24"/>
          <w:highlight w:val="none"/>
        </w:rPr>
        <w:t xml:space="preserve">如果本项目对投标人做出特定资格要求的，则必须提供。</w:t>
      </w:r>
      <w:r/>
    </w:p>
    <w:p>
      <w:pPr>
        <w:ind w:left="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三、符合性审查内容</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投标人必须对技术要求和商务要求中加斜体下划线的实质性要求逐条做出响应，并按照招标文件要求提供证明材料，否则做无效投标处理。（格式见附件14）</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四、价格扣除证明文件</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1.中小企业声明函（格式见附件11）</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2.残疾人福利性单位声明函（格式见附件12）</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附件1 开标一览表</w:t>
      </w:r>
      <w:r/>
    </w:p>
    <w:p>
      <w:pPr>
        <w:ind w:firstLine="482"/>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投标人全称（加盖CA电子签章）：</w:t>
      </w:r>
      <w:r/>
    </w:p>
    <w:p>
      <w:pPr>
        <w:ind w:firstLine="482"/>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项目名称：</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项目编号：</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采购包号：</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小写：                   （人民币：元）</w:t>
            </w:r>
            <w:r/>
          </w:p>
        </w:tc>
      </w:tr>
    </w:tbl>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附件2       投标分项报价表（采购包号：**）</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tbl>
      <w:tblPr>
        <w:tblStyle w:val="80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分项</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分项</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合同签订后</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tc>
      </w:tr>
    </w:tbl>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备注：</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2.“投标分项报价表”中“投标总报价”数额应当与“开标一览表”中“投标总报价”数额一致。</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 项目经办人可以根据项目实际需要对表格结构进行调整。</w:t>
      </w:r>
      <w:r/>
    </w:p>
    <w:p>
      <w:pPr>
        <w:rPr>
          <w:rFonts w:ascii="Times New Roman" w:hAnsi="Times New Roman" w:cs="宋体"/>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附件3        技术要求响应及偏离表（采购包号：**）</w:t>
      </w:r>
      <w:r/>
    </w:p>
    <w:tbl>
      <w:tblPr>
        <w:tblStyle w:val="80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r>
    </w:tbl>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附件3-1  证明材料1，证明材料2，……</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备注：</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1.投标人需对技术要求（未加斜体下划线的非实质性要求）逐条做出明确响应。</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2.如果招标文件要求提供证明材料，投标人需将证明材料列于该表之下。</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附件4        商务要求响应及偏离表（采购包号：**）</w:t>
      </w:r>
      <w:r/>
    </w:p>
    <w:tbl>
      <w:tblPr>
        <w:tblStyle w:val="80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r>
    </w:tbl>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附件4-1  证明材料1，证明材料2，……</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备注：</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1.投标人需对商务要求（未加斜体下划线的非实质性要求）逐条做出明确响应。</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2.如果招标文件要求提供证明材料，投标人需将证明材料列于该表之下。</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b/>
          <w:color w:val="000000"/>
          <w:sz w:val="24"/>
          <w:highlight w:val="none"/>
        </w:rPr>
        <w:t xml:space="preserve"> </w:t>
      </w:r>
      <w:r/>
    </w:p>
    <w:p>
      <w:pPr>
        <w:rPr>
          <w:rFonts w:ascii="Times New Roman" w:hAnsi="Times New Roman" w:cs="宋体"/>
          <w:b/>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cs="宋体"/>
          <w:b/>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r>
      <w:r/>
    </w:p>
    <w:p>
      <w:pPr>
        <w:ind w:firstLine="480"/>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附件5        法人授权书</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本授权书声明：____________（投标人名称）授权</w:t>
      </w:r>
      <w:r>
        <w:rPr>
          <w:rFonts w:ascii="Times New Roman" w:hAnsi="Times New Roman" w:eastAsia="Times New Roman"/>
          <w:color w:val="000000"/>
          <w:sz w:val="24"/>
          <w:highlight w:val="none"/>
        </w:rPr>
        <w:t xml:space="preserve">________________</w:t>
      </w:r>
      <w:r>
        <w:rPr>
          <w:rFonts w:ascii="Times New Roman" w:hAnsi="Times New Roman" w:cs="宋体"/>
          <w:color w:val="000000"/>
          <w:sz w:val="24"/>
          <w:highlight w:val="none"/>
        </w:rPr>
        <w:t xml:space="preserve">（被授权人的姓名）为我方就</w:t>
      </w:r>
      <w:r>
        <w:rPr>
          <w:rFonts w:ascii="Times New Roman" w:hAnsi="Times New Roman" w:eastAsia="Times New Roman"/>
          <w:color w:val="000000"/>
          <w:sz w:val="24"/>
          <w:highlight w:val="none"/>
          <w:u w:val="single"/>
        </w:rPr>
        <w:t xml:space="preserve">***</w:t>
      </w:r>
      <w:r>
        <w:rPr>
          <w:rFonts w:ascii="Times New Roman" w:hAnsi="Times New Roman" w:cs="宋体"/>
          <w:color w:val="000000"/>
          <w:sz w:val="24"/>
          <w:highlight w:val="none"/>
        </w:rPr>
        <w:t xml:space="preserve">号项目采购活动的合法代理人，以本单位名义全权处理一切与该项目采购有关的事务。</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本授权书于______年</w:t>
      </w:r>
      <w:r>
        <w:rPr>
          <w:rFonts w:ascii="Times New Roman" w:hAnsi="Times New Roman" w:eastAsia="Times New Roman"/>
          <w:color w:val="000000"/>
          <w:sz w:val="24"/>
          <w:highlight w:val="none"/>
        </w:rPr>
        <w:t xml:space="preserve">____</w:t>
      </w:r>
      <w:r>
        <w:rPr>
          <w:rFonts w:ascii="Times New Roman" w:hAnsi="Times New Roman" w:cs="宋体"/>
          <w:color w:val="000000"/>
          <w:sz w:val="24"/>
          <w:highlight w:val="none"/>
        </w:rPr>
        <w:t xml:space="preserve">月</w:t>
      </w:r>
      <w:r>
        <w:rPr>
          <w:rFonts w:ascii="Times New Roman" w:hAnsi="Times New Roman" w:eastAsia="Times New Roman"/>
          <w:color w:val="000000"/>
          <w:sz w:val="24"/>
          <w:highlight w:val="none"/>
        </w:rPr>
        <w:t xml:space="preserve">____</w:t>
      </w:r>
      <w:r>
        <w:rPr>
          <w:rFonts w:ascii="Times New Roman" w:hAnsi="Times New Roman" w:cs="宋体"/>
          <w:color w:val="000000"/>
          <w:sz w:val="24"/>
          <w:highlight w:val="none"/>
        </w:rPr>
        <w:t xml:space="preserve">日起生效，特此声明。</w:t>
      </w:r>
      <w:r/>
    </w:p>
    <w:p>
      <w:pPr>
        <w:ind w:firstLine="120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被授权人身份证号码：           </w:t>
      </w:r>
      <w:r/>
    </w:p>
    <w:p>
      <w:pPr>
        <w:ind w:firstLine="120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被授权人联系电话：（手机）           </w:t>
      </w:r>
      <w:r/>
    </w:p>
    <w:p>
      <w:pPr>
        <w:ind w:firstLine="120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ff0000"/>
          <w:sz w:val="24"/>
          <w:highlight w:val="none"/>
        </w:rPr>
        <w:t xml:space="preserve">被授权人电子邮箱</w:t>
      </w:r>
      <w:r>
        <w:rPr>
          <w:rFonts w:ascii="Times New Roman" w:hAnsi="Times New Roman" w:cs="宋体"/>
          <w:color w:val="000000"/>
          <w:sz w:val="24"/>
          <w:highlight w:val="none"/>
        </w:rPr>
        <w:t xml:space="preserve">：</w:t>
      </w:r>
      <w:r>
        <w:rPr>
          <w:rFonts w:ascii="Times New Roman" w:hAnsi="Times New Roman" w:cs="宋体"/>
          <w:color w:val="000000"/>
          <w:sz w:val="24"/>
          <w:highlight w:val="none"/>
          <w:u w:val="single"/>
        </w:rPr>
        <w:t xml:space="preserve">           </w:t>
      </w:r>
      <w:r/>
    </w:p>
    <w:p>
      <w:pPr>
        <w:ind w:firstLine="120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授权单位名称：</w:t>
      </w:r>
      <w:r>
        <w:rPr>
          <w:rFonts w:ascii="Times New Roman" w:hAnsi="Times New Roman" w:cs="宋体"/>
          <w:color w:val="000000"/>
          <w:sz w:val="24"/>
          <w:highlight w:val="none"/>
          <w:u w:val="single"/>
        </w:rPr>
        <w:t xml:space="preserve">（加盖CA电子公章）</w:t>
      </w:r>
      <w:r/>
    </w:p>
    <w:p>
      <w:pPr>
        <w:ind w:firstLine="120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单位地址：           </w:t>
      </w:r>
      <w:r/>
    </w:p>
    <w:p>
      <w:pPr>
        <w:ind w:firstLine="1200"/>
        <w:spacing w:line="400" w:lineRule="atLeast"/>
        <w:rPr>
          <w:rFonts w:ascii="Times New Roman" w:hAnsi="Times New Roman"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szCs w:val="24"/>
          <w:highlight w:val="none"/>
        </w:rPr>
        <w:t xml:space="preserve">日期：           </w:t>
      </w:r>
      <w:r/>
    </w:p>
    <w:p>
      <w:pPr>
        <w:spacing w:before="260" w:after="260"/>
        <w:rPr>
          <w:rFonts w:ascii="Times New Roman" w:hAnsi="Times New Roman" w:cs="宋体"/>
          <w:b/>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r>
      <w:r/>
    </w:p>
    <w:p>
      <w:pPr>
        <w:spacing w:before="260" w:after="260"/>
        <w:rPr>
          <w:rFonts w:ascii="Times New Roman" w:hAnsi="Times New Roman" w:cs="宋体"/>
          <w:b/>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r>
      <w:r/>
    </w:p>
    <w:p>
      <w:pPr>
        <w:spacing w:before="260" w:after="260"/>
        <w:rPr>
          <w:rFonts w:ascii="Times New Roman" w:hAnsi="Times New Roman" w:cs="宋体"/>
          <w:b/>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r>
      <w:r/>
    </w:p>
    <w:p>
      <w:pPr>
        <w:spacing w:before="260" w:after="26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附件6           投标函</w:t>
      </w:r>
      <w:r/>
    </w:p>
    <w:p>
      <w:pPr>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致：扬州市公共资源交易中心：</w:t>
      </w:r>
      <w:r/>
    </w:p>
    <w:p>
      <w:pPr>
        <w:ind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根据贵方的</w:t>
      </w:r>
      <w:r>
        <w:rPr>
          <w:rFonts w:ascii="Times New Roman" w:hAnsi="Times New Roman" w:cs="宋体"/>
          <w:color w:val="000000"/>
          <w:sz w:val="24"/>
          <w:highlight w:val="none"/>
          <w:u w:val="single"/>
        </w:rPr>
        <w:t xml:space="preserve">****</w:t>
      </w:r>
      <w:r>
        <w:rPr>
          <w:rFonts w:ascii="Times New Roman" w:hAnsi="Times New Roman" w:cs="宋体"/>
          <w:color w:val="000000"/>
          <w:sz w:val="24"/>
          <w:highlight w:val="none"/>
        </w:rPr>
        <w:t xml:space="preserve">号招标文件，正式授权下述签字人_____(姓名)代表我方_______（投标人的名称），全权处理本次项目投标的有关事宜。</w:t>
      </w:r>
      <w:r/>
    </w:p>
    <w:p>
      <w:pPr>
        <w:ind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据此函，__________签字人兹宣布同意如下：</w:t>
      </w:r>
      <w:r/>
    </w:p>
    <w:p>
      <w:pPr>
        <w:ind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1.按招标文件规定的各项要求，向买方提供所需货物（包含与货物相关的服务）。</w:t>
      </w:r>
      <w:r/>
    </w:p>
    <w:p>
      <w:pPr>
        <w:ind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2.我们完全理解贵方不一定将合同授予最低报价的投标人。</w:t>
      </w:r>
      <w:r/>
    </w:p>
    <w:p>
      <w:pPr>
        <w:ind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3.我们已详细审核全部招标文件及其有效补充文件，我们知道必须放弃提出含糊不清或误解问题的权利。</w:t>
      </w:r>
      <w:r/>
    </w:p>
    <w:p>
      <w:pPr>
        <w:ind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4.我们同意从规定的开标日期起遵循本投标文件，并在规定的投标有效期期满之前均具有约束力。</w:t>
      </w:r>
      <w:r/>
    </w:p>
    <w:p>
      <w:pPr>
        <w:ind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5.同意向贵方提供贵方可能另外要求的与投标有关的任何证据或资料，并保证我方已提供和将要提供的文件是真实的、准确的。</w:t>
      </w:r>
      <w:r/>
    </w:p>
    <w:p>
      <w:pPr>
        <w:ind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6.一旦我方中标,我方将根据招标文件的规定，严格履行合同的责任和义务,并保证在招标文件规定的时间完成项目，交付买方验收、使用。</w:t>
      </w:r>
      <w:r/>
    </w:p>
    <w:p>
      <w:pPr>
        <w:ind w:left="425"/>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7.与本投标有关的正式通讯地址为：</w:t>
      </w:r>
      <w:r/>
    </w:p>
    <w:p>
      <w:pPr>
        <w:ind w:left="420"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地址：</w:t>
      </w:r>
      <w:r/>
    </w:p>
    <w:p>
      <w:pPr>
        <w:ind w:left="420"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邮编：</w:t>
      </w:r>
      <w:r/>
    </w:p>
    <w:p>
      <w:pPr>
        <w:ind w:left="420"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电话：</w:t>
      </w:r>
      <w:r/>
    </w:p>
    <w:p>
      <w:pPr>
        <w:ind w:left="420"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传真：</w:t>
      </w:r>
      <w:r/>
    </w:p>
    <w:p>
      <w:pPr>
        <w:ind w:left="420"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投标人开户行：</w:t>
      </w:r>
      <w:r/>
    </w:p>
    <w:p>
      <w:pPr>
        <w:ind w:left="420"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账号： </w:t>
      </w:r>
      <w:r/>
    </w:p>
    <w:p>
      <w:pPr>
        <w:ind w:left="420" w:firstLine="480"/>
        <w:spacing w:line="41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日期：______年____月____日</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b/>
          <w:color w:val="000000"/>
          <w:sz w:val="24"/>
          <w:highlight w:val="none"/>
        </w:rPr>
        <w:t xml:space="preserve"> </w:t>
      </w:r>
      <w:r/>
    </w:p>
    <w:p>
      <w:pPr>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附件7           主要标的信息（中标后将公示）</w:t>
      </w:r>
      <w:r/>
    </w:p>
    <w:p>
      <w:pPr>
        <w:spacing w:after="312"/>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投标人全称：</w:t>
      </w:r>
      <w:r/>
    </w:p>
    <w:tbl>
      <w:tblPr>
        <w:tblStyle w:val="802"/>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名称：</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品牌（如有）：</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规格型号：</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数量：</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名称：</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服务范围：</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服务要求：</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服务时间：</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服务标准：</w:t>
            </w:r>
            <w:r/>
          </w:p>
        </w:tc>
      </w:tr>
    </w:tbl>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b/>
          <w:color w:val="000000"/>
          <w:sz w:val="24"/>
          <w:highlight w:val="none"/>
        </w:rPr>
        <w:t xml:space="preserve"> </w:t>
      </w:r>
      <w:r/>
    </w:p>
    <w:p>
      <w:pPr>
        <w:ind w:firstLine="200"/>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b/>
          <w:color w:val="000000"/>
          <w:sz w:val="24"/>
          <w:highlight w:val="none"/>
        </w:rPr>
        <w:t xml:space="preserve"> </w:t>
      </w:r>
      <w:r/>
    </w:p>
    <w:p>
      <w:pPr>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附件8</w:t>
      </w:r>
      <w:r/>
    </w:p>
    <w:p>
      <w:pPr>
        <w:ind w:firstLine="1205"/>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具备履行合同所必需的设备和专业技术能力的书面声明</w:t>
      </w:r>
      <w:r/>
    </w:p>
    <w:p>
      <w:pPr>
        <w:ind w:firstLine="492"/>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主要设备有：</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w:t>
      </w:r>
      <w:r/>
    </w:p>
    <w:p>
      <w:pPr>
        <w:ind w:firstLine="492"/>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主要专业技术能力有：</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w:t>
      </w:r>
      <w:r/>
    </w:p>
    <w:p>
      <w:pPr>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spacing w:line="45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附件9</w:t>
      </w:r>
      <w:r/>
    </w:p>
    <w:p>
      <w:pPr>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left="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参加政府采购活动前 3 年内在经营活动中没有重大违法记录的书面声明</w:t>
      </w:r>
      <w:r/>
    </w:p>
    <w:p>
      <w:pPr>
        <w:jc w:val="center"/>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480"/>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480"/>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ind w:firstLine="480"/>
        <w:spacing w:line="46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99"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附件10           供应商信用承诺函</w:t>
      </w:r>
      <w:r/>
    </w:p>
    <w:p>
      <w:pPr>
        <w:spacing w:line="499"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仿宋"/>
          <w:color w:val="000000"/>
          <w:sz w:val="24"/>
          <w:highlight w:val="none"/>
        </w:rPr>
        <w:t xml:space="preserve"> </w:t>
      </w:r>
      <w:r/>
    </w:p>
    <w:p>
      <w:pPr>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承诺主体名称：</w:t>
      </w:r>
      <w:r/>
    </w:p>
    <w:p>
      <w:pPr>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统一社会信用代码：</w:t>
      </w:r>
      <w:r/>
    </w:p>
    <w:p>
      <w:pPr>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一、对提供给注册登记部门、行业管理部门、司法部门、行业组织以及在政府采购活动中提交的所有资料的合法性、真实性、准确性和有效性负责；</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四、自觉接受行政管理部门、行业组织、社会公众、新闻舆论的监督；</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五、自觉做到自我约束、自我管理，不制假售假、商标侵权、虚假宣传、违约毁约、恶意逃债、偷税漏税、垄断和不正当竞争，维护经营者、消费者的合法权益；</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六、提出政府采购质疑和投诉坚持依法依规、诚实信用原则，在全国范围12个月内没有三次以上查无实据的政府采购投诉；</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七、严格遵守信用信息公示相关规定，向社会公示信用信息；</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八、在“信用中国”和“中国政府采购网”网站中无严重失信记录；</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十、本承诺书自签订之日起生效。</w:t>
      </w:r>
      <w:r/>
    </w:p>
    <w:p>
      <w:pPr>
        <w:ind w:firstLine="420"/>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（注：法定代表人或负责人、主体名称发生变更的应当重新做出承诺。）</w:t>
      </w:r>
      <w:r/>
    </w:p>
    <w:p>
      <w:pPr>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jc w:val="center"/>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承诺单位（加盖CA电子公章）：    </w:t>
      </w:r>
      <w:r/>
    </w:p>
    <w:p>
      <w:pPr>
        <w:jc w:val="center"/>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年  月  日</w:t>
      </w:r>
      <w:r/>
    </w:p>
    <w:p>
      <w:pPr>
        <w:jc w:val="center"/>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spacing w:after="361"/>
        <w:rPr>
          <w:rFonts w:ascii="Times New Roman" w:hAnsi="Times New Roman" w:cs="宋体"/>
          <w:b/>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r>
      <w:r/>
    </w:p>
    <w:p>
      <w:pPr>
        <w:spacing w:after="361"/>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附件11        中小企业声明函（服务类项目）（采购包号：**）</w:t>
      </w:r>
      <w:r/>
    </w:p>
    <w:p>
      <w:pPr>
        <w:ind w:firstLine="36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本公司（联合体）郑重声明，根据《政府采购促进中小企业发展管理办法》(财库[2020]46号)的规定，本公司（联合体）参加扬州市公共资源交易中心组织的</w:t>
      </w:r>
      <w:r>
        <w:rPr>
          <w:rFonts w:ascii="Times New Roman" w:hAnsi="Times New Roman" w:cs="宋体"/>
          <w:color w:val="000000"/>
          <w:sz w:val="24"/>
          <w:highlight w:val="none"/>
          <w:u w:val="single"/>
        </w:rPr>
        <w:t xml:space="preserve">（项目名称）（采购包号：**）</w:t>
      </w:r>
      <w:r>
        <w:rPr>
          <w:rFonts w:ascii="Times New Roman" w:hAnsi="Times New Roman" w:cs="宋体"/>
          <w:color w:val="000000"/>
          <w:sz w:val="24"/>
          <w:highlight w:val="none"/>
        </w:rPr>
        <w:t xml:space="preserve">的采购活动，服务全部由符合政策的中小企业承接。相关企业（含联合体中的中小企业、签订采购包意向协议的中小企业）的具体情况如下：</w:t>
      </w:r>
      <w:r/>
    </w:p>
    <w:p>
      <w:pPr>
        <w:ind w:firstLine="36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rPr>
          <w:rFonts w:ascii="Times New Roman" w:hAnsi="Times New Roman" w:cs="宋体"/>
          <w:color w:val="000000"/>
          <w:sz w:val="24"/>
          <w:highlight w:val="none"/>
          <w:u w:val="single"/>
        </w:rPr>
        <w:t xml:space="preserve">（标的名称）</w:t>
      </w:r>
      <w:r>
        <w:rPr>
          <w:rFonts w:ascii="Times New Roman" w:hAnsi="Times New Roman" w:cs="宋体"/>
          <w:i/>
          <w:color w:val="000000"/>
          <w:sz w:val="24"/>
          <w:highlight w:val="none"/>
        </w:rPr>
        <w:t xml:space="preserve">，</w:t>
      </w:r>
      <w:r>
        <w:rPr>
          <w:rFonts w:ascii="Times New Roman" w:hAnsi="Times New Roman" w:cs="宋体"/>
          <w:color w:val="000000"/>
          <w:sz w:val="24"/>
          <w:highlight w:val="none"/>
        </w:rPr>
        <w:t xml:space="preserve">属于</w:t>
      </w:r>
      <w:r>
        <w:rPr>
          <w:rFonts w:ascii="Times New Roman" w:hAnsi="Times New Roman" w:cs="宋体"/>
          <w:color w:val="ff0000"/>
          <w:sz w:val="24"/>
          <w:highlight w:val="none"/>
          <w:u w:val="single"/>
        </w:rPr>
        <w:t xml:space="preserve">（</w:t>
      </w:r>
      <w:r>
        <w:rPr>
          <w:rFonts w:hint="eastAsia" w:ascii="Times New Roman" w:hAnsi="Times New Roman" w:cs="宋体"/>
          <w:color w:val="ff0000"/>
          <w:sz w:val="24"/>
          <w:highlight w:val="none"/>
          <w:u w:val="single"/>
        </w:rPr>
        <w:t xml:space="preserve">软件</w:t>
      </w:r>
      <w:r>
        <w:rPr>
          <w:rFonts w:ascii="Times New Roman" w:hAnsi="Times New Roman" w:cs="宋体"/>
          <w:color w:val="ff0000"/>
          <w:sz w:val="24"/>
          <w:highlight w:val="none"/>
          <w:u w:val="single"/>
        </w:rPr>
        <w:t xml:space="preserve">和信息技术服务业）</w:t>
      </w:r>
      <w:r>
        <w:rPr>
          <w:rFonts w:ascii="Times New Roman" w:hAnsi="Times New Roman" w:cs="宋体"/>
          <w:color w:val="000000"/>
          <w:sz w:val="24"/>
          <w:highlight w:val="none"/>
        </w:rPr>
        <w:t xml:space="preserve">行业；承接企业为</w:t>
      </w:r>
      <w:r>
        <w:rPr>
          <w:rFonts w:ascii="Times New Roman" w:hAnsi="Times New Roman" w:cs="宋体"/>
          <w:color w:val="000000"/>
          <w:sz w:val="24"/>
          <w:highlight w:val="none"/>
          <w:u w:val="single"/>
        </w:rPr>
        <w:t xml:space="preserve">（企业名称）</w:t>
      </w:r>
      <w:r>
        <w:rPr>
          <w:rFonts w:ascii="Times New Roman" w:hAnsi="Times New Roman" w:cs="宋体"/>
          <w:color w:val="000000"/>
          <w:sz w:val="24"/>
          <w:highlight w:val="none"/>
        </w:rPr>
        <w:t xml:space="preserve">，从业人员</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人，营业收入为</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万元，资产总额为</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万元</w:t>
      </w:r>
      <w:r>
        <w:rPr>
          <w:rFonts w:ascii="Times New Roman" w:hAnsi="Times New Roman" w:cs="宋体"/>
          <w:color w:val="000000"/>
          <w:sz w:val="24"/>
          <w:highlight w:val="none"/>
          <w:vertAlign w:val="superscript"/>
        </w:rPr>
        <w:t xml:space="preserve">1</w:t>
      </w:r>
      <w:r>
        <w:rPr>
          <w:rFonts w:ascii="Times New Roman" w:hAnsi="Times New Roman" w:cs="宋体"/>
          <w:color w:val="000000"/>
          <w:sz w:val="24"/>
          <w:highlight w:val="none"/>
        </w:rPr>
        <w:t xml:space="preserve">，属于</w:t>
      </w:r>
      <w:r>
        <w:rPr>
          <w:rFonts w:ascii="Times New Roman" w:hAnsi="Times New Roman" w:cs="宋体"/>
          <w:color w:val="000000"/>
          <w:sz w:val="24"/>
          <w:highlight w:val="none"/>
          <w:u w:val="single"/>
        </w:rPr>
        <w:t xml:space="preserve">（□中型企业 □小型企业 □微型企业）；</w:t>
      </w:r>
      <w:r/>
    </w:p>
    <w:p>
      <w:pPr>
        <w:ind w:firstLine="36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w:t>
      </w:r>
      <w:r>
        <w:rPr>
          <w:rFonts w:ascii="Times New Roman" w:hAnsi="Times New Roman" w:cs="宋体"/>
          <w:color w:val="000000"/>
          <w:sz w:val="24"/>
          <w:highlight w:val="none"/>
          <w:u w:val="single"/>
        </w:rPr>
        <w:t xml:space="preserve">（标的名称）</w:t>
      </w:r>
      <w:r>
        <w:rPr>
          <w:rFonts w:ascii="Times New Roman" w:hAnsi="Times New Roman" w:cs="宋体"/>
          <w:i/>
          <w:color w:val="000000"/>
          <w:sz w:val="24"/>
          <w:highlight w:val="none"/>
        </w:rPr>
        <w:t xml:space="preserve">，</w:t>
      </w:r>
      <w:r>
        <w:rPr>
          <w:rFonts w:ascii="Times New Roman" w:hAnsi="Times New Roman" w:cs="宋体"/>
          <w:color w:val="000000"/>
          <w:sz w:val="24"/>
          <w:highlight w:val="none"/>
        </w:rPr>
        <w:t xml:space="preserve">属于</w:t>
      </w:r>
      <w:r>
        <w:rPr>
          <w:rFonts w:ascii="Times New Roman" w:hAnsi="Times New Roman" w:cs="宋体"/>
          <w:color w:val="ff0000"/>
          <w:sz w:val="24"/>
          <w:highlight w:val="none"/>
          <w:u w:val="single"/>
        </w:rPr>
        <w:t xml:space="preserve">（供应商填写招标文件中明确的所属行业）</w:t>
      </w:r>
      <w:r>
        <w:rPr>
          <w:rFonts w:ascii="Times New Roman" w:hAnsi="Times New Roman" w:cs="宋体"/>
          <w:color w:val="000000"/>
          <w:sz w:val="24"/>
          <w:highlight w:val="none"/>
        </w:rPr>
        <w:t xml:space="preserve">行业；承接企业为</w:t>
      </w:r>
      <w:r>
        <w:rPr>
          <w:rFonts w:ascii="Times New Roman" w:hAnsi="Times New Roman" w:cs="宋体"/>
          <w:color w:val="000000"/>
          <w:sz w:val="24"/>
          <w:highlight w:val="none"/>
          <w:u w:val="single"/>
        </w:rPr>
        <w:t xml:space="preserve">（企业名称）</w:t>
      </w:r>
      <w:r>
        <w:rPr>
          <w:rFonts w:ascii="Times New Roman" w:hAnsi="Times New Roman" w:cs="宋体"/>
          <w:color w:val="000000"/>
          <w:sz w:val="24"/>
          <w:highlight w:val="none"/>
        </w:rPr>
        <w:t xml:space="preserve">，从业人员</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人，营业收入为</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万元，资产总额为</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万元</w:t>
      </w:r>
      <w:r>
        <w:rPr>
          <w:rFonts w:ascii="Times New Roman" w:hAnsi="Times New Roman" w:cs="宋体"/>
          <w:color w:val="000000"/>
          <w:sz w:val="24"/>
          <w:highlight w:val="none"/>
          <w:vertAlign w:val="superscript"/>
        </w:rPr>
        <w:t xml:space="preserve">1</w:t>
      </w:r>
      <w:r>
        <w:rPr>
          <w:rFonts w:ascii="Times New Roman" w:hAnsi="Times New Roman" w:cs="宋体"/>
          <w:color w:val="000000"/>
          <w:sz w:val="24"/>
          <w:highlight w:val="none"/>
        </w:rPr>
        <w:t xml:space="preserve">，属于</w:t>
      </w:r>
      <w:r>
        <w:rPr>
          <w:rFonts w:ascii="Times New Roman" w:hAnsi="Times New Roman" w:cs="宋体"/>
          <w:color w:val="000000"/>
          <w:sz w:val="24"/>
          <w:highlight w:val="none"/>
          <w:u w:val="single"/>
        </w:rPr>
        <w:t xml:space="preserve">（□中型企业 □小型企业 □微型企业）；</w:t>
      </w:r>
      <w:r/>
    </w:p>
    <w:p>
      <w:pPr>
        <w:ind w:firstLine="36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w:t>
      </w:r>
      <w:r/>
    </w:p>
    <w:p>
      <w:pPr>
        <w:ind w:firstLine="36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以上企业，不属于大企业的分支机构，不存在控股股东为大企业的情形，也不存在与大企业的负责人为同一人的情形。</w:t>
      </w:r>
      <w:r/>
    </w:p>
    <w:p>
      <w:pPr>
        <w:ind w:firstLine="36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本企业对上述声明内容的真实性负责。如有虚假，将依法承担相应责任</w:t>
      </w:r>
      <w:r/>
    </w:p>
    <w:p>
      <w:pPr>
        <w:ind w:right="7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p>
      <w:pPr>
        <w:ind w:right="180" w:firstLine="360"/>
        <w:jc w:val="righ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企业名称（加盖CA电子公章）：</w:t>
      </w:r>
      <w:r/>
    </w:p>
    <w:p>
      <w:pPr>
        <w:ind w:right="480" w:firstLine="540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日  期：</w:t>
      </w:r>
      <w:r/>
    </w:p>
    <w:p>
      <w:pPr>
        <w:ind w:firstLine="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备注：</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1.从业人员、营业收入、资产总额填报上一年度数据，无上一年度数据的新成立企业可不填报。</w:t>
      </w:r>
      <w:r/>
    </w:p>
    <w:p>
      <w:pPr>
        <w:ind w:firstLine="48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ff0000"/>
          <w:sz w:val="24"/>
          <w:highlight w:val="none"/>
        </w:rPr>
        <w:t xml:space="preserve">3.供应商应对照《工业和信息化部、国家统计局、国家发展和改革委员会、财政</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ff0000"/>
          <w:sz w:val="24"/>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ff0000"/>
          <w:sz w:val="24"/>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70c0"/>
          <w:highlight w:val="none"/>
        </w:rPr>
        <w:t xml:space="preserve"> </w:t>
      </w:r>
      <w:r/>
    </w:p>
    <w:p>
      <w:pPr>
        <w:spacing w:before="300" w:after="452"/>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中小微企业划型标准如下：</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500≤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50≤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300≤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20≤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20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2000≤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300≤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6000≤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300≤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300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资产总额（</w:t>
            </w:r>
            <w:r>
              <w:rPr>
                <w:rFonts w:ascii="Times New Roman" w:hAnsi="Times New Roman" w:cs="宋体"/>
                <w:b/>
                <w:color w:val="666666"/>
                <w:highlight w:val="none"/>
              </w:rPr>
              <w:t xml:space="preserve">Z</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5000≤</w:t>
            </w:r>
            <w:r>
              <w:rPr>
                <w:rFonts w:ascii="Times New Roman" w:hAnsi="Times New Roman" w:cs="宋体"/>
                <w:b/>
                <w:color w:val="666666"/>
                <w:highlight w:val="none"/>
              </w:rPr>
              <w:t xml:space="preserve">Z</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300≤</w:t>
            </w:r>
            <w:r>
              <w:rPr>
                <w:rFonts w:ascii="Times New Roman" w:hAnsi="Times New Roman" w:cs="宋体"/>
                <w:b/>
                <w:color w:val="666666"/>
                <w:highlight w:val="none"/>
              </w:rPr>
              <w:t xml:space="preserve">Z</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Z＜</w:t>
            </w:r>
            <w:r>
              <w:rPr>
                <w:rFonts w:ascii="Times New Roman" w:hAnsi="Times New Roman" w:cs="宋体"/>
                <w:b/>
                <w:color w:val="666666"/>
                <w:highlight w:val="none"/>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20≤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5≤</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5</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5000≤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50≤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10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500≤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300≤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20≤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20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3000≤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200≤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20≤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20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300≤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20≤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20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2000≤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10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2000≤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10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2000≤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10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10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50≤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100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资产总额（</w:t>
            </w:r>
            <w:r>
              <w:rPr>
                <w:rFonts w:ascii="Times New Roman" w:hAnsi="Times New Roman" w:cs="宋体"/>
                <w:b/>
                <w:color w:val="666666"/>
                <w:highlight w:val="none"/>
              </w:rPr>
              <w:t xml:space="preserve">Z</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5000≤</w:t>
            </w:r>
            <w:r>
              <w:rPr>
                <w:rFonts w:ascii="Times New Roman" w:hAnsi="Times New Roman" w:cs="宋体"/>
                <w:b/>
                <w:color w:val="666666"/>
                <w:highlight w:val="none"/>
              </w:rPr>
              <w:t xml:space="preserve">Z</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2000≤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300≤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100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营业收入（</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500≤</w:t>
            </w:r>
            <w:r>
              <w:rPr>
                <w:rFonts w:ascii="Times New Roman" w:hAnsi="Times New Roman" w:cs="宋体"/>
                <w:b/>
                <w:color w:val="666666"/>
                <w:highlight w:val="none"/>
              </w:rPr>
              <w:t xml:space="preserve">Y</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10</w:t>
            </w:r>
            <w:r/>
          </w:p>
        </w:tc>
      </w:tr>
      <w:tr>
        <w:trPr>
          <w:trHeight w:val="225"/>
        </w:trPr>
        <w:tc>
          <w:tcPr>
            <w:tcW w:w="1716" w:type="dxa"/>
            <w:vMerge w:val="continue"/>
            <w:textDirection w:val="lrTb"/>
            <w:noWrap w:val="false"/>
          </w:tcPr>
          <w:p>
            <w:pPr>
              <w:rPr>
                <w:rFonts w:ascii="Times New Roman" w:hAnsi="Times New Roman"/>
                <w:highlight w:val="none"/>
              </w:rPr>
            </w:pPr>
            <w:r>
              <w:rPr>
                <w:rFonts w:ascii="Times New Roman" w:hAnsi="Times New Roman"/>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资产总额（</w:t>
            </w:r>
            <w:r>
              <w:rPr>
                <w:rFonts w:ascii="Times New Roman" w:hAnsi="Times New Roman" w:cs="宋体"/>
                <w:b/>
                <w:color w:val="666666"/>
                <w:highlight w:val="none"/>
              </w:rPr>
              <w:t xml:space="preserve">Z</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8000≤</w:t>
            </w:r>
            <w:r>
              <w:rPr>
                <w:rFonts w:ascii="Times New Roman" w:hAnsi="Times New Roman" w:cs="宋体"/>
                <w:b/>
                <w:color w:val="666666"/>
                <w:highlight w:val="none"/>
              </w:rPr>
              <w:t xml:space="preserve">Z</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Z</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Y＜</w:t>
            </w:r>
            <w:r>
              <w:rPr>
                <w:rFonts w:ascii="Times New Roman" w:hAnsi="Times New Roman"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从业人员（</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10≤</w:t>
            </w:r>
            <w:r>
              <w:rPr>
                <w:rFonts w:ascii="Times New Roman" w:hAnsi="Times New Roman" w:cs="宋体"/>
                <w:b/>
                <w:color w:val="666666"/>
                <w:highlight w:val="none"/>
              </w:rPr>
              <w:t xml:space="preserve">X</w:t>
            </w:r>
            <w:r>
              <w:rPr>
                <w:rFonts w:ascii="Times New Roman" w:hAnsi="Times New Roman" w:eastAsia="等线" w:cs="等线"/>
                <w:b/>
                <w:color w:val="666666"/>
                <w:highlight w:val="none"/>
              </w:rPr>
              <w:t xml:space="preserve">＜</w:t>
            </w:r>
            <w:r>
              <w:rPr>
                <w:rFonts w:ascii="Times New Roman" w:hAnsi="Times New Roman"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X＜</w:t>
            </w:r>
            <w:r>
              <w:rPr>
                <w:rFonts w:ascii="Times New Roman" w:hAnsi="Times New Roman" w:cs="宋体"/>
                <w:b/>
                <w:color w:val="666666"/>
                <w:highlight w:val="none"/>
              </w:rPr>
              <w:t xml:space="preserve">10</w:t>
            </w:r>
            <w:r/>
          </w:p>
        </w:tc>
      </w:tr>
    </w:tbl>
    <w:p>
      <w:pPr>
        <w:ind w:firstLine="810"/>
        <w:spacing w:before="300" w:after="452"/>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等线" w:cs="等线"/>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附件12     残疾人福利性单位声明函（服务类项目）（采购包号：**）</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本单位对上述声明的真实性负责。如有虚假，将依法承担相应责任。</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备注：</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1.专门面向中小微型企业采购的项目，供应商为残疾人福利性单位并提供服务的必须提供此声明函，否则将不能通过资格审查。</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2.非专门面向中小微型企业采购的项目，供应商如不提供此声明函，价格将不做相应扣除。</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3.中标/成交供应商为残疾人福利性单位的，此声明函将随中标/成交结果同时公告，接受社会监督</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供应商全称（加盖CA电子公章）：</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日期：</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line="400" w:lineRule="atLeast"/>
        <w:rPr>
          <w:rFonts w:ascii="Times New Roman" w:hAnsi="Times New Roman"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附件13          联合体协议（参考格式）（采购包号：**）</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highlight w:val="none"/>
        </w:rPr>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（联合体中各供应商全称）在此达成以下协议：</w:t>
      </w:r>
      <w:r/>
    </w:p>
    <w:p>
      <w:pPr>
        <w:ind w:firstLine="645"/>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1、我们</w:t>
      </w:r>
      <w:r>
        <w:rPr>
          <w:rFonts w:ascii="Times New Roman" w:hAnsi="Times New Roman" w:cs="宋体"/>
          <w:color w:val="000000"/>
          <w:sz w:val="24"/>
          <w:highlight w:val="none"/>
          <w:u w:val="single"/>
        </w:rPr>
        <w:t xml:space="preserve"> （供应商1），（供应商2） ，……</w:t>
      </w:r>
      <w:r>
        <w:rPr>
          <w:rFonts w:ascii="Times New Roman" w:hAnsi="Times New Roman" w:cs="宋体"/>
          <w:color w:val="000000"/>
          <w:sz w:val="24"/>
          <w:highlight w:val="none"/>
        </w:rPr>
        <w:t xml:space="preserve">自愿组成联合体，参加扬州市公共资源交易中心组织的采购编号为</w:t>
      </w:r>
      <w:r>
        <w:rPr>
          <w:rFonts w:ascii="Times New Roman" w:hAnsi="Times New Roman" w:cs="宋体"/>
          <w:color w:val="000000"/>
          <w:sz w:val="24"/>
          <w:highlight w:val="none"/>
          <w:u w:val="single"/>
        </w:rPr>
        <w:t xml:space="preserve">（编号全称），（项目全称）</w:t>
      </w:r>
      <w:r>
        <w:rPr>
          <w:rFonts w:ascii="Times New Roman" w:hAnsi="Times New Roman" w:cs="宋体"/>
          <w:color w:val="000000"/>
          <w:sz w:val="24"/>
          <w:highlight w:val="none"/>
        </w:rPr>
        <w:t xml:space="preserve">项目（采购包号：**）的政府采购活动，我联合体指定</w:t>
      </w:r>
      <w:r>
        <w:rPr>
          <w:rFonts w:ascii="Times New Roman" w:hAnsi="Times New Roman" w:cs="宋体"/>
          <w:color w:val="000000"/>
          <w:sz w:val="24"/>
          <w:highlight w:val="none"/>
          <w:u w:val="single"/>
        </w:rPr>
        <w:t xml:space="preserve">（供应商*）</w:t>
      </w:r>
      <w:r>
        <w:rPr>
          <w:rFonts w:ascii="Times New Roman" w:hAnsi="Times New Roman" w:cs="宋体"/>
          <w:color w:val="000000"/>
          <w:sz w:val="24"/>
          <w:highlight w:val="none"/>
        </w:rPr>
        <w:t xml:space="preserve">为牵头单位（牵头单位必须为联合体成员）。</w:t>
      </w:r>
      <w:r/>
    </w:p>
    <w:p>
      <w:pPr>
        <w:ind w:firstLine="645"/>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3、其中</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（小型、微型企业/残疾人福利性单位/监狱企业全称）为</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（小型、微型企业/残疾人福利性单位/监狱企业）企业，且我们约定该公司/单位所承担的合同金额将占本项目合同总金额的</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 %。</w:t>
      </w:r>
      <w:r/>
    </w:p>
    <w:p>
      <w:pPr>
        <w:ind w:firstLine="645"/>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firstLine="645"/>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firstLine="646"/>
        <w:jc w:val="right"/>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联合体中各供应商全称（公章）：     </w:t>
      </w:r>
      <w:r/>
    </w:p>
    <w:p>
      <w:pPr>
        <w:ind w:firstLine="646"/>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日期：</w:t>
      </w:r>
      <w:r/>
    </w:p>
    <w:p>
      <w:pPr>
        <w:ind w:firstLine="645"/>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firstLine="645"/>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ind w:firstLine="645"/>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备注：本招标文件中要求加盖CA电子签章的地方，仅需加盖牵头单位的CA电子签章。</w:t>
      </w:r>
      <w:r/>
    </w:p>
    <w:p>
      <w:pPr>
        <w:ind w:firstLine="645"/>
        <w:spacing w:line="558"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spacing w:after="361"/>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附件14             实质性要求响应及偏离表（采购包号：**）</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技术要求和商务要求中的实质性要求</w:t>
            </w:r>
            <w:r>
              <w:rPr>
                <w:rFonts w:ascii="Times New Roman" w:hAnsi="Times New Roman" w:cs="宋体"/>
                <w:b/>
                <w:color w:val="ff0000"/>
                <w:sz w:val="24"/>
                <w:highlight w:val="none"/>
              </w:rPr>
              <w:t xml:space="preserve">（</w:t>
            </w:r>
            <w:r>
              <w:rPr>
                <w:rFonts w:ascii="Times New Roman" w:hAnsi="Times New Roman" w:cs="宋体"/>
                <w:b/>
                <w:i/>
                <w:color w:val="ff0000"/>
                <w:sz w:val="24"/>
                <w:highlight w:val="none"/>
                <w:u w:val="single"/>
              </w:rPr>
              <w:t xml:space="preserve">斜体且有下划线部分</w:t>
            </w:r>
            <w:r>
              <w:rPr>
                <w:rFonts w:ascii="Times New Roman" w:hAnsi="Times New Roman" w:cs="宋体"/>
                <w:b/>
                <w:color w:val="ff0000"/>
                <w:sz w:val="24"/>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tc>
      </w:tr>
    </w:tbl>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附件14-1 证明材料1，证明材料2，……</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 </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备注：</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1.投标人必须对技术要求和商务要求中的实质性要求</w:t>
      </w:r>
      <w:r>
        <w:rPr>
          <w:rFonts w:ascii="Times New Roman" w:hAnsi="Times New Roman" w:cs="宋体"/>
          <w:b/>
          <w:color w:val="ff0000"/>
          <w:sz w:val="24"/>
          <w:highlight w:val="none"/>
        </w:rPr>
        <w:t xml:space="preserve">（</w:t>
      </w:r>
      <w:r>
        <w:rPr>
          <w:rFonts w:ascii="Times New Roman" w:hAnsi="Times New Roman" w:cs="宋体"/>
          <w:b/>
          <w:i/>
          <w:color w:val="ff0000"/>
          <w:sz w:val="24"/>
          <w:highlight w:val="none"/>
          <w:u w:val="single"/>
        </w:rPr>
        <w:t xml:space="preserve">斜体且有下划线部分</w:t>
      </w:r>
      <w:r>
        <w:rPr>
          <w:rFonts w:ascii="Times New Roman" w:hAnsi="Times New Roman" w:cs="宋体"/>
          <w:b/>
          <w:color w:val="ff0000"/>
          <w:sz w:val="24"/>
          <w:highlight w:val="none"/>
        </w:rPr>
        <w:t xml:space="preserve">）</w:t>
      </w:r>
      <w:r>
        <w:rPr>
          <w:rFonts w:ascii="Times New Roman" w:hAnsi="Times New Roman" w:cs="宋体"/>
          <w:color w:val="000000"/>
          <w:sz w:val="24"/>
          <w:highlight w:val="none"/>
        </w:rPr>
        <w:t xml:space="preserve">逐条做出明确响应。</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2.如果招标文件要求提供证明材料，投标人必须将证明材料列于该表之下。</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3.投标人未对实质性要求逐条作出明确响应的，或未按招标文件要求提供证明材料的，该采购包作无效投标处理。</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b/>
          <w:color w:val="000000"/>
          <w:sz w:val="32"/>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b/>
          <w:color w:val="000000"/>
          <w:sz w:val="32"/>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 </w:t>
      </w:r>
      <w:r/>
    </w:p>
    <w:p>
      <w:pPr>
        <w:jc w:val="cente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32"/>
          <w:highlight w:val="none"/>
        </w:rPr>
        <w:t xml:space="preserve">质疑函范本</w:t>
      </w:r>
      <w:r/>
    </w:p>
    <w:p>
      <w:pPr>
        <w:spacing w:before="312"/>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一、质疑供应商基本信息</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质疑供应商：</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地址：</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邮编：</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联系人：</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联系电话</w:t>
      </w:r>
      <w:r>
        <w:rPr>
          <w:rFonts w:ascii="Times New Roman" w:hAnsi="Times New Roman" w:cs="宋体"/>
          <w:color w:val="000000"/>
          <w:highlight w:val="none"/>
        </w:rPr>
        <w:t xml:space="preserve">：</w:t>
      </w:r>
      <w:r>
        <w:rPr>
          <w:rFonts w:ascii="Times New Roman" w:hAnsi="Times New Roman" w:cs="宋体"/>
          <w:color w:val="000000"/>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授权代表：</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联系电话：</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地址：</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邮编：</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二、质疑项目基本情况</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质疑项目的名称：</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质疑项目的编号：</w:t>
      </w:r>
      <w:r>
        <w:rPr>
          <w:rFonts w:ascii="Times New Roman" w:hAnsi="Times New Roman" w:cs="宋体"/>
          <w:color w:val="000000"/>
          <w:sz w:val="24"/>
          <w:highlight w:val="none"/>
          <w:u w:val="single"/>
        </w:rPr>
        <w:t xml:space="preserve">           </w:t>
      </w:r>
      <w:r>
        <w:rPr>
          <w:rFonts w:ascii="Times New Roman" w:hAnsi="Times New Roman" w:cs="宋体"/>
          <w:color w:val="000000"/>
          <w:sz w:val="24"/>
          <w:highlight w:val="none"/>
        </w:rPr>
        <w:t xml:space="preserve">包号：</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采购人名称：</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采购文件获取日期：</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三、质疑事项具体内容</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质疑事项1：</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事实依据：</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法律依据：</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质疑事项2</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四、与质疑事项相关的质疑请求</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请求：</w:t>
      </w:r>
      <w:r>
        <w:rPr>
          <w:rFonts w:ascii="Times New Roman" w:hAnsi="Times New Roman" w:cs="宋体"/>
          <w:color w:val="000000"/>
          <w:sz w:val="24"/>
          <w:highlight w:val="none"/>
          <w:u w:val="singl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签字(签章)：                   公章：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日期：</w:t>
      </w:r>
      <w:r/>
    </w:p>
    <w:p>
      <w:pPr>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质疑函制作说明：</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1.供应商提出质疑时，应提交质疑函和必要的证明材料。</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3.质疑供应商若对项目的某一采购包进行质疑，质疑函中应列明具体采购包号。</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4.质疑函的质疑事项应具体、明确，并有必要的事实依据和法律依据。</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5.质疑函的质疑请求应与质疑事项相关。</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b/>
          <w:color w:val="000000"/>
          <w:sz w:val="24"/>
          <w:highlight w:val="none"/>
        </w:rPr>
        <w:t xml:space="preserve"> </w:t>
      </w:r>
      <w:r/>
    </w:p>
    <w:p>
      <w:pPr>
        <w:spacing w:before="240" w:after="240"/>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p>
    <w:p>
      <w:pPr>
        <w:rPr>
          <w:rFonts w:ascii="Times New Roman" w:hAnsi="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p>
    <w:p>
      <w:pPr>
        <w:rPr>
          <w:rFonts w:ascii="Times New Roman" w:hAnsi="Times New Roman"/>
          <w:highlight w:val="none"/>
        </w:rPr>
      </w:pPr>
      <w:r>
        <w:rPr>
          <w:rFonts w:ascii="Times New Roman" w:hAnsi="Times New Roman"/>
          <w:highlight w:val="none"/>
        </w:r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MingLiU">
    <w:panose1 w:val="020205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5"/>
      </w:rPr>
      <w:framePr w:wrap="around" w:vAnchor="text" w:hAnchor="margin" w:xAlign="center" w:y="1"/>
    </w:pPr>
    <w:r>
      <w:fldChar w:fldCharType="begin"/>
    </w:r>
    <w:r>
      <w:rPr>
        <w:rStyle w:val="805"/>
      </w:rPr>
      <w:instrText xml:space="preserve">PAGE  </w:instrText>
    </w:r>
    <w:r>
      <w:fldChar w:fldCharType="separate"/>
    </w:r>
    <w:r>
      <w:rPr>
        <w:rStyle w:val="805"/>
      </w:rPr>
      <w:t xml:space="preserve">1</w:t>
    </w:r>
    <w:r>
      <w:fldChar w:fldCharType="end"/>
    </w:r>
    <w:r/>
  </w:p>
  <w:p>
    <w:pPr>
      <w:pStyle w:val="7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58"/>
      <w:isLgl w:val="false"/>
      <w:suff w:val="nothing"/>
      <w:lvlText w:val=""/>
      <w:lvlJc w:val="left"/>
      <w:pPr>
        <w:ind w:left="0" w:firstLine="0"/>
      </w:pPr>
      <w:rPr>
        <w:rFonts w:hint="eastAsia"/>
      </w:rPr>
    </w:lvl>
    <w:lvl w:ilvl="6">
      <w:start w:val="1"/>
      <w:numFmt w:val="decimal"/>
      <w:pStyle w:val="759"/>
      <w:isLgl w:val="false"/>
      <w:suff w:val="nothing"/>
      <w:lvlText w:val=""/>
      <w:lvlJc w:val="left"/>
      <w:pPr>
        <w:ind w:left="0" w:firstLine="0"/>
      </w:pPr>
      <w:rPr>
        <w:rFonts w:hint="eastAsia"/>
      </w:rPr>
    </w:lvl>
    <w:lvl w:ilvl="7">
      <w:start w:val="1"/>
      <w:numFmt w:val="decimal"/>
      <w:pStyle w:val="760"/>
      <w:isLgl w:val="false"/>
      <w:suff w:val="nothing"/>
      <w:lvlText w:val=""/>
      <w:lvlJc w:val="left"/>
      <w:pPr>
        <w:ind w:left="0" w:firstLine="0"/>
      </w:pPr>
      <w:rPr>
        <w:rFonts w:hint="eastAsia"/>
      </w:rPr>
    </w:lvl>
    <w:lvl w:ilvl="8">
      <w:start w:val="1"/>
      <w:numFmt w:val="decimal"/>
      <w:pStyle w:val="76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5"/>
  </w:num>
  <w:num w:numId="3">
    <w:abstractNumId w:val="6"/>
  </w:num>
  <w:num w:numId="4">
    <w:abstractNumId w:val="4"/>
  </w:num>
  <w:num w:numId="5">
    <w:abstractNumId w:val="0"/>
  </w:num>
  <w:num w:numId="6">
    <w:abstractNumId w:val="1"/>
  </w:num>
  <w:num w:numId="7">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Title Char"/>
    <w:basedOn w:val="762"/>
    <w:link w:val="798"/>
    <w:uiPriority w:val="10"/>
    <w:rPr>
      <w:sz w:val="48"/>
      <w:szCs w:val="48"/>
    </w:rPr>
  </w:style>
  <w:style w:type="character" w:styleId="747">
    <w:name w:val="Subtitle Char"/>
    <w:basedOn w:val="762"/>
    <w:link w:val="787"/>
    <w:uiPriority w:val="11"/>
    <w:rPr>
      <w:sz w:val="24"/>
      <w:szCs w:val="24"/>
    </w:rPr>
  </w:style>
  <w:style w:type="character" w:styleId="748">
    <w:name w:val="Quote Char"/>
    <w:link w:val="823"/>
    <w:uiPriority w:val="29"/>
    <w:rPr>
      <w:i/>
    </w:rPr>
  </w:style>
  <w:style w:type="character" w:styleId="749">
    <w:name w:val="Intense Quote Char"/>
    <w:link w:val="825"/>
    <w:uiPriority w:val="30"/>
    <w:rPr>
      <w:i/>
    </w:rPr>
  </w:style>
  <w:style w:type="character" w:styleId="750">
    <w:name w:val="Footnote Text Char"/>
    <w:link w:val="789"/>
    <w:uiPriority w:val="99"/>
    <w:rPr>
      <w:sz w:val="18"/>
    </w:rPr>
  </w:style>
  <w:style w:type="character" w:styleId="751">
    <w:name w:val="Endnote Text Char"/>
    <w:link w:val="781"/>
    <w:uiPriority w:val="99"/>
    <w:rPr>
      <w:sz w:val="20"/>
    </w:rPr>
  </w:style>
  <w:style w:type="paragraph" w:styleId="75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53">
    <w:name w:val="Heading 1"/>
    <w:basedOn w:val="752"/>
    <w:next w:val="752"/>
    <w:link w:val="970"/>
    <w:uiPriority w:val="0"/>
    <w:qFormat/>
    <w:pPr>
      <w:jc w:val="center"/>
      <w:keepNext/>
      <w:outlineLvl w:val="0"/>
    </w:pPr>
    <w:rPr>
      <w:rFonts w:ascii="楷体_GB2312" w:hAnsi="楷体_GB2312" w:eastAsia="黑体"/>
      <w:sz w:val="44"/>
      <w:szCs w:val="28"/>
    </w:rPr>
  </w:style>
  <w:style w:type="paragraph" w:styleId="754">
    <w:name w:val="Heading 2"/>
    <w:basedOn w:val="752"/>
    <w:next w:val="764"/>
    <w:link w:val="9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5">
    <w:name w:val="Heading 3"/>
    <w:basedOn w:val="752"/>
    <w:next w:val="764"/>
    <w:link w:val="958"/>
    <w:uiPriority w:val="0"/>
    <w:qFormat/>
    <w:pPr>
      <w:keepLines/>
      <w:keepNext/>
      <w:spacing w:before="260" w:after="260" w:line="416" w:lineRule="auto"/>
      <w:outlineLvl w:val="2"/>
    </w:pPr>
    <w:rPr>
      <w:b/>
      <w:bCs/>
      <w:sz w:val="32"/>
      <w:szCs w:val="32"/>
    </w:rPr>
  </w:style>
  <w:style w:type="paragraph" w:styleId="756">
    <w:name w:val="Heading 4"/>
    <w:basedOn w:val="752"/>
    <w:next w:val="764"/>
    <w:link w:val="984"/>
    <w:uiPriority w:val="0"/>
    <w:qFormat/>
    <w:pPr>
      <w:keepLines/>
      <w:keepNext/>
      <w:spacing w:before="280" w:after="290" w:line="376" w:lineRule="auto"/>
      <w:outlineLvl w:val="3"/>
    </w:pPr>
    <w:rPr>
      <w:rFonts w:ascii="Arial" w:hAnsi="Arial" w:eastAsia="黑体" w:cs="Arial"/>
      <w:b/>
      <w:bCs/>
      <w:sz w:val="28"/>
      <w:szCs w:val="28"/>
    </w:rPr>
  </w:style>
  <w:style w:type="paragraph" w:styleId="757">
    <w:name w:val="Heading 5"/>
    <w:basedOn w:val="752"/>
    <w:next w:val="764"/>
    <w:link w:val="980"/>
    <w:uiPriority w:val="0"/>
    <w:qFormat/>
    <w:pPr>
      <w:keepNext/>
      <w:outlineLvl w:val="4"/>
    </w:pPr>
    <w:rPr>
      <w:rFonts w:ascii="宋体"/>
      <w:color w:val="000000"/>
      <w:sz w:val="28"/>
      <w:szCs w:val="28"/>
    </w:rPr>
  </w:style>
  <w:style w:type="paragraph" w:styleId="758">
    <w:name w:val="Heading 6"/>
    <w:basedOn w:val="752"/>
    <w:next w:val="752"/>
    <w:link w:val="96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9">
    <w:name w:val="Heading 7"/>
    <w:basedOn w:val="752"/>
    <w:next w:val="752"/>
    <w:link w:val="976"/>
    <w:uiPriority w:val="0"/>
    <w:qFormat/>
    <w:pPr>
      <w:numPr>
        <w:ilvl w:val="6"/>
        <w:numId w:val="1"/>
      </w:numPr>
      <w:keepLines/>
      <w:keepNext/>
      <w:spacing w:before="240" w:after="64" w:line="320" w:lineRule="auto"/>
      <w:outlineLvl w:val="6"/>
    </w:pPr>
    <w:rPr>
      <w:b/>
      <w:bCs/>
      <w:sz w:val="24"/>
      <w:szCs w:val="24"/>
    </w:rPr>
  </w:style>
  <w:style w:type="paragraph" w:styleId="760">
    <w:name w:val="Heading 8"/>
    <w:basedOn w:val="752"/>
    <w:next w:val="752"/>
    <w:link w:val="989"/>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61">
    <w:name w:val="Heading 9"/>
    <w:basedOn w:val="752"/>
    <w:next w:val="752"/>
    <w:link w:val="978"/>
    <w:uiPriority w:val="9"/>
    <w:qFormat/>
    <w:pPr>
      <w:numPr>
        <w:ilvl w:val="8"/>
        <w:numId w:val="1"/>
      </w:numPr>
      <w:keepLines/>
      <w:keepNext/>
      <w:spacing w:before="240" w:after="64" w:line="320" w:lineRule="auto"/>
      <w:outlineLvl w:val="8"/>
    </w:pPr>
    <w:rPr>
      <w:rFonts w:ascii="Arial" w:hAnsi="Arial" w:eastAsia="黑体"/>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Normal Indent"/>
    <w:basedOn w:val="752"/>
    <w:link w:val="975"/>
    <w:uiPriority w:val="0"/>
    <w:qFormat/>
    <w:pPr>
      <w:ind w:firstLine="420"/>
    </w:pPr>
  </w:style>
  <w:style w:type="paragraph" w:styleId="765">
    <w:name w:val="List 3"/>
    <w:basedOn w:val="752"/>
    <w:uiPriority w:val="0"/>
    <w:qFormat/>
    <w:pPr>
      <w:ind w:left="100" w:hanging="200"/>
    </w:pPr>
  </w:style>
  <w:style w:type="paragraph" w:styleId="766">
    <w:name w:val="toc 7"/>
    <w:basedOn w:val="752"/>
    <w:next w:val="752"/>
    <w:uiPriority w:val="0"/>
    <w:semiHidden/>
    <w:qFormat/>
    <w:pPr>
      <w:ind w:left="1260"/>
      <w:jc w:val="left"/>
    </w:pPr>
  </w:style>
  <w:style w:type="paragraph" w:styleId="767">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Document Map"/>
    <w:basedOn w:val="752"/>
    <w:link w:val="961"/>
    <w:uiPriority w:val="0"/>
    <w:semiHidden/>
    <w:qFormat/>
    <w:pPr>
      <w:shd w:val="clear" w:color="auto" w:fill="000080"/>
    </w:pPr>
  </w:style>
  <w:style w:type="paragraph" w:styleId="769">
    <w:name w:val="annotation text"/>
    <w:basedOn w:val="752"/>
    <w:link w:val="979"/>
    <w:uiPriority w:val="99"/>
    <w:semiHidden/>
    <w:qFormat/>
    <w:pPr>
      <w:jc w:val="left"/>
    </w:pPr>
  </w:style>
  <w:style w:type="paragraph" w:styleId="770">
    <w:name w:val="Body Text 3"/>
    <w:basedOn w:val="752"/>
    <w:link w:val="972"/>
    <w:uiPriority w:val="0"/>
    <w:qFormat/>
    <w:rPr>
      <w:rFonts w:ascii="仿宋_GB2312" w:hAnsi="Arial" w:eastAsia="仿宋_GB2312"/>
      <w:sz w:val="32"/>
      <w:szCs w:val="32"/>
    </w:rPr>
  </w:style>
  <w:style w:type="paragraph" w:styleId="771">
    <w:name w:val="Body Text"/>
    <w:basedOn w:val="752"/>
    <w:link w:val="987"/>
    <w:uiPriority w:val="99"/>
    <w:qFormat/>
    <w:rPr>
      <w:rFonts w:ascii="楷体_GB2312" w:hAnsi="Arial" w:eastAsia="楷体_GB2312"/>
      <w:sz w:val="28"/>
      <w:szCs w:val="28"/>
    </w:rPr>
  </w:style>
  <w:style w:type="paragraph" w:styleId="772">
    <w:name w:val="Body Text Indent"/>
    <w:basedOn w:val="752"/>
    <w:link w:val="977"/>
    <w:uiPriority w:val="0"/>
    <w:qFormat/>
    <w:pPr>
      <w:ind w:firstLine="645"/>
    </w:pPr>
    <w:rPr>
      <w:rFonts w:ascii="楷体_GB2312" w:eastAsia="楷体_GB2312"/>
      <w:sz w:val="32"/>
      <w:szCs w:val="32"/>
    </w:rPr>
  </w:style>
  <w:style w:type="paragraph" w:styleId="773">
    <w:name w:val="List 2"/>
    <w:basedOn w:val="752"/>
    <w:uiPriority w:val="0"/>
    <w:qFormat/>
    <w:pPr>
      <w:ind w:left="100" w:hanging="200"/>
    </w:pPr>
  </w:style>
  <w:style w:type="paragraph" w:styleId="774">
    <w:name w:val="Block Text"/>
    <w:basedOn w:val="752"/>
    <w:uiPriority w:val="0"/>
    <w:unhideWhenUsed/>
    <w:qFormat/>
    <w:rPr>
      <w:rFonts w:ascii="Calibri" w:hAnsi="Calibri" w:eastAsia="微软雅黑"/>
      <w:szCs w:val="24"/>
    </w:rPr>
  </w:style>
  <w:style w:type="paragraph" w:styleId="775">
    <w:name w:val="toc 5"/>
    <w:basedOn w:val="752"/>
    <w:next w:val="752"/>
    <w:uiPriority w:val="0"/>
    <w:semiHidden/>
    <w:qFormat/>
    <w:pPr>
      <w:ind w:left="840"/>
      <w:jc w:val="left"/>
    </w:pPr>
  </w:style>
  <w:style w:type="paragraph" w:styleId="776">
    <w:name w:val="toc 3"/>
    <w:basedOn w:val="752"/>
    <w:next w:val="752"/>
    <w:uiPriority w:val="39"/>
    <w:qFormat/>
    <w:pPr>
      <w:ind w:left="420"/>
      <w:jc w:val="left"/>
    </w:pPr>
    <w:rPr>
      <w:i/>
      <w:iCs/>
      <w:szCs w:val="24"/>
    </w:rPr>
  </w:style>
  <w:style w:type="paragraph" w:styleId="777">
    <w:name w:val="Plain Text"/>
    <w:basedOn w:val="752"/>
    <w:link w:val="960"/>
    <w:uiPriority w:val="0"/>
    <w:qFormat/>
    <w:rPr>
      <w:rFonts w:ascii="宋体" w:hAnsi="Courier New" w:cs="Courier New"/>
    </w:rPr>
  </w:style>
  <w:style w:type="paragraph" w:styleId="778">
    <w:name w:val="toc 8"/>
    <w:basedOn w:val="752"/>
    <w:next w:val="752"/>
    <w:uiPriority w:val="0"/>
    <w:semiHidden/>
    <w:qFormat/>
    <w:pPr>
      <w:ind w:left="1470"/>
      <w:jc w:val="left"/>
    </w:pPr>
  </w:style>
  <w:style w:type="paragraph" w:styleId="779">
    <w:name w:val="Date"/>
    <w:basedOn w:val="752"/>
    <w:next w:val="752"/>
    <w:link w:val="982"/>
    <w:uiPriority w:val="0"/>
    <w:qFormat/>
    <w:rPr>
      <w:sz w:val="24"/>
      <w:szCs w:val="24"/>
    </w:rPr>
  </w:style>
  <w:style w:type="paragraph" w:styleId="780">
    <w:name w:val="Body Text Indent 2"/>
    <w:basedOn w:val="752"/>
    <w:link w:val="981"/>
    <w:uiPriority w:val="0"/>
    <w:qFormat/>
    <w:pPr>
      <w:ind w:left="630" w:firstLine="645"/>
    </w:pPr>
    <w:rPr>
      <w:rFonts w:ascii="Arial" w:hAnsi="Arial" w:eastAsia="仿宋_GB2312" w:cs="Arial"/>
      <w:sz w:val="32"/>
      <w:szCs w:val="32"/>
    </w:rPr>
  </w:style>
  <w:style w:type="paragraph" w:styleId="781">
    <w:name w:val="endnote text"/>
    <w:basedOn w:val="752"/>
    <w:link w:val="956"/>
    <w:uiPriority w:val="99"/>
    <w:semiHidden/>
    <w:unhideWhenUsed/>
    <w:qFormat/>
    <w:rPr>
      <w:sz w:val="20"/>
    </w:rPr>
  </w:style>
  <w:style w:type="paragraph" w:styleId="782">
    <w:name w:val="Balloon Text"/>
    <w:basedOn w:val="752"/>
    <w:link w:val="983"/>
    <w:uiPriority w:val="99"/>
    <w:semiHidden/>
    <w:qFormat/>
    <w:rPr>
      <w:sz w:val="18"/>
      <w:szCs w:val="18"/>
    </w:rPr>
  </w:style>
  <w:style w:type="paragraph" w:styleId="783">
    <w:name w:val="Footer"/>
    <w:basedOn w:val="752"/>
    <w:link w:val="962"/>
    <w:uiPriority w:val="99"/>
    <w:qFormat/>
    <w:pPr>
      <w:jc w:val="left"/>
      <w:tabs>
        <w:tab w:val="center" w:pos="4153" w:leader="none"/>
        <w:tab w:val="right" w:pos="8306" w:leader="none"/>
      </w:tabs>
    </w:pPr>
    <w:rPr>
      <w:sz w:val="18"/>
      <w:szCs w:val="18"/>
    </w:rPr>
  </w:style>
  <w:style w:type="paragraph" w:styleId="784">
    <w:name w:val="Header"/>
    <w:basedOn w:val="752"/>
    <w:link w:val="986"/>
    <w:uiPriority w:val="99"/>
    <w:qFormat/>
    <w:pPr>
      <w:jc w:val="center"/>
      <w:tabs>
        <w:tab w:val="center" w:pos="4153" w:leader="none"/>
        <w:tab w:val="right" w:pos="8306" w:leader="none"/>
      </w:tabs>
      <w:pBdr>
        <w:bottom w:val="single" w:color="000000" w:sz="6" w:space="1"/>
      </w:pBdr>
    </w:pPr>
    <w:rPr>
      <w:sz w:val="18"/>
      <w:szCs w:val="18"/>
    </w:rPr>
  </w:style>
  <w:style w:type="paragraph" w:styleId="785">
    <w:name w:val="toc 1"/>
    <w:basedOn w:val="752"/>
    <w:next w:val="752"/>
    <w:uiPriority w:val="39"/>
    <w:qFormat/>
    <w:pPr>
      <w:jc w:val="left"/>
      <w:spacing w:before="120" w:after="120" w:line="400" w:lineRule="exact"/>
      <w:tabs>
        <w:tab w:val="right" w:pos="8720" w:leader="dot"/>
      </w:tabs>
    </w:pPr>
    <w:rPr>
      <w:rFonts w:ascii="宋体" w:hAnsi="宋体"/>
      <w:caps/>
      <w:sz w:val="24"/>
      <w:szCs w:val="24"/>
    </w:rPr>
  </w:style>
  <w:style w:type="paragraph" w:styleId="786">
    <w:name w:val="toc 4"/>
    <w:basedOn w:val="752"/>
    <w:next w:val="752"/>
    <w:uiPriority w:val="0"/>
    <w:semiHidden/>
    <w:qFormat/>
    <w:pPr>
      <w:ind w:left="630"/>
      <w:jc w:val="left"/>
    </w:pPr>
  </w:style>
  <w:style w:type="paragraph" w:styleId="787">
    <w:name w:val="Subtitle"/>
    <w:basedOn w:val="752"/>
    <w:next w:val="752"/>
    <w:link w:val="822"/>
    <w:uiPriority w:val="11"/>
    <w:qFormat/>
    <w:pPr>
      <w:spacing w:before="200" w:after="200"/>
    </w:pPr>
    <w:rPr>
      <w:sz w:val="24"/>
      <w:szCs w:val="24"/>
    </w:rPr>
  </w:style>
  <w:style w:type="paragraph" w:styleId="788">
    <w:name w:val="List"/>
    <w:basedOn w:val="752"/>
    <w:uiPriority w:val="0"/>
    <w:qFormat/>
    <w:pPr>
      <w:ind w:left="200" w:hanging="200"/>
    </w:pPr>
  </w:style>
  <w:style w:type="paragraph" w:styleId="789">
    <w:name w:val="footnote text"/>
    <w:basedOn w:val="752"/>
    <w:link w:val="955"/>
    <w:uiPriority w:val="0"/>
    <w:unhideWhenUsed/>
    <w:qFormat/>
    <w:pPr>
      <w:spacing w:after="40"/>
    </w:pPr>
    <w:rPr>
      <w:sz w:val="18"/>
    </w:rPr>
  </w:style>
  <w:style w:type="paragraph" w:styleId="790">
    <w:name w:val="toc 6"/>
    <w:basedOn w:val="752"/>
    <w:next w:val="752"/>
    <w:uiPriority w:val="0"/>
    <w:semiHidden/>
    <w:qFormat/>
    <w:pPr>
      <w:ind w:left="1050"/>
      <w:jc w:val="left"/>
    </w:pPr>
  </w:style>
  <w:style w:type="paragraph" w:styleId="791">
    <w:name w:val="Body Text Indent 3"/>
    <w:basedOn w:val="752"/>
    <w:link w:val="988"/>
    <w:uiPriority w:val="0"/>
    <w:qFormat/>
    <w:pPr>
      <w:ind w:left="645" w:firstLine="645"/>
    </w:pPr>
    <w:rPr>
      <w:rFonts w:ascii="Arial" w:hAnsi="Arial" w:eastAsia="仿宋_GB2312" w:cs="Arial"/>
      <w:color w:val="ffff00"/>
      <w:sz w:val="32"/>
      <w:szCs w:val="32"/>
    </w:rPr>
  </w:style>
  <w:style w:type="paragraph" w:styleId="792">
    <w:name w:val="table of figures"/>
    <w:basedOn w:val="752"/>
    <w:next w:val="752"/>
    <w:uiPriority w:val="0"/>
    <w:semiHidden/>
    <w:qFormat/>
    <w:pPr>
      <w:ind w:left="840" w:hanging="420"/>
    </w:pPr>
  </w:style>
  <w:style w:type="paragraph" w:styleId="793">
    <w:name w:val="toc 2"/>
    <w:basedOn w:val="752"/>
    <w:next w:val="752"/>
    <w:uiPriority w:val="39"/>
    <w:qFormat/>
    <w:pPr>
      <w:ind w:left="210"/>
      <w:jc w:val="left"/>
    </w:pPr>
    <w:rPr>
      <w:smallCaps/>
      <w:szCs w:val="24"/>
    </w:rPr>
  </w:style>
  <w:style w:type="paragraph" w:styleId="794">
    <w:name w:val="toc 9"/>
    <w:basedOn w:val="752"/>
    <w:next w:val="752"/>
    <w:uiPriority w:val="0"/>
    <w:semiHidden/>
    <w:qFormat/>
    <w:pPr>
      <w:ind w:left="1680"/>
      <w:jc w:val="left"/>
    </w:pPr>
  </w:style>
  <w:style w:type="paragraph" w:styleId="795">
    <w:name w:val="Body Text 2"/>
    <w:basedOn w:val="752"/>
    <w:link w:val="967"/>
    <w:uiPriority w:val="0"/>
    <w:qFormat/>
    <w:pPr>
      <w:jc w:val="center"/>
      <w:widowControl/>
    </w:pPr>
    <w:rPr>
      <w:rFonts w:ascii="楷体_GB2312" w:eastAsia="楷体_GB2312"/>
      <w:sz w:val="28"/>
      <w:szCs w:val="28"/>
    </w:rPr>
  </w:style>
  <w:style w:type="paragraph" w:styleId="796">
    <w:name w:val="Normal (Web)"/>
    <w:basedOn w:val="752"/>
    <w:uiPriority w:val="99"/>
    <w:qFormat/>
    <w:pPr>
      <w:jc w:val="left"/>
      <w:spacing w:before="100" w:beforeAutospacing="1" w:after="100" w:afterAutospacing="1"/>
      <w:widowControl/>
    </w:pPr>
    <w:rPr>
      <w:rFonts w:ascii="宋体" w:hAnsi="宋体" w:cs="宋体"/>
      <w:sz w:val="24"/>
      <w:szCs w:val="24"/>
    </w:rPr>
  </w:style>
  <w:style w:type="paragraph" w:styleId="797">
    <w:name w:val="index 1"/>
    <w:basedOn w:val="752"/>
    <w:next w:val="752"/>
    <w:uiPriority w:val="0"/>
    <w:semiHidden/>
    <w:qFormat/>
    <w:pPr>
      <w:spacing w:line="240" w:lineRule="atLeast"/>
    </w:pPr>
    <w:rPr>
      <w:b/>
      <w:bCs/>
    </w:rPr>
  </w:style>
  <w:style w:type="paragraph" w:styleId="798">
    <w:name w:val="Title"/>
    <w:basedOn w:val="752"/>
    <w:next w:val="752"/>
    <w:link w:val="821"/>
    <w:uiPriority w:val="10"/>
    <w:qFormat/>
    <w:pPr>
      <w:contextualSpacing/>
      <w:spacing w:before="300" w:after="200"/>
    </w:pPr>
    <w:rPr>
      <w:sz w:val="48"/>
      <w:szCs w:val="48"/>
    </w:rPr>
  </w:style>
  <w:style w:type="paragraph" w:styleId="799">
    <w:name w:val="annotation subject"/>
    <w:basedOn w:val="769"/>
    <w:next w:val="769"/>
    <w:link w:val="966"/>
    <w:uiPriority w:val="99"/>
    <w:semiHidden/>
    <w:qFormat/>
    <w:rPr>
      <w:b/>
      <w:bCs/>
    </w:rPr>
  </w:style>
  <w:style w:type="paragraph" w:styleId="800">
    <w:name w:val="Body Text First Indent"/>
    <w:basedOn w:val="752"/>
    <w:link w:val="968"/>
    <w:uiPriority w:val="0"/>
    <w:qFormat/>
    <w:pPr>
      <w:ind w:firstLine="200"/>
      <w:spacing w:line="360" w:lineRule="auto"/>
    </w:pPr>
    <w:rPr>
      <w:rFonts w:ascii="仿宋_GB2312" w:eastAsia="仿宋_GB2312"/>
      <w:sz w:val="30"/>
      <w:szCs w:val="30"/>
    </w:rPr>
  </w:style>
  <w:style w:type="paragraph" w:styleId="801">
    <w:name w:val="Body Text First Indent 2"/>
    <w:basedOn w:val="772"/>
    <w:link w:val="969"/>
    <w:uiPriority w:val="0"/>
    <w:qFormat/>
    <w:pPr>
      <w:ind w:firstLine="420"/>
      <w:spacing w:line="360" w:lineRule="auto"/>
    </w:pPr>
    <w:rPr>
      <w:rFonts w:ascii="宋体" w:hAnsi="宋体" w:eastAsia="宋体"/>
      <w:sz w:val="21"/>
      <w:szCs w:val="20"/>
    </w:rPr>
  </w:style>
  <w:style w:type="table" w:styleId="802">
    <w:name w:val="Table Grid"/>
    <w:basedOn w:val="763"/>
    <w:uiPriority w:val="0"/>
    <w:qFormat/>
    <w:pPr>
      <w:jc w:val="both"/>
      <w:widowControl w:val="off"/>
    </w:pPr>
    <w:tblPr>
      <w:tblCellMar>
        <w:left w:w="108" w:type="dxa"/>
        <w:top w:w="0" w:type="dxa"/>
        <w:right w:w="108" w:type="dxa"/>
        <w:bottom w:w="0" w:type="dxa"/>
      </w:tblCellMar>
    </w:tblPr>
  </w:style>
  <w:style w:type="character" w:styleId="803">
    <w:name w:val="Strong"/>
    <w:uiPriority w:val="22"/>
    <w:qFormat/>
    <w:rPr>
      <w:b/>
      <w:bCs/>
    </w:rPr>
  </w:style>
  <w:style w:type="character" w:styleId="804">
    <w:name w:val="endnote reference"/>
    <w:uiPriority w:val="99"/>
    <w:semiHidden/>
    <w:unhideWhenUsed/>
    <w:qFormat/>
    <w:rPr>
      <w:vertAlign w:val="superscript"/>
    </w:rPr>
  </w:style>
  <w:style w:type="character" w:styleId="805">
    <w:name w:val="page number"/>
    <w:uiPriority w:val="0"/>
    <w:qFormat/>
  </w:style>
  <w:style w:type="character" w:styleId="806">
    <w:name w:val="FollowedHyperlink"/>
    <w:basedOn w:val="762"/>
    <w:uiPriority w:val="99"/>
    <w:semiHidden/>
    <w:unhideWhenUsed/>
    <w:qFormat/>
    <w:rPr>
      <w:color w:val="800080" w:themeColor="followedHyperlink"/>
      <w:u w:val="single"/>
      <w14:textFill>
        <w14:solidFill>
          <w14:schemeClr w14:val="folHlink"/>
        </w14:solidFill>
      </w14:textFill>
    </w:rPr>
  </w:style>
  <w:style w:type="character" w:styleId="807">
    <w:name w:val="Hyperlink"/>
    <w:uiPriority w:val="99"/>
    <w:qFormat/>
    <w:rPr>
      <w:color w:val="0000ff"/>
      <w:u w:val="single"/>
    </w:rPr>
  </w:style>
  <w:style w:type="character" w:styleId="808">
    <w:name w:val="annotation reference"/>
    <w:uiPriority w:val="99"/>
    <w:semiHidden/>
    <w:qFormat/>
    <w:rPr>
      <w:sz w:val="21"/>
      <w:szCs w:val="21"/>
    </w:rPr>
  </w:style>
  <w:style w:type="character" w:styleId="809">
    <w:name w:val="footnote reference"/>
    <w:uiPriority w:val="99"/>
    <w:unhideWhenUsed/>
    <w:qFormat/>
    <w:rPr>
      <w:vertAlign w:val="superscript"/>
    </w:rPr>
  </w:style>
  <w:style w:type="character" w:styleId="810" w:customStyle="1">
    <w:name w:val="Heading 1 Char"/>
    <w:uiPriority w:val="9"/>
    <w:qFormat/>
    <w:rPr>
      <w:rFonts w:ascii="Arial" w:hAnsi="Arial" w:eastAsia="Arial" w:cs="Arial"/>
      <w:sz w:val="40"/>
      <w:szCs w:val="40"/>
    </w:rPr>
  </w:style>
  <w:style w:type="character" w:styleId="811" w:customStyle="1">
    <w:name w:val="Heading 2 Char"/>
    <w:uiPriority w:val="9"/>
    <w:qFormat/>
    <w:rPr>
      <w:rFonts w:ascii="Arial" w:hAnsi="Arial" w:eastAsia="Arial" w:cs="Arial"/>
      <w:sz w:val="34"/>
    </w:rPr>
  </w:style>
  <w:style w:type="character" w:styleId="812" w:customStyle="1">
    <w:name w:val="Heading 3 Char"/>
    <w:uiPriority w:val="9"/>
    <w:qFormat/>
    <w:rPr>
      <w:rFonts w:ascii="Arial" w:hAnsi="Arial" w:eastAsia="Arial" w:cs="Arial"/>
      <w:sz w:val="30"/>
      <w:szCs w:val="30"/>
    </w:rPr>
  </w:style>
  <w:style w:type="character" w:styleId="813" w:customStyle="1">
    <w:name w:val="Heading 4 Char"/>
    <w:uiPriority w:val="9"/>
    <w:qFormat/>
    <w:rPr>
      <w:rFonts w:ascii="Arial" w:hAnsi="Arial" w:eastAsia="Arial" w:cs="Arial"/>
      <w:b/>
      <w:bCs/>
      <w:sz w:val="26"/>
      <w:szCs w:val="26"/>
    </w:rPr>
  </w:style>
  <w:style w:type="character" w:styleId="814" w:customStyle="1">
    <w:name w:val="Heading 5 Char"/>
    <w:uiPriority w:val="9"/>
    <w:qFormat/>
    <w:rPr>
      <w:rFonts w:ascii="Arial" w:hAnsi="Arial" w:eastAsia="Arial" w:cs="Arial"/>
      <w:b/>
      <w:bCs/>
      <w:sz w:val="24"/>
      <w:szCs w:val="24"/>
    </w:rPr>
  </w:style>
  <w:style w:type="character" w:styleId="815" w:customStyle="1">
    <w:name w:val="Heading 6 Char"/>
    <w:uiPriority w:val="9"/>
    <w:qFormat/>
    <w:rPr>
      <w:rFonts w:ascii="Arial" w:hAnsi="Arial" w:eastAsia="Arial" w:cs="Arial"/>
      <w:b/>
      <w:bCs/>
      <w:sz w:val="22"/>
      <w:szCs w:val="22"/>
    </w:rPr>
  </w:style>
  <w:style w:type="character" w:styleId="816" w:customStyle="1">
    <w:name w:val="Heading 7 Char"/>
    <w:uiPriority w:val="9"/>
    <w:qFormat/>
    <w:rPr>
      <w:rFonts w:ascii="Arial" w:hAnsi="Arial" w:eastAsia="Arial" w:cs="Arial"/>
      <w:b/>
      <w:bCs/>
      <w:i/>
      <w:iCs/>
      <w:sz w:val="22"/>
      <w:szCs w:val="22"/>
    </w:rPr>
  </w:style>
  <w:style w:type="character" w:styleId="817" w:customStyle="1">
    <w:name w:val="Heading 8 Char"/>
    <w:uiPriority w:val="9"/>
    <w:qFormat/>
    <w:rPr>
      <w:rFonts w:ascii="Arial" w:hAnsi="Arial" w:eastAsia="Arial" w:cs="Arial"/>
      <w:i/>
      <w:iCs/>
      <w:sz w:val="22"/>
      <w:szCs w:val="22"/>
    </w:rPr>
  </w:style>
  <w:style w:type="character" w:styleId="818" w:customStyle="1">
    <w:name w:val="Heading 9 Char"/>
    <w:uiPriority w:val="9"/>
    <w:qFormat/>
    <w:rPr>
      <w:rFonts w:ascii="Arial" w:hAnsi="Arial" w:eastAsia="Arial" w:cs="Arial"/>
      <w:i/>
      <w:iCs/>
      <w:sz w:val="21"/>
      <w:szCs w:val="21"/>
    </w:rPr>
  </w:style>
  <w:style w:type="paragraph" w:styleId="819">
    <w:name w:val="List Paragraph"/>
    <w:basedOn w:val="752"/>
    <w:uiPriority w:val="34"/>
    <w:qFormat/>
    <w:pPr>
      <w:contextualSpacing/>
      <w:ind w:left="720"/>
      <w:jc w:val="left"/>
      <w:widowControl/>
    </w:pPr>
    <w:rPr>
      <w:rFonts w:ascii="Calibri" w:hAnsi="Calibri"/>
      <w:sz w:val="24"/>
      <w:szCs w:val="24"/>
      <w:lang w:eastAsia="en-US" w:bidi="en-US"/>
    </w:rPr>
  </w:style>
  <w:style w:type="paragraph" w:styleId="82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21" w:customStyle="1">
    <w:name w:val="标题 Char"/>
    <w:link w:val="798"/>
    <w:uiPriority w:val="0"/>
    <w:qFormat/>
    <w:rPr>
      <w:sz w:val="48"/>
      <w:szCs w:val="48"/>
    </w:rPr>
  </w:style>
  <w:style w:type="character" w:styleId="822" w:customStyle="1">
    <w:name w:val="副标题 Char"/>
    <w:link w:val="787"/>
    <w:uiPriority w:val="11"/>
    <w:qFormat/>
    <w:rPr>
      <w:sz w:val="24"/>
      <w:szCs w:val="24"/>
    </w:rPr>
  </w:style>
  <w:style w:type="paragraph" w:styleId="823">
    <w:name w:val="Quote"/>
    <w:basedOn w:val="752"/>
    <w:next w:val="752"/>
    <w:link w:val="824"/>
    <w:uiPriority w:val="29"/>
    <w:qFormat/>
    <w:pPr>
      <w:ind w:left="720" w:right="720"/>
    </w:pPr>
    <w:rPr>
      <w:i/>
    </w:rPr>
  </w:style>
  <w:style w:type="character" w:styleId="824" w:customStyle="1">
    <w:name w:val="引用 Char"/>
    <w:link w:val="823"/>
    <w:uiPriority w:val="29"/>
    <w:qFormat/>
    <w:rPr>
      <w:i/>
    </w:rPr>
  </w:style>
  <w:style w:type="paragraph" w:styleId="825">
    <w:name w:val="Intense Quote"/>
    <w:basedOn w:val="752"/>
    <w:next w:val="752"/>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Char"/>
    <w:link w:val="825"/>
    <w:uiPriority w:val="30"/>
    <w:qFormat/>
    <w:rPr>
      <w:i/>
    </w:rPr>
  </w:style>
  <w:style w:type="character" w:styleId="827" w:customStyle="1">
    <w:name w:val="Header Char"/>
    <w:uiPriority w:val="99"/>
    <w:qFormat/>
  </w:style>
  <w:style w:type="character" w:styleId="828" w:customStyle="1">
    <w:name w:val="Footer Char"/>
    <w:uiPriority w:val="99"/>
    <w:qFormat/>
  </w:style>
  <w:style w:type="character" w:styleId="829" w:customStyle="1">
    <w:name w:val="Caption Char"/>
    <w:uiPriority w:val="99"/>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脚注文本 Char"/>
    <w:link w:val="789"/>
    <w:uiPriority w:val="0"/>
    <w:qFormat/>
    <w:rPr>
      <w:sz w:val="18"/>
    </w:rPr>
  </w:style>
  <w:style w:type="character" w:styleId="956" w:customStyle="1">
    <w:name w:val="尾注文本 Char"/>
    <w:link w:val="781"/>
    <w:uiPriority w:val="99"/>
    <w:qFormat/>
    <w:rPr>
      <w:sz w:val="20"/>
    </w:rPr>
  </w:style>
  <w:style w:type="paragraph" w:styleId="957" w:customStyle="1">
    <w:name w:val="TOC Heading"/>
    <w:uiPriority w:val="39"/>
    <w:unhideWhenUsed/>
    <w:qFormat/>
    <w:rPr>
      <w:rFonts w:ascii="Times New Roman" w:hAnsi="Times New Roman" w:eastAsia="宋体" w:cs="Times New Roman"/>
      <w:lang w:val="en-US" w:eastAsia="zh-CN" w:bidi="ar-SA"/>
    </w:rPr>
  </w:style>
  <w:style w:type="character" w:styleId="958" w:customStyle="1">
    <w:name w:val="标题 3 Char"/>
    <w:link w:val="755"/>
    <w:uiPriority w:val="0"/>
    <w:qFormat/>
    <w:rPr>
      <w:rFonts w:ascii="Times New Roman" w:hAnsi="Times New Roman" w:eastAsia="宋体" w:cs="Times New Roman"/>
      <w:b/>
      <w:bCs/>
      <w:sz w:val="32"/>
      <w:szCs w:val="32"/>
    </w:rPr>
  </w:style>
  <w:style w:type="character" w:styleId="959" w:customStyle="1">
    <w:name w:val="标题 2 Char"/>
    <w:link w:val="754"/>
    <w:uiPriority w:val="0"/>
    <w:qFormat/>
    <w:rPr>
      <w:rFonts w:ascii="Arial" w:hAnsi="Arial" w:eastAsia="幼圆" w:cs="Arial"/>
      <w:b/>
      <w:bCs/>
      <w:sz w:val="44"/>
      <w:szCs w:val="44"/>
    </w:rPr>
  </w:style>
  <w:style w:type="character" w:styleId="960" w:customStyle="1">
    <w:name w:val="纯文本 Char"/>
    <w:link w:val="777"/>
    <w:uiPriority w:val="0"/>
    <w:qFormat/>
    <w:rPr>
      <w:rFonts w:ascii="宋体" w:hAnsi="Courier New" w:eastAsia="宋体" w:cs="Courier New"/>
      <w:szCs w:val="21"/>
    </w:rPr>
  </w:style>
  <w:style w:type="character" w:styleId="961" w:customStyle="1">
    <w:name w:val="文档结构图 Char"/>
    <w:link w:val="768"/>
    <w:uiPriority w:val="0"/>
    <w:semiHidden/>
    <w:qFormat/>
    <w:rPr>
      <w:rFonts w:ascii="Times New Roman" w:hAnsi="Times New Roman" w:eastAsia="宋体" w:cs="Times New Roman"/>
      <w:szCs w:val="21"/>
      <w:shd w:val="clear" w:color="auto" w:fill="000080"/>
    </w:rPr>
  </w:style>
  <w:style w:type="character" w:styleId="962" w:customStyle="1">
    <w:name w:val="页脚 Char"/>
    <w:link w:val="783"/>
    <w:uiPriority w:val="99"/>
    <w:qFormat/>
    <w:rPr>
      <w:rFonts w:ascii="Times New Roman" w:hAnsi="Times New Roman" w:eastAsia="宋体" w:cs="Times New Roman"/>
      <w:sz w:val="18"/>
      <w:szCs w:val="18"/>
    </w:rPr>
  </w:style>
  <w:style w:type="character" w:styleId="963" w:customStyle="1">
    <w:name w:val="列出段落 Char"/>
    <w:link w:val="964"/>
    <w:uiPriority w:val="34"/>
    <w:qFormat/>
    <w:rPr>
      <w:rFonts w:ascii="Calibri" w:hAnsi="Calibri"/>
      <w:sz w:val="24"/>
      <w:szCs w:val="24"/>
      <w:lang w:eastAsia="en-US" w:bidi="en-US"/>
    </w:rPr>
  </w:style>
  <w:style w:type="paragraph" w:styleId="964" w:customStyle="1">
    <w:name w:val="列出段落1"/>
    <w:basedOn w:val="752"/>
    <w:link w:val="963"/>
    <w:uiPriority w:val="0"/>
    <w:qFormat/>
    <w:pPr>
      <w:contextualSpacing/>
      <w:ind w:left="720"/>
      <w:jc w:val="left"/>
      <w:widowControl/>
    </w:pPr>
    <w:rPr>
      <w:rFonts w:ascii="Calibri" w:hAnsi="Calibri"/>
      <w:sz w:val="24"/>
      <w:szCs w:val="24"/>
      <w:lang w:eastAsia="en-US" w:bidi="en-US"/>
    </w:rPr>
  </w:style>
  <w:style w:type="character" w:styleId="965" w:customStyle="1">
    <w:name w:val="标题 6 Char"/>
    <w:link w:val="758"/>
    <w:uiPriority w:val="0"/>
    <w:qFormat/>
    <w:rPr>
      <w:rFonts w:ascii="Arial" w:hAnsi="Arial" w:eastAsia="黑体" w:cs="Times New Roman"/>
      <w:b/>
      <w:bCs/>
      <w:sz w:val="24"/>
      <w:szCs w:val="24"/>
    </w:rPr>
  </w:style>
  <w:style w:type="character" w:styleId="966" w:customStyle="1">
    <w:name w:val="批注主题 Char"/>
    <w:link w:val="799"/>
    <w:uiPriority w:val="99"/>
    <w:semiHidden/>
    <w:qFormat/>
    <w:rPr>
      <w:rFonts w:ascii="Times New Roman" w:hAnsi="Times New Roman" w:eastAsia="宋体" w:cs="Times New Roman"/>
      <w:b/>
      <w:bCs/>
      <w:szCs w:val="21"/>
    </w:rPr>
  </w:style>
  <w:style w:type="character" w:styleId="967" w:customStyle="1">
    <w:name w:val="正文文本 2 Char"/>
    <w:link w:val="795"/>
    <w:uiPriority w:val="0"/>
    <w:qFormat/>
    <w:rPr>
      <w:rFonts w:ascii="楷体_GB2312" w:hAnsi="Times New Roman" w:eastAsia="楷体_GB2312" w:cs="Times New Roman"/>
      <w:sz w:val="28"/>
      <w:szCs w:val="28"/>
    </w:rPr>
  </w:style>
  <w:style w:type="character" w:styleId="968" w:customStyle="1">
    <w:name w:val="正文首行缩进 Char"/>
    <w:link w:val="800"/>
    <w:uiPriority w:val="0"/>
    <w:qFormat/>
    <w:rPr>
      <w:rFonts w:ascii="仿宋_GB2312" w:hAnsi="Times New Roman" w:eastAsia="仿宋_GB2312" w:cs="Times New Roman"/>
      <w:sz w:val="30"/>
      <w:szCs w:val="30"/>
    </w:rPr>
  </w:style>
  <w:style w:type="character" w:styleId="969" w:customStyle="1">
    <w:name w:val="正文首行缩进 2 Char"/>
    <w:link w:val="801"/>
    <w:uiPriority w:val="0"/>
    <w:qFormat/>
    <w:rPr>
      <w:rFonts w:ascii="宋体" w:hAnsi="宋体" w:eastAsia="宋体" w:cs="Times New Roman"/>
      <w:sz w:val="32"/>
      <w:szCs w:val="20"/>
    </w:rPr>
  </w:style>
  <w:style w:type="character" w:styleId="970" w:customStyle="1">
    <w:name w:val="标题 1 Char"/>
    <w:link w:val="753"/>
    <w:uiPriority w:val="0"/>
    <w:qFormat/>
    <w:rPr>
      <w:rFonts w:ascii="楷体_GB2312" w:hAnsi="楷体_GB2312" w:eastAsia="黑体" w:cs="Times New Roman"/>
      <w:sz w:val="44"/>
      <w:szCs w:val="28"/>
    </w:rPr>
  </w:style>
  <w:style w:type="character" w:styleId="971" w:customStyle="1">
    <w:name w:val="已访问的超链接1"/>
    <w:uiPriority w:val="0"/>
    <w:qFormat/>
    <w:rPr>
      <w:color w:val="800080"/>
      <w:u w:val="single"/>
    </w:rPr>
  </w:style>
  <w:style w:type="character" w:styleId="972" w:customStyle="1">
    <w:name w:val="正文文本 3 Char"/>
    <w:link w:val="770"/>
    <w:uiPriority w:val="0"/>
    <w:qFormat/>
    <w:rPr>
      <w:rFonts w:ascii="仿宋_GB2312" w:hAnsi="Arial" w:eastAsia="仿宋_GB2312" w:cs="Times New Roman"/>
      <w:sz w:val="32"/>
      <w:szCs w:val="32"/>
    </w:rPr>
  </w:style>
  <w:style w:type="character" w:styleId="973" w:customStyle="1">
    <w:name w:val="二级目录 Char"/>
    <w:link w:val="974"/>
    <w:uiPriority w:val="0"/>
    <w:qFormat/>
    <w:rPr>
      <w:b/>
      <w:sz w:val="30"/>
      <w:szCs w:val="28"/>
    </w:rPr>
  </w:style>
  <w:style w:type="paragraph" w:styleId="974" w:customStyle="1">
    <w:name w:val="二级目录"/>
    <w:next w:val="752"/>
    <w:link w:val="973"/>
    <w:uiPriority w:val="99"/>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5" w:customStyle="1">
    <w:name w:val="正文缩进 Char"/>
    <w:link w:val="764"/>
    <w:uiPriority w:val="0"/>
    <w:qFormat/>
    <w:rPr>
      <w:rFonts w:ascii="Times New Roman" w:hAnsi="Times New Roman" w:eastAsia="宋体" w:cs="Times New Roman"/>
      <w:szCs w:val="21"/>
    </w:rPr>
  </w:style>
  <w:style w:type="character" w:styleId="976" w:customStyle="1">
    <w:name w:val="标题 7 Char"/>
    <w:link w:val="759"/>
    <w:uiPriority w:val="0"/>
    <w:qFormat/>
    <w:rPr>
      <w:rFonts w:ascii="Times New Roman" w:hAnsi="Times New Roman" w:eastAsia="宋体" w:cs="Times New Roman"/>
      <w:b/>
      <w:bCs/>
      <w:sz w:val="24"/>
      <w:szCs w:val="24"/>
    </w:rPr>
  </w:style>
  <w:style w:type="character" w:styleId="977" w:customStyle="1">
    <w:name w:val="正文文本缩进 Char"/>
    <w:link w:val="772"/>
    <w:uiPriority w:val="0"/>
    <w:qFormat/>
    <w:rPr>
      <w:rFonts w:ascii="楷体_GB2312" w:hAnsi="Times New Roman" w:eastAsia="楷体_GB2312" w:cs="Times New Roman"/>
      <w:sz w:val="32"/>
      <w:szCs w:val="32"/>
    </w:rPr>
  </w:style>
  <w:style w:type="character" w:styleId="978" w:customStyle="1">
    <w:name w:val="标题 9 Char"/>
    <w:link w:val="761"/>
    <w:uiPriority w:val="9"/>
    <w:qFormat/>
    <w:rPr>
      <w:rFonts w:ascii="Arial" w:hAnsi="Arial" w:eastAsia="黑体" w:cs="Times New Roman"/>
      <w:szCs w:val="21"/>
    </w:rPr>
  </w:style>
  <w:style w:type="character" w:styleId="979" w:customStyle="1">
    <w:name w:val="批注文字 Char"/>
    <w:link w:val="769"/>
    <w:uiPriority w:val="99"/>
    <w:semiHidden/>
    <w:qFormat/>
    <w:rPr>
      <w:rFonts w:ascii="Times New Roman" w:hAnsi="Times New Roman" w:eastAsia="宋体" w:cs="Times New Roman"/>
      <w:szCs w:val="21"/>
    </w:rPr>
  </w:style>
  <w:style w:type="character" w:styleId="980" w:customStyle="1">
    <w:name w:val="标题 5 Char"/>
    <w:link w:val="757"/>
    <w:uiPriority w:val="0"/>
    <w:qFormat/>
    <w:rPr>
      <w:rFonts w:ascii="宋体" w:hAnsi="Times New Roman" w:eastAsia="宋体" w:cs="Times New Roman"/>
      <w:color w:val="000000"/>
      <w:sz w:val="28"/>
      <w:szCs w:val="28"/>
    </w:rPr>
  </w:style>
  <w:style w:type="character" w:styleId="981" w:customStyle="1">
    <w:name w:val="正文文本缩进 2 Char"/>
    <w:link w:val="780"/>
    <w:uiPriority w:val="0"/>
    <w:qFormat/>
    <w:rPr>
      <w:rFonts w:ascii="Arial" w:hAnsi="Arial" w:eastAsia="仿宋_GB2312" w:cs="Arial"/>
      <w:sz w:val="32"/>
      <w:szCs w:val="32"/>
    </w:rPr>
  </w:style>
  <w:style w:type="character" w:styleId="982" w:customStyle="1">
    <w:name w:val="日期 Char"/>
    <w:link w:val="779"/>
    <w:uiPriority w:val="0"/>
    <w:qFormat/>
    <w:rPr>
      <w:rFonts w:ascii="Times New Roman" w:hAnsi="Times New Roman" w:eastAsia="宋体" w:cs="Times New Roman"/>
      <w:sz w:val="24"/>
      <w:szCs w:val="24"/>
    </w:rPr>
  </w:style>
  <w:style w:type="character" w:styleId="983" w:customStyle="1">
    <w:name w:val="批注框文本 Char"/>
    <w:link w:val="782"/>
    <w:uiPriority w:val="99"/>
    <w:semiHidden/>
    <w:qFormat/>
    <w:rPr>
      <w:rFonts w:ascii="Times New Roman" w:hAnsi="Times New Roman" w:eastAsia="宋体" w:cs="Times New Roman"/>
      <w:sz w:val="18"/>
      <w:szCs w:val="18"/>
    </w:rPr>
  </w:style>
  <w:style w:type="character" w:styleId="984" w:customStyle="1">
    <w:name w:val="标题 4 Char"/>
    <w:link w:val="756"/>
    <w:uiPriority w:val="0"/>
    <w:qFormat/>
    <w:rPr>
      <w:rFonts w:ascii="Arial" w:hAnsi="Arial" w:eastAsia="黑体" w:cs="Arial"/>
      <w:b/>
      <w:bCs/>
      <w:sz w:val="28"/>
      <w:szCs w:val="28"/>
    </w:rPr>
  </w:style>
  <w:style w:type="character" w:styleId="985" w:customStyle="1">
    <w:name w:val="font5 Char"/>
    <w:uiPriority w:val="0"/>
    <w:qFormat/>
    <w:rPr>
      <w:rFonts w:ascii="宋体" w:hAnsi="宋体" w:eastAsia="宋体"/>
      <w:sz w:val="28"/>
      <w:szCs w:val="28"/>
      <w:lang w:val="en-US" w:eastAsia="zh-CN" w:bidi="ar-SA"/>
    </w:rPr>
  </w:style>
  <w:style w:type="character" w:styleId="986" w:customStyle="1">
    <w:name w:val="页眉 Char"/>
    <w:link w:val="784"/>
    <w:uiPriority w:val="99"/>
    <w:qFormat/>
    <w:rPr>
      <w:rFonts w:ascii="Times New Roman" w:hAnsi="Times New Roman" w:eastAsia="宋体" w:cs="Times New Roman"/>
      <w:sz w:val="18"/>
      <w:szCs w:val="18"/>
    </w:rPr>
  </w:style>
  <w:style w:type="character" w:styleId="987" w:customStyle="1">
    <w:name w:val="正文文本 Char"/>
    <w:link w:val="771"/>
    <w:uiPriority w:val="99"/>
    <w:qFormat/>
    <w:rPr>
      <w:rFonts w:ascii="楷体_GB2312" w:hAnsi="Arial" w:eastAsia="楷体_GB2312" w:cs="Times New Roman"/>
      <w:sz w:val="28"/>
      <w:szCs w:val="28"/>
    </w:rPr>
  </w:style>
  <w:style w:type="character" w:styleId="988" w:customStyle="1">
    <w:name w:val="正文文本缩进 3 Char"/>
    <w:link w:val="791"/>
    <w:uiPriority w:val="0"/>
    <w:qFormat/>
    <w:rPr>
      <w:rFonts w:ascii="Arial" w:hAnsi="Arial" w:eastAsia="仿宋_GB2312" w:cs="Arial"/>
      <w:color w:val="ffff00"/>
      <w:sz w:val="32"/>
      <w:szCs w:val="32"/>
    </w:rPr>
  </w:style>
  <w:style w:type="character" w:styleId="989" w:customStyle="1">
    <w:name w:val="标题 8 Char"/>
    <w:link w:val="760"/>
    <w:uiPriority w:val="9"/>
    <w:qFormat/>
    <w:rPr>
      <w:rFonts w:ascii="Arial" w:hAnsi="Arial" w:eastAsia="黑体" w:cs="Times New Roman"/>
      <w:sz w:val="24"/>
      <w:szCs w:val="24"/>
    </w:rPr>
  </w:style>
  <w:style w:type="paragraph" w:styleId="990" w:customStyle="1">
    <w:name w:val="xl25"/>
    <w:basedOn w:val="7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xl2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标题1"/>
    <w:basedOn w:val="752"/>
    <w:next w:val="7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font6"/>
    <w:basedOn w:val="752"/>
    <w:uiPriority w:val="0"/>
    <w:qFormat/>
    <w:pPr>
      <w:jc w:val="left"/>
      <w:spacing w:before="100" w:beforeAutospacing="1" w:after="100" w:afterAutospacing="1"/>
      <w:widowControl/>
    </w:pPr>
    <w:rPr>
      <w:rFonts w:hint="eastAsia" w:ascii="宋体" w:hAnsi="宋体"/>
      <w:sz w:val="28"/>
      <w:szCs w:val="28"/>
      <w:u w:val="single"/>
    </w:rPr>
  </w:style>
  <w:style w:type="paragraph" w:styleId="994" w:customStyle="1">
    <w:name w:val="xl30"/>
    <w:basedOn w:val="752"/>
    <w:uiPriority w:val="0"/>
    <w:qFormat/>
    <w:pPr>
      <w:jc w:val="center"/>
      <w:spacing w:before="100" w:beforeAutospacing="1" w:after="100" w:afterAutospacing="1"/>
      <w:widowControl/>
    </w:pPr>
    <w:rPr>
      <w:rFonts w:ascii="宋体" w:hAnsi="宋体"/>
      <w:b/>
      <w:bCs/>
      <w:sz w:val="36"/>
      <w:szCs w:val="36"/>
    </w:rPr>
  </w:style>
  <w:style w:type="paragraph" w:styleId="995" w:customStyle="1">
    <w:name w:val="font5"/>
    <w:basedOn w:val="752"/>
    <w:uiPriority w:val="0"/>
    <w:qFormat/>
    <w:pPr>
      <w:jc w:val="left"/>
      <w:spacing w:before="100" w:beforeAutospacing="1" w:after="100" w:afterAutospacing="1"/>
      <w:widowControl/>
    </w:pPr>
    <w:rPr>
      <w:rFonts w:hint="eastAsia" w:ascii="宋体" w:hAnsi="宋体"/>
      <w:sz w:val="28"/>
      <w:szCs w:val="28"/>
    </w:rPr>
  </w:style>
  <w:style w:type="paragraph" w:styleId="996" w:customStyle="1">
    <w:name w:val="图标"/>
    <w:basedOn w:val="752"/>
    <w:next w:val="7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customStyle="1">
    <w:name w:val="Char Char Char Char"/>
    <w:basedOn w:val="768"/>
    <w:uiPriority w:val="0"/>
    <w:qFormat/>
    <w:pPr>
      <w:spacing w:line="360" w:lineRule="auto"/>
    </w:pPr>
    <w:rPr>
      <w:rFonts w:ascii="Tahoma" w:hAnsi="Tahoma"/>
      <w:sz w:val="24"/>
      <w:szCs w:val="24"/>
    </w:rPr>
  </w:style>
  <w:style w:type="paragraph" w:styleId="998" w:customStyle="1">
    <w:name w:val="Revision"/>
    <w:uiPriority w:val="99"/>
    <w:semiHidden/>
    <w:qFormat/>
    <w:rPr>
      <w:rFonts w:ascii="Times New Roman" w:hAnsi="Times New Roman" w:eastAsia="宋体" w:cs="Times New Roman"/>
      <w:sz w:val="21"/>
      <w:szCs w:val="21"/>
      <w:lang w:val="en-US" w:eastAsia="zh-CN" w:bidi="ar-SA"/>
    </w:rPr>
  </w:style>
  <w:style w:type="paragraph" w:styleId="999" w:customStyle="1">
    <w:name w:val="xl24"/>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1001" w:customStyle="1">
    <w:name w:val="font7"/>
    <w:basedOn w:val="752"/>
    <w:uiPriority w:val="0"/>
    <w:qFormat/>
    <w:pPr>
      <w:jc w:val="left"/>
      <w:spacing w:before="100" w:beforeAutospacing="1" w:after="100" w:afterAutospacing="1"/>
      <w:widowControl/>
    </w:pPr>
    <w:rPr>
      <w:rFonts w:hint="eastAsia" w:ascii="宋体" w:hAnsi="宋体"/>
      <w:sz w:val="18"/>
      <w:szCs w:val="18"/>
    </w:rPr>
  </w:style>
  <w:style w:type="paragraph" w:styleId="1002" w:customStyle="1">
    <w:name w:val="Char Char Char Char Char Char Char Char1"/>
    <w:basedOn w:val="752"/>
    <w:uiPriority w:val="0"/>
    <w:qFormat/>
    <w:pPr>
      <w:jc w:val="left"/>
      <w:spacing w:after="160" w:line="240" w:lineRule="exact"/>
      <w:widowControl/>
    </w:pPr>
    <w:rPr>
      <w:rFonts w:ascii="Verdana" w:hAnsi="Verdana"/>
      <w:sz w:val="20"/>
      <w:szCs w:val="20"/>
      <w:lang w:eastAsia="en-US"/>
    </w:rPr>
  </w:style>
  <w:style w:type="paragraph" w:styleId="1003" w:customStyle="1">
    <w:name w:val="table_lines"/>
    <w:basedOn w:val="752"/>
    <w:uiPriority w:val="0"/>
    <w:qFormat/>
    <w:pPr>
      <w:jc w:val="left"/>
      <w:widowControl/>
    </w:pPr>
    <w:rPr>
      <w:sz w:val="20"/>
      <w:szCs w:val="20"/>
      <w:lang w:val="de-DE" w:eastAsia="de-DE"/>
    </w:rPr>
  </w:style>
  <w:style w:type="paragraph" w:styleId="1004" w:customStyle="1">
    <w:name w:val="Char"/>
    <w:basedOn w:val="768"/>
    <w:uiPriority w:val="0"/>
    <w:qFormat/>
    <w:rPr>
      <w:rFonts w:ascii="Tahoma" w:hAnsi="Tahoma"/>
      <w:sz w:val="24"/>
      <w:szCs w:val="24"/>
    </w:rPr>
  </w:style>
  <w:style w:type="paragraph" w:styleId="100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customStyle="1">
    <w:name w:val="Body Text(ch)"/>
    <w:basedOn w:val="752"/>
    <w:next w:val="771"/>
    <w:uiPriority w:val="0"/>
    <w:qFormat/>
    <w:pPr>
      <w:spacing w:after="120"/>
    </w:pPr>
    <w:rPr>
      <w:rFonts w:ascii="宋体" w:hAnsi="Arial"/>
      <w:bCs/>
      <w:iCs/>
      <w:szCs w:val="24"/>
    </w:rPr>
  </w:style>
  <w:style w:type="paragraph" w:styleId="1007" w:customStyle="1">
    <w:name w:val="xl2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8" w:customStyle="1">
    <w:name w:val="普通 (Web)"/>
    <w:basedOn w:val="752"/>
    <w:uiPriority w:val="0"/>
    <w:qFormat/>
    <w:pPr>
      <w:jc w:val="left"/>
      <w:spacing w:before="100" w:beforeAutospacing="1" w:after="100" w:afterAutospacing="1"/>
      <w:widowControl/>
    </w:pPr>
    <w:rPr>
      <w:rFonts w:ascii="宋体" w:hAnsi="宋体"/>
      <w:sz w:val="24"/>
      <w:szCs w:val="24"/>
    </w:rPr>
  </w:style>
  <w:style w:type="paragraph" w:styleId="1009"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1010" w:customStyle="1">
    <w:name w:val="xl2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9"/>
    <w:basedOn w:val="7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2" w:customStyle="1">
    <w:name w:val="Char1"/>
    <w:basedOn w:val="752"/>
    <w:uiPriority w:val="0"/>
    <w:qFormat/>
    <w:pPr>
      <w:ind w:firstLine="200"/>
      <w:tabs>
        <w:tab w:val="left" w:pos="360" w:leader="none"/>
      </w:tabs>
    </w:pPr>
    <w:rPr>
      <w:sz w:val="28"/>
      <w:szCs w:val="30"/>
    </w:rPr>
  </w:style>
  <w:style w:type="paragraph" w:styleId="1013" w:customStyle="1">
    <w:name w:val="4"/>
    <w:basedOn w:val="752"/>
    <w:next w:val="791"/>
    <w:uiPriority w:val="0"/>
    <w:qFormat/>
    <w:pPr>
      <w:ind w:firstLine="420"/>
      <w:spacing w:line="360" w:lineRule="auto"/>
    </w:pPr>
    <w:rPr>
      <w:color w:val="ff0000"/>
      <w:sz w:val="24"/>
      <w:szCs w:val="24"/>
    </w:rPr>
  </w:style>
  <w:style w:type="paragraph" w:styleId="1014" w:customStyle="1">
    <w:name w:val="Char Char Char Char Char Char Char Char Char Char"/>
    <w:basedOn w:val="752"/>
    <w:uiPriority w:val="0"/>
    <w:qFormat/>
    <w:pPr>
      <w:spacing w:line="360" w:lineRule="auto"/>
    </w:pPr>
    <w:rPr>
      <w:sz w:val="24"/>
      <w:szCs w:val="20"/>
    </w:rPr>
  </w:style>
  <w:style w:type="paragraph" w:styleId="1015" w:customStyle="1">
    <w:name w:val="样式1"/>
    <w:basedOn w:val="752"/>
    <w:uiPriority w:val="0"/>
    <w:qFormat/>
    <w:pPr>
      <w:numPr>
        <w:ilvl w:val="0"/>
        <w:numId w:val="3"/>
      </w:numPr>
    </w:pPr>
    <w:rPr>
      <w:rFonts w:ascii="宋体" w:hAnsi="宋体"/>
    </w:rPr>
  </w:style>
  <w:style w:type="paragraph" w:styleId="1016" w:customStyle="1">
    <w:name w:val="标题3"/>
    <w:basedOn w:val="752"/>
    <w:next w:val="752"/>
    <w:uiPriority w:val="0"/>
    <w:qFormat/>
    <w:pPr>
      <w:ind w:firstLine="624"/>
      <w:spacing w:line="590" w:lineRule="atLeast"/>
    </w:pPr>
    <w:rPr>
      <w:rFonts w:ascii="方正黑体_GBK" w:eastAsia="方正黑体_GBK"/>
      <w:sz w:val="32"/>
      <w:szCs w:val="32"/>
    </w:rPr>
  </w:style>
  <w:style w:type="paragraph" w:styleId="1017" w:customStyle="1">
    <w:name w:val="Char Char Char Char1"/>
    <w:basedOn w:val="768"/>
    <w:uiPriority w:val="0"/>
    <w:qFormat/>
    <w:pPr>
      <w:spacing w:line="360" w:lineRule="auto"/>
    </w:pPr>
    <w:rPr>
      <w:rFonts w:ascii="Tahoma" w:hAnsi="Tahoma"/>
      <w:sz w:val="24"/>
      <w:szCs w:val="24"/>
    </w:rPr>
  </w:style>
  <w:style w:type="paragraph" w:styleId="1018" w:customStyle="1">
    <w:name w:val="table_1stline"/>
    <w:basedOn w:val="752"/>
    <w:uiPriority w:val="0"/>
    <w:qFormat/>
    <w:pPr>
      <w:jc w:val="left"/>
      <w:spacing w:before="120"/>
      <w:widowControl/>
    </w:pPr>
    <w:rPr>
      <w:bCs/>
      <w:sz w:val="20"/>
      <w:szCs w:val="20"/>
      <w:lang w:val="de-DE" w:eastAsia="de-DE"/>
    </w:rPr>
  </w:style>
  <w:style w:type="paragraph" w:styleId="1019" w:customStyle="1">
    <w:name w:val="Table Paragraph"/>
    <w:basedOn w:val="752"/>
    <w:uiPriority w:val="1"/>
    <w:qFormat/>
    <w:pPr>
      <w:jc w:val="left"/>
    </w:pPr>
    <w:rPr>
      <w:rFonts w:ascii="宋体" w:cs="宋体"/>
      <w:sz w:val="24"/>
      <w:szCs w:val="24"/>
    </w:rPr>
  </w:style>
  <w:style w:type="character" w:styleId="1020" w:customStyle="1">
    <w:name w:val="正文文本 (2) + 10 pt37"/>
    <w:uiPriority w:val="99"/>
    <w:qFormat/>
    <w:rPr>
      <w:rFonts w:ascii="MingLiU" w:eastAsia="MingLiU" w:cs="MingLiU"/>
      <w:spacing w:val="0"/>
      <w:sz w:val="20"/>
      <w:szCs w:val="20"/>
      <w:u w:val="none"/>
    </w:rPr>
  </w:style>
  <w:style w:type="paragraph" w:styleId="1021" w:customStyle="1">
    <w:name w:val="my正文"/>
    <w:basedOn w:val="752"/>
    <w:uiPriority w:val="0"/>
    <w:qFormat/>
    <w:pPr>
      <w:ind w:firstLine="200"/>
      <w:spacing w:line="360" w:lineRule="auto"/>
    </w:pPr>
    <w:rPr>
      <w:sz w:val="28"/>
      <w:szCs w:val="24"/>
    </w:rPr>
  </w:style>
  <w:style w:type="paragraph" w:styleId="1022" w:customStyle="1">
    <w:name w:val="修订1"/>
    <w:hidden/>
    <w:uiPriority w:val="99"/>
    <w:semiHidden/>
    <w:qFormat/>
    <w:rPr>
      <w:rFonts w:asciiTheme="minorHAnsi" w:hAnsiTheme="minorHAnsi" w:eastAsiaTheme="minorEastAsia" w:cstheme="minorBidi"/>
      <w:sz w:val="21"/>
      <w:szCs w:val="21"/>
      <w:lang w:val="en-US" w:eastAsia="zh-CN" w:bidi="ar-SA"/>
    </w:rPr>
  </w:style>
  <w:style w:type="character" w:styleId="1023" w:customStyle="1">
    <w:name w:val="font11"/>
    <w:basedOn w:val="762"/>
    <w:uiPriority w:val="0"/>
    <w:qFormat/>
    <w:rPr>
      <w:rFonts w:hint="eastAsia" w:ascii="宋体" w:hAnsi="宋体" w:eastAsia="宋体" w:cs="宋体"/>
      <w:color w:val="000000"/>
      <w:sz w:val="21"/>
      <w:szCs w:val="21"/>
      <w:u w:val="none"/>
    </w:rPr>
  </w:style>
  <w:style w:type="character" w:styleId="1024" w:customStyle="1">
    <w:name w:val="font21"/>
    <w:basedOn w:val="762"/>
    <w:uiPriority w:val="0"/>
    <w:qFormat/>
    <w:rPr>
      <w:rFonts w:hint="default" w:ascii="Times New Roman" w:hAnsi="Times New Roman" w:cs="Times New Roman"/>
      <w:color w:val="000000"/>
      <w:sz w:val="21"/>
      <w:szCs w:val="21"/>
      <w:u w:val="none"/>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57</cp:revision>
  <dcterms:created xsi:type="dcterms:W3CDTF">2023-03-16T02:16:00Z</dcterms:created>
  <dcterms:modified xsi:type="dcterms:W3CDTF">2026-06-03T03:37:35Z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eyJoZGlkIjoiM2EyNzc0YTllMzIyN2Q1MTQ3OWU2OTdiZThmOWI3OWQifQ==</vt:lpwstr>
  </property>
  <property fmtid="{D5CDD505-2E9C-101B-9397-08002B2CF9AE}" pid="3" name="KSOProductBuildVer">
    <vt:lpwstr>2052-12.1.0.25865</vt:lpwstr>
  </property>
  <property fmtid="{D5CDD505-2E9C-101B-9397-08002B2CF9AE}" pid="4" name="ICV">
    <vt:lpwstr>451435271301425EB80A80F554A62395_12</vt:lpwstr>
  </property>
</Properties>
</file>