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JSZC-321012-JSZC-G2026-0023</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37"/>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扬州市江都区教育局城北教育集中区建设工程高中部分科创中心建设项目</w:t>
      </w:r>
      <w:r/>
    </w:p>
    <w:p>
      <w:pPr>
        <w:pStyle w:val="937"/>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7"/>
                        <a:stretch/>
                      </pic:blipFill>
                      <pic:spPr bwMode="auto">
                        <a:xfrm>
                          <a:off x="0" y="0"/>
                          <a:ext cx="1922780" cy="32797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4pt;height:258.2pt;mso-wrap-distance-left:0.0pt;mso-wrap-distance-top:0.0pt;mso-wrap-distance-right:0.0pt;mso-wrap-distance-bottom:0.0pt;" stroked="f">
                <v:path textboxrect="0,0,0,0"/>
                <v:imagedata r:id="rId17" o:title=""/>
              </v:shape>
            </w:pict>
          </mc:Fallback>
        </mc:AlternateContent>
      </w:r>
      <w:r/>
    </w:p>
    <w:p>
      <w:pPr>
        <w:pStyle w:val="946"/>
        <w:ind w:left="0" w:firstLine="0"/>
        <w:jc w:val="center"/>
        <w:rPr>
          <w:color w:val="auto"/>
          <w:sz w:val="52"/>
          <w:szCs w:val="52"/>
          <w:highlight w:val="none"/>
        </w:rPr>
      </w:pPr>
      <w:r>
        <w:rPr>
          <w:color w:val="auto"/>
          <w:sz w:val="52"/>
          <w:szCs w:val="52"/>
          <w:highlight w:val="none"/>
        </w:rPr>
      </w:r>
      <w:r/>
    </w:p>
    <w:p>
      <w:pPr>
        <w:pStyle w:val="946"/>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72"/>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772"/>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p>
    <w:p>
      <w:pPr>
        <w:pStyle w:val="772"/>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42</w:t>
      </w:r>
      <w:r/>
    </w:p>
    <w:p>
      <w:pPr>
        <w:pStyle w:val="772"/>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46</w:t>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92" w:name="_GoBack"/>
      <w:r/>
      <w:bookmarkEnd w:id="92"/>
      <w:r/>
      <w:bookmarkStart w:id="0" w:name="_Toc55204177"/>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宋体"/>
          <w:color w:val="auto"/>
          <w:sz w:val="28"/>
          <w:szCs w:val="28"/>
          <w:highlight w:val="none"/>
          <w:u w:val="single"/>
          <w:lang w:val="en-US" w:eastAsia="zh-CN"/>
        </w:rPr>
        <w:t xml:space="preserve">扬州市江都区教育局城北教育集中区建设工程高中部分科创中心建设项目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扬州市江都区教育局城北教育集中区建设工程高中部分科创中心建设项目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扬州市江都区教育局城北教育集中区建设工程高中部分科创中心建设项目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2026年7月8日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8985263"/>
      <w:r/>
      <w:bookmarkStart w:id="3" w:name="_Toc28359002"/>
      <w:r/>
      <w:bookmarkStart w:id="4" w:name="_Toc35393621"/>
      <w:r/>
      <w:bookmarkStart w:id="5" w:name="_Toc35393790"/>
      <w:r/>
      <w:bookmarkStart w:id="6" w:name="_Toc28359079"/>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JSZC-321012-JSZC-G2026-0023</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扬州市江都区教育局城北教育集中区建设工程高中部分科创中心建设项目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101.0495万元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38985264"/>
      <w:r/>
      <w:bookmarkStart w:id="9" w:name="_Toc35393791"/>
      <w:r/>
      <w:bookmarkStart w:id="10" w:name="_Toc28359080"/>
      <w:r/>
      <w:bookmarkStart w:id="11" w:name="_Toc35393622"/>
      <w:r/>
      <w:bookmarkStart w:id="12" w:name="_Toc28359003"/>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101.0495万元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w:t>
      </w:r>
      <w:r>
        <w:rPr>
          <w:rFonts w:hint="eastAsia" w:ascii="宋体" w:hAnsi="宋体" w:cs="宋体"/>
          <w:color w:val="auto"/>
          <w:sz w:val="21"/>
          <w:szCs w:val="21"/>
          <w:highlight w:val="white"/>
          <w:lang w:eastAsia="zh-CN"/>
        </w:rPr>
        <w:t xml:space="preserve">之日</w:t>
      </w:r>
      <w:r>
        <w:rPr>
          <w:rFonts w:hint="eastAsia" w:ascii="宋体" w:hAnsi="宋体" w:cs="宋体"/>
          <w:color w:val="auto"/>
          <w:sz w:val="21"/>
          <w:szCs w:val="21"/>
          <w:highlight w:val="white"/>
          <w:lang w:eastAsia="zh-CN"/>
        </w:rPr>
        <w:t xml:space="preserve">起</w:t>
      </w:r>
      <w:r>
        <w:rPr>
          <w:rFonts w:hint="eastAsia" w:ascii="宋体" w:hAnsi="宋体" w:cs="宋体"/>
          <w:color w:val="auto"/>
          <w:sz w:val="21"/>
          <w:szCs w:val="21"/>
          <w:highlight w:val="white"/>
          <w:lang w:val="en-US" w:eastAsia="zh-CN"/>
        </w:rPr>
        <w:t xml:space="preserve">45</w:t>
      </w:r>
      <w:r>
        <w:rPr>
          <w:rFonts w:hint="eastAsia" w:ascii="宋体" w:hAnsi="宋体" w:cs="宋体"/>
          <w:color w:val="auto"/>
          <w:sz w:val="21"/>
          <w:szCs w:val="21"/>
          <w:highlight w:val="white"/>
          <w:lang w:eastAsia="zh-CN"/>
        </w:rPr>
        <w:t xml:space="preserve">日</w:t>
      </w:r>
      <w:r>
        <w:rPr>
          <w:rFonts w:hint="eastAsia" w:ascii="宋体" w:hAnsi="宋体" w:eastAsia="宋体" w:cs="宋体"/>
          <w:color w:val="auto"/>
          <w:sz w:val="21"/>
          <w:szCs w:val="21"/>
          <w:highlight w:val="white"/>
        </w:rPr>
        <w:t xml:space="preserve">（除</w:t>
      </w:r>
      <w:r>
        <w:rPr>
          <w:rFonts w:hint="eastAsia" w:ascii="宋体" w:hAnsi="宋体" w:eastAsia="宋体" w:cs="宋体"/>
          <w:color w:val="auto"/>
          <w:sz w:val="21"/>
          <w:szCs w:val="21"/>
          <w:highlight w:val="none"/>
        </w:rPr>
        <w:t xml:space="preserve">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8985265"/>
      <w:r/>
      <w:bookmarkStart w:id="14" w:name="_Toc28359004"/>
      <w:r/>
      <w:bookmarkStart w:id="15" w:name="_Toc35393792"/>
      <w:r/>
      <w:bookmarkStart w:id="16" w:name="_Toc28359081"/>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white"/>
        </w:rPr>
      </w:pPr>
      <w:r>
        <w:rPr>
          <w:rFonts w:hint="eastAsia" w:ascii="宋体" w:hAnsi="宋体" w:cs="宋体"/>
          <w:color w:val="auto"/>
          <w:szCs w:val="21"/>
          <w:highlight w:val="none"/>
        </w:rPr>
        <w:t xml:space="preserve">2.落实政府采购政策需满足的资格</w:t>
      </w:r>
      <w:r>
        <w:rPr>
          <w:rFonts w:hint="eastAsia" w:ascii="宋体" w:hAnsi="宋体" w:cs="宋体"/>
          <w:color w:val="auto"/>
          <w:szCs w:val="21"/>
          <w:highlight w:val="white"/>
        </w:rPr>
        <w:t xml:space="preserve">要求</w:t>
      </w:r>
      <w:r>
        <w:rPr>
          <w:rFonts w:hint="eastAsia" w:ascii="宋体" w:hAnsi="宋体" w:cs="宋体"/>
          <w:color w:val="auto"/>
          <w:szCs w:val="21"/>
          <w:highlight w:val="white"/>
        </w:rPr>
        <w:t xml:space="preserve">：</w:t>
      </w:r>
      <w:r>
        <w:rPr>
          <w:rFonts w:hint="eastAsia" w:ascii="宋体" w:hAnsi="宋体" w:cs="宋体"/>
          <w:i/>
          <w:iCs/>
          <w:color w:val="auto"/>
          <w:szCs w:val="21"/>
          <w:highlight w:val="whit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highlight w:val="white"/>
        </w:rP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6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766"/>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6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766"/>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2026年7月8日</w:t>
      </w:r>
      <w:r>
        <w:rPr>
          <w:rFonts w:hint="eastAsia" w:ascii="宋体" w:hAnsi="宋体" w:cs="宋体"/>
          <w:bCs/>
          <w:color w:val="auto"/>
          <w:szCs w:val="21"/>
          <w:highlight w:val="none"/>
          <w:u w:val="single"/>
          <w:lang w:val="en-US" w:eastAsia="zh-CN"/>
        </w:rPr>
        <w:t xml:space="preserve">9点30分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38985267"/>
      <w:r/>
      <w:bookmarkStart w:id="25" w:name="_Toc35393794"/>
      <w:r/>
      <w:bookmarkStart w:id="26" w:name="_Toc28359084"/>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8985268"/>
      <w:r/>
      <w:bookmarkStart w:id="29" w:name="_Toc35393626"/>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66"/>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8985269"/>
      <w:r/>
      <w:bookmarkStart w:id="32" w:name="_Toc35393796"/>
      <w:r/>
      <w:bookmarkStart w:id="33" w:name="_Toc35393627"/>
      <w:r/>
      <w:bookmarkStart w:id="34" w:name="_Toc28359085"/>
      <w:r/>
      <w:bookmarkStart w:id="35" w:name="_Toc28359008"/>
      <w:r>
        <w:rPr>
          <w:rFonts w:hint="eastAsia" w:ascii="宋体" w:hAnsi="宋体" w:eastAsia="宋体" w:cs="宋体"/>
          <w:b/>
          <w:color w:val="auto"/>
          <w:sz w:val="21"/>
          <w:szCs w:val="21"/>
          <w:highlight w:val="none"/>
          <w:lang w:val="en-US" w:eastAsia="zh-CN"/>
        </w:rPr>
        <w:t xml:space="preserve">（一）获取采购文件</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66"/>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66"/>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6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13813157017</w:t>
      </w:r>
      <w:r/>
    </w:p>
    <w:p>
      <w:pPr>
        <w:pStyle w:val="766"/>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766"/>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766"/>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766"/>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46"/>
        <w:jc w:val="center"/>
        <w:keepLines/>
        <w:keepNext/>
        <w:pageBreakBefore w:val="0"/>
        <w:spacing w:before="0" w:after="0" w:line="360" w:lineRule="auto"/>
        <w:widowControl w:val="off"/>
        <w:rPr>
          <w:color w:val="auto"/>
          <w:highlight w:val="none"/>
        </w:rPr>
      </w:pPr>
      <w:r/>
      <w:bookmarkStart w:id="36" w:name="_Toc25750"/>
      <w:r/>
      <w:bookmarkStart w:id="37" w:name="_Toc55204178"/>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本次招标采取公开招标方式，本招标文件仅适用于JSZC-321012-JSZC-G2026-0023号项目。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462564084"/>
      <w:r/>
      <w:bookmarkStart w:id="39" w:name="_Toc513029225"/>
      <w:r/>
      <w:bookmarkStart w:id="40" w:name="_Toc20823297"/>
      <w:r/>
      <w:bookmarkStart w:id="41" w:name="_Toc16938541"/>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20823299"/>
      <w:r/>
      <w:bookmarkStart w:id="46" w:name="_Toc16938543"/>
      <w:r/>
      <w:bookmarkStart w:id="47" w:name="_Toc513029227"/>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20823300"/>
      <w:r/>
      <w:bookmarkStart w:id="50" w:name="_Toc16938544"/>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51"/>
        <w:ind w:left="0" w:firstLine="422"/>
        <w:jc w:val="center"/>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51"/>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51"/>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51"/>
        <w:ind w:left="0" w:firstLine="211"/>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766"/>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757"/>
        <w:ind w:left="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51"/>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51"/>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766"/>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76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left="0" w:firstLine="42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952"/>
        <w:ind w:left="0" w:firstLine="105"/>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952"/>
        <w:ind w:left="0" w:firstLine="420"/>
        <w:keepLines w:val="0"/>
        <w:keepNext w:val="0"/>
        <w:pageBreakBefore w:val="0"/>
        <w:spacing w:line="48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19.1</w:t>
      </w:r>
      <w:r>
        <w:rPr>
          <w:rFonts w:hint="eastAsia" w:ascii="宋体" w:hAnsi="宋体" w:eastAsia="宋体" w:cs="宋体"/>
          <w:color w:val="auto"/>
          <w:sz w:val="21"/>
          <w:szCs w:val="21"/>
          <w:highlight w:val="none"/>
        </w:rPr>
        <w:t xml:space="preserve"> 乙方应诚实信用，严格按照招标文件要求和投标承诺履行合同，不向甲方进行商业贿赂或者提供不正当利益。</w:t>
      </w:r>
      <w:r>
        <w:rPr>
          <w:rFonts w:hint="eastAsia" w:hAnsi="宋体" w:eastAsia="宋体" w:cs="宋体"/>
          <w:color w:val="auto"/>
          <w:sz w:val="21"/>
          <w:szCs w:val="21"/>
          <w:highlight w:val="none"/>
          <w:lang w:val="en-US" w:eastAsia="zh-CN"/>
        </w:rPr>
        <w:t xml:space="preserve">如履约过程中甲方发现乙方提供的货物为贴牌产品或未取得货物制造商（或经销商）授权销售的，甲方有权终止合同并向采购监管部门上报处理。</w:t>
      </w:r>
      <w:r/>
    </w:p>
    <w:p>
      <w:pPr>
        <w:pStyle w:val="952"/>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合同经双方法定代表人或授权代表签字并加盖单位公章后生效。</w:t>
      </w:r>
      <w:r/>
    </w:p>
    <w:p>
      <w:pPr>
        <w:pStyle w:val="952"/>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本合同未尽事宜，遵照《民法典》有关条文执行。</w:t>
      </w:r>
      <w:r/>
    </w:p>
    <w:p>
      <w:pPr>
        <w:pStyle w:val="952"/>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本合同正本一式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952"/>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66"/>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ind w:firstLine="422"/>
        <w:keepLines/>
        <w:keepNext/>
        <w:spacing w:line="400" w:lineRule="exact"/>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0"/>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bookmarkStart w:id="54" w:name="_Toc25878"/>
      <w:r/>
      <w:bookmarkStart w:id="55" w:name="_Toc55204181"/>
      <w:r/>
      <w:r/>
    </w:p>
    <w:tbl>
      <w:tblPr>
        <w:tblStyle w:val="756"/>
        <w:tblW w:w="9533"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1250"/>
        <w:gridCol w:w="270"/>
        <w:gridCol w:w="5780"/>
        <w:gridCol w:w="169"/>
        <w:gridCol w:w="581"/>
        <w:gridCol w:w="79"/>
        <w:gridCol w:w="687"/>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招标参数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人工智能实验室</w:t>
            </w:r>
            <w:bookmarkStart w:id="56" w:name="OLE_LINK1"/>
            <w:r>
              <w:rPr>
                <w:rFonts w:hint="eastAsia" w:ascii="宋体" w:hAnsi="宋体" w:eastAsia="宋体" w:cs="宋体"/>
                <w:b/>
                <w:bCs/>
                <w:i w:val="0"/>
                <w:iCs w:val="0"/>
                <w:color w:val="auto"/>
                <w:sz w:val="20"/>
                <w:szCs w:val="20"/>
                <w:u w:val="none"/>
                <w:lang w:val="en-US" w:eastAsia="zh-CN" w:bidi="ar"/>
              </w:rPr>
              <w:t xml:space="preserve">（全国科学教育实验校 江苏省高品质科技特色高中）</w:t>
            </w:r>
            <w:bookmarkEnd w:id="56"/>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人工智能实验室专用授课台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尺寸≥1800mm*700mm*900mm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学生编程台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尺寸≥3000mm*1200mm*800mm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学生编程准备台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尺寸≥895mm*1280mm*800mm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学生建模台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尺寸≥3120mm*1200mm*800mm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尺寸：440mm/650mm/750mm三种坐高尺寸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1.尺寸：W375mmxD390mmxH550mm-座高440mm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2.材质：坐垫、脚垫材质为PP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3.工艺：钢管直径≥22mm，壁厚≥1.8mm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人工智能互动展示柜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尺寸≥3000mm*1200mm*800mm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尺寸≥2300mm*700mm*800mm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尺寸≥1350mm*700mm*800mm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cs="宋体"/>
                <w:i w:val="0"/>
                <w:iCs w:val="0"/>
                <w:color w:val="auto"/>
                <w:sz w:val="20"/>
                <w:szCs w:val="20"/>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尺寸≥2000mm*700mm*2400mm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1.参考规格：≥7200*1200mm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1.参考规格：≥5355*1200mm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套件储存柜1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尺寸≥3160mm*500mm*2000mm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套件储存柜2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尺寸≥3200mm*500mm*2000mm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套件储存柜3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尺寸≥1730mm*420mm*2000mm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60"/>
        </w:trPr>
        <w:tc>
          <w:tcPr>
            <w:gridSpan w:val="4"/>
            <w:shd w:val="clear" w:color="auto" w:fill="auto"/>
            <w:tcBorders>
              <w:top w:val="single" w:color="000000" w:sz="4" w:space="0"/>
              <w:left w:val="single" w:color="000000" w:sz="4" w:space="0"/>
              <w:bottom w:val="single" w:color="000000" w:sz="4" w:space="0"/>
              <w:right w:val="non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物联网实验室（全国科学教育实验校 江苏省高品质科技特色高中）</w:t>
            </w:r>
            <w:r/>
          </w:p>
        </w:tc>
        <w:tc>
          <w:tcPr>
            <w:gridSpan w:val="2"/>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物联网实验室专用授课台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尺寸≥1800mm*700mm*900mm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学生实验台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1、可书写板课桌面：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1.1材质：面板采用基材为</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E0级25mm厚饰面中纤板， 含水率在3%-5%；饰面为白色可书写板面，整体板面正负误差在0.3mm以内,密度为0.85g/cm3、甲醛释放量≤0.05mg/m³，表面耐磨、防污、硬度高，不易变色；</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1.2规格：1200mm（±2mm）×523mm（±2mm）×25mm梯形桌面；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1.3 功能: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①可以实现多张组合，桌面可以使用中性笔直接反复书写，表面便于清洗打理；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②桌面四角倒圆，采用黑色聚氨酯PU封边，经全自动封边机封边，反面设有预埋定位螺母便于多次安装。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2、1号脚钢架结构：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 材质及形状：采用圆形钢管，表面经脱脂、磷化、水洗、烘干工艺处理，耐腐蚀、防锈；上管表面采用颗粒粉末，静电粉末喷涂，附着力特强，不脱漆，涂层无漏喷、锈蚀，光滑均匀，色泽一致，无流挂、疙瘩、皱皮、飞漆、无明显粒子、涨边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 规格：桌脚上管钢管尺寸为≥直径30mm×厚≥1.5mm，桌脚下管钢管尺寸为≥直径25mm×厚≥1.5mm，桌下横梁尺寸为：≥40mm×20mm×1.2mm厚；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 功能：课桌实现6挡高度调节，分别为640mm-670mm-700mm-730mm-760mm-790mmH,使用M4外六角扳手即可快速调节，螺丝锁付固定。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3.脚垫：采用固定万向调节PP脚垫，可实现≥10mm高度调节以应对地面不平整。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尺寸：440mm/650mm/750mm三种坐高尺寸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1.尺寸：W375mmxD390mmxH550mm-座高440mm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2.材质：坐垫、脚垫材质为PP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3.工艺：钢管直径≥22mm，壁厚≥1.8mm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尺寸≥2300mm*700mm*800mm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尺寸≥1600mm*700mm*800mm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尺寸≥3000mm*700mm*2400mm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1.参考规格：≥7200*1200mm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版面尺寸</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cs="宋体"/>
                <w:i w:val="0"/>
                <w:iCs w:val="0"/>
                <w:color w:val="000000"/>
                <w:sz w:val="20"/>
                <w:szCs w:val="20"/>
                <w:u w:val="none"/>
                <w:lang w:val="en-US" w:eastAsia="zh-CN" w:bidi="ar"/>
              </w:rPr>
              <w:t xml:space="preserve">cm</w:t>
            </w:r>
            <w:r>
              <w:rPr>
                <w:rFonts w:hint="eastAsia" w:ascii="宋体" w:hAnsi="宋体" w:eastAsia="宋体" w:cs="宋体"/>
                <w:i w:val="0"/>
                <w:iCs w:val="0"/>
                <w:color w:val="000000"/>
                <w:sz w:val="20"/>
                <w:szCs w:val="20"/>
                <w:u w:val="none"/>
                <w:lang w:val="en-US" w:eastAsia="zh-CN" w:bidi="ar"/>
              </w:rPr>
              <w:t xml:space="preserve">*240cm，多层烤漆面板，硬度好、耐磨、不易变形。表面表面平整光滑擦写轻松，ABS包角，高强度铝合金材质四周全包式保护，防水防潮，用湿毛巾擦除粉笔字迹效果更好更干净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rPr>
              <w:suppressLineNumbers w:val="0"/>
            </w:pPr>
            <w:r>
              <w:rPr>
                <w:rFonts w:hint="eastAsia" w:ascii="宋体" w:hAnsi="宋体" w:eastAsia="宋体" w:cs="宋体"/>
                <w:i w:val="0"/>
                <w:iCs w:val="0"/>
                <w:color w:val="auto"/>
                <w:sz w:val="20"/>
                <w:szCs w:val="20"/>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1400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宽</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高</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750mm（木纹色）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全橡胶木实木桌，</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cs="宋体"/>
                <w:i w:val="0"/>
                <w:iCs w:val="0"/>
                <w:color w:val="000000"/>
                <w:sz w:val="20"/>
                <w:szCs w:val="20"/>
                <w:u w:val="none"/>
                <w:lang w:val="en-US" w:eastAsia="zh-CN" w:bidi="ar"/>
              </w:rPr>
              <w:t xml:space="preserve">mm</w:t>
            </w:r>
            <w:r>
              <w:rPr>
                <w:rFonts w:hint="eastAsia" w:ascii="宋体" w:hAnsi="宋体" w:eastAsia="宋体" w:cs="宋体"/>
                <w:i w:val="0"/>
                <w:iCs w:val="0"/>
                <w:color w:val="000000"/>
                <w:sz w:val="20"/>
                <w:szCs w:val="20"/>
                <w:u w:val="none"/>
                <w:lang w:val="en-US" w:eastAsia="zh-CN" w:bidi="ar"/>
              </w:rPr>
              <w:t xml:space="preserve">×80mm桌腿，</w:t>
            </w:r>
            <w:r>
              <w:rPr>
                <w:rFonts w:hint="eastAsia" w:ascii="宋体" w:hAnsi="宋体" w:cs="宋体"/>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18mm厚橡胶木机拼板桌面，榫头连接、结构合理美观、牢固耐用，所有板边倒圆边，板面光滑，无毛刺；环保聚酯木器漆（清水漆、五底三面）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结构实验室（全国科学教育实验校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结构实验室专用授课台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整体尺寸≥1800mm*700mm*900mm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整体尺寸≥2400mm*1200mm*780mm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整体尺寸≥1200mm*1200mm*780mm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▲结构实验室专用实验凳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1.凳面：凳面直径≥320mm，采用聚丙烯+玻璃纤维混合注塑成型。根据人体坐姿曲线形态，进行鞍形弧度设计，前后高，两侧低，高度差为15mm，符合人体工程学结构。表面细磨砂纹理，防滑不反光；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2.升降螺杆：螺杆直径≥20mm，托盘尺寸≥160*160mm，采用碳钢板冲压成型，螺杆与托盘全圆满焊接，增加牢固度。升降距离为≥50mm，配有升降定位环，可任意高度固定。表面经防腐电泳处理，具有较强抗腐蚀性；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3.凳脚：四根≥直径25*1.5mm圆形碳钢管，49°定角折弯，全圆满焊接，表面经高温粉体烤漆处理。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4.脚垫：采用PP加纤维材质，防水防滑。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5.凳面与凳脚之间的间隙经过优化设计，可适配挂凳扣，提升清洁效率，释放桌面空间。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尺寸≥1500mm*700mm*800mm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尺寸≥1700mm*700mm*800mm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尺寸≥3000mm*700mm*2400mm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1.参考规格≥7200</w:t>
            </w:r>
            <w:r>
              <w:rPr>
                <w:rFonts w:hint="eastAsia" w:ascii="宋体" w:hAnsi="宋体" w:cs="宋体"/>
                <w:i w:val="0"/>
                <w:iCs w:val="0"/>
                <w:color w:val="auto"/>
                <w:sz w:val="20"/>
                <w:szCs w:val="20"/>
                <w:u w:val="none"/>
                <w:lang w:val="en-US" w:eastAsia="zh-CN" w:bidi="ar"/>
              </w:rPr>
              <w:t xml:space="preserve">mm</w:t>
            </w:r>
            <w:r>
              <w:rPr>
                <w:rFonts w:hint="eastAsia" w:ascii="宋体" w:hAnsi="宋体" w:eastAsia="宋体" w:cs="宋体"/>
                <w:i w:val="0"/>
                <w:iCs w:val="0"/>
                <w:color w:val="auto"/>
                <w:sz w:val="20"/>
                <w:szCs w:val="20"/>
                <w:u w:val="none"/>
                <w:lang w:val="en-US" w:eastAsia="zh-CN" w:bidi="ar"/>
              </w:rPr>
              <w:t xml:space="preserve">*1200mm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2.版面内容：图文展示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3.材质：平面画布</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4.工艺：高清品质写真立体感强烈；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多功能桥梁测试台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1、测试平台主体结构为钢或铝合金型材搭建</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2、测试平台要求两桥墩内侧相距最大尺寸控制在≥1500mm，要求两侧的桥墩为可以在底部支架基础上灵活移动位置，并可以固定于任何位置。</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3、两侧桥墩尺寸≥300mm*300mm，距离底部移动轨道面尺寸不少于750mm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4、要求在桥墩内侧各设置一个≥50mm*50mm的支架，用于固定桥梁结构模型，该支架需要承受不小于300N的力</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5、桥梁检测平台中部需设置一个高度不少于450mm，平面尺寸不小于50mm*100mm的平台，用于固定激光位移计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6、铺装层由板条组成，重 80N，铺开后长≥1500mm，宽≥250mm，厚≥40mm。由两层板条粘结（螺栓连接） 而成，中间夹一层布，板条与板条之间有缝隙，宽≥ 3mm，可卷起来</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7、加载用小车为金属，小车车体尺寸控制在长≥150mm，高≥100mm，车轮外沿宽≥100mm，车重为≥8KG。轴距为≥100mm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风洞测试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1.风洞可实现的功能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本风洞实验的主要项目有静态模型实验，动态模型实验和流态观测实验</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1)本风洞可对一些小型模型（机翼模型、飞机模型、汽车仿真模型，建筑模型，一些特殊形状的物体模型）的空气动力学、阻力、稳定性方面的性能进行测试。</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2)动态模型实验包括翼型升力试验、颤振、抖振和动稳定性实验等，要求模型除满足几何相似外还能模拟实物的结构刚度、质量分布和变形。</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3)流态观测实验广泛用于研究流动的基本现象和机理。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风洞的基本组成部分包括洞体、动力部分和测控部分。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工作原理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   使用动力装置在一个专门设计的管道内驱动一股可控气流，使其流过安置在实验段的静止模型，模拟实物在静止空气中的运动。测量作用在模型上的空气动力，观测模型表面及周围的流动现象。根据相似理论将实验结果整理成可用于实物的相似准数。</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实验段是风洞的中心部件，实验段流场应模拟真实流场，其气流品质如均匀度、稳定度（指参数随时间变化的情况）、湍流度等，应达到一定指标。</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风洞主要按实验段速度范围分类，速度范围不同，其工作原理、型式、结构及典型尺寸也各异。本风洞属于埃菲尔型风洞。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本风洞测试仪的各技术指标如下：</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风量:0～3000m3/h；</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实验段风速:0～12m/s；</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测量温度范围: 0～ 45℃；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湿度:可达100%。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1）打开电脑控制变频器到最大风量，测试动力系统均匀出风后，再将电脑由风速大向风速小进行风速调节。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2）将要测试的模型置入风洞的实验段，用调速开关控制风量大小，同时查看风力测试表的指示数，当模型上升时观察测试表的数据，可以判断各种模型的优劣。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钻铣系统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1.电压：220V（±5%）；</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2.功率≥250W；，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3.转速：900-6000rpm；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4.X-Y十字工作台≥200x200mm；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5.筒夹：2.35/3.0/3.2/4.0/5.0和6.0mm；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6.手轮进给:2mm/圈；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7.钻孔刻划：1mm/刻划；</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8.体积≥530*320*320mm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▲桌面式精密车床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1.电压：220V（±10%）；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2.功率≥140W；</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3.工作频率：50/60Hz；</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4.心间距≥250mm；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5.主轴旋转距离≥70mm；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6.轴心距工作台高度≥46mm；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7.卡盘正爪：2-27mm,max.90mm；</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8</w:t>
            </w:r>
            <w:r>
              <w:rPr>
                <w:rFonts w:hint="eastAsia" w:ascii="宋体" w:hAnsi="宋体" w:eastAsia="宋体" w:cs="宋体"/>
                <w:i w:val="0"/>
                <w:iCs w:val="0"/>
                <w:color w:val="auto"/>
                <w:sz w:val="20"/>
                <w:szCs w:val="20"/>
                <w:u w:val="none"/>
                <w:lang w:val="en-US" w:eastAsia="zh-CN" w:bidi="ar"/>
              </w:rPr>
              <w:t xml:space="preserve">.十字滑板调节范围≥60mm；</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9</w:t>
            </w:r>
            <w:r>
              <w:rPr>
                <w:rFonts w:hint="eastAsia" w:ascii="宋体" w:hAnsi="宋体" w:eastAsia="宋体" w:cs="宋体"/>
                <w:i w:val="0"/>
                <w:iCs w:val="0"/>
                <w:color w:val="auto"/>
                <w:sz w:val="20"/>
                <w:szCs w:val="20"/>
                <w:u w:val="none"/>
                <w:lang w:val="en-US" w:eastAsia="zh-CN" w:bidi="ar"/>
              </w:rPr>
              <w:t xml:space="preserve">.主轴贯通孔径≥10.5mm；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0</w:t>
            </w:r>
            <w:r>
              <w:rPr>
                <w:rFonts w:hint="eastAsia" w:ascii="宋体" w:hAnsi="宋体" w:eastAsia="宋体" w:cs="宋体"/>
                <w:i w:val="0"/>
                <w:iCs w:val="0"/>
                <w:color w:val="auto"/>
                <w:sz w:val="20"/>
                <w:szCs w:val="20"/>
                <w:u w:val="none"/>
                <w:lang w:val="en-US" w:eastAsia="zh-CN" w:bidi="ar"/>
              </w:rPr>
              <w:t xml:space="preserve">.卡盘侧凸支座锥孔：MK2;</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1</w:t>
            </w:r>
            <w:r>
              <w:rPr>
                <w:rFonts w:hint="eastAsia" w:ascii="宋体" w:hAnsi="宋体" w:eastAsia="宋体" w:cs="宋体"/>
                <w:i w:val="0"/>
                <w:iCs w:val="0"/>
                <w:color w:val="auto"/>
                <w:sz w:val="20"/>
                <w:szCs w:val="20"/>
                <w:u w:val="none"/>
                <w:lang w:val="en-US" w:eastAsia="zh-CN" w:bidi="ar"/>
              </w:rPr>
              <w:t xml:space="preserve">.刀柄≥8*8mm；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2</w:t>
            </w:r>
            <w:r>
              <w:rPr>
                <w:rFonts w:hint="eastAsia" w:ascii="宋体" w:hAnsi="宋体" w:eastAsia="宋体" w:cs="宋体"/>
                <w:i w:val="0"/>
                <w:iCs w:val="0"/>
                <w:color w:val="auto"/>
                <w:sz w:val="20"/>
                <w:szCs w:val="20"/>
                <w:u w:val="none"/>
                <w:lang w:val="en-US" w:eastAsia="zh-CN" w:bidi="ar"/>
              </w:rPr>
              <w:t xml:space="preserve">.可车削螺纹规格：0.5/0.625/0.7/0.75/0.8/1.0/1.25/1.5mm；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3</w:t>
            </w:r>
            <w:r>
              <w:rPr>
                <w:rFonts w:hint="eastAsia" w:ascii="宋体" w:hAnsi="宋体" w:eastAsia="宋体" w:cs="宋体"/>
                <w:i w:val="0"/>
                <w:iCs w:val="0"/>
                <w:color w:val="auto"/>
                <w:sz w:val="20"/>
                <w:szCs w:val="20"/>
                <w:u w:val="none"/>
                <w:lang w:val="en-US" w:eastAsia="zh-CN" w:bidi="ar"/>
              </w:rPr>
              <w:t xml:space="preserve">.主轴转速~V型皮带传动速度：300/900和3000rpm；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4</w:t>
            </w:r>
            <w:r>
              <w:rPr>
                <w:rFonts w:hint="eastAsia" w:ascii="宋体" w:hAnsi="宋体" w:eastAsia="宋体" w:cs="宋体"/>
                <w:i w:val="0"/>
                <w:iCs w:val="0"/>
                <w:color w:val="auto"/>
                <w:sz w:val="20"/>
                <w:szCs w:val="20"/>
                <w:u w:val="none"/>
                <w:lang w:val="en-US" w:eastAsia="zh-CN" w:bidi="ar"/>
              </w:rPr>
              <w:t xml:space="preserve">.主轴转速~电子控速：25%-100%；</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5</w:t>
            </w:r>
            <w:r>
              <w:rPr>
                <w:rFonts w:hint="eastAsia" w:ascii="宋体" w:hAnsi="宋体" w:eastAsia="宋体" w:cs="宋体"/>
                <w:i w:val="0"/>
                <w:iCs w:val="0"/>
                <w:color w:val="auto"/>
                <w:sz w:val="20"/>
                <w:szCs w:val="20"/>
                <w:u w:val="none"/>
                <w:lang w:val="en-US" w:eastAsia="zh-CN" w:bidi="ar"/>
              </w:rPr>
              <w:t xml:space="preserve">.自动进给螺距：0.05mm和0.1mm/圈；</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w:t>
            </w:r>
            <w:r>
              <w:rPr>
                <w:rFonts w:hint="eastAsia" w:ascii="宋体" w:hAnsi="宋体" w:cs="宋体"/>
                <w:i w:val="0"/>
                <w:iCs w:val="0"/>
                <w:color w:val="auto"/>
                <w:sz w:val="20"/>
                <w:szCs w:val="20"/>
                <w:u w:val="none"/>
                <w:lang w:val="en-US" w:eastAsia="zh-CN" w:bidi="ar"/>
              </w:rPr>
              <w:t xml:space="preserve">6</w:t>
            </w:r>
            <w:r>
              <w:rPr>
                <w:rFonts w:hint="eastAsia" w:ascii="宋体" w:hAnsi="宋体" w:eastAsia="宋体" w:cs="宋体"/>
                <w:i w:val="0"/>
                <w:iCs w:val="0"/>
                <w:color w:val="auto"/>
                <w:sz w:val="20"/>
                <w:szCs w:val="20"/>
                <w:u w:val="none"/>
                <w:lang w:val="en-US" w:eastAsia="zh-CN" w:bidi="ar"/>
              </w:rPr>
              <w:t xml:space="preserve">.尾座心轴行程≥30mm；</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17</w:t>
            </w:r>
            <w:r>
              <w:rPr>
                <w:rFonts w:hint="eastAsia" w:ascii="宋体" w:hAnsi="宋体" w:eastAsia="宋体" w:cs="宋体"/>
                <w:i w:val="0"/>
                <w:iCs w:val="0"/>
                <w:color w:val="auto"/>
                <w:sz w:val="20"/>
                <w:szCs w:val="20"/>
                <w:u w:val="none"/>
                <w:lang w:val="en-US" w:eastAsia="zh-CN" w:bidi="ar"/>
              </w:rPr>
              <w:t xml:space="preserve">.床体采用自然时效处理铸铁材质，保证高负荷下也能实现无震动工作。</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18</w:t>
            </w:r>
            <w:r>
              <w:rPr>
                <w:rFonts w:hint="eastAsia" w:ascii="宋体" w:hAnsi="宋体" w:eastAsia="宋体" w:cs="宋体"/>
                <w:i w:val="0"/>
                <w:iCs w:val="0"/>
                <w:color w:val="auto"/>
                <w:sz w:val="20"/>
                <w:szCs w:val="20"/>
                <w:u w:val="none"/>
                <w:lang w:val="en-US" w:eastAsia="zh-CN" w:bidi="ar"/>
              </w:rPr>
              <w:t xml:space="preserve">.车床刀架可进行转动，并带有刻度表进行角度加工。</w:t>
            </w:r>
            <w:r>
              <w:rPr>
                <w:rFonts w:hint="eastAsia" w:ascii="宋体" w:hAnsi="宋体" w:eastAsia="宋体" w:cs="宋体"/>
                <w:i w:val="0"/>
                <w:iCs w:val="0"/>
                <w:color w:val="auto"/>
                <w:sz w:val="20"/>
                <w:szCs w:val="20"/>
                <w:u w:val="none"/>
                <w:lang w:val="en-US" w:eastAsia="zh-CN" w:bidi="ar"/>
              </w:rPr>
              <w:br/>
            </w:r>
            <w:r>
              <w:rPr>
                <w:rFonts w:hint="eastAsia" w:ascii="宋体" w:hAnsi="宋体" w:cs="宋体"/>
                <w:i w:val="0"/>
                <w:iCs w:val="0"/>
                <w:color w:val="auto"/>
                <w:sz w:val="20"/>
                <w:szCs w:val="20"/>
                <w:u w:val="none"/>
                <w:lang w:val="en-US" w:eastAsia="zh-CN" w:bidi="ar"/>
              </w:rPr>
              <w:t xml:space="preserve">19</w:t>
            </w:r>
            <w:r>
              <w:rPr>
                <w:rFonts w:hint="eastAsia" w:ascii="宋体" w:hAnsi="宋体" w:eastAsia="宋体" w:cs="宋体"/>
                <w:i w:val="0"/>
                <w:iCs w:val="0"/>
                <w:color w:val="auto"/>
                <w:sz w:val="20"/>
                <w:szCs w:val="20"/>
                <w:u w:val="none"/>
                <w:lang w:val="en-US" w:eastAsia="zh-CN" w:bidi="ar"/>
              </w:rPr>
              <w:t xml:space="preserve">.设备卡盘扳手带有弹簧装置，防止松紧时忘记取出。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cs="宋体"/>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桌面式精密车床配套附件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1.集屑盘1张：使用厚度为≥1.5mm的钢板制成，粉末涂层。尺寸≥550mm*230mm*175mm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2.5件套含钴高速钢车刀组≥8mm*8mm*80mm（5支组）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3.中心钻头组 （3支组）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创意设计工作室（全国科学教育实验校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茶水台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尺寸≥1500mm*500mm*800mm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尺寸≥2000mm*600mm*800mm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尺寸≥1700mm*400mm*2400mm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1、贴面板材：可弯曲防火板，厚度为≥0.8mm,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置物架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尺寸≥2720mm*400mm*2000mm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框架结构。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2.调整脚：采用ABS新料模具一体成型的承重型可调节地脚，螺丝不锈钢材质。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尺寸≥1000mm*500mm*2000mm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1.铝木结构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3.耐腐蚀连接件：采用专用连接组装件；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尺寸≥700mm*600mm*800mm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1.台面：采用人造大理石。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5、配套五金配件。所有五金件作防锈、防腐处理。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6、配套供水终端。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两人位沙发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尺寸≥1500mm*900mm*850mm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1、面料：仿皮，光泽度好，透气性强，柔软且富韧性，色彩亮丽持久。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2、内材：实木内架，靠背、座垫采用高密度泡棉及超弹力海棉，软硬适中，不变形，回弹性好，抗疲劳能力强，坐感舒适。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尺寸≥800mm*900mm*850mm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1、面料：仿皮，光泽度好，透气性强，柔软且富韧性，色彩亮丽持久。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2、内材：实木内架，靠背、座垫采用高密度泡棉及超弹力海棉，软硬适中，不变形，回弹性好，抗疲劳能力强，坐感舒适。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rPr>
              <w:suppressLineNumbers w:val="0"/>
            </w:pPr>
            <w:r>
              <w:rPr>
                <w:rFonts w:hint="eastAsia" w:ascii="宋体" w:hAnsi="宋体" w:eastAsia="宋体" w:cs="宋体"/>
                <w:i w:val="0"/>
                <w:iCs w:val="0"/>
                <w:color w:val="auto"/>
                <w:sz w:val="20"/>
                <w:szCs w:val="20"/>
                <w:u w:val="none"/>
                <w:lang w:val="en-US" w:eastAsia="zh-CN" w:bidi="ar"/>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茶几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尺寸≥800mm×800mm×750mm，实木框架，钢化玻璃台面。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1600mm*800mm*750mm，桌面采用E1级板，厚度≥25mm，面贴防火板，ABS直封边制作，钢架采用满焊焊接，经高温粉体烤漆，长时间使用也不会产生表面漆剥落现象；配有接线槽，方便安装插座等。配套全钢活动柜一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u w:val="none"/>
              </w:rPr>
            </w:pPr>
            <w:r>
              <w:rPr>
                <w:rFonts w:hint="eastAsia" w:ascii="宋体" w:hAnsi="宋体" w:eastAsia="宋体" w:cs="宋体"/>
                <w:b/>
                <w:bCs/>
                <w:i w:val="0"/>
                <w:iCs w:val="0"/>
                <w:color w:val="auto"/>
                <w:sz w:val="20"/>
                <w:szCs w:val="20"/>
                <w:u w:val="none"/>
                <w:lang w:val="en-US" w:eastAsia="zh-CN" w:bidi="ar"/>
              </w:rPr>
              <w:t xml:space="preserve">教师研讨室（全国科学教育实验校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尺寸≥2400mm*1200mm*760mm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会议椅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尺寸≥640mm*600mm*955mm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1、靠背：PA+GF材质，后面带银色装饰条，带腰靠，腰靠采用亚克力材质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2、海绵：40密度原棉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3、扶手：尼龙固定扶手  </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4、底座：底布采用衬布，无粉化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尺寸≥3000mm*600mm*800mm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1400mm*600mm*750mm，桌面采用E1级板，厚度≥25mm，面贴防火板，ABS直封边制作，钢架采用满焊焊接，经高温粉体烤漆，长时间使用也不会产生表面漆剥落现象；配有接线槽，方便安装插座等。配套全钢活动柜一组</w:t>
            </w:r>
            <w:r>
              <w:rPr>
                <w:rFonts w:hint="eastAsia" w:ascii="宋体" w:hAnsi="宋体" w:cs="宋体"/>
                <w:i w:val="0"/>
                <w:iCs w:val="0"/>
                <w:color w:val="auto"/>
                <w:sz w:val="20"/>
                <w:szCs w:val="20"/>
                <w:u w:val="none"/>
                <w:lang w:val="en-US" w:eastAsia="zh-CN" w:bidi="ar"/>
              </w:rPr>
              <w:t xml:space="preserve">，</w:t>
            </w:r>
            <w:r>
              <w:rPr>
                <w:rFonts w:hint="eastAsia" w:ascii="宋体" w:hAnsi="宋体" w:eastAsia="宋体" w:cs="宋体"/>
                <w:i w:val="0"/>
                <w:iCs w:val="0"/>
                <w:color w:val="auto"/>
                <w:sz w:val="20"/>
                <w:szCs w:val="20"/>
                <w:u w:val="none"/>
                <w:lang w:val="en-US" w:eastAsia="zh-CN" w:bidi="ar"/>
              </w:rPr>
              <w:t xml:space="preserve">≥800*350*600mm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尺寸≥1000mm*500mm*2000mm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1.铝木结构</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3.耐腐蚀连接件：采用专用连接组装件；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储存边柜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尺寸≥7300mm*400mm*800mm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移动书写板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尺寸≥90cm*120cm，铝合金边框，板面采用钢化玻璃白板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研讨桌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尺寸≥1200mm*800mm*800mm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研讨椅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尺寸：440mm/650mm/750mm三种坐高尺寸</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1.尺寸：W375mmxD390mmxH550mm-座高440mm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2.材质：坐垫、脚垫材质为PP</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3.工艺：钢管直径≥22mm，壁厚≥1.8mm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 </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装饰改造（全国科学教育实验校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教室研讨室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2.单面≥12厘阻燃板+单面≥18厘阻燃板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23.29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21.58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结构实验室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1.原有墙体拆除开门洞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2.单面≥12mm阻燃板+单面≥18mm阻燃板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29.67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1.成品木质门带视窗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2.门规格：≥1100*3000mm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1.≥30mm水泥砂浆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1.地面打磨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2.≥3mm自流平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150.83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15.58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49.06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人工智能实验室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2.单面≥12mm阻燃板+单面≥18mm阻燃板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28.80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1.地面打磨</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2.≥3mm自流平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163.05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54.16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物联网实验室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1.原有墙体拆除开门洞</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1.≥80*80*4mm镀锌主方管+≥50*50*3mm横向方管</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2.双面≥12mm阻燃板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3.双面≥12mm石膏板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24.48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1.成品木质门带视窗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2.门规格：≥1100*3000mm</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1.≥30mm水泥砂浆</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16.12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50.78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名师工作室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1.满刮≥2遍腻子找平</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24.10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拆除保护系统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原吊顶拆除及恢复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1.强弱电管线导致原有吊顶拆除及恢复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1.现场木格栅及木桌台拆除+垃圾清运及外运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墙面乳胶漆修复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1.强弱电管线导致原有墙面开槽后无机涂料修复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1.总配电箱改造：强电房内总配电箱增加空开</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2.配电箱：暗装≥2套</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3.电力电缆：材质：铜芯，含电缆头制作安装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4.电力电缆：材质：铜芯，含电缆头制作安装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5.电缆配管：材质：钢质，配置形式：综合考虑</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6.五孔插座：材质：塑料面板，安装方式：暗装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7.地插：材质：五孔地插，安装方式：暗装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8.双联单控开关：材质：塑料面板，安装方式：暗装</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9.接线盒：材质：塑料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10.强电综合布线：现场灯线为物联网液晶面板控制，线路调整为单间控制，灯具及灯线利旧，增加布管布线及开槽修复，新增插座回路布管布线及开槽修复，包含地面≥50*25mm金属盖板美化，</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11.空调改造：监控摄像头移位，管线改造缩短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1.教室内弱电箱：教室内弱电箱</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2.≥8口光口交换</w:t>
            </w:r>
            <w:r>
              <w:rPr>
                <w:rFonts w:hint="eastAsia" w:ascii="宋体" w:hAnsi="宋体" w:cs="宋体"/>
                <w:i w:val="0"/>
                <w:iCs w:val="0"/>
                <w:color w:val="auto"/>
                <w:sz w:val="20"/>
                <w:szCs w:val="20"/>
                <w:u w:val="none"/>
                <w:lang w:val="en-US" w:eastAsia="zh-CN" w:bidi="ar"/>
              </w:rPr>
              <w:t xml:space="preserve">设备</w:t>
            </w:r>
            <w:r>
              <w:rPr>
                <w:rFonts w:hint="eastAsia" w:ascii="宋体" w:hAnsi="宋体" w:eastAsia="宋体" w:cs="宋体"/>
                <w:i w:val="0"/>
                <w:iCs w:val="0"/>
                <w:color w:val="auto"/>
                <w:sz w:val="20"/>
                <w:szCs w:val="20"/>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3.≥48口光口交换</w:t>
            </w:r>
            <w:r>
              <w:rPr>
                <w:rFonts w:hint="eastAsia" w:ascii="宋体" w:hAnsi="宋体" w:cs="宋体"/>
                <w:i w:val="0"/>
                <w:iCs w:val="0"/>
                <w:color w:val="auto"/>
                <w:sz w:val="20"/>
                <w:szCs w:val="20"/>
                <w:u w:val="none"/>
                <w:lang w:val="en-US" w:eastAsia="zh-CN" w:bidi="ar"/>
              </w:rPr>
              <w:t xml:space="preserve">设备</w:t>
            </w:r>
            <w:r>
              <w:rPr>
                <w:rFonts w:hint="eastAsia" w:ascii="宋体" w:hAnsi="宋体" w:eastAsia="宋体" w:cs="宋体"/>
                <w:i w:val="0"/>
                <w:iCs w:val="0"/>
                <w:color w:val="auto"/>
                <w:sz w:val="20"/>
                <w:szCs w:val="20"/>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4.单口网络插座：材质：塑料面板</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5.接线盒：材质：塑料</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6.弱电综合布线：光缆进户管线，新增弱电插座+高清线回路布管布线+水晶头及开槽修复</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7.监控改造：监控摄像头移位，管线改造缩短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1.钢骨架</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2.≥15厘</w:t>
            </w:r>
            <w:r>
              <w:rPr>
                <w:rFonts w:hint="eastAsia" w:ascii="宋体" w:hAnsi="宋体" w:cs="宋体"/>
                <w:i w:val="0"/>
                <w:iCs w:val="0"/>
                <w:color w:val="auto"/>
                <w:sz w:val="20"/>
                <w:szCs w:val="20"/>
                <w:u w:val="none"/>
                <w:lang w:val="en-US" w:eastAsia="zh-CN" w:bidi="ar"/>
              </w:rPr>
              <w:t xml:space="preserve">米</w:t>
            </w:r>
            <w:r>
              <w:rPr>
                <w:rFonts w:hint="eastAsia" w:ascii="宋体" w:hAnsi="宋体" w:eastAsia="宋体" w:cs="宋体"/>
                <w:i w:val="0"/>
                <w:iCs w:val="0"/>
                <w:color w:val="auto"/>
                <w:sz w:val="20"/>
                <w:szCs w:val="20"/>
                <w:u w:val="none"/>
                <w:lang w:val="en-US" w:eastAsia="zh-CN" w:bidi="ar"/>
              </w:rPr>
              <w:t xml:space="preserve">阻燃板基层</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3.实木复合木地板+收边条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31.50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iCs w:val="0"/>
                <w:color w:val="auto"/>
                <w:sz w:val="20"/>
                <w:szCs w:val="20"/>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816" w:type="dxa"/>
            <w:vAlign w:val="center"/>
            <w:textDirection w:val="lrTb"/>
            <w:noWrap w:val="false"/>
          </w:tcPr>
          <w:p>
            <w:pPr>
              <w:jc w:val="left"/>
              <w:widowControl w:val="off"/>
              <w:rPr>
                <w:rFonts w:hint="eastAsia" w:ascii="宋体" w:hAnsi="宋体" w:eastAsia="宋体" w:cs="宋体"/>
                <w:i w:val="0"/>
                <w:iCs w:val="0"/>
                <w:color w:val="auto"/>
                <w:sz w:val="20"/>
                <w:szCs w:val="20"/>
                <w:u w:val="none"/>
                <w:lang w:val="en-US" w:eastAsia="zh-CN" w:bidi="ar"/>
              </w:rPr>
            </w:pPr>
            <w:r>
              <w:rPr>
                <w:rFonts w:hint="default"/>
                <w:b/>
                <w:bCs/>
                <w:vertAlign w:val="baseline"/>
                <w:lang w:val="en-US" w:eastAsia="zh-CN"/>
              </w:rPr>
              <w:t xml:space="preserve">SSD固态硬盘及升级安装和搬运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vertAlign w:val="baseli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default"/>
                <w:vertAlign w:val="baseline"/>
                <w:lang w:val="en-US" w:eastAsia="zh-CN"/>
              </w:rPr>
              <w:t xml:space="preserve">SSD固态硬盘及升级安装和搬运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jc w:val="left"/>
              <w:widowControl w:val="off"/>
              <w:rPr>
                <w:rFonts w:hint="eastAsia" w:ascii="宋体" w:hAnsi="宋体" w:eastAsia="宋体" w:cs="宋体"/>
                <w:i w:val="0"/>
                <w:iCs w:val="0"/>
                <w:color w:val="auto"/>
                <w:sz w:val="20"/>
                <w:szCs w:val="20"/>
                <w:u w:val="none"/>
                <w:lang w:val="en-US" w:eastAsia="zh-CN" w:bidi="ar"/>
              </w:rPr>
            </w:pPr>
            <w:r>
              <w:rPr>
                <w:rFonts w:hint="default"/>
                <w:vertAlign w:val="baseline"/>
                <w:lang w:val="en-US" w:eastAsia="zh-CN"/>
              </w:rPr>
              <w:t xml:space="preserve">256G SSD硬盘、接SATAN闪存颗粒TLC或MLC、256MB缓存，含升级安装和整机搬运。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vertAlign w:val="baseli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val="off"/>
              <w:rPr>
                <w:rFonts w:hint="eastAsia" w:ascii="宋体" w:hAnsi="宋体" w:eastAsia="宋体" w:cs="宋体"/>
                <w:i w:val="0"/>
                <w:iCs w:val="0"/>
                <w:color w:val="auto"/>
                <w:sz w:val="20"/>
                <w:szCs w:val="20"/>
                <w:u w:val="none"/>
                <w:lang w:val="en-US" w:eastAsia="zh-CN" w:bidi="ar"/>
              </w:rPr>
            </w:pPr>
            <w:r>
              <w:rPr>
                <w:rFonts w:hint="eastAsia"/>
                <w:vertAlign w:val="baseline"/>
                <w:lang w:val="en-US" w:eastAsia="zh-CN"/>
              </w:rPr>
              <w:t xml:space="preserve">152</w:t>
            </w:r>
            <w:r/>
          </w:p>
        </w:tc>
      </w:tr>
    </w:tbl>
    <w:p>
      <w:pPr>
        <w:rPr>
          <w:rFonts w:hint="eastAsia"/>
          <w:lang w:val="en-US" w:eastAsia="zh-CN"/>
        </w:rPr>
      </w:pPr>
      <w:r>
        <w:rPr>
          <w:rFonts w:hint="eastAsia"/>
          <w:lang w:val="en-US" w:eastAsia="zh-CN"/>
        </w:rPr>
      </w:r>
      <w:r/>
    </w:p>
    <w:p>
      <w:r/>
      <w:r/>
    </w:p>
    <w:p>
      <w:pPr>
        <w:rPr>
          <w:rFonts w:hint="eastAsia" w:ascii="宋体" w:hAnsi="宋体" w:eastAsia="宋体" w:cs="宋体"/>
          <w:b/>
          <w:bCs w:val="0"/>
          <w:iCs/>
          <w:color w:val="auto"/>
          <w:szCs w:val="21"/>
          <w:highlight w:val="none"/>
          <w:lang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eastAsia="宋体" w:cs="宋体"/>
          <w:b/>
          <w:bCs w:val="0"/>
          <w:iCs/>
          <w:color w:val="auto"/>
          <w:szCs w:val="21"/>
          <w:highlight w:val="none"/>
          <w:lang w:eastAsia="zh-CN"/>
        </w:rPr>
        <w:br w:type="page" w:clear="all"/>
      </w:r>
      <w:r/>
    </w:p>
    <w:p>
      <w:pPr>
        <w:rPr>
          <w:rFonts w:hint="eastAsia"/>
          <w:lang w:val="en-US" w:eastAsia="zh-CN"/>
        </w:rPr>
      </w:pPr>
      <w:r>
        <w:rPr>
          <w:rFonts w:hint="eastAsia"/>
          <w:lang w:val="en-US" w:eastAsia="zh-CN"/>
        </w:rPr>
      </w:r>
      <w:r/>
    </w:p>
    <w:p>
      <w:pPr>
        <w:rPr>
          <w:rFonts w:hint="default"/>
          <w:b/>
          <w:bCs/>
          <w:lang w:val="en-US" w:eastAsia="zh-CN"/>
        </w:rPr>
      </w:pPr>
      <w:r>
        <w:rPr>
          <w:rFonts w:hint="eastAsia"/>
          <w:b/>
          <w:bCs/>
          <w:lang w:val="en-US" w:eastAsia="zh-CN"/>
        </w:rPr>
        <w:t xml:space="preserve">平面图布置图</w:t>
      </w:r>
      <w:r/>
    </w:p>
    <w:p>
      <w:pPr>
        <w:rPr>
          <w:rFonts w:hint="eastAsia" w:ascii="宋体" w:hAnsi="宋体" w:eastAsia="宋体" w:cs="宋体"/>
          <w:b/>
          <w:bCs w:val="0"/>
          <w:iCs/>
          <w:color w:val="auto"/>
          <w:szCs w:val="21"/>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mc:AlternateContent>
          <mc:Choice Requires="wpg">
            <w:drawing>
              <wp:inline xmlns:wp="http://schemas.openxmlformats.org/drawingml/2006/wordprocessingDrawing" distT="0" distB="0" distL="0" distR="0">
                <wp:extent cx="7614285" cy="2050415"/>
                <wp:effectExtent l="0" t="0" r="6985"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8"/>
                        <a:stretch/>
                      </pic:blipFill>
                      <pic:spPr bwMode="auto">
                        <a:xfrm rot="5400000">
                          <a:off x="0" y="0"/>
                          <a:ext cx="7614285" cy="2050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99.5pt;height:161.4pt;mso-wrap-distance-left:0.0pt;mso-wrap-distance-top:0.0pt;mso-wrap-distance-right:0.0pt;mso-wrap-distance-bottom:0.0pt;rotation:90;" stroked="f">
                <v:path textboxrect="0,0,0,0"/>
                <v:imagedata r:id="rId18" o:title=""/>
              </v:shape>
            </w:pict>
          </mc:Fallback>
        </mc:AlternateContent>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合同签订之日起45日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w:t>
      </w:r>
      <w:r>
        <w:rPr>
          <w:rFonts w:hint="eastAsia" w:ascii="宋体" w:hAnsi="宋体" w:cs="宋体"/>
          <w:bCs/>
          <w:iCs/>
          <w:color w:val="auto"/>
          <w:szCs w:val="21"/>
          <w:highlight w:val="none"/>
          <w:lang w:val="en-US" w:eastAsia="zh-CN"/>
        </w:rPr>
        <w:t xml:space="preserve">货物</w:t>
      </w:r>
      <w:r>
        <w:rPr>
          <w:rFonts w:hint="eastAsia" w:ascii="宋体" w:hAnsi="宋体" w:eastAsia="宋体" w:cs="宋体"/>
          <w:bCs/>
          <w:iCs/>
          <w:color w:val="auto"/>
          <w:szCs w:val="21"/>
          <w:highlight w:val="none"/>
        </w:rPr>
        <w:t xml:space="preserve">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spacing w:line="360" w:lineRule="auto"/>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pStyle w:val="748"/>
        <w:rPr>
          <w:rFonts w:hint="eastAsia"/>
          <w:color w:val="auto"/>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color w:val="auto"/>
          <w:highlight w:val="none"/>
          <w:lang w:val="en-US" w:eastAsia="zh-CN"/>
        </w:rPr>
      </w:r>
      <w:r/>
    </w:p>
    <w:p>
      <w:pPr>
        <w:pStyle w:val="746"/>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38"/>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38"/>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6388"/>
      <w:r/>
      <w:bookmarkStart w:id="58"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8"/>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ind w:firstLine="422"/>
        <w:jc w:val="left"/>
        <w:keepLines w:val="0"/>
        <w:keepNext w:val="0"/>
        <w:pageBreakBefore w:val="0"/>
        <w:spacing w:line="360" w:lineRule="auto"/>
        <w:widowControl w:val="off"/>
        <w:rPr>
          <w:rFonts w:hint="default" w:asciiTheme="minorEastAsia" w:hAnsiTheme="minorEastAsia" w:cstheme="minorEastAsia"/>
          <w:b/>
          <w:bCs/>
          <w:color w:val="auto"/>
          <w:sz w:val="21"/>
          <w:szCs w:val="21"/>
          <w:highlight w:val="none"/>
        </w:rPr>
      </w:pPr>
      <w:r>
        <w:rPr>
          <w:rFonts w:hint="default" w:asciiTheme="minorEastAsia" w:hAnsiTheme="minorEastAsia" w:cstheme="minorEastAsia"/>
          <w:b/>
          <w:bCs/>
          <w:color w:val="auto"/>
          <w:sz w:val="21"/>
          <w:szCs w:val="21"/>
          <w:highlight w:val="none"/>
          <w:lang w:val="en-US" w:eastAsia="zh-CN"/>
        </w:rPr>
        <w:t xml:space="preserve">三、</w:t>
      </w:r>
      <w:r>
        <w:rPr>
          <w:rFonts w:hint="default" w:asciiTheme="minorEastAsia" w:hAnsiTheme="minorEastAsia" w:cstheme="minorEastAsia"/>
          <w:b/>
          <w:bCs/>
          <w:color w:val="auto"/>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0"/>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bidi="ar-SA"/>
        </w:rPr>
        <w:t xml:space="preserve">、评标标准</w:t>
      </w:r>
      <w:r/>
    </w:p>
    <w:p>
      <w:r/>
      <w:r/>
    </w:p>
    <w:tbl>
      <w:tblPr>
        <w:tblStyle w:val="756"/>
        <w:tblW w:w="48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23"/>
        <w:gridCol w:w="6572"/>
      </w:tblGrid>
      <w:tr>
        <w:trPr>
          <w:jc w:val="center"/>
          <w:trHeight w:val="20"/>
        </w:trPr>
        <w:tc>
          <w:tcPr>
            <w:shd w:val="clear" w:color="auto" w:fill="auto"/>
            <w:tcW w:w="99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auto" w:fill="auto"/>
            <w:tcW w:w="400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按满足招标文件要求且有效投标价格最低的投标报价作为评审基准价，其价格分为满分；其他投标人的价格分按以下公式计算：投标报价得分＝（评审基准价/投标报价）×30分，保留二位小数，第三位四舍五入。</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w:t>
            </w:r>
            <w:r>
              <w:rPr>
                <w:rFonts w:hint="eastAsia" w:ascii="宋体" w:hAnsi="宋体" w:cs="宋体"/>
                <w:color w:val="auto"/>
                <w:sz w:val="21"/>
                <w:szCs w:val="21"/>
                <w:highlight w:val="none"/>
                <w:shd w:val="clear" w:color="auto"/>
              </w:rPr>
              <w:t xml:space="preserve">参数</w:t>
            </w:r>
            <w:r>
              <w:rPr>
                <w:rFonts w:hint="eastAsia" w:ascii="宋体" w:hAnsi="宋体" w:cs="宋体"/>
                <w:color w:val="auto"/>
                <w:sz w:val="21"/>
                <w:szCs w:val="21"/>
                <w:highlight w:val="none"/>
                <w:shd w:val="clear" w:color="auto"/>
                <w:lang w:eastAsia="zh-CN"/>
              </w:rPr>
              <w:t xml:space="preserve">（</w:t>
            </w:r>
            <w:r>
              <w:rPr>
                <w:rFonts w:hint="eastAsia" w:ascii="宋体" w:hAnsi="宋体" w:cs="宋体"/>
                <w:color w:val="auto"/>
                <w:sz w:val="21"/>
                <w:szCs w:val="21"/>
                <w:highlight w:val="none"/>
                <w:shd w:val="clear" w:color="auto"/>
                <w:lang w:val="en-US" w:eastAsia="zh-CN"/>
              </w:rPr>
              <w:t xml:space="preserve">不含</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val="en-US" w:eastAsia="zh-CN"/>
              </w:rPr>
              <w:t xml:space="preserve">结构实验室专用实验凳</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val="en-US" w:eastAsia="zh-CN"/>
              </w:rPr>
              <w:t xml:space="preserve">桌面式精密车床</w:t>
            </w:r>
            <w:r>
              <w:rPr>
                <w:rFonts w:hint="eastAsia" w:ascii="宋体" w:hAnsi="宋体" w:cs="宋体"/>
                <w:color w:val="auto"/>
                <w:sz w:val="21"/>
                <w:szCs w:val="21"/>
                <w:highlight w:val="none"/>
                <w:shd w:val="clear" w:color="auto"/>
              </w:rPr>
              <w:t xml:space="preserve">”</w:t>
            </w:r>
            <w:r>
              <w:rPr>
                <w:rFonts w:hint="eastAsia" w:ascii="宋体" w:hAnsi="宋体" w:cs="宋体"/>
                <w:color w:val="auto"/>
                <w:sz w:val="21"/>
                <w:szCs w:val="21"/>
                <w:highlight w:val="none"/>
                <w:shd w:val="clear" w:color="auto"/>
                <w:lang w:eastAsia="zh-CN"/>
              </w:rPr>
              <w:t xml:space="preserve">）</w:t>
            </w:r>
            <w:r>
              <w:rPr>
                <w:rFonts w:hint="eastAsia" w:ascii="宋体" w:hAnsi="宋体" w:cs="宋体"/>
                <w:color w:val="auto"/>
                <w:sz w:val="21"/>
                <w:szCs w:val="21"/>
                <w:highlight w:val="none"/>
                <w:shd w:val="clear" w:color="auto"/>
              </w:rPr>
              <w:t xml:space="preserve">全部满足</w:t>
            </w:r>
            <w:r>
              <w:rPr>
                <w:rFonts w:hint="eastAsia" w:ascii="宋体" w:hAnsi="宋体" w:cs="宋体"/>
                <w:color w:val="auto"/>
                <w:sz w:val="21"/>
                <w:szCs w:val="21"/>
                <w:highlight w:val="none"/>
              </w:rPr>
              <w:t xml:space="preserve">招标要求的得满分</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分；指标有一项负偏离扣0.2分，扣完为止</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bidi="ar"/>
              </w:rPr>
              <w:t xml:space="preserve">、投标人根据项目现场实际情况与“项目采购需求”进行整体规划设计，根据投标人对招标范围内的空间所提供的平面布置图及布置说明方案与现场条件的匹配性、实用性、科学性，进行综合评分</w:t>
            </w:r>
            <w:r>
              <w:rPr>
                <w:rFonts w:hint="eastAsia" w:ascii="宋体" w:hAnsi="宋体" w:cs="宋体"/>
                <w:color w:val="auto"/>
                <w:sz w:val="21"/>
                <w:szCs w:val="21"/>
                <w:highlight w:val="none"/>
              </w:rPr>
              <w:t xml:space="preserve">（平面布置图及布置说明方案每个空间不少于1张）</w:t>
            </w:r>
            <w:r>
              <w:rPr>
                <w:rFonts w:hint="eastAsia" w:ascii="宋体" w:hAnsi="宋体" w:cs="宋体"/>
                <w:color w:val="auto"/>
                <w:sz w:val="21"/>
                <w:szCs w:val="21"/>
                <w:highlight w:val="none"/>
                <w:lang w:bidi="ar"/>
              </w:rPr>
              <w:t xml:space="preserve">；图纸和说明方案规范，完整，准确性强，结构合理的，完全符合业主需求得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分；图纸和说明方案较规范，相对完整，准确性较强，结构较合理的，相对符合业主需求的得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分。图纸和说明方案基本规范，基本完整，准确性较弱，结构基本合理的，基本符合业主需求的得1分。不提供不得分。</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2、投标人根据项目情况提供深化专项设计图纸（提供本项目强弱电等的点位图纸与效果图），充分考虑项目实施过程中的重点难点并提供解决方案；根据投标人的响应情况，进行综合评分</w:t>
            </w:r>
            <w:r>
              <w:rPr>
                <w:rFonts w:hint="eastAsia" w:ascii="宋体" w:hAnsi="宋体" w:cs="宋体"/>
                <w:color w:val="auto"/>
                <w:sz w:val="21"/>
                <w:szCs w:val="21"/>
                <w:highlight w:val="none"/>
              </w:rPr>
              <w:t xml:space="preserve">（</w:t>
            </w:r>
            <w:bookmarkStart w:id="59" w:name="OLE_LINK30"/>
            <w:r/>
            <w:bookmarkStart w:id="60" w:name="OLE_LINK31"/>
            <w:r>
              <w:rPr>
                <w:rFonts w:hint="eastAsia" w:ascii="宋体" w:hAnsi="宋体" w:cs="宋体"/>
                <w:color w:val="auto"/>
                <w:sz w:val="21"/>
                <w:szCs w:val="21"/>
                <w:highlight w:val="none"/>
              </w:rPr>
              <w:t xml:space="preserve">每个空间</w:t>
            </w:r>
            <w:bookmarkEnd w:id="59"/>
            <w:r/>
            <w:bookmarkEnd w:id="60"/>
            <w:r>
              <w:rPr>
                <w:rFonts w:hint="eastAsia" w:ascii="宋体" w:hAnsi="宋体" w:cs="宋体"/>
                <w:color w:val="auto"/>
                <w:sz w:val="21"/>
                <w:szCs w:val="21"/>
                <w:highlight w:val="none"/>
              </w:rPr>
              <w:t xml:space="preserve">不同角度效果图不少于2张，每个空间强弱电不少于1张）</w:t>
            </w:r>
            <w:r>
              <w:rPr>
                <w:rFonts w:hint="eastAsia" w:ascii="宋体" w:hAnsi="宋体" w:cs="宋体"/>
                <w:color w:val="auto"/>
                <w:sz w:val="21"/>
                <w:szCs w:val="21"/>
                <w:highlight w:val="none"/>
                <w:lang w:bidi="ar"/>
              </w:rPr>
              <w:t xml:space="preserve">，图纸规范，完整，准确性强，结构合理的，完全符合业主需求得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分；图纸较规范，相对完整，准确性较强，结构较合理的，相对符合业主需求的得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分。图纸基本规范，基本完整，准确性较弱，结构基本合理的，基本符合业主需求的得1分。不提供不得分。</w:t>
            </w:r>
            <w:r/>
          </w:p>
        </w:tc>
      </w:tr>
      <w:tr>
        <w:trPr>
          <w:jc w:val="center"/>
          <w:trHeight w:val="20"/>
        </w:trPr>
        <w:tc>
          <w:tcPr>
            <w:shd w:val="clear" w:color="auto" w:fill="auto"/>
            <w:tcW w:w="990" w:type="pct"/>
            <w:vAlign w:val="center"/>
            <w:textDirection w:val="lrTb"/>
            <w:noWrap w:val="false"/>
          </w:tcPr>
          <w:p>
            <w:pPr>
              <w:ind w:left="0" w:firstLine="0"/>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项目应急方案、验收方案</w:t>
            </w:r>
            <w:r/>
          </w:p>
          <w:p>
            <w:pPr>
              <w:ind w:left="0" w:firstLine="0"/>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10</w:t>
            </w:r>
            <w:r>
              <w:rPr>
                <w:rFonts w:hint="eastAsia" w:ascii="宋体" w:hAnsi="宋体" w:cs="宋体"/>
                <w:color w:val="auto"/>
                <w:sz w:val="21"/>
                <w:szCs w:val="21"/>
                <w:highlight w:val="none"/>
                <w:lang w:bidi="ar"/>
              </w:rPr>
              <w:t xml:space="preserve">分）</w:t>
            </w:r>
            <w:r/>
          </w:p>
        </w:tc>
        <w:tc>
          <w:tcPr>
            <w:shd w:val="clear" w:color="auto" w:fill="auto"/>
            <w:tcW w:w="4009" w:type="pct"/>
            <w:vAlign w:val="center"/>
            <w:textDirection w:val="lrTb"/>
            <w:noWrap w:val="false"/>
          </w:tcPr>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针对本项目制定的质量问题应急处理方案：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应急方案考虑周全，处理方式合理得当得5分；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应急方案有一定欠缺，处理方式基本合理得3分；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应急方案不可行或者处理方式不得当的得1分；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未提供应急处理方案的不得分。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针对本项目制定的验收方案：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验收方案完整，标准合理，程序可行的得</w:t>
            </w:r>
            <w:r>
              <w:rPr>
                <w:rFonts w:hint="eastAsia" w:ascii="宋体" w:hAnsi="宋体" w:cs="宋体"/>
                <w:color w:val="auto"/>
                <w:sz w:val="21"/>
                <w:szCs w:val="21"/>
                <w:highlight w:val="none"/>
                <w:lang w:val="en-US" w:eastAsia="zh-CN" w:bidi="ar"/>
              </w:rPr>
              <w:t xml:space="preserve">5</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验收方案较完整、标准较合理，程序较可行的得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验收方案不全或者标准不明确、程序不清晰的得1分；</w:t>
            </w:r>
            <w:r/>
          </w:p>
          <w:p>
            <w:p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未提供验收方案的不得分。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 </w:t>
            </w:r>
            <w:r/>
          </w:p>
        </w:tc>
        <w:tc>
          <w:tcPr>
            <w:shd w:val="clear" w:color="auto" w:fill="auto"/>
            <w:tcW w:w="4009"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分，实施方案较全面详细，各方面措施较完备可操作性较强，人员、材料、机械设备计划较可行性较强得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分，实施方案基本全面，各方面措施基本完备可操作性较弱，人员、材料、机械设备计划基本可行得1分。不提供不得分。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分，措施方案一般且针对性弱得1分。</w:t>
            </w:r>
            <w:r/>
          </w:p>
        </w:tc>
      </w:tr>
      <w:tr>
        <w:trPr>
          <w:jc w:val="center"/>
          <w:trHeight w:val="20"/>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c>
          <w:tcPr>
            <w:shd w:val="clear" w:color="auto" w:fill="auto"/>
            <w:tcW w:w="4009" w:type="pct"/>
            <w:vAlign w:val="center"/>
            <w:textDirection w:val="lrTb"/>
            <w:noWrap w:val="false"/>
          </w:tcPr>
          <w:p>
            <w:pPr>
              <w:widowControl/>
              <w:rPr>
                <w:rFonts w:ascii="宋体" w:hAnsi="宋体" w:cs="宋体"/>
                <w:color w:val="auto"/>
                <w:sz w:val="21"/>
                <w:szCs w:val="21"/>
                <w:highlight w:val="none"/>
              </w:rPr>
            </w:pPr>
            <w:r>
              <w:rPr>
                <w:rFonts w:hint="eastAsia" w:ascii="宋体" w:hAnsi="宋体" w:cs="宋体"/>
                <w:sz w:val="21"/>
                <w:szCs w:val="21"/>
                <w:lang w:val="en-US" w:eastAsia="zh-CN"/>
              </w:rPr>
              <w:t xml:space="preserve">评委根据供应商提供的售后服务方案（如培训体系及培训方案、服务体系、服务内容、故障解决方案、专业技术人员保障及服务电话）进行评分，售后服务方案完整，针对性强，可操作性强的得5分；售后服务方案较完整，针对性较强，可操作性较强的得3分；售后服务方案基本完整，针对性较弱，可操作性较弱的得1分。不提供不得分。</w:t>
            </w:r>
            <w:r/>
          </w:p>
        </w:tc>
      </w:tr>
      <w:tr>
        <w:trPr>
          <w:jc w:val="center"/>
          <w:trHeight w:val="4736"/>
        </w:trPr>
        <w:tc>
          <w:tcPr>
            <w:shd w:val="clear" w:color="auto" w:fill="auto"/>
            <w:tcW w:w="990"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样品</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shd w:val="clear" w:color="auto" w:fill="auto"/>
            <w:tcW w:w="4009" w:type="pct"/>
            <w:textDirection w:val="lrTb"/>
            <w:noWrap w:val="false"/>
          </w:tcPr>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一、评委根据投标人提供“</w:t>
            </w:r>
            <w:r>
              <w:rPr>
                <w:rFonts w:hint="eastAsia" w:ascii="宋体" w:hAnsi="宋体" w:cs="宋体"/>
                <w:color w:val="auto"/>
                <w:sz w:val="21"/>
                <w:szCs w:val="21"/>
                <w:highlight w:val="none"/>
                <w:lang w:val="en-US" w:eastAsia="zh-CN"/>
              </w:rPr>
              <w:t xml:space="preserve">结构实验室专用实验凳</w:t>
            </w:r>
            <w:r>
              <w:rPr>
                <w:rFonts w:hint="eastAsia" w:ascii="宋体" w:hAnsi="宋体" w:cs="宋体"/>
                <w:color w:val="auto"/>
                <w:sz w:val="21"/>
                <w:szCs w:val="21"/>
                <w:highlight w:val="none"/>
              </w:rPr>
              <w:t xml:space="preserve">”样品进行评分： </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1、样品无瑕疵：</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ascii="宋体" w:hAnsi="宋体" w:cs="宋体"/>
                <w:sz w:val="21"/>
                <w:szCs w:val="21"/>
              </w:rPr>
            </w:pPr>
            <w:r>
              <w:rPr>
                <w:rFonts w:hint="eastAsia" w:ascii="宋体" w:hAnsi="宋体" w:cs="宋体"/>
                <w:sz w:val="21"/>
                <w:szCs w:val="21"/>
              </w:rPr>
              <w:t xml:space="preserve">本项所称“瑕疵”是指：</w:t>
            </w:r>
            <w:r/>
          </w:p>
          <w:p>
            <w:pPr>
              <w:widowControl/>
              <w:rPr>
                <w:rFonts w:hint="default" w:ascii="宋体" w:hAnsi="宋体" w:cs="宋体"/>
                <w:sz w:val="21"/>
                <w:szCs w:val="21"/>
                <w:lang w:val="en-US" w:eastAsia="zh-CN"/>
              </w:rPr>
            </w:pPr>
            <w:r>
              <w:rPr>
                <w:rFonts w:hint="eastAsia" w:ascii="宋体" w:hAnsi="宋体" w:cs="宋体"/>
                <w:sz w:val="21"/>
                <w:szCs w:val="21"/>
              </w:rPr>
              <w:t xml:space="preserve">①产品主要尺寸、形状：</w:t>
            </w:r>
            <w:r>
              <w:rPr>
                <w:rFonts w:hint="eastAsia" w:ascii="宋体" w:hAnsi="宋体" w:cs="宋体"/>
                <w:sz w:val="21"/>
                <w:szCs w:val="21"/>
                <w:lang w:val="en-US" w:eastAsia="zh-CN"/>
              </w:rPr>
              <w:t xml:space="preserve">凳面直径、升降螺杆直径、托盘尺寸、凳脚尺寸等。</w:t>
            </w:r>
            <w:r/>
          </w:p>
          <w:p>
            <w:pPr>
              <w:widowControl/>
              <w:rPr>
                <w:rFonts w:ascii="宋体" w:hAnsi="宋体" w:cs="宋体"/>
                <w:sz w:val="21"/>
                <w:szCs w:val="21"/>
              </w:rPr>
            </w:pPr>
            <w:r>
              <w:rPr>
                <w:rFonts w:hint="eastAsia" w:ascii="宋体" w:hAnsi="宋体" w:cs="宋体"/>
                <w:sz w:val="21"/>
                <w:szCs w:val="21"/>
              </w:rPr>
              <w:t xml:space="preserve">②材料要求：样品所选用</w:t>
            </w:r>
            <w:r>
              <w:rPr>
                <w:rFonts w:hint="eastAsia" w:ascii="宋体" w:hAnsi="宋体" w:cs="宋体"/>
                <w:sz w:val="21"/>
                <w:szCs w:val="21"/>
                <w:lang w:val="en-US" w:eastAsia="zh-CN"/>
              </w:rPr>
              <w:t xml:space="preserve">凳</w:t>
            </w:r>
            <w:r>
              <w:rPr>
                <w:rFonts w:hint="eastAsia" w:ascii="宋体" w:hAnsi="宋体" w:cs="宋体"/>
                <w:sz w:val="21"/>
                <w:szCs w:val="21"/>
              </w:rPr>
              <w:t xml:space="preserve">面材质、升降螺杆材质、凳脚</w:t>
            </w:r>
            <w:r>
              <w:rPr>
                <w:rFonts w:hint="eastAsia" w:ascii="宋体" w:hAnsi="宋体" w:cs="宋体"/>
                <w:sz w:val="21"/>
                <w:szCs w:val="21"/>
                <w:lang w:val="en-US" w:eastAsia="zh-CN"/>
              </w:rPr>
              <w:t xml:space="preserve">及脚垫材质</w:t>
            </w:r>
            <w:r>
              <w:rPr>
                <w:rFonts w:hint="eastAsia" w:ascii="宋体" w:hAnsi="宋体" w:cs="宋体"/>
                <w:sz w:val="21"/>
                <w:szCs w:val="21"/>
              </w:rPr>
              <w:t xml:space="preserve">与采购需求一致。</w:t>
            </w:r>
            <w:r/>
          </w:p>
          <w:p>
            <w:pPr>
              <w:widowControl/>
              <w:rPr>
                <w:rFonts w:ascii="宋体" w:hAnsi="宋体" w:cs="宋体"/>
                <w:sz w:val="21"/>
                <w:szCs w:val="21"/>
              </w:rPr>
            </w:pPr>
            <w:r>
              <w:rPr>
                <w:rFonts w:hint="eastAsia" w:ascii="宋体" w:hAnsi="宋体" w:cs="宋体"/>
                <w:sz w:val="21"/>
                <w:szCs w:val="21"/>
              </w:rPr>
              <w:t xml:space="preserve">③工艺要求：有无明显色差</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凳面有无防滑处理、升降螺杆有无防腐处理、凳脚是否满焊焊接及烤漆处理</w:t>
            </w:r>
            <w:r>
              <w:rPr>
                <w:rFonts w:hint="eastAsia" w:ascii="宋体" w:hAnsi="宋体" w:cs="宋体"/>
                <w:sz w:val="21"/>
                <w:szCs w:val="21"/>
              </w:rPr>
              <w:t xml:space="preserve">。</w:t>
            </w:r>
            <w:r/>
          </w:p>
          <w:p>
            <w:pPr>
              <w:widowControl/>
              <w:rPr>
                <w:rFonts w:hint="eastAsia" w:ascii="宋体" w:hAnsi="宋体" w:cs="宋体"/>
                <w:sz w:val="21"/>
                <w:szCs w:val="21"/>
              </w:rPr>
            </w:pPr>
            <w:r>
              <w:rPr>
                <w:rFonts w:hint="eastAsia" w:ascii="宋体" w:hAnsi="宋体" w:cs="宋体"/>
                <w:sz w:val="21"/>
                <w:szCs w:val="21"/>
              </w:rPr>
              <w:t xml:space="preserve">④结构稳定及安全：样品整体稳定性、牢固性。</w:t>
            </w:r>
            <w:r/>
          </w:p>
          <w:p>
            <w:pPr>
              <w:widowControl/>
              <w:rPr>
                <w:rFonts w:hint="eastAsia" w:ascii="宋体" w:hAnsi="宋体" w:cs="宋体"/>
                <w:sz w:val="21"/>
                <w:szCs w:val="21"/>
              </w:rPr>
            </w:pPr>
            <w:r>
              <w:rPr>
                <w:rFonts w:hint="eastAsia" w:ascii="宋体" w:hAnsi="宋体" w:cs="宋体"/>
                <w:color w:val="auto"/>
                <w:sz w:val="21"/>
                <w:szCs w:val="21"/>
                <w:highlight w:val="none"/>
              </w:rPr>
              <w:t xml:space="preserve">注：未提供样品不得分。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评委根据投标人提供“</w:t>
            </w:r>
            <w:r>
              <w:rPr>
                <w:rFonts w:hint="eastAsia" w:ascii="宋体" w:hAnsi="宋体" w:cs="宋体"/>
                <w:color w:val="auto"/>
                <w:sz w:val="21"/>
                <w:szCs w:val="21"/>
                <w:highlight w:val="none"/>
                <w:lang w:val="en-US" w:eastAsia="zh-CN"/>
              </w:rPr>
              <w:t xml:space="preserve">桌面式精密车床</w:t>
            </w:r>
            <w:r>
              <w:rPr>
                <w:rFonts w:hint="eastAsia" w:ascii="宋体" w:hAnsi="宋体" w:cs="宋体"/>
                <w:color w:val="auto"/>
                <w:sz w:val="21"/>
                <w:szCs w:val="21"/>
                <w:highlight w:val="none"/>
              </w:rPr>
              <w:t xml:space="preserve">”样品进行评分： </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1、样品无瑕疵：4分；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2、样品存在1处瑕疵扣0.5分，最低0分。</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本项所称“瑕疵”是指：</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①产品主要尺寸、形状：样品的</w:t>
            </w:r>
            <w:r>
              <w:rPr>
                <w:rFonts w:hint="eastAsia" w:ascii="宋体" w:hAnsi="宋体" w:cs="宋体"/>
                <w:color w:val="auto"/>
                <w:sz w:val="21"/>
                <w:szCs w:val="21"/>
                <w:highlight w:val="none"/>
                <w:lang w:val="en-US" w:eastAsia="zh-CN"/>
              </w:rPr>
              <w:t xml:space="preserve">心间距、卡盘的夹持尺寸、夹持刀柄尺寸</w:t>
            </w:r>
            <w:r>
              <w:rPr>
                <w:rFonts w:hint="eastAsia" w:ascii="宋体" w:hAnsi="宋体" w:cs="宋体"/>
                <w:color w:val="auto"/>
                <w:sz w:val="21"/>
                <w:szCs w:val="21"/>
                <w:highlight w:val="none"/>
              </w:rPr>
              <w:t xml:space="preserve">。</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②材料要求：样品所选用底座与采购需求一致。</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③工艺要求：有无明显色差；底座表面有无空洞、有无杂色、有无气泡等。</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④结构稳定及安全：样品整体稳定性、牢固性，整体美观性。</w:t>
            </w:r>
            <w:r/>
          </w:p>
          <w:p>
            <w:pPr>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注：未提供样品不得分。</w:t>
            </w:r>
            <w:r/>
          </w:p>
        </w:tc>
      </w:tr>
    </w:tbl>
    <w:p>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cs="宋体"/>
          <w:color w:val="auto"/>
          <w:sz w:val="21"/>
          <w:szCs w:val="22"/>
          <w:highlight w:val="none"/>
          <w:lang w:val="en-US" w:eastAsia="zh-CN" w:bidi="ar-SA"/>
        </w:rPr>
        <w:t xml:space="preserve">2</w:t>
      </w: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2"/>
        </w:numPr>
        <w:ind w:left="0" w:firstLine="0"/>
        <w:jc w:val="left"/>
        <w:spacing w:line="400" w:lineRule="exact"/>
        <w:rPr>
          <w:rFonts w:hint="eastAsia"/>
          <w:color w:val="auto"/>
          <w:highlight w:val="none"/>
        </w:rPr>
      </w:pPr>
      <w:r>
        <w:rPr>
          <w:rFonts w:hint="eastAsia"/>
          <w:color w:val="auto"/>
          <w:highlight w:val="none"/>
        </w:rPr>
        <w:br w:type="page" w:clear="all"/>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46"/>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61" w:name="_Toc9166"/>
      <w:r>
        <w:rPr>
          <w:rFonts w:hint="eastAsia" w:ascii="宋体" w:hAnsi="宋体" w:eastAsia="宋体" w:cs="Times New Roman"/>
          <w:b/>
          <w:bCs/>
          <w:color w:val="auto"/>
          <w:sz w:val="36"/>
          <w:szCs w:val="36"/>
          <w:highlight w:val="none"/>
          <w:lang w:val="en-US" w:eastAsia="zh-CN"/>
        </w:rPr>
        <w:t xml:space="preserve">第六章 投标文件格式</w:t>
      </w:r>
      <w:bookmarkEnd w:id="61"/>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72"/>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72"/>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772"/>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47"/>
        <w:numPr>
          <w:ilvl w:val="0"/>
          <w:numId w:val="3"/>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62" w:name="_Toc7159"/>
      <w:r/>
      <w:bookmarkStart w:id="63" w:name="_Toc9167"/>
      <w:r>
        <w:rPr>
          <w:rFonts w:hint="eastAsia" w:asciiTheme="minorEastAsia" w:hAnsiTheme="minorEastAsia" w:eastAsiaTheme="minorEastAsia"/>
          <w:color w:val="auto"/>
          <w:sz w:val="32"/>
          <w:highlight w:val="none"/>
        </w:rPr>
        <w:t xml:space="preserve">资格审查响应对照表</w:t>
      </w:r>
      <w:bookmarkEnd w:id="62"/>
      <w:r/>
      <w:bookmarkEnd w:id="63"/>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72"/>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宋体" w:hAnsi="宋体"/>
          <w:b/>
          <w:color w:val="auto"/>
          <w:sz w:val="28"/>
          <w:szCs w:val="28"/>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38"/>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8"/>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8"/>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8"/>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3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3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3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9"/>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3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39"/>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39"/>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39"/>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47"/>
        <w:spacing w:line="360" w:lineRule="auto"/>
        <w:rPr>
          <w:rFonts w:asciiTheme="minorEastAsia" w:hAnsiTheme="minorEastAsia" w:eastAsiaTheme="minorEastAsia"/>
          <w:color w:val="auto"/>
          <w:sz w:val="32"/>
          <w:highlight w:val="none"/>
        </w:rPr>
      </w:pPr>
      <w:r/>
      <w:bookmarkStart w:id="64" w:name="_Toc13313"/>
      <w:r/>
      <w:bookmarkStart w:id="65" w:name="_Toc27055"/>
      <w:r>
        <w:rPr>
          <w:rFonts w:hint="eastAsia" w:asciiTheme="minorEastAsia" w:hAnsiTheme="minorEastAsia" w:eastAsiaTheme="minorEastAsia"/>
          <w:color w:val="auto"/>
          <w:sz w:val="32"/>
          <w:highlight w:val="none"/>
        </w:rPr>
        <w:t xml:space="preserve">二、符合性审查响应对照表</w:t>
      </w:r>
      <w:bookmarkEnd w:id="64"/>
      <w:r/>
      <w:bookmarkEnd w:id="65"/>
      <w:r/>
      <w:r/>
    </w:p>
    <w:tbl>
      <w:tblPr>
        <w:tblStyle w:val="75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47"/>
        <w:spacing w:line="360" w:lineRule="auto"/>
        <w:rPr>
          <w:rFonts w:hint="eastAsia" w:asciiTheme="minorEastAsia" w:hAnsiTheme="minorEastAsia" w:eastAsiaTheme="minorEastAsia"/>
          <w:color w:val="auto"/>
          <w:sz w:val="32"/>
          <w:highlight w:val="none"/>
        </w:rPr>
        <w:sectPr>
          <w:footnotePr/>
          <w:endnotePr/>
          <w:type w:val="nextPage"/>
          <w:pgSz w:w="11906" w:h="16838" w:orient="portrait"/>
          <w:pgMar w:top="1440" w:right="1800" w:bottom="1440" w:left="1800" w:header="851" w:footer="850" w:gutter="0"/>
          <w:cols w:num="1" w:sep="0" w:space="720" w:equalWidth="1"/>
          <w:docGrid w:linePitch="360"/>
        </w:sectPr>
      </w:pPr>
      <w:r/>
      <w:bookmarkStart w:id="66" w:name="_Toc30257"/>
      <w:r/>
      <w:bookmarkStart w:id="67" w:name="_Toc17600"/>
      <w:r/>
      <w:r/>
    </w:p>
    <w:p>
      <w:pPr>
        <w:pStyle w:val="747"/>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6"/>
      <w:r/>
      <w:bookmarkEnd w:id="67"/>
      <w:r/>
      <w:r/>
    </w:p>
    <w:tbl>
      <w:tblPr>
        <w:tblStyle w:val="756"/>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5494"/>
        <w:gridCol w:w="1694"/>
        <w:gridCol w:w="1319"/>
      </w:tblGrid>
      <w:tr>
        <w:trPr>
          <w:jc w:val="center"/>
          <w:trHeight w:val="1654"/>
        </w:trPr>
        <w:tc>
          <w:tcPr>
            <w:tcW w:w="651"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94"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9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1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797"/>
        </w:trPr>
        <w:tc>
          <w:tcPr>
            <w:tcW w:w="6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9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19"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797"/>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071"/>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94"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47"/>
        <w:jc w:val="center"/>
        <w:spacing w:before="300" w:after="300" w:line="360" w:lineRule="auto"/>
        <w:widowControl/>
        <w:rPr>
          <w:rFonts w:ascii="宋体" w:hAnsi="宋体"/>
          <w:color w:val="auto"/>
          <w:sz w:val="21"/>
          <w:szCs w:val="21"/>
          <w:highlight w:val="none"/>
        </w:rPr>
      </w:pPr>
      <w:r/>
      <w:bookmarkStart w:id="68" w:name="_Toc20920"/>
      <w:r/>
      <w:bookmarkStart w:id="69" w:name="_Toc14516"/>
      <w:r/>
      <w:bookmarkStart w:id="70" w:name="_Toc29667"/>
      <w:r>
        <w:rPr>
          <w:rFonts w:hint="eastAsia" w:ascii="宋体" w:hAnsi="宋体" w:cs="微软雅黑"/>
          <w:bCs w:val="0"/>
          <w:color w:val="auto"/>
          <w:sz w:val="21"/>
          <w:szCs w:val="21"/>
          <w:highlight w:val="none"/>
        </w:rPr>
        <w:t xml:space="preserve">中小微企业划型标准 </w:t>
      </w:r>
      <w:bookmarkEnd w:id="68"/>
      <w:r/>
      <w:bookmarkEnd w:id="69"/>
      <w:r/>
      <w:bookmarkEnd w:id="70"/>
      <w:r/>
      <w:r/>
    </w:p>
    <w:p>
      <w:pPr>
        <w:pStyle w:val="780"/>
        <w:ind w:firstLine="420"/>
        <w:keepLines w:val="0"/>
        <w:keepNext w:val="0"/>
        <w:pageBreakBefore w:val="0"/>
        <w:spacing w:before="300" w:after="212" w:line="360" w:lineRule="auto"/>
        <w:widowControl/>
        <w:rPr>
          <w:rStyle w:val="784"/>
          <w:rFonts w:hint="eastAsia" w:ascii="宋体" w:hAnsi="宋体" w:cs="仿宋"/>
          <w:color w:val="auto"/>
          <w:sz w:val="21"/>
          <w:szCs w:val="21"/>
          <w:highlight w:val="none"/>
        </w:rPr>
      </w:pPr>
      <w:r>
        <w:rPr>
          <w:rStyle w:val="784"/>
          <w:rFonts w:hint="eastAsia" w:ascii="宋体" w:hAnsi="宋体" w:cs="仿宋"/>
          <w:color w:val="auto"/>
          <w:sz w:val="21"/>
          <w:szCs w:val="21"/>
          <w:highlight w:val="none"/>
        </w:rPr>
        <w:t xml:space="preserve">中小微企业划型标准如下：</w:t>
      </w:r>
      <w:r/>
    </w:p>
    <w:tbl>
      <w:tblPr>
        <w:tblStyle w:val="756"/>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80"/>
        <w:ind w:firstLine="420"/>
        <w:spacing w:before="300" w:after="452" w:line="360" w:lineRule="auto"/>
        <w:widowControl/>
        <w:rPr>
          <w:rStyle w:val="784"/>
          <w:rFonts w:cs="仿宋"/>
          <w:b w:val="0"/>
          <w:color w:val="auto"/>
          <w:sz w:val="21"/>
          <w:szCs w:val="21"/>
          <w:highlight w:val="none"/>
        </w:rPr>
      </w:pPr>
      <w:r>
        <w:rPr>
          <w:rStyle w:val="784"/>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84"/>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47"/>
        <w:spacing w:line="360" w:lineRule="auto"/>
        <w:rPr>
          <w:rFonts w:asciiTheme="minorEastAsia" w:hAnsiTheme="minorEastAsia" w:eastAsiaTheme="minorEastAsia"/>
          <w:color w:val="auto"/>
          <w:sz w:val="32"/>
          <w:highlight w:val="none"/>
        </w:rPr>
      </w:pPr>
      <w:r/>
      <w:bookmarkStart w:id="71" w:name="_Toc27571"/>
      <w:r/>
      <w:bookmarkStart w:id="72" w:name="_Toc26139"/>
      <w:r>
        <w:rPr>
          <w:rFonts w:hint="eastAsia" w:asciiTheme="minorEastAsia" w:hAnsiTheme="minorEastAsia" w:eastAsiaTheme="minorEastAsia"/>
          <w:color w:val="auto"/>
          <w:sz w:val="32"/>
          <w:highlight w:val="none"/>
        </w:rPr>
        <w:t xml:space="preserve">四、开标一览表</w:t>
      </w:r>
      <w:bookmarkEnd w:id="71"/>
      <w:r/>
      <w:bookmarkEnd w:id="72"/>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6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8"/>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38"/>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38"/>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5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57"/>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47"/>
        <w:spacing w:line="360" w:lineRule="auto"/>
        <w:rPr>
          <w:rFonts w:asciiTheme="minorEastAsia" w:hAnsiTheme="minorEastAsia" w:eastAsiaTheme="minorEastAsia"/>
          <w:color w:val="auto"/>
          <w:sz w:val="32"/>
          <w:highlight w:val="none"/>
        </w:rPr>
      </w:pPr>
      <w:r/>
      <w:bookmarkStart w:id="73" w:name="_Toc12991"/>
      <w:r/>
      <w:bookmarkStart w:id="74" w:name="_Toc25042"/>
      <w:r>
        <w:rPr>
          <w:rFonts w:hint="eastAsia" w:asciiTheme="minorEastAsia" w:hAnsiTheme="minorEastAsia" w:eastAsiaTheme="minorEastAsia"/>
          <w:color w:val="auto"/>
          <w:sz w:val="32"/>
          <w:highlight w:val="none"/>
        </w:rPr>
        <w:t xml:space="preserve">五、投标产品配置及分项报价表</w:t>
      </w:r>
      <w:bookmarkEnd w:id="73"/>
      <w:r/>
      <w:bookmarkEnd w:id="74"/>
      <w:r/>
      <w:r/>
    </w:p>
    <w:tbl>
      <w:tblPr>
        <w:tblStyle w:val="756"/>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pStyle w:val="748"/>
              <w:rPr>
                <w:rFonts w:hint="default"/>
                <w:color w:val="auto"/>
                <w:highlight w:val="none"/>
                <w:lang w:val="en-US" w:eastAsia="zh-CN"/>
              </w:rPr>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gridSpan w:val="9"/>
            <w:tcW w:w="10079" w:type="dxa"/>
            <w:vAlign w:val="center"/>
            <w:textDirection w:val="lrTb"/>
            <w:noWrap w:val="false"/>
          </w:tcPr>
          <w:p>
            <w:pPr>
              <w:jc w:val="left"/>
              <w:spacing w:line="360" w:lineRule="auto"/>
              <w:rPr>
                <w:rFonts w:hint="eastAsia" w:ascii="宋体" w:hAnsi="宋体"/>
                <w:color w:val="auto"/>
                <w:szCs w:val="21"/>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8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86"/>
          <w:rFonts w:hint="eastAsia" w:ascii="宋体" w:hAnsi="宋体" w:eastAsia="宋体" w:cs="宋体"/>
          <w:i w:val="0"/>
          <w:color w:val="auto"/>
          <w:sz w:val="24"/>
          <w:szCs w:val="24"/>
          <w:highlight w:val="none"/>
          <w:u w:val="single"/>
          <w:shd w:val="clear" w:color="auto" w:fill="ffffff"/>
        </w:rPr>
        <w:t xml:space="preserve">（产品名称1）</w:t>
      </w:r>
      <w:r>
        <w:rPr>
          <w:rStyle w:val="786"/>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86"/>
          <w:rFonts w:hint="eastAsia" w:ascii="宋体" w:hAnsi="宋体" w:eastAsia="宋体" w:cs="宋体"/>
          <w:i w:val="0"/>
          <w:color w:val="auto"/>
          <w:sz w:val="24"/>
          <w:szCs w:val="24"/>
          <w:highlight w:val="none"/>
          <w:u w:val="single"/>
          <w:shd w:val="clear" w:color="auto" w:fill="ffffff"/>
        </w:rPr>
        <w:t xml:space="preserve">（厂名）</w:t>
      </w:r>
      <w:r>
        <w:rPr>
          <w:rStyle w:val="786"/>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86"/>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86"/>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86"/>
          <w:rFonts w:hint="eastAsia" w:ascii="宋体" w:hAnsi="宋体" w:eastAsia="宋体" w:cs="宋体"/>
          <w:i w:val="0"/>
          <w:color w:val="auto"/>
          <w:sz w:val="24"/>
          <w:szCs w:val="24"/>
          <w:highlight w:val="none"/>
          <w:u w:val="single"/>
          <w:shd w:val="clear" w:color="auto" w:fill="ffffff"/>
        </w:rPr>
        <w:t xml:space="preserve">（规定比例）</w:t>
      </w:r>
      <w:r>
        <w:rPr>
          <w:rStyle w:val="786"/>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8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（关键组件）</w:t>
      </w:r>
      <w:r>
        <w:rPr>
          <w:rStyle w:val="786"/>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8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（关键工序）</w:t>
      </w:r>
      <w:r>
        <w:rPr>
          <w:rStyle w:val="786"/>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8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86"/>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86"/>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8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86"/>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86"/>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86"/>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86"/>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80"/>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0"/>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80"/>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8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widowControl/>
        <w:rPr>
          <w:rFonts w:ascii="宋体" w:hAnsi="宋体" w:cs="Arial"/>
          <w:b/>
          <w:bCs/>
          <w:color w:val="auto"/>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47"/>
        <w:spacing w:line="360" w:lineRule="auto"/>
        <w:rPr>
          <w:rFonts w:asciiTheme="minorEastAsia" w:hAnsiTheme="minorEastAsia" w:eastAsiaTheme="minorEastAsia"/>
          <w:color w:val="auto"/>
          <w:highlight w:val="none"/>
        </w:rPr>
      </w:pPr>
      <w:r/>
      <w:bookmarkStart w:id="75" w:name="_Toc24330"/>
      <w:r/>
      <w:bookmarkStart w:id="76" w:name="_Toc8605"/>
      <w:r>
        <w:rPr>
          <w:rFonts w:hint="eastAsia" w:asciiTheme="minorEastAsia" w:hAnsiTheme="minorEastAsia" w:eastAsiaTheme="minorEastAsia"/>
          <w:color w:val="auto"/>
          <w:sz w:val="32"/>
          <w:highlight w:val="none"/>
        </w:rPr>
        <w:t xml:space="preserve">六、技术参数响应及偏离表</w:t>
      </w:r>
      <w:bookmarkEnd w:id="75"/>
      <w:r/>
      <w:bookmarkEnd w:id="76"/>
      <w:r/>
      <w:r/>
    </w:p>
    <w:tbl>
      <w:tblPr>
        <w:tblStyle w:val="756"/>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7" w:name="_Hlt26955054"/>
      <w:r/>
      <w:bookmarkEnd w:id="77"/>
      <w:r/>
      <w:bookmarkStart w:id="78" w:name="_Toc6354"/>
      <w:r>
        <w:rPr>
          <w:rFonts w:hint="eastAsia" w:asciiTheme="minorEastAsia" w:hAnsiTheme="minorEastAsia" w:eastAsiaTheme="minorEastAsia"/>
          <w:color w:val="auto"/>
          <w:sz w:val="32"/>
          <w:highlight w:val="none"/>
        </w:rPr>
        <w:br w:type="page" w:clear="all"/>
      </w:r>
      <w:r/>
    </w:p>
    <w:p>
      <w:pPr>
        <w:pStyle w:val="747"/>
        <w:spacing w:line="360" w:lineRule="auto"/>
        <w:rPr>
          <w:rFonts w:asciiTheme="minorEastAsia" w:hAnsiTheme="minorEastAsia" w:eastAsiaTheme="minorEastAsia"/>
          <w:color w:val="auto"/>
          <w:sz w:val="32"/>
          <w:highlight w:val="none"/>
        </w:rPr>
      </w:pPr>
      <w:r/>
      <w:bookmarkStart w:id="79" w:name="_Toc25045"/>
      <w:r>
        <w:rPr>
          <w:rFonts w:hint="eastAsia" w:asciiTheme="minorEastAsia" w:hAnsiTheme="minorEastAsia" w:eastAsiaTheme="minorEastAsia"/>
          <w:color w:val="auto"/>
          <w:sz w:val="32"/>
          <w:highlight w:val="none"/>
        </w:rPr>
        <w:t xml:space="preserve">七、商务条款响应及偏离表</w:t>
      </w:r>
      <w:bookmarkEnd w:id="78"/>
      <w:r/>
      <w:bookmarkEnd w:id="79"/>
      <w:r/>
      <w:r/>
    </w:p>
    <w:tbl>
      <w:tblPr>
        <w:tblStyle w:val="756"/>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0" w:name="_Hlt26580838"/>
            <w:r/>
            <w:bookmarkEnd w:id="80"/>
            <w:r/>
            <w:bookmarkStart w:id="81" w:name="_Hlt26955056"/>
            <w:r/>
            <w:bookmarkEnd w:id="81"/>
            <w:r/>
            <w:bookmarkStart w:id="82" w:name="_Hlt26609391"/>
            <w:r/>
            <w:bookmarkEnd w:id="82"/>
            <w:r/>
            <w:bookmarkStart w:id="83" w:name="_Hlt26955064"/>
            <w:r/>
            <w:bookmarkEnd w:id="83"/>
            <w:r/>
            <w:bookmarkStart w:id="84" w:name="_Hlt26671343"/>
            <w:r/>
            <w:bookmarkEnd w:id="84"/>
            <w:r/>
            <w:bookmarkStart w:id="85" w:name="_Hlt24879081"/>
            <w:r/>
            <w:bookmarkEnd w:id="85"/>
            <w:r/>
            <w:bookmarkStart w:id="86" w:name="_Hlt26782999"/>
            <w:r/>
            <w:bookmarkEnd w:id="86"/>
            <w:r/>
            <w:bookmarkStart w:id="87" w:name="_Hlt26671372"/>
            <w:r/>
            <w:bookmarkEnd w:id="87"/>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57"/>
        <w:ind w:firstLine="480"/>
        <w:spacing w:line="360" w:lineRule="auto"/>
        <w:rPr>
          <w:rFonts w:ascii="宋体" w:hAnsi="宋体"/>
          <w:color w:val="auto"/>
          <w:sz w:val="24"/>
          <w:highlight w:val="none"/>
        </w:rPr>
      </w:pPr>
      <w:r/>
      <w:bookmarkStart w:id="88" w:name="_Hlt26609389"/>
      <w:r/>
      <w:bookmarkEnd w:id="88"/>
      <w:r/>
      <w:bookmarkStart w:id="89" w:name="_Hlt26671374"/>
      <w:r/>
      <w:bookmarkEnd w:id="89"/>
      <w:r/>
      <w:bookmarkStart w:id="90" w:name="_Hlt26955066"/>
      <w:r/>
      <w:bookmarkEnd w:id="90"/>
      <w:r/>
      <w:bookmarkStart w:id="91" w:name="_Toc462564146"/>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pStyle w:val="757"/>
        <w:ind w:firstLine="480"/>
        <w:spacing w:line="360" w:lineRule="auto"/>
        <w:rPr>
          <w:rFonts w:ascii="宋体" w:hAnsi="宋体"/>
          <w:color w:val="auto"/>
          <w:sz w:val="24"/>
          <w:highlight w:val="none"/>
        </w:rPr>
      </w:pPr>
      <w:r>
        <w:rPr>
          <w:rFonts w:ascii="宋体" w:hAnsi="宋体"/>
          <w:color w:val="auto"/>
          <w:sz w:val="24"/>
          <w:highlight w:val="none"/>
        </w:rPr>
      </w:r>
      <w:bookmarkEnd w:id="91"/>
      <w:r/>
      <w:r/>
    </w:p>
    <w:p>
      <w:pPr>
        <w:pStyle w:val="757"/>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56"/>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7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right"/>
      <w:rPr>
        <w:rFonts w:hint="eastAsia" w:ascii="宋体" w:hAnsi="宋体" w:eastAsia="宋体" w:cs="宋体"/>
        <w:lang w:val="en-US" w:eastAsia="zh-CN"/>
      </w:rPr>
    </w:pPr>
    <w:r>
      <w:rPr>
        <w:rFonts w:hint="eastAsia" w:ascii="宋体" w:hAnsi="宋体" w:eastAsia="宋体" w:cs="宋体"/>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6">
    <w:name w:val="Heading 1"/>
    <w:basedOn w:val="745"/>
    <w:next w:val="745"/>
    <w:uiPriority w:val="9"/>
    <w:qFormat/>
    <w:pPr>
      <w:keepLines/>
      <w:keepNext/>
      <w:spacing w:before="340" w:after="330" w:line="578" w:lineRule="auto"/>
      <w:outlineLvl w:val="0"/>
    </w:pPr>
    <w:rPr>
      <w:b/>
      <w:bCs/>
      <w:sz w:val="44"/>
      <w:szCs w:val="44"/>
    </w:rPr>
  </w:style>
  <w:style w:type="paragraph" w:styleId="747">
    <w:name w:val="Heading 2"/>
    <w:basedOn w:val="745"/>
    <w:next w:val="75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8">
    <w:name w:val="Heading 3"/>
    <w:basedOn w:val="745"/>
    <w:next w:val="745"/>
    <w:uiPriority w:val="0"/>
    <w:qFormat/>
    <w:pPr>
      <w:keepLines/>
      <w:keepNext/>
      <w:spacing w:before="260" w:after="260" w:line="416" w:lineRule="auto"/>
      <w:outlineLvl w:val="2"/>
    </w:pPr>
    <w:rPr>
      <w:b/>
      <w:bCs/>
      <w:sz w:val="32"/>
      <w:szCs w:val="32"/>
    </w:rPr>
  </w:style>
  <w:style w:type="paragraph" w:styleId="749">
    <w:name w:val="Heading 4"/>
    <w:basedOn w:val="745"/>
    <w:next w:val="745"/>
    <w:link w:val="793"/>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94"/>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45"/>
    <w:next w:val="745"/>
    <w:link w:val="795"/>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97"/>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98"/>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Normal Indent"/>
    <w:basedOn w:val="745"/>
    <w:uiPriority w:val="0"/>
    <w:unhideWhenUsed/>
    <w:qFormat/>
    <w:pPr>
      <w:ind w:firstLine="420"/>
    </w:pPr>
  </w:style>
  <w:style w:type="paragraph" w:styleId="758">
    <w:name w:val="toc 7"/>
    <w:basedOn w:val="745"/>
    <w:next w:val="745"/>
    <w:uiPriority w:val="39"/>
    <w:unhideWhenUsed/>
    <w:qFormat/>
    <w:pPr>
      <w:ind w:left="1701" w:right="0" w:firstLine="0"/>
      <w:spacing w:after="57"/>
    </w:pPr>
  </w:style>
  <w:style w:type="paragraph" w:styleId="759">
    <w:name w:val="Caption"/>
    <w:basedOn w:val="745"/>
    <w:next w:val="74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0">
    <w:name w:val="annotation text"/>
    <w:basedOn w:val="745"/>
    <w:uiPriority w:val="0"/>
    <w:qFormat/>
    <w:pPr>
      <w:jc w:val="left"/>
    </w:pPr>
  </w:style>
  <w:style w:type="paragraph" w:styleId="761">
    <w:name w:val="Body Text"/>
    <w:basedOn w:val="745"/>
    <w:uiPriority w:val="0"/>
    <w:qFormat/>
    <w:rPr>
      <w:rFonts w:ascii="楷体_GB2312" w:hAnsi="Arial" w:eastAsia="楷体_GB2312"/>
      <w:sz w:val="28"/>
      <w:szCs w:val="28"/>
    </w:rPr>
  </w:style>
  <w:style w:type="paragraph" w:styleId="762">
    <w:name w:val="Body Text Indent"/>
    <w:basedOn w:val="745"/>
    <w:uiPriority w:val="99"/>
    <w:unhideWhenUsed/>
    <w:qFormat/>
    <w:pPr>
      <w:ind w:left="420"/>
      <w:spacing w:after="120"/>
    </w:pPr>
  </w:style>
  <w:style w:type="paragraph" w:styleId="763">
    <w:name w:val="index 4"/>
    <w:basedOn w:val="745"/>
    <w:next w:val="745"/>
    <w:uiPriority w:val="99"/>
    <w:unhideWhenUsed/>
    <w:qFormat/>
    <w:pPr>
      <w:ind w:left="600"/>
    </w:pPr>
    <w:rPr>
      <w:rFonts w:asciiTheme="minorHAnsi" w:hAnsiTheme="minorHAnsi" w:eastAsiaTheme="minorEastAsia" w:cstheme="minorBidi"/>
      <w:szCs w:val="22"/>
    </w:rPr>
  </w:style>
  <w:style w:type="paragraph" w:styleId="764">
    <w:name w:val="toc 5"/>
    <w:basedOn w:val="745"/>
    <w:next w:val="745"/>
    <w:uiPriority w:val="39"/>
    <w:unhideWhenUsed/>
    <w:qFormat/>
    <w:pPr>
      <w:ind w:left="1134" w:right="0" w:firstLine="0"/>
      <w:spacing w:after="57"/>
    </w:pPr>
  </w:style>
  <w:style w:type="paragraph" w:styleId="765">
    <w:name w:val="toc 3"/>
    <w:basedOn w:val="745"/>
    <w:next w:val="745"/>
    <w:uiPriority w:val="39"/>
    <w:unhideWhenUsed/>
    <w:qFormat/>
    <w:pPr>
      <w:ind w:left="567" w:right="0" w:firstLine="0"/>
      <w:spacing w:after="57"/>
    </w:pPr>
  </w:style>
  <w:style w:type="paragraph" w:styleId="766">
    <w:name w:val="Plain Text"/>
    <w:basedOn w:val="745"/>
    <w:uiPriority w:val="99"/>
    <w:qFormat/>
    <w:rPr>
      <w:rFonts w:ascii="宋体" w:hAnsi="Courier New"/>
      <w:sz w:val="20"/>
      <w:szCs w:val="21"/>
    </w:rPr>
  </w:style>
  <w:style w:type="paragraph" w:styleId="767">
    <w:name w:val="toc 8"/>
    <w:basedOn w:val="745"/>
    <w:next w:val="745"/>
    <w:uiPriority w:val="39"/>
    <w:unhideWhenUsed/>
    <w:qFormat/>
    <w:pPr>
      <w:ind w:left="1984" w:right="0" w:firstLine="0"/>
      <w:spacing w:after="57"/>
    </w:pPr>
  </w:style>
  <w:style w:type="paragraph" w:styleId="768">
    <w:name w:val="endnote text"/>
    <w:basedOn w:val="745"/>
    <w:link w:val="935"/>
    <w:uiPriority w:val="99"/>
    <w:semiHidden/>
    <w:unhideWhenUsed/>
    <w:qFormat/>
    <w:pPr>
      <w:spacing w:after="0" w:line="240" w:lineRule="auto"/>
    </w:pPr>
    <w:rPr>
      <w:sz w:val="20"/>
    </w:rPr>
  </w:style>
  <w:style w:type="paragraph" w:styleId="769">
    <w:name w:val="Balloon Text"/>
    <w:basedOn w:val="745"/>
    <w:link w:val="940"/>
    <w:uiPriority w:val="0"/>
    <w:qFormat/>
    <w:rPr>
      <w:sz w:val="18"/>
      <w:szCs w:val="18"/>
    </w:rPr>
  </w:style>
  <w:style w:type="paragraph" w:styleId="770">
    <w:name w:val="Footer"/>
    <w:basedOn w:val="745"/>
    <w:uiPriority w:val="99"/>
    <w:unhideWhenUsed/>
    <w:qFormat/>
    <w:pPr>
      <w:jc w:val="left"/>
      <w:tabs>
        <w:tab w:val="center" w:pos="4153" w:leader="none"/>
        <w:tab w:val="right" w:pos="8306" w:leader="none"/>
      </w:tabs>
    </w:pPr>
    <w:rPr>
      <w:sz w:val="18"/>
      <w:szCs w:val="18"/>
    </w:rPr>
  </w:style>
  <w:style w:type="paragraph" w:styleId="771">
    <w:name w:val="Header"/>
    <w:basedOn w:val="74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5"/>
    <w:next w:val="745"/>
    <w:uiPriority w:val="39"/>
    <w:unhideWhenUsed/>
    <w:qFormat/>
  </w:style>
  <w:style w:type="paragraph" w:styleId="773">
    <w:name w:val="toc 4"/>
    <w:basedOn w:val="745"/>
    <w:next w:val="745"/>
    <w:uiPriority w:val="39"/>
    <w:unhideWhenUsed/>
    <w:qFormat/>
    <w:pPr>
      <w:ind w:left="850" w:right="0" w:firstLine="0"/>
      <w:spacing w:after="57"/>
    </w:pPr>
  </w:style>
  <w:style w:type="paragraph" w:styleId="774">
    <w:name w:val="Subtitle"/>
    <w:basedOn w:val="745"/>
    <w:next w:val="745"/>
    <w:link w:val="801"/>
    <w:uiPriority w:val="11"/>
    <w:qFormat/>
    <w:pPr>
      <w:spacing w:before="200" w:after="200"/>
    </w:pPr>
    <w:rPr>
      <w:sz w:val="24"/>
      <w:szCs w:val="24"/>
    </w:rPr>
  </w:style>
  <w:style w:type="paragraph" w:styleId="775">
    <w:name w:val="footnote text"/>
    <w:basedOn w:val="745"/>
    <w:link w:val="934"/>
    <w:uiPriority w:val="99"/>
    <w:semiHidden/>
    <w:unhideWhenUsed/>
    <w:qFormat/>
    <w:pPr>
      <w:spacing w:after="40" w:line="240" w:lineRule="auto"/>
    </w:pPr>
    <w:rPr>
      <w:sz w:val="18"/>
    </w:rPr>
  </w:style>
  <w:style w:type="paragraph" w:styleId="776">
    <w:name w:val="toc 6"/>
    <w:basedOn w:val="745"/>
    <w:next w:val="745"/>
    <w:uiPriority w:val="39"/>
    <w:unhideWhenUsed/>
    <w:qFormat/>
    <w:pPr>
      <w:ind w:left="1417" w:right="0" w:firstLine="0"/>
      <w:spacing w:after="57"/>
    </w:pPr>
  </w:style>
  <w:style w:type="paragraph" w:styleId="777">
    <w:name w:val="table of figures"/>
    <w:basedOn w:val="745"/>
    <w:next w:val="745"/>
    <w:uiPriority w:val="99"/>
    <w:unhideWhenUsed/>
    <w:qFormat/>
    <w:pPr>
      <w:spacing w:after="0" w:afterAutospacing="0"/>
    </w:pPr>
  </w:style>
  <w:style w:type="paragraph" w:styleId="778">
    <w:name w:val="toc 2"/>
    <w:basedOn w:val="745"/>
    <w:next w:val="745"/>
    <w:uiPriority w:val="0"/>
    <w:qFormat/>
    <w:pPr>
      <w:ind w:left="420"/>
    </w:pPr>
  </w:style>
  <w:style w:type="paragraph" w:styleId="779">
    <w:name w:val="toc 9"/>
    <w:basedOn w:val="745"/>
    <w:next w:val="745"/>
    <w:uiPriority w:val="39"/>
    <w:unhideWhenUsed/>
    <w:qFormat/>
    <w:pPr>
      <w:ind w:left="2268" w:right="0" w:firstLine="0"/>
      <w:spacing w:after="57"/>
    </w:pPr>
  </w:style>
  <w:style w:type="paragraph" w:styleId="780">
    <w:name w:val="Normal (Web)"/>
    <w:basedOn w:val="745"/>
    <w:uiPriority w:val="0"/>
    <w:qFormat/>
    <w:rPr>
      <w:rFonts w:ascii="Times New Roman" w:hAnsi="Times New Roman"/>
      <w:sz w:val="24"/>
    </w:rPr>
  </w:style>
  <w:style w:type="paragraph" w:styleId="781">
    <w:name w:val="Title"/>
    <w:basedOn w:val="745"/>
    <w:next w:val="745"/>
    <w:link w:val="800"/>
    <w:uiPriority w:val="10"/>
    <w:qFormat/>
    <w:pPr>
      <w:contextualSpacing/>
      <w:spacing w:before="300" w:after="200"/>
    </w:pPr>
    <w:rPr>
      <w:sz w:val="48"/>
      <w:szCs w:val="48"/>
    </w:rPr>
  </w:style>
  <w:style w:type="paragraph" w:styleId="782">
    <w:name w:val="Body Text First Indent 2"/>
    <w:basedOn w:val="762"/>
    <w:uiPriority w:val="0"/>
    <w:qFormat/>
    <w:pPr>
      <w:ind w:left="0" w:firstLine="420"/>
      <w:spacing w:after="0" w:line="360" w:lineRule="auto"/>
    </w:pPr>
    <w:rPr>
      <w:rFonts w:ascii="宋体" w:hAnsi="宋体"/>
      <w:sz w:val="20"/>
      <w:szCs w:val="20"/>
    </w:rPr>
  </w:style>
  <w:style w:type="table" w:styleId="783">
    <w:name w:val="Table Grid"/>
    <w:basedOn w:val="756"/>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55"/>
    <w:uiPriority w:val="0"/>
    <w:qFormat/>
    <w:rPr>
      <w:b/>
    </w:rPr>
  </w:style>
  <w:style w:type="character" w:styleId="785">
    <w:name w:val="endnote reference"/>
    <w:basedOn w:val="755"/>
    <w:uiPriority w:val="99"/>
    <w:semiHidden/>
    <w:unhideWhenUsed/>
    <w:qFormat/>
    <w:rPr>
      <w:vertAlign w:val="superscript"/>
    </w:rPr>
  </w:style>
  <w:style w:type="character" w:styleId="786">
    <w:name w:val="Emphasis"/>
    <w:uiPriority w:val="0"/>
    <w:qFormat/>
    <w:rPr>
      <w:i/>
    </w:rPr>
  </w:style>
  <w:style w:type="character" w:styleId="787">
    <w:name w:val="Hyperlink"/>
    <w:uiPriority w:val="99"/>
    <w:unhideWhenUsed/>
    <w:qFormat/>
    <w:rPr>
      <w:color w:val="0563c1" w:themeColor="hyperlink"/>
      <w:u w:val="single"/>
      <w14:textFill>
        <w14:solidFill>
          <w14:schemeClr w14:val="hlink"/>
        </w14:solidFill>
      </w14:textFill>
    </w:rPr>
  </w:style>
  <w:style w:type="character" w:styleId="788">
    <w:name w:val="annotation reference"/>
    <w:basedOn w:val="755"/>
    <w:uiPriority w:val="0"/>
    <w:qFormat/>
    <w:rPr>
      <w:sz w:val="21"/>
      <w:szCs w:val="21"/>
    </w:rPr>
  </w:style>
  <w:style w:type="character" w:styleId="789">
    <w:name w:val="footnote reference"/>
    <w:basedOn w:val="755"/>
    <w:uiPriority w:val="99"/>
    <w:unhideWhenUsed/>
    <w:qFormat/>
    <w:rPr>
      <w:vertAlign w:val="superscript"/>
    </w:rPr>
  </w:style>
  <w:style w:type="character" w:styleId="790" w:customStyle="1">
    <w:name w:val="Heading 1 Char"/>
    <w:basedOn w:val="755"/>
    <w:uiPriority w:val="9"/>
    <w:qFormat/>
    <w:rPr>
      <w:rFonts w:ascii="Arial" w:hAnsi="Arial" w:eastAsia="Arial" w:cs="Arial"/>
      <w:sz w:val="40"/>
      <w:szCs w:val="40"/>
    </w:rPr>
  </w:style>
  <w:style w:type="character" w:styleId="791" w:customStyle="1">
    <w:name w:val="Heading 2 Char"/>
    <w:basedOn w:val="755"/>
    <w:uiPriority w:val="9"/>
    <w:qFormat/>
    <w:rPr>
      <w:rFonts w:ascii="Arial" w:hAnsi="Arial" w:eastAsia="Arial" w:cs="Arial"/>
      <w:sz w:val="34"/>
    </w:rPr>
  </w:style>
  <w:style w:type="character" w:styleId="792" w:customStyle="1">
    <w:name w:val="Heading 3 Char"/>
    <w:basedOn w:val="755"/>
    <w:uiPriority w:val="9"/>
    <w:qFormat/>
    <w:rPr>
      <w:rFonts w:ascii="Arial" w:hAnsi="Arial" w:eastAsia="Arial" w:cs="Arial"/>
      <w:sz w:val="30"/>
      <w:szCs w:val="30"/>
    </w:rPr>
  </w:style>
  <w:style w:type="character" w:styleId="793" w:customStyle="1">
    <w:name w:val="Heading 4 Char"/>
    <w:basedOn w:val="755"/>
    <w:link w:val="749"/>
    <w:uiPriority w:val="9"/>
    <w:qFormat/>
    <w:rPr>
      <w:rFonts w:ascii="Arial" w:hAnsi="Arial" w:eastAsia="Arial" w:cs="Arial"/>
      <w:b/>
      <w:bCs/>
      <w:sz w:val="26"/>
      <w:szCs w:val="26"/>
    </w:rPr>
  </w:style>
  <w:style w:type="character" w:styleId="794" w:customStyle="1">
    <w:name w:val="Heading 5 Char"/>
    <w:basedOn w:val="755"/>
    <w:link w:val="750"/>
    <w:uiPriority w:val="9"/>
    <w:qFormat/>
    <w:rPr>
      <w:rFonts w:ascii="Arial" w:hAnsi="Arial" w:eastAsia="Arial" w:cs="Arial"/>
      <w:b/>
      <w:bCs/>
      <w:sz w:val="24"/>
      <w:szCs w:val="24"/>
    </w:rPr>
  </w:style>
  <w:style w:type="character" w:styleId="795" w:customStyle="1">
    <w:name w:val="Heading 6 Char"/>
    <w:basedOn w:val="755"/>
    <w:link w:val="751"/>
    <w:uiPriority w:val="9"/>
    <w:qFormat/>
    <w:rPr>
      <w:rFonts w:ascii="Arial" w:hAnsi="Arial" w:eastAsia="Arial" w:cs="Arial"/>
      <w:b/>
      <w:bCs/>
      <w:sz w:val="22"/>
      <w:szCs w:val="22"/>
    </w:rPr>
  </w:style>
  <w:style w:type="character" w:styleId="796" w:customStyle="1">
    <w:name w:val="Heading 7 Char"/>
    <w:basedOn w:val="755"/>
    <w:link w:val="752"/>
    <w:uiPriority w:val="9"/>
    <w:qFormat/>
    <w:rPr>
      <w:rFonts w:ascii="Arial" w:hAnsi="Arial" w:eastAsia="Arial" w:cs="Arial"/>
      <w:b/>
      <w:bCs/>
      <w:i/>
      <w:iCs/>
      <w:sz w:val="22"/>
      <w:szCs w:val="22"/>
    </w:rPr>
  </w:style>
  <w:style w:type="character" w:styleId="797" w:customStyle="1">
    <w:name w:val="Heading 8 Char"/>
    <w:basedOn w:val="755"/>
    <w:link w:val="753"/>
    <w:uiPriority w:val="9"/>
    <w:qFormat/>
    <w:rPr>
      <w:rFonts w:ascii="Arial" w:hAnsi="Arial" w:eastAsia="Arial" w:cs="Arial"/>
      <w:i/>
      <w:iCs/>
      <w:sz w:val="22"/>
      <w:szCs w:val="22"/>
    </w:rPr>
  </w:style>
  <w:style w:type="character" w:styleId="798" w:customStyle="1">
    <w:name w:val="Heading 9 Char"/>
    <w:basedOn w:val="755"/>
    <w:link w:val="754"/>
    <w:uiPriority w:val="9"/>
    <w:qFormat/>
    <w:rPr>
      <w:rFonts w:ascii="Arial" w:hAnsi="Arial" w:eastAsia="Arial" w:cs="Arial"/>
      <w:i/>
      <w:iCs/>
      <w:sz w:val="21"/>
      <w:szCs w:val="21"/>
    </w:r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basedOn w:val="755"/>
    <w:link w:val="781"/>
    <w:uiPriority w:val="10"/>
    <w:qFormat/>
    <w:rPr>
      <w:sz w:val="48"/>
      <w:szCs w:val="48"/>
    </w:rPr>
  </w:style>
  <w:style w:type="character" w:styleId="801" w:customStyle="1">
    <w:name w:val="Subtitle Char"/>
    <w:basedOn w:val="755"/>
    <w:link w:val="774"/>
    <w:uiPriority w:val="11"/>
    <w:qFormat/>
    <w:rPr>
      <w:sz w:val="24"/>
      <w:szCs w:val="24"/>
    </w:rPr>
  </w:style>
  <w:style w:type="paragraph" w:styleId="802">
    <w:name w:val="Quote"/>
    <w:basedOn w:val="745"/>
    <w:next w:val="745"/>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45"/>
    <w:next w:val="745"/>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basedOn w:val="755"/>
    <w:uiPriority w:val="99"/>
    <w:qFormat/>
  </w:style>
  <w:style w:type="character" w:styleId="807" w:customStyle="1">
    <w:name w:val="Footer Char"/>
    <w:basedOn w:val="755"/>
    <w:uiPriority w:val="99"/>
    <w:qFormat/>
  </w:style>
  <w:style w:type="character" w:styleId="808" w:customStyle="1">
    <w:name w:val="Caption Char"/>
    <w:uiPriority w:val="99"/>
    <w:qFormat/>
  </w:style>
  <w:style w:type="table" w:styleId="809" w:customStyle="1">
    <w:name w:val="Table Grid Light"/>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basedOn w:val="7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5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Grid Table 3"/>
    <w:basedOn w:val="7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5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5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5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5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5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5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5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8" w:customStyle="1">
    <w:name w:val="Grid Table 4 - Accent 2"/>
    <w:basedOn w:val="75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9" w:customStyle="1">
    <w:name w:val="Grid Table 4 - Accent 3"/>
    <w:basedOn w:val="75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0" w:customStyle="1">
    <w:name w:val="Grid Table 4 - Accent 4"/>
    <w:basedOn w:val="75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1" w:customStyle="1">
    <w:name w:val="Grid Table 4 - Accent 5"/>
    <w:basedOn w:val="75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2" w:customStyle="1">
    <w:name w:val="Grid Table 4 - Accent 6"/>
    <w:basedOn w:val="75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3" w:customStyle="1">
    <w:name w:val="Grid Table 5 Dark"/>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5" w:customStyle="1">
    <w:name w:val="Grid Table 5 Dark - Accent 2"/>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6" w:customStyle="1">
    <w:name w:val="Grid Table 5 Dark - Accent 3"/>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7" w:customStyle="1">
    <w:name w:val="Grid Table 5 Dark- Accent 4"/>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8" w:customStyle="1">
    <w:name w:val="Grid Table 5 Dark - Accent 5"/>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9" w:customStyle="1">
    <w:name w:val="Grid Table 5 Dark - Accent 6"/>
    <w:basedOn w:val="7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0" w:customStyle="1">
    <w:name w:val="Grid Table 6 Colorful"/>
    <w:basedOn w:val="7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5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5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4" w:customStyle="1">
    <w:name w:val="Grid Table 6 Colorful - Accent 4"/>
    <w:basedOn w:val="7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5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6" w:customStyle="1">
    <w:name w:val="Grid Table 6 Colorful - Accent 6"/>
    <w:basedOn w:val="75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7 Colorful"/>
    <w:basedOn w:val="7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5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5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5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5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5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5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basedOn w:val="7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5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5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5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5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5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5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List Table 2"/>
    <w:basedOn w:val="7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5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3" w:customStyle="1">
    <w:name w:val="List Table 2 - Accent 2"/>
    <w:basedOn w:val="75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4" w:customStyle="1">
    <w:name w:val="List Table 2 - Accent 3"/>
    <w:basedOn w:val="75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5" w:customStyle="1">
    <w:name w:val="List Table 2 - Accent 4"/>
    <w:basedOn w:val="75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6" w:customStyle="1">
    <w:name w:val="List Table 2 - Accent 5"/>
    <w:basedOn w:val="75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7" w:customStyle="1">
    <w:name w:val="List Table 2 - Accent 6"/>
    <w:basedOn w:val="75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8" w:customStyle="1">
    <w:name w:val="List Table 3"/>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5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5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5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5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5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5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w:basedOn w:val="7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5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5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5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5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5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5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List Table 5 Dark"/>
    <w:basedOn w:val="7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5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5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5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5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5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5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basedOn w:val="7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5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1" w:customStyle="1">
    <w:name w:val="List Table 6 Colorful - Accent 2"/>
    <w:basedOn w:val="75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2" w:customStyle="1">
    <w:name w:val="List Table 6 Colorful - Accent 3"/>
    <w:basedOn w:val="75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3" w:customStyle="1">
    <w:name w:val="List Table 6 Colorful - Accent 4"/>
    <w:basedOn w:val="75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4" w:customStyle="1">
    <w:name w:val="List Table 6 Colorful - Accent 5"/>
    <w:basedOn w:val="75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5" w:customStyle="1">
    <w:name w:val="List Table 6 Colorful - Accent 6"/>
    <w:basedOn w:val="75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6" w:customStyle="1">
    <w:name w:val="List Table 7 Colorful"/>
    <w:basedOn w:val="7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5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5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5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5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5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5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Lined - Accent 2"/>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Lined - Accent 3"/>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Lined - Accent 4"/>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Lined - Accent 5"/>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Lined - Accent 6"/>
    <w:basedOn w:val="7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amp; Lined - Accent"/>
    <w:basedOn w:val="7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5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Bordered &amp; Lined - Accent 2"/>
    <w:basedOn w:val="75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Bordered &amp; Lined - Accent 3"/>
    <w:basedOn w:val="75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Bordered &amp; Lined - Accent 4"/>
    <w:basedOn w:val="75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Bordered &amp; Lined - Accent 5"/>
    <w:basedOn w:val="75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Bordered &amp; Lined - Accent 6"/>
    <w:basedOn w:val="75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w:basedOn w:val="7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5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9" w:customStyle="1">
    <w:name w:val="Bordered - Accent 2"/>
    <w:basedOn w:val="75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0" w:customStyle="1">
    <w:name w:val="Bordered - Accent 3"/>
    <w:basedOn w:val="75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1" w:customStyle="1">
    <w:name w:val="Bordered - Accent 4"/>
    <w:basedOn w:val="75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2" w:customStyle="1">
    <w:name w:val="Bordered - Accent 5"/>
    <w:basedOn w:val="75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3" w:customStyle="1">
    <w:name w:val="Bordered - Accent 6"/>
    <w:basedOn w:val="75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4" w:customStyle="1">
    <w:name w:val="Footnote Text Char"/>
    <w:link w:val="775"/>
    <w:uiPriority w:val="99"/>
    <w:qFormat/>
    <w:rPr>
      <w:sz w:val="18"/>
    </w:rPr>
  </w:style>
  <w:style w:type="character" w:styleId="935" w:customStyle="1">
    <w:name w:val="Endnote Text Char"/>
    <w:link w:val="768"/>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正文（缩进）"/>
    <w:basedOn w:val="745"/>
    <w:uiPriority w:val="99"/>
    <w:qFormat/>
    <w:pPr>
      <w:ind w:firstLine="480"/>
      <w:spacing w:before="156" w:after="156"/>
    </w:pPr>
  </w:style>
  <w:style w:type="paragraph" w:styleId="938"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939" w:customStyle="1">
    <w:name w:val="Char"/>
    <w:basedOn w:val="745"/>
    <w:uiPriority w:val="0"/>
    <w:qFormat/>
    <w:pPr>
      <w:ind w:firstLine="200"/>
      <w:tabs>
        <w:tab w:val="left" w:pos="360" w:leader="none"/>
      </w:tabs>
    </w:pPr>
    <w:rPr>
      <w:rFonts w:ascii="Times New Roman" w:hAnsi="Times New Roman"/>
      <w:sz w:val="28"/>
      <w:szCs w:val="30"/>
    </w:rPr>
  </w:style>
  <w:style w:type="character" w:styleId="940" w:customStyle="1">
    <w:name w:val="批注框文本 Char"/>
    <w:basedOn w:val="755"/>
    <w:link w:val="769"/>
    <w:uiPriority w:val="0"/>
    <w:qFormat/>
    <w:rPr>
      <w:sz w:val="18"/>
      <w:szCs w:val="18"/>
    </w:rPr>
  </w:style>
  <w:style w:type="paragraph" w:styleId="941" w:customStyle="1">
    <w:name w:val="正文1"/>
    <w:basedOn w:val="745"/>
    <w:next w:val="942"/>
    <w:uiPriority w:val="0"/>
    <w:qFormat/>
    <w:pPr>
      <w:jc w:val="left"/>
      <w:spacing w:line="360" w:lineRule="atLeast"/>
    </w:pPr>
    <w:rPr>
      <w:rFonts w:ascii="宋体" w:hAnsiTheme="minorHAnsi" w:eastAsiaTheme="minorEastAsia" w:cstheme="minorBidi"/>
      <w:sz w:val="24"/>
      <w:szCs w:val="20"/>
    </w:rPr>
  </w:style>
  <w:style w:type="paragraph" w:styleId="942" w:customStyle="1">
    <w:name w:val="正文文本1"/>
    <w:basedOn w:val="941"/>
    <w:next w:val="943"/>
    <w:uiPriority w:val="0"/>
    <w:qFormat/>
    <w:pPr>
      <w:spacing w:after="120"/>
    </w:pPr>
    <w:rPr>
      <w:lang w:eastAsia="en-US"/>
    </w:rPr>
  </w:style>
  <w:style w:type="paragraph" w:styleId="943" w:customStyle="1">
    <w:name w:val="一级条标题"/>
    <w:basedOn w:val="944"/>
    <w:next w:val="9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next w:val="7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5" w:customStyle="1">
    <w:name w:val="段"/>
    <w:basedOn w:val="941"/>
    <w:next w:val="745"/>
    <w:uiPriority w:val="0"/>
    <w:qFormat/>
    <w:pPr>
      <w:ind w:firstLine="200"/>
      <w:widowControl/>
    </w:pPr>
    <w:rPr>
      <w:sz w:val="20"/>
    </w:rPr>
  </w:style>
  <w:style w:type="paragraph" w:styleId="946" w:customStyle="1">
    <w:name w:val="正文缩进1"/>
    <w:basedOn w:val="745"/>
    <w:uiPriority w:val="99"/>
    <w:qFormat/>
    <w:pPr>
      <w:ind w:firstLine="420"/>
    </w:pPr>
  </w:style>
  <w:style w:type="paragraph" w:styleId="947">
    <w:name w:val="List Paragraph"/>
    <w:basedOn w:val="745"/>
    <w:uiPriority w:val="34"/>
    <w:qFormat/>
    <w:pPr>
      <w:contextualSpacing/>
      <w:ind w:left="720" w:firstLine="360"/>
      <w:jc w:val="left"/>
      <w:widowControl/>
    </w:pPr>
    <w:rPr>
      <w:sz w:val="22"/>
      <w:lang w:eastAsia="en-US" w:bidi="en-US"/>
    </w:rPr>
  </w:style>
  <w:style w:type="table" w:styleId="948" w:customStyle="1">
    <w:name w:val="网格型2"/>
    <w:basedOn w:val="756"/>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customStyle="1">
    <w:name w:val="NormalCharacter"/>
    <w:uiPriority w:val="0"/>
    <w:qFormat/>
  </w:style>
  <w:style w:type="paragraph" w:styleId="950" w:customStyle="1">
    <w:name w:val="UserStyle_6"/>
    <w:uiPriority w:val="0"/>
    <w:qFormat/>
    <w:rPr>
      <w:rFonts w:hint="default" w:ascii="宋体" w:hAnsi="Calibri" w:eastAsia="宋体" w:cstheme="minorBidi"/>
      <w:color w:val="000000"/>
      <w:sz w:val="24"/>
      <w:szCs w:val="24"/>
      <w:lang w:val="en-US" w:eastAsia="zh-CN" w:bidi="ar-SA"/>
    </w:rPr>
  </w:style>
  <w:style w:type="paragraph" w:styleId="951" w:customStyle="1">
    <w:name w:val="纯文本1"/>
    <w:basedOn w:val="745"/>
    <w:uiPriority w:val="99"/>
    <w:unhideWhenUsed/>
    <w:qFormat/>
    <w:rPr>
      <w:rFonts w:ascii="宋体" w:hAnsi="Courier New"/>
      <w:sz w:val="20"/>
      <w:szCs w:val="20"/>
      <w:lang w:eastAsia="en-US"/>
    </w:rPr>
  </w:style>
  <w:style w:type="paragraph" w:styleId="952" w:customStyle="1">
    <w:name w:val="纯文本11"/>
    <w:basedOn w:val="941"/>
    <w:uiPriority w:val="0"/>
    <w:qFormat/>
    <w:rPr>
      <w:rFonts w:hAnsi="Courier New"/>
      <w:sz w:val="20"/>
      <w:szCs w:val="21"/>
    </w:rPr>
  </w:style>
  <w:style w:type="character" w:styleId="953" w:customStyle="1">
    <w:name w:val="font51"/>
    <w:basedOn w:val="755"/>
    <w:uiPriority w:val="0"/>
    <w:qFormat/>
    <w:rPr>
      <w:rFonts w:hint="default" w:ascii="default" w:hAnsi="default" w:eastAsia="default" w:cs="default"/>
      <w:color w:val="000000"/>
      <w:sz w:val="20"/>
      <w:szCs w:val="20"/>
      <w:u w:val="none"/>
    </w:rPr>
  </w:style>
  <w:style w:type="character" w:styleId="954" w:customStyle="1">
    <w:name w:val="font112"/>
    <w:basedOn w:val="755"/>
    <w:uiPriority w:val="0"/>
    <w:qFormat/>
    <w:rPr>
      <w:rFonts w:hint="eastAsia" w:ascii="宋体" w:hAnsi="宋体" w:eastAsia="宋体" w:cs="宋体"/>
      <w:color w:val="000000"/>
      <w:sz w:val="20"/>
      <w:szCs w:val="20"/>
      <w:u w:val="none"/>
    </w:rPr>
  </w:style>
  <w:style w:type="character" w:styleId="955" w:customStyle="1">
    <w:name w:val="font11"/>
    <w:basedOn w:val="755"/>
    <w:uiPriority w:val="0"/>
    <w:qFormat/>
    <w:rPr>
      <w:rFonts w:hint="eastAsia" w:ascii="宋体" w:hAnsi="宋体" w:eastAsia="宋体" w:cs="宋体"/>
      <w:color w:val="000000"/>
      <w:sz w:val="20"/>
      <w:szCs w:val="20"/>
      <w:u w:val="none"/>
    </w:rPr>
  </w:style>
  <w:style w:type="character" w:styleId="956" w:customStyle="1">
    <w:name w:val="font71"/>
    <w:basedOn w:val="755"/>
    <w:uiPriority w:val="0"/>
    <w:qFormat/>
    <w:rPr>
      <w:rFonts w:hint="eastAsia" w:ascii="宋体" w:hAnsi="宋体" w:eastAsia="宋体" w:cs="宋体"/>
      <w:color w:val="000000"/>
      <w:sz w:val="20"/>
      <w:szCs w:val="20"/>
      <w:u w:val="none"/>
    </w:rPr>
  </w:style>
  <w:style w:type="character" w:styleId="957" w:customStyle="1">
    <w:name w:val="font61"/>
    <w:basedOn w:val="755"/>
    <w:uiPriority w:val="0"/>
    <w:qFormat/>
    <w:rPr>
      <w:rFonts w:hint="default" w:ascii="default" w:hAnsi="default" w:eastAsia="default" w:cs="default"/>
      <w:color w:val="000000"/>
      <w:sz w:val="20"/>
      <w:szCs w:val="20"/>
      <w:u w:val="none"/>
    </w:rPr>
  </w:style>
  <w:style w:type="character" w:styleId="958" w:customStyle="1">
    <w:name w:val="font81"/>
    <w:basedOn w:val="755"/>
    <w:uiPriority w:val="0"/>
    <w:qFormat/>
    <w:rPr>
      <w:rFonts w:hint="eastAsia" w:ascii="宋体" w:hAnsi="宋体" w:eastAsia="宋体" w:cs="宋体"/>
      <w:color w:val="000000"/>
      <w:sz w:val="20"/>
      <w:szCs w:val="20"/>
      <w:u w:val="none"/>
    </w:rPr>
  </w:style>
  <w:style w:type="character" w:styleId="959" w:customStyle="1">
    <w:name w:val="font121"/>
    <w:basedOn w:val="755"/>
    <w:uiPriority w:val="0"/>
    <w:qFormat/>
    <w:rPr>
      <w:rFonts w:hint="eastAsia" w:ascii="宋体" w:hAnsi="宋体" w:eastAsia="宋体" w:cs="宋体"/>
      <w:color w:val="000000"/>
      <w:sz w:val="20"/>
      <w:szCs w:val="20"/>
      <w:u w:val="none"/>
    </w:rPr>
  </w:style>
  <w:style w:type="paragraph" w:styleId="960"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961" w:customStyle="1">
    <w:name w:val="font91"/>
    <w:basedOn w:val="755"/>
    <w:uiPriority w:val="0"/>
    <w:qFormat/>
    <w:rPr>
      <w:rFonts w:hint="eastAsia" w:ascii="宋体" w:hAnsi="宋体" w:eastAsia="宋体" w:cs="宋体"/>
      <w:color w:val="000000"/>
      <w:sz w:val="12"/>
      <w:szCs w:val="12"/>
      <w:u w:val="none"/>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27</cp:revision>
  <dcterms:created xsi:type="dcterms:W3CDTF">2014-10-29T12:08:00Z</dcterms:created>
  <dcterms:modified xsi:type="dcterms:W3CDTF">2026-06-15T07:34:18Z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EF2EC215801F4F5A86D048BD051ECAE0_13</vt:lpwstr>
  </property>
  <property fmtid="{D5CDD505-2E9C-101B-9397-08002B2CF9AE}" pid="4" name="KSOTemplateDocerSaveRecord">
    <vt:lpwstr>eyJoZGlkIjoiMzFhN2I1MjYxOTA3ZWY4NjA2MDNlZDI5ZTBkMzFjNzAiLCJ1c2VySWQiOiIzNzg2Mzc1NjAifQ==</vt:lpwstr>
  </property>
</Properties>
</file>