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sz w:val="36"/>
        </w:rPr>
      </w:pPr>
      <w:r>
        <w:rPr>
          <w:rFonts w:ascii="宋体" w:hAnsi="宋体"/>
          <w:sz w:val="36"/>
        </w:rPr>
      </w:r>
      <w:r/>
    </w:p>
    <w:p>
      <w:pPr>
        <w:jc w:val="right"/>
        <w:rPr>
          <w:rFonts w:ascii="宋体" w:hAnsi="宋体"/>
          <w:sz w:val="36"/>
        </w:rPr>
      </w:pPr>
      <w:r>
        <w:rPr>
          <w:rFonts w:hint="eastAsia" w:ascii="宋体" w:hAnsi="宋体"/>
          <w:sz w:val="36"/>
        </w:rPr>
        <w:t xml:space="preserve">编号：</w:t>
      </w:r>
      <w:r>
        <w:rPr>
          <w:rFonts w:hint="eastAsia" w:ascii="宋体" w:hAnsi="宋体"/>
          <w:sz w:val="36"/>
          <w:lang w:eastAsia="zh-CN"/>
        </w:rPr>
        <w:t xml:space="preserve">JSZC-321012-JDYQ-G2026-0002</w:t>
      </w:r>
      <w:r/>
    </w:p>
    <w:p>
      <w:pPr>
        <w:jc w:val="center"/>
        <w:rPr>
          <w:rFonts w:hint="eastAsia" w:ascii="宋体" w:hAnsi="宋体"/>
          <w:sz w:val="36"/>
          <w:lang w:eastAsia="zh-CN"/>
        </w:rPr>
      </w:pPr>
      <w:r>
        <w:rPr>
          <w:rFonts w:hint="eastAsia" w:ascii="宋体" w:hAnsi="宋体"/>
          <w:sz w:val="36"/>
          <w:lang w:eastAsia="zh-CN"/>
        </w:rPr>
        <w:t xml:space="preserve">扬州市公安局江都分局雪亮技防工程五期租赁采购</w:t>
      </w:r>
      <w:r/>
    </w:p>
    <w:p>
      <w:pPr>
        <w:jc w:val="center"/>
        <w:rPr>
          <w:rFonts w:ascii="宋体" w:hAnsi="宋体"/>
          <w:sz w:val="36"/>
        </w:rPr>
      </w:pPr>
      <w:r>
        <w:rPr>
          <w:rFonts w:hint="eastAsia" w:ascii="宋体" w:hAnsi="宋体"/>
          <w:sz w:val="36"/>
        </w:rPr>
        <w:t xml:space="preserve">公开招标文件</w:t>
      </w:r>
      <w:r/>
    </w:p>
    <w:p>
      <w:pPr>
        <w:jc w:val="center"/>
        <w:rPr>
          <w:rFonts w:ascii="宋体" w:hAnsi="宋体"/>
          <w:sz w:val="36"/>
        </w:rPr>
      </w:pPr>
      <w:r>
        <w:rPr>
          <w:rFonts w:ascii="宋体" w:hAnsi="宋体"/>
          <w:sz w:val="36"/>
        </w:rPr>
      </w:r>
      <w:r/>
    </w:p>
    <w:p>
      <w:pPr>
        <w:pStyle w:val="865"/>
      </w:pPr>
      <w:r>
        <w:rPr>
          <w:rFonts w:hint="default" w:ascii="Calibri" w:hAnsi="Calibri" w:eastAsia="宋体" w:cs="Times New Roman"/>
          <w:b/>
          <w:bCs/>
          <w:sz w:val="32"/>
          <w:szCs w:val="32"/>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5pt;height:288.0pt;mso-wrap-distance-left:0.0pt;mso-wrap-distance-top:0.0pt;mso-wrap-distance-right:0.0pt;mso-wrap-distance-bottom:0.0pt;" filled="f" stroked="f">
            <v:path textboxrect="0,0,0,0"/>
            <v:imagedata r:id="rId14" o:title=""/>
          </v:shape>
          <o:OLEObject DrawAspect="Content" r:id="rId15" ObjectID="_1525042" ProgID="StaticMetafile" ShapeID="_x0000_i2" Type="Embed"/>
        </w:object>
      </w:r>
      <w:r/>
    </w:p>
    <w:p>
      <w:r/>
      <w:r/>
    </w:p>
    <w:p>
      <w:pPr>
        <w:pStyle w:val="865"/>
      </w:pPr>
      <w:r/>
      <w:r/>
    </w:p>
    <w:p>
      <w:pPr>
        <w:jc w:val="center"/>
        <w:rPr>
          <w:rFonts w:hint="eastAsia" w:ascii="宋体" w:hAnsi="宋体"/>
          <w:sz w:val="36"/>
          <w:lang w:eastAsia="zh-CN"/>
        </w:rPr>
      </w:pPr>
      <w:r>
        <w:rPr>
          <w:rFonts w:hint="eastAsia" w:ascii="宋体" w:hAnsi="宋体"/>
          <w:sz w:val="36"/>
          <w:lang w:eastAsia="zh-CN"/>
        </w:rPr>
        <w:t xml:space="preserve">江苏渝祺项目管理有限公司</w:t>
      </w:r>
      <w:r/>
    </w:p>
    <w:p>
      <w:pPr>
        <w:jc w:val="center"/>
      </w:pPr>
      <w:r>
        <w:rPr>
          <w:rFonts w:hint="eastAsia" w:ascii="宋体" w:hAnsi="宋体"/>
          <w:sz w:val="36"/>
        </w:rPr>
        <w:t xml:space="preserve">202</w:t>
      </w:r>
      <w:r>
        <w:rPr>
          <w:rFonts w:hint="eastAsia" w:ascii="宋体" w:hAnsi="宋体"/>
          <w:sz w:val="36"/>
          <w:lang w:val="en-US" w:eastAsia="zh-CN"/>
        </w:rPr>
        <w:t xml:space="preserve">6</w:t>
      </w:r>
      <w:r>
        <w:rPr>
          <w:rFonts w:hint="eastAsia" w:ascii="宋体" w:hAnsi="宋体"/>
          <w:sz w:val="36"/>
        </w:rPr>
        <w:t xml:space="preserve">年</w:t>
      </w:r>
      <w:r>
        <w:rPr>
          <w:rFonts w:hint="eastAsia" w:ascii="宋体" w:hAnsi="宋体"/>
          <w:sz w:val="36"/>
          <w:lang w:val="en-US" w:eastAsia="zh-CN"/>
        </w:rPr>
        <w:t xml:space="preserve">6</w:t>
      </w:r>
      <w:r>
        <w:rPr>
          <w:rFonts w:hint="eastAsia" w:ascii="宋体" w:hAnsi="宋体"/>
          <w:sz w:val="36"/>
        </w:rPr>
        <w:t xml:space="preserve">月</w:t>
      </w:r>
      <w:r>
        <w:br w:type="page" w:clear="all"/>
      </w:r>
      <w:r/>
    </w:p>
    <w:p>
      <w:pPr>
        <w:jc w:val="center"/>
        <w:rPr>
          <w:rFonts w:ascii="宋体" w:hAnsi="宋体"/>
          <w:sz w:val="32"/>
        </w:rPr>
      </w:pPr>
      <w:r>
        <w:rPr>
          <w:rFonts w:hint="eastAsia" w:ascii="宋体" w:hAnsi="宋体"/>
          <w:sz w:val="32"/>
        </w:rPr>
        <w:t xml:space="preserve">目 录</w:t>
      </w:r>
      <w:r/>
    </w:p>
    <w:p>
      <w:pPr>
        <w:pStyle w:val="889"/>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t xml:space="preserve">3</w:t>
      </w:r>
      <w:r/>
    </w:p>
    <w:p>
      <w:pPr>
        <w:pStyle w:val="889"/>
        <w:tabs>
          <w:tab w:val="right" w:pos="8296" w:leader="dot"/>
        </w:tabs>
        <w:rPr>
          <w:rFonts w:hint="eastAsia" w:eastAsia="宋体"/>
          <w:lang w:eastAsia="zh-CN"/>
        </w:rPr>
      </w:pPr>
      <w:r>
        <w:rPr>
          <w:rFonts w:hint="eastAsia" w:ascii="宋体" w:hAnsi="宋体"/>
        </w:rPr>
        <w:t xml:space="preserve">第二章 投标人须知</w:t>
      </w:r>
      <w:r>
        <w:rPr>
          <w:rFonts w:hint="eastAsia"/>
        </w:rPr>
        <w:tab/>
      </w:r>
      <w:r>
        <w:rPr>
          <w:rFonts w:hint="eastAsia"/>
          <w:lang w:val="en-US" w:eastAsia="zh-CN"/>
        </w:rPr>
        <w:t xml:space="preserve">7</w:t>
      </w:r>
      <w:r/>
    </w:p>
    <w:p>
      <w:pPr>
        <w:pStyle w:val="889"/>
        <w:tabs>
          <w:tab w:val="right" w:pos="8296" w:leader="dot"/>
        </w:tabs>
        <w:rPr>
          <w:rFonts w:hint="eastAsia" w:eastAsia="宋体"/>
          <w:lang w:eastAsia="zh-CN"/>
        </w:rPr>
      </w:pPr>
      <w:r>
        <w:rPr>
          <w:rFonts w:hint="eastAsia" w:ascii="宋体" w:hAnsi="宋体"/>
        </w:rPr>
        <w:t xml:space="preserve">第三章 合同条款及格式</w:t>
      </w:r>
      <w:r>
        <w:rPr>
          <w:rFonts w:hint="eastAsia"/>
        </w:rPr>
        <w:tab/>
      </w:r>
      <w:r>
        <w:rPr>
          <w:rFonts w:hint="eastAsia"/>
        </w:rPr>
        <w:t xml:space="preserve">1</w:t>
      </w:r>
      <w:r>
        <w:rPr>
          <w:rFonts w:hint="eastAsia"/>
          <w:lang w:val="en-US" w:eastAsia="zh-CN"/>
        </w:rPr>
        <w:t xml:space="preserve">8</w:t>
      </w:r>
      <w:r/>
    </w:p>
    <w:p>
      <w:pPr>
        <w:pStyle w:val="889"/>
        <w:tabs>
          <w:tab w:val="right" w:pos="8296" w:leader="dot"/>
        </w:tabs>
        <w:rPr>
          <w:rFonts w:hint="eastAsia" w:eastAsia="宋体"/>
          <w:lang w:eastAsia="zh-CN"/>
        </w:rPr>
      </w:pPr>
      <w:r>
        <w:rPr>
          <w:rFonts w:hint="eastAsia"/>
        </w:rPr>
        <w:t xml:space="preserve">第四章 项目需求</w:t>
      </w:r>
      <w:r>
        <w:rPr>
          <w:rFonts w:hint="eastAsia"/>
        </w:rPr>
        <w:tab/>
      </w:r>
      <w:r>
        <w:rPr>
          <w:rFonts w:hint="eastAsia"/>
        </w:rPr>
        <w:t xml:space="preserve">2</w:t>
      </w:r>
      <w:r>
        <w:rPr>
          <w:rFonts w:hint="eastAsia"/>
          <w:lang w:val="en-US" w:eastAsia="zh-CN"/>
        </w:rPr>
        <w:t xml:space="preserve">3</w:t>
      </w:r>
      <w:r/>
    </w:p>
    <w:p>
      <w:pPr>
        <w:pStyle w:val="889"/>
        <w:tabs>
          <w:tab w:val="right" w:pos="8296" w:leader="dot"/>
        </w:tabs>
        <w:rPr>
          <w:rFonts w:hint="default" w:eastAsia="宋体"/>
          <w:lang w:val="en-US" w:eastAsia="zh-CN"/>
        </w:rPr>
      </w:pPr>
      <w:r>
        <w:rPr>
          <w:rFonts w:hint="eastAsia" w:ascii="宋体" w:hAnsi="宋体"/>
        </w:rPr>
        <w:t xml:space="preserve">第五章 评标方法及评标标准</w:t>
      </w:r>
      <w:r>
        <w:rPr>
          <w:rFonts w:hint="eastAsia"/>
        </w:rPr>
        <w:tab/>
        <w:t xml:space="preserve">66</w:t>
      </w:r>
      <w:r>
        <w:rPr>
          <w:rFonts w:hint="eastAsia"/>
          <w:lang w:val="en-US" w:eastAsia="zh-CN"/>
        </w:rPr>
      </w:r>
      <w:r/>
    </w:p>
    <w:p>
      <w:pPr>
        <w:pStyle w:val="889"/>
        <w:tabs>
          <w:tab w:val="right" w:pos="8296" w:leader="dot"/>
        </w:tabs>
        <w:rPr>
          <w:rFonts w:hint="default" w:eastAsia="宋体"/>
          <w:lang w:val="en-US" w:eastAsia="zh-CN"/>
        </w:rPr>
      </w:pPr>
      <w:r>
        <w:rPr>
          <w:rFonts w:hint="eastAsia" w:ascii="宋体" w:hAnsi="宋体"/>
        </w:rPr>
        <w:t xml:space="preserve">第六章 投标文件格式</w:t>
      </w:r>
      <w:r>
        <w:rPr>
          <w:rFonts w:hint="eastAsia"/>
        </w:rPr>
        <w:tab/>
      </w:r>
      <w:r>
        <w:rPr>
          <w:rFonts w:hint="eastAsia"/>
          <w:lang w:val="en-US" w:eastAsia="zh-CN"/>
        </w:rPr>
        <w:t xml:space="preserve">73</w:t>
      </w:r>
      <w:r/>
    </w:p>
    <w:p>
      <w:pPr>
        <w:rPr>
          <w:rFonts w:ascii="宋体" w:hAnsi="宋体"/>
          <w:sz w:val="28"/>
        </w:rPr>
      </w:pPr>
      <w:r>
        <w:rPr>
          <w:rFonts w:hint="eastAsia" w:ascii="宋体" w:hAnsi="宋体"/>
          <w:sz w:val="28"/>
        </w:rPr>
        <w:fldChar w:fldCharType="end"/>
      </w:r>
      <w:r/>
    </w:p>
    <w:p>
      <w:r/>
      <w:bookmarkStart w:id="68" w:name="_GoBack"/>
      <w:r/>
      <w:bookmarkEnd w:id="68"/>
      <w:r>
        <w:rPr>
          <w:rFonts w:hint="eastAsia" w:ascii="宋体" w:hAnsi="宋体"/>
          <w:sz w:val="28"/>
        </w:rPr>
        <w:br w:type="page" w:clear="all"/>
      </w:r>
      <w:r/>
    </w:p>
    <w:p>
      <w:pPr>
        <w:pStyle w:val="865"/>
        <w:jc w:val="center"/>
        <w:rPr>
          <w:rFonts w:hint="eastAsia"/>
          <w:lang w:eastAsia="zh-CN"/>
        </w:rPr>
      </w:pPr>
      <w:r/>
      <w:bookmarkStart w:id="0" w:name="_Toc55204177"/>
      <w:r>
        <w:rPr>
          <w:rFonts w:hint="eastAsia"/>
        </w:rPr>
        <w:t xml:space="preserve">第一章 </w:t>
      </w:r>
      <w:r>
        <w:rPr>
          <w:rFonts w:hint="eastAsia"/>
          <w:lang w:eastAsia="zh-CN"/>
        </w:rPr>
        <w:t xml:space="preserve">扬州市公安局江都分局雪亮技防工程五期租赁采购</w:t>
      </w:r>
      <w:r/>
    </w:p>
    <w:p>
      <w:pPr>
        <w:pStyle w:val="865"/>
        <w:jc w:val="center"/>
      </w:pPr>
      <w:r>
        <w:rPr>
          <w:rFonts w:hint="eastAsia"/>
        </w:rPr>
        <w:t xml:space="preserve">招标公告</w:t>
      </w:r>
      <w:bookmarkEnd w:id="0"/>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受扬州市公安局江都分局的委托，</w:t>
      </w:r>
      <w:r>
        <w:rPr>
          <w:rFonts w:hint="eastAsia" w:ascii="宋体" w:hAnsi="宋体" w:cs="宋体"/>
          <w:lang w:eastAsia="zh-CN"/>
        </w:rPr>
        <w:t xml:space="preserve">江苏渝祺项目管理有限公司</w:t>
      </w:r>
      <w:r>
        <w:rPr>
          <w:rFonts w:hint="eastAsia" w:ascii="宋体" w:hAnsi="宋体" w:cs="宋体"/>
        </w:rPr>
        <w:t xml:space="preserve">就</w:t>
      </w:r>
      <w:r>
        <w:rPr>
          <w:rFonts w:hint="eastAsia" w:ascii="宋体" w:hAnsi="宋体" w:cs="宋体"/>
          <w:lang w:eastAsia="zh-CN"/>
        </w:rPr>
        <w:t xml:space="preserve">扬州市公安局江都分局雪亮技防工程五期租赁</w:t>
      </w:r>
      <w:r>
        <w:rPr>
          <w:rFonts w:hint="eastAsia" w:ascii="宋体" w:hAnsi="宋体" w:cs="宋体"/>
        </w:rPr>
        <w:t xml:space="preserve">采购（</w:t>
      </w:r>
      <w:r>
        <w:rPr>
          <w:rFonts w:hint="eastAsia" w:ascii="宋体" w:hAnsi="宋体" w:cs="宋体"/>
          <w:lang w:eastAsia="zh-CN"/>
        </w:rPr>
        <w:t xml:space="preserve">JSZC-321012-JDYQ-G2026-0002</w:t>
      </w:r>
      <w:r>
        <w:rPr>
          <w:rFonts w:hint="eastAsia" w:ascii="宋体" w:hAnsi="宋体" w:cs="宋体"/>
        </w:rPr>
        <w:t xml:space="preserve">)项目进行公开招标采购，欢迎符合条件的供应商投标。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 </w:t>
      </w:r>
      <w:r>
        <w:rPr>
          <w:rFonts w:hint="eastAsia" w:ascii="宋体" w:hAnsi="宋体" w:cs="宋体"/>
          <w:u w:val="single"/>
          <w:lang w:eastAsia="zh-CN"/>
        </w:rPr>
        <w:t xml:space="preserve">扬州市公安局江都分局雪亮技防工程五期租赁采购</w:t>
      </w:r>
      <w:r>
        <w:rPr>
          <w:rFonts w:hint="eastAsia" w:ascii="宋体" w:hAnsi="宋体" w:cs="宋体"/>
        </w:rPr>
        <w:t xml:space="preserve">招标项目的潜在投标人可在</w:t>
      </w:r>
      <w:r>
        <w:rPr>
          <w:rFonts w:hint="eastAsia" w:ascii="宋体" w:hAnsi="宋体" w:cs="宋体"/>
          <w:u w:val="single"/>
        </w:rPr>
        <w:t xml:space="preserve"> “扬州市政府采购网”、“江苏政府采购网”自行免费下载</w:t>
      </w:r>
      <w:r>
        <w:rPr>
          <w:rFonts w:hint="eastAsia" w:ascii="宋体" w:hAnsi="宋体" w:cs="宋体"/>
        </w:rPr>
        <w:t xml:space="preserve">招标文件，并于</w:t>
      </w:r>
      <w:bookmarkStart w:id="1" w:name="XMTBJSR_1"/>
      <w:r>
        <w:rPr>
          <w:rFonts w:ascii="宋体" w:hAnsi="宋体" w:cs="宋体"/>
          <w:bCs/>
          <w:u w:val="single"/>
        </w:rPr>
        <w:t xml:space="preserve">202</w:t>
      </w:r>
      <w:r>
        <w:rPr>
          <w:rFonts w:hint="eastAsia" w:ascii="宋体" w:hAnsi="宋体" w:cs="宋体"/>
          <w:bCs/>
          <w:u w:val="single"/>
          <w:lang w:val="en-US" w:eastAsia="zh-CN"/>
        </w:rPr>
        <w:t xml:space="preserve">6</w:t>
      </w:r>
      <w:r>
        <w:rPr>
          <w:rFonts w:ascii="宋体" w:hAnsi="宋体" w:cs="宋体"/>
          <w:bCs/>
          <w:u w:val="single"/>
        </w:rPr>
        <w:t xml:space="preserve">年</w:t>
      </w:r>
      <w:r>
        <w:rPr>
          <w:rFonts w:hint="eastAsia" w:ascii="宋体" w:hAnsi="宋体" w:cs="宋体"/>
          <w:bCs/>
          <w:u w:val="single"/>
          <w:lang w:val="en-US" w:eastAsia="zh-CN"/>
        </w:rPr>
        <w:t xml:space="preserve">6</w:t>
      </w:r>
      <w:r>
        <w:rPr>
          <w:rFonts w:ascii="宋体" w:hAnsi="宋体" w:cs="宋体"/>
          <w:bCs/>
          <w:u w:val="single"/>
        </w:rPr>
        <w:t xml:space="preserve">月</w:t>
      </w:r>
      <w:r>
        <w:rPr>
          <w:rFonts w:hint="eastAsia" w:ascii="宋体" w:hAnsi="宋体" w:cs="宋体"/>
          <w:bCs/>
          <w:u w:val="single"/>
          <w:lang w:val="en-US" w:eastAsia="zh-CN"/>
        </w:rPr>
        <w:t xml:space="preserve">24</w:t>
      </w:r>
      <w:r>
        <w:rPr>
          <w:rFonts w:ascii="宋体" w:hAnsi="宋体" w:cs="宋体"/>
          <w:bCs/>
          <w:u w:val="single"/>
        </w:rPr>
        <w:t xml:space="preserve">日 </w:t>
      </w:r>
      <w:bookmarkEnd w:id="1"/>
      <w:r>
        <w:rPr>
          <w:rFonts w:hint="eastAsia" w:ascii="宋体" w:hAnsi="宋体" w:cs="宋体"/>
          <w:bCs/>
          <w:u w:val="single"/>
        </w:rPr>
        <w:t xml:space="preserve">9点30分（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79"/>
      <w:r/>
      <w:bookmarkStart w:id="3" w:name="_Toc28359002"/>
      <w:r/>
      <w:bookmarkStart w:id="4" w:name="_Toc38985263"/>
      <w:r/>
      <w:bookmarkStart w:id="5" w:name="_Toc35393621"/>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lang w:eastAsia="zh-CN"/>
        </w:rPr>
      </w:pPr>
      <w:r>
        <w:rPr>
          <w:rFonts w:hint="eastAsia" w:ascii="宋体" w:hAnsi="宋体" w:cs="宋体"/>
        </w:rPr>
        <w:t xml:space="preserve">1.项目编号：</w:t>
      </w:r>
      <w:r>
        <w:rPr>
          <w:rFonts w:hint="eastAsia" w:ascii="宋体" w:hAnsi="宋体" w:cs="宋体"/>
          <w:lang w:eastAsia="zh-CN"/>
        </w:rPr>
        <w:t xml:space="preserve">JSZC-321012-JDYQ-G2026-0002</w:t>
      </w:r>
      <w:r/>
    </w:p>
    <w:p>
      <w:pPr>
        <w:ind w:firstLine="420"/>
        <w:spacing w:line="360" w:lineRule="auto"/>
        <w:rPr>
          <w:rFonts w:hint="eastAsia" w:ascii="宋体" w:hAnsi="宋体" w:cs="宋体"/>
          <w:lang w:eastAsia="zh-CN"/>
        </w:rPr>
      </w:pPr>
      <w:r>
        <w:rPr>
          <w:rFonts w:hint="eastAsia" w:ascii="宋体" w:hAnsi="宋体" w:cs="宋体"/>
        </w:rPr>
        <w:t xml:space="preserve">2.项目名称：</w:t>
      </w:r>
      <w:bookmarkEnd w:id="7"/>
      <w:r>
        <w:rPr>
          <w:rFonts w:hint="eastAsia" w:ascii="宋体" w:hAnsi="宋体" w:cs="宋体"/>
          <w:lang w:eastAsia="zh-CN"/>
        </w:rPr>
        <w:t xml:space="preserve">扬州市公安局江都分局雪亮技防工程五期租赁采购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2245.78</w:t>
      </w:r>
      <w:r>
        <w:rPr>
          <w:rFonts w:hint="eastAsia" w:ascii="宋体" w:hAnsi="宋体" w:cs="宋体"/>
          <w:color w:val="auto"/>
          <w:highlight w:val="none"/>
        </w:rPr>
        <w:t xml:space="preserve">万元（采购包1：</w:t>
      </w:r>
      <w:r>
        <w:rPr>
          <w:rFonts w:hint="eastAsia" w:ascii="宋体" w:hAnsi="宋体" w:cs="宋体"/>
          <w:color w:val="auto"/>
          <w:highlight w:val="none"/>
          <w:lang w:val="en-US" w:eastAsia="zh-CN"/>
        </w:rPr>
        <w:t xml:space="preserve">768.478</w:t>
      </w:r>
      <w:r>
        <w:rPr>
          <w:rFonts w:hint="eastAsia" w:ascii="宋体" w:hAnsi="宋体" w:cs="宋体"/>
          <w:color w:val="auto"/>
          <w:highlight w:val="none"/>
        </w:rPr>
        <w:t xml:space="preserve">万元，采购包2：</w:t>
      </w:r>
      <w:r>
        <w:rPr>
          <w:rFonts w:hint="eastAsia" w:ascii="宋体" w:hAnsi="宋体" w:cs="宋体"/>
          <w:color w:val="auto"/>
          <w:highlight w:val="none"/>
          <w:lang w:val="en-US" w:eastAsia="zh-CN"/>
        </w:rPr>
        <w:t xml:space="preserve">743.241</w:t>
      </w:r>
      <w:r>
        <w:rPr>
          <w:rFonts w:hint="eastAsia" w:ascii="宋体" w:hAnsi="宋体" w:cs="宋体"/>
          <w:color w:val="auto"/>
          <w:highlight w:val="none"/>
        </w:rPr>
        <w:t xml:space="preserve">万元，采购包3：</w:t>
      </w:r>
      <w:r>
        <w:rPr>
          <w:rFonts w:hint="eastAsia" w:ascii="宋体" w:hAnsi="宋体" w:cs="宋体"/>
          <w:color w:val="auto"/>
          <w:highlight w:val="none"/>
          <w:lang w:val="en-US" w:eastAsia="zh-CN"/>
        </w:rPr>
        <w:t xml:space="preserve">734.061</w:t>
      </w:r>
      <w:r>
        <w:rPr>
          <w:rFonts w:hint="eastAsia" w:ascii="宋体" w:hAnsi="宋体" w:cs="宋体"/>
          <w:color w:val="auto"/>
          <w:highlight w:val="none"/>
        </w:rPr>
        <w:t xml:space="preserve">万元。）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lang w:val="en-US" w:eastAsia="zh-CN"/>
        </w:rPr>
        <w:t xml:space="preserve">最高限价</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2245.78</w:t>
      </w:r>
      <w:r>
        <w:rPr>
          <w:rFonts w:hint="eastAsia" w:ascii="宋体" w:hAnsi="宋体" w:cs="宋体"/>
          <w:color w:val="auto"/>
          <w:highlight w:val="none"/>
        </w:rPr>
        <w:t xml:space="preserve">万元（采购包1：</w:t>
      </w:r>
      <w:r>
        <w:rPr>
          <w:rFonts w:hint="eastAsia" w:ascii="宋体" w:hAnsi="宋体" w:cs="宋体"/>
          <w:color w:val="auto"/>
          <w:highlight w:val="none"/>
          <w:lang w:val="en-US" w:eastAsia="zh-CN"/>
        </w:rPr>
        <w:t xml:space="preserve">768.478</w:t>
      </w:r>
      <w:r>
        <w:rPr>
          <w:rFonts w:hint="eastAsia" w:ascii="宋体" w:hAnsi="宋体" w:cs="宋体"/>
          <w:color w:val="auto"/>
          <w:highlight w:val="none"/>
        </w:rPr>
        <w:t xml:space="preserve">万元，采购包2：</w:t>
      </w:r>
      <w:r>
        <w:rPr>
          <w:rFonts w:hint="eastAsia" w:ascii="宋体" w:hAnsi="宋体" w:cs="宋体"/>
          <w:color w:val="auto"/>
          <w:highlight w:val="none"/>
          <w:lang w:val="en-US" w:eastAsia="zh-CN"/>
        </w:rPr>
        <w:t xml:space="preserve">743.241</w:t>
      </w:r>
      <w:r>
        <w:rPr>
          <w:rFonts w:hint="eastAsia" w:ascii="宋体" w:hAnsi="宋体" w:cs="宋体"/>
          <w:color w:val="auto"/>
          <w:highlight w:val="none"/>
        </w:rPr>
        <w:t xml:space="preserve">万元，采购包3：</w:t>
      </w:r>
      <w:r>
        <w:rPr>
          <w:rFonts w:hint="eastAsia" w:ascii="宋体" w:hAnsi="宋体" w:cs="宋体"/>
          <w:color w:val="auto"/>
          <w:highlight w:val="none"/>
          <w:lang w:val="en-US" w:eastAsia="zh-CN"/>
        </w:rPr>
        <w:t xml:space="preserve">734.061</w:t>
      </w:r>
      <w:r>
        <w:rPr>
          <w:rFonts w:hint="eastAsia" w:ascii="宋体" w:hAnsi="宋体" w:cs="宋体"/>
          <w:color w:val="auto"/>
          <w:highlight w:val="none"/>
        </w:rPr>
        <w:t xml:space="preserve">万元。）</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ind w:firstLine="42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8" w:name="_Toc35393791"/>
      <w:r/>
      <w:bookmarkStart w:id="9" w:name="_Toc35393622"/>
      <w:r/>
      <w:bookmarkStart w:id="10" w:name="_Toc28359080"/>
      <w:r/>
      <w:bookmarkStart w:id="11" w:name="_Toc28359003"/>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5393792"/>
      <w:r/>
      <w:bookmarkStart w:id="14" w:name="_Toc28359081"/>
      <w:r/>
      <w:bookmarkStart w:id="15" w:name="_Toc28359004"/>
      <w:r/>
      <w:bookmarkStart w:id="16" w:name="_Toc38985265"/>
      <w:r/>
      <w:bookmarkStart w:id="17"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i/>
          <w:color w:val="auto"/>
          <w:highlight w:val="none"/>
          <w:u w:val="single"/>
        </w:rPr>
        <w:t xml:space="preserve">1.1</w:t>
      </w:r>
      <w:r>
        <w:rPr>
          <w:rFonts w:hint="eastAsia" w:ascii="宋体" w:hAnsi="宋体" w:cs="宋体"/>
          <w:i/>
          <w:iCs/>
          <w:color w:val="auto"/>
          <w:szCs w:val="21"/>
          <w:highlight w:val="none"/>
          <w:u w:val="single"/>
        </w:rPr>
        <w:t xml:space="preserve">法人或者其他组织的营业执照等证明文件，自然人的身份证明（身份证为正、反面）</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1.2依法缴纳职工社会保障资金的证明材料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1.3供应商依法纳税的缴款凭证</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上一年度的财务报告情况(成立不满一年无需提供)</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1.5 具备履行合同所必需的设备和专业技术能力的证明材料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b/>
          <w:bCs/>
          <w:i/>
          <w:color w:val="auto"/>
          <w:highlight w:val="none"/>
          <w:u w:val="single"/>
        </w:rPr>
      </w:pPr>
      <w:r>
        <w:rPr>
          <w:rFonts w:hint="eastAsia" w:ascii="宋体" w:hAnsi="宋体" w:cs="宋体"/>
          <w:i/>
          <w:iCs/>
          <w:color w:val="auto"/>
          <w:szCs w:val="21"/>
          <w:highlight w:val="none"/>
          <w:u w:val="single"/>
        </w:rPr>
        <w:t xml:space="preserve">1.6 </w:t>
      </w:r>
      <w:r>
        <w:rPr>
          <w:rFonts w:hint="eastAsia" w:ascii="宋体" w:hAnsi="宋体"/>
          <w:i/>
          <w:color w:val="auto"/>
          <w:highlight w:val="none"/>
          <w:u w:val="single"/>
        </w:rPr>
        <w:t xml:space="preserve">投标人参加本次政府采购活动前3年内在经营活动中没有重大违法记录的书面声明</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i/>
          <w:color w:val="auto"/>
          <w:highlight w:val="none"/>
          <w:u w:val="single"/>
        </w:rPr>
        <w:t xml:space="preserve">1.7</w:t>
      </w: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1.8</w:t>
      </w:r>
      <w:r>
        <w:rPr>
          <w:rFonts w:hint="eastAsia" w:ascii="宋体" w:hAnsi="宋体"/>
          <w:bCs/>
          <w:i/>
          <w:color w:val="auto"/>
          <w:highlight w:val="none"/>
          <w:u w:val="single"/>
        </w:rPr>
        <w:t xml:space="preserve">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color w:val="auto"/>
          <w:szCs w:val="21"/>
          <w:highlight w:val="none"/>
          <w:u w:val="single"/>
        </w:rPr>
        <w:t xml:space="preserve">无。</w:t>
      </w:r>
      <w:r/>
    </w:p>
    <w:p>
      <w:pPr>
        <w:ind w:firstLine="420"/>
        <w:spacing w:line="360" w:lineRule="auto"/>
        <w:rPr>
          <w:rFonts w:ascii="宋体" w:hAnsi="宋体" w:cs="宋体"/>
          <w:i/>
          <w:color w:val="auto"/>
          <w:szCs w:val="21"/>
          <w:highlight w:val="none"/>
          <w:u w:val="single"/>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rPr>
        <w:t xml:space="preserve">在中华人民共和国境内注册、具有独立承担民事责任能力的企业（事业）或网络覆盖江都行政辖区内的通信运营商，非通信运营商必须提供保证本系统网络信号传输畅通的能力的材料（提供与运营商签定的合作协议等）。</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4.</w:t>
      </w:r>
      <w:r>
        <w:rPr>
          <w:rFonts w:hint="eastAsia" w:ascii="宋体" w:hAnsi="宋体" w:cs="宋体"/>
          <w:color w:val="auto"/>
          <w:highlight w:val="none"/>
        </w:rPr>
        <w:t xml:space="preserve">拒绝下述供应商参加本次采购活动：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（2）凡为采购项目提供整体设计、规范编制或者项目管理、监理、检测等服务的供应商，不得再参加该项目的其他采购活动。</w:t>
      </w:r>
      <w:r/>
    </w:p>
    <w:p>
      <w:pPr>
        <w:ind w:firstLine="420"/>
        <w:spacing w:line="360" w:lineRule="auto"/>
        <w:rPr>
          <w:color w:val="auto"/>
          <w:highlight w:val="none"/>
        </w:rPr>
      </w:pPr>
      <w:r>
        <w:rPr>
          <w:rFonts w:hint="eastAsia" w:ascii="宋体" w:hAnsi="宋体" w:cs="宋体"/>
          <w:color w:val="auto"/>
          <w:highlight w:val="none"/>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color w:val="auto"/>
          <w:highlight w:val="none"/>
        </w:rPr>
      </w:pPr>
      <w:r/>
      <w:bookmarkStart w:id="18" w:name="_Toc28359082"/>
      <w:r/>
      <w:bookmarkStart w:id="19" w:name="_Toc28359005"/>
      <w:r/>
      <w:bookmarkStart w:id="20" w:name="_Toc35393624"/>
      <w:r/>
      <w:bookmarkStart w:id="21" w:name="_Toc38985266"/>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3.潜在供应商访问政府采购管理交易系统（苏采云）的网络地址和方法：</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（3）“CA数字证书”的办理材料以及供应商操作手册详见：</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http://zfcg.yangzhou.gov.cn/xzzx/art/2023/art_4d7de1f7865f4a2894fc22bc452f94d8.html。</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（4）潜在供应商访问“苏采云”系统的网络地址和方法：“苏采云”系统的网址：http://jszfcg.jsczt.cn/。</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（6）招标代理机构（采购代理机构）将数据电文形式的采购文件加载至“苏采云”系统，供潜在供应商下载或者查阅。</w:t>
      </w:r>
      <w:r/>
    </w:p>
    <w:p>
      <w:pPr>
        <w:ind w:firstLine="60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（7）苏采云系统使用谷歌浏览器参与不见面开标。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ascii="宋体" w:hAnsi="宋体" w:cs="宋体"/>
          <w:bCs/>
          <w:color w:val="auto"/>
          <w:highlight w:val="none"/>
          <w:u w:val="single"/>
        </w:rPr>
        <w:t xml:space="preserve">202</w:t>
      </w:r>
      <w:r>
        <w:rPr>
          <w:rFonts w:hint="eastAsia" w:ascii="宋体" w:hAnsi="宋体" w:cs="宋体"/>
          <w:bCs/>
          <w:color w:val="auto"/>
          <w:highlight w:val="none"/>
          <w:u w:val="single"/>
          <w:lang w:val="en-US" w:eastAsia="zh-CN"/>
        </w:rPr>
        <w:t xml:space="preserve">6</w:t>
      </w:r>
      <w:r>
        <w:rPr>
          <w:rFonts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6</w:t>
      </w:r>
      <w:r>
        <w:rPr>
          <w:rFonts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24</w:t>
      </w:r>
      <w:r>
        <w:rPr>
          <w:rFonts w:ascii="宋体" w:hAnsi="宋体" w:cs="宋体"/>
          <w:bCs/>
          <w:color w:val="auto"/>
          <w:highlight w:val="none"/>
          <w:u w:val="single"/>
        </w:rPr>
        <w:t xml:space="preserve">日 </w:t>
      </w:r>
      <w:r>
        <w:rPr>
          <w:rFonts w:hint="eastAsia" w:ascii="宋体" w:hAnsi="宋体" w:cs="宋体"/>
          <w:bCs/>
          <w:color w:val="auto"/>
          <w:highlight w:val="none"/>
          <w:u w:val="single"/>
        </w:rPr>
        <w:t xml:space="preserve">9点30分</w:t>
      </w:r>
      <w:r>
        <w:rPr>
          <w:rFonts w:hint="eastAsia" w:ascii="宋体" w:hAnsi="宋体"/>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w:t>
      </w:r>
      <w:r/>
    </w:p>
    <w:p>
      <w:pPr>
        <w:spacing w:line="360" w:lineRule="auto"/>
        <w:tabs>
          <w:tab w:val="left" w:pos="266" w:leader="none"/>
        </w:tabs>
        <w:rPr>
          <w:rFonts w:ascii="宋体" w:hAnsi="宋体" w:cs="宋体"/>
          <w:b/>
          <w:bCs/>
          <w:color w:val="auto"/>
          <w:highlight w:val="none"/>
        </w:rPr>
      </w:pPr>
      <w:r/>
      <w:bookmarkStart w:id="23" w:name="_Toc28359007"/>
      <w:r/>
      <w:bookmarkStart w:id="24" w:name="_Toc38985267"/>
      <w:r/>
      <w:bookmarkStart w:id="25" w:name="_Toc28359084"/>
      <w:r/>
      <w:bookmarkStart w:id="26" w:name="_Toc35393625"/>
      <w:r/>
      <w:bookmarkStart w:id="27" w:name="_Toc3539379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宋体" w:hAnsi="宋体" w:cs="宋体"/>
          <w:color w:val="auto"/>
          <w:highlight w:val="none"/>
        </w:rPr>
      </w:pPr>
      <w:r/>
      <w:bookmarkStart w:id="28" w:name="_Toc35393626"/>
      <w:r/>
      <w:bookmarkStart w:id="29" w:name="_Toc35393795"/>
      <w:r/>
      <w:bookmarkStart w:id="30" w:name="_Toc38985268"/>
      <w:r>
        <w:rPr>
          <w:rFonts w:hint="eastAsia" w:ascii="宋体" w:hAnsi="宋体" w:cs="宋体"/>
          <w:color w:val="auto"/>
          <w:highlight w:val="none"/>
        </w:rPr>
        <w:t xml:space="preserve">自本公告发布之日起5个工作日。</w:t>
      </w:r>
      <w:r/>
    </w:p>
    <w:p>
      <w:pPr>
        <w:numPr>
          <w:ilvl w:val="0"/>
          <w:numId w:val="3"/>
        </w:numPr>
        <w:spacing w:line="360" w:lineRule="auto"/>
        <w:tabs>
          <w:tab w:val="left" w:pos="266" w:leader="none"/>
        </w:tabs>
        <w:rPr>
          <w:color w:val="auto"/>
          <w:highlight w:val="none"/>
        </w:rPr>
      </w:pPr>
      <w:r>
        <w:rPr>
          <w:rFonts w:hint="eastAsia" w:ascii="宋体" w:hAnsi="宋体" w:cs="宋体"/>
          <w:b/>
          <w:bCs/>
          <w:color w:val="auto"/>
          <w:highlight w:val="none"/>
        </w:rPr>
        <w:t xml:space="preserve">其他补充事宜</w:t>
      </w:r>
      <w:bookmarkEnd w:id="28"/>
      <w:r/>
      <w:bookmarkEnd w:id="29"/>
      <w:r/>
      <w:bookmarkEnd w:id="30"/>
      <w:r/>
      <w:r/>
    </w:p>
    <w:p>
      <w:pPr>
        <w:ind w:firstLine="420"/>
        <w:spacing w:line="360" w:lineRule="auto"/>
        <w:rPr>
          <w:rFonts w:ascii="宋体" w:hAnsi="宋体" w:cs="宋体"/>
          <w:color w:val="auto"/>
          <w:highlight w:val="none"/>
        </w:rPr>
      </w:pPr>
      <w:r>
        <w:rPr>
          <w:rFonts w:hint="eastAsia" w:ascii="宋体" w:hAnsi="宋体"/>
          <w:b/>
          <w:bCs/>
          <w:color w:val="auto"/>
          <w:szCs w:val="21"/>
          <w:highlight w:val="none"/>
        </w:rPr>
        <w:t xml:space="preserve">本项目共分三个标包，按采购包1、采购包2、采购包3的顺序开标、评标、定标。投标人可以兼投但不可兼中，即可参加本项目一个包或多个包的投标，但最多只能中一个包，如果在采购包1被推荐为第一中标候选人，可参加后续标包的评审，但不得被推荐为中标候选人。若中标人（中标候选人）因被质疑或投诉而被取消中标（中标候选人）资格的，后续标包的中标人（中标候选人）不变。</w:t>
      </w:r>
      <w:r/>
    </w:p>
    <w:p>
      <w:pPr>
        <w:spacing w:line="360" w:lineRule="auto"/>
        <w:tabs>
          <w:tab w:val="left" w:pos="266" w:leader="none"/>
        </w:tabs>
        <w:rPr>
          <w:rFonts w:ascii="宋体" w:hAnsi="宋体" w:cs="宋体"/>
          <w:b/>
          <w:bCs/>
          <w:color w:val="auto"/>
          <w:highlight w:val="none"/>
        </w:rPr>
      </w:pPr>
      <w:r/>
      <w:bookmarkStart w:id="31" w:name="_Toc35393796"/>
      <w:r/>
      <w:bookmarkStart w:id="32" w:name="_Toc38985269"/>
      <w:r/>
      <w:bookmarkStart w:id="33" w:name="_Toc35393627"/>
      <w:r/>
      <w:bookmarkStart w:id="34" w:name="_Toc28359008"/>
      <w:r/>
      <w:bookmarkStart w:id="35" w:name="_Toc28359085"/>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名 称：扬州市公安局江都分局</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地 址：扬州市江都区江洲路66号</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凡</w:t>
      </w:r>
      <w:r>
        <w:rPr>
          <w:rFonts w:hint="eastAsia" w:ascii="宋体" w:hAnsi="宋体" w:cs="宋体"/>
          <w:color w:val="auto"/>
          <w:highlight w:val="none"/>
        </w:rPr>
        <w:t xml:space="preserve">先生</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13605252622</w:t>
      </w:r>
      <w:r/>
    </w:p>
    <w:p>
      <w:pPr>
        <w:ind w:left="420"/>
        <w:jc w:val="left"/>
        <w:spacing w:line="360" w:lineRule="auto"/>
        <w:tabs>
          <w:tab w:val="left" w:pos="312" w:leader="none"/>
        </w:tabs>
        <w:rPr>
          <w:rFonts w:ascii="宋体" w:hAnsi="宋体" w:cs="宋体"/>
          <w:color w:val="auto"/>
          <w:highlight w:val="none"/>
        </w:rPr>
      </w:pPr>
      <w:r/>
      <w:bookmarkStart w:id="36" w:name="_Toc28359086"/>
      <w:r/>
      <w:bookmarkStart w:id="37" w:name="_Toc28359009"/>
      <w:r>
        <w:rPr>
          <w:rFonts w:hint="eastAsia" w:ascii="宋体" w:hAnsi="宋体" w:cs="宋体"/>
          <w:color w:val="auto"/>
          <w:highlight w:val="none"/>
        </w:rPr>
        <w:t xml:space="preserve">2.代理机构信息</w:t>
      </w:r>
      <w:bookmarkEnd w:id="36"/>
      <w:r/>
      <w:bookmarkEnd w:id="37"/>
      <w:r/>
      <w:r/>
    </w:p>
    <w:p>
      <w:pPr>
        <w:ind w:firstLine="420"/>
        <w:spacing w:line="360" w:lineRule="auto"/>
        <w:rPr>
          <w:rFonts w:hint="eastAsia"/>
          <w:color w:val="auto"/>
          <w:highlight w:val="none"/>
          <w:lang w:eastAsia="zh-CN"/>
        </w:rPr>
      </w:pPr>
      <w:r>
        <w:rPr>
          <w:rFonts w:hint="eastAsia"/>
          <w:color w:val="auto"/>
          <w:highlight w:val="none"/>
        </w:rPr>
        <w:t xml:space="preserve">名  称：</w:t>
      </w:r>
      <w:r>
        <w:rPr>
          <w:rFonts w:hint="eastAsia"/>
          <w:color w:val="auto"/>
          <w:highlight w:val="none"/>
          <w:lang w:eastAsia="zh-CN"/>
        </w:rPr>
        <w:t xml:space="preserve">江苏渝祺项目管理有限公司</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地　址：扬州市江都区仙女镇</w:t>
      </w:r>
      <w:r>
        <w:rPr>
          <w:rFonts w:hint="eastAsia" w:ascii="宋体" w:hAnsi="宋体" w:cs="宋体"/>
          <w:color w:val="auto"/>
          <w:highlight w:val="none"/>
          <w:lang w:val="en-US" w:eastAsia="zh-CN"/>
        </w:rPr>
        <w:t xml:space="preserve">索奇路2号</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陈工</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联系方式：</w:t>
      </w:r>
      <w:bookmarkStart w:id="38" w:name="_Toc28359010"/>
      <w:r/>
      <w:bookmarkStart w:id="39" w:name="_Toc28359087"/>
      <w:r>
        <w:rPr>
          <w:rFonts w:hint="eastAsia" w:ascii="宋体" w:hAnsi="宋体" w:cs="宋体"/>
          <w:color w:val="auto"/>
          <w:highlight w:val="none"/>
          <w:lang w:val="en-US" w:eastAsia="zh-CN"/>
        </w:rPr>
        <w:t xml:space="preserve">18252539338</w:t>
      </w:r>
      <w:r/>
    </w:p>
    <w:p>
      <w:pPr>
        <w:ind w:firstLine="420"/>
        <w:spacing w:line="36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r>
      <w:r/>
    </w:p>
    <w:p>
      <w:pPr>
        <w:rPr>
          <w:rFonts w:ascii="宋体" w:hAnsi="宋体" w:cs="宋体"/>
          <w:b/>
          <w:bCs/>
          <w:color w:val="auto"/>
          <w:highlight w:val="none"/>
        </w:rPr>
      </w:pPr>
      <w:r>
        <w:rPr>
          <w:rFonts w:hint="eastAsia" w:ascii="宋体" w:hAnsi="宋体" w:cs="宋体"/>
          <w:b/>
          <w:bCs/>
          <w:color w:val="auto"/>
          <w:highlight w:val="none"/>
        </w:rPr>
        <w:t xml:space="preserve">八、</w:t>
      </w:r>
      <w:bookmarkEnd w:id="38"/>
      <w:r/>
      <w:bookmarkEnd w:id="39"/>
      <w:r>
        <w:rPr>
          <w:rFonts w:hint="eastAsia" w:ascii="宋体" w:hAnsi="宋体" w:cs="宋体"/>
          <w:b/>
          <w:bCs/>
          <w:color w:val="auto"/>
          <w:highlight w:val="none"/>
        </w:rPr>
        <w:t xml:space="preserve">其他</w:t>
      </w:r>
      <w:r/>
    </w:p>
    <w:p>
      <w:pPr>
        <w:ind w:firstLine="422"/>
        <w:spacing w:line="360" w:lineRule="auto"/>
        <w:shd w:val="clear" w:color="auto" w:fill="ffffff"/>
        <w:rPr>
          <w:rFonts w:ascii="宋体" w:hAnsi="宋体"/>
          <w:b/>
          <w:bCs/>
          <w:color w:val="auto"/>
          <w:highlight w:val="none"/>
        </w:rPr>
      </w:pPr>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spacing w:line="360" w:lineRule="auto"/>
        <w:shd w:val="clear" w:color="auto" w:fill="ffffff"/>
        <w:rPr>
          <w:rFonts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2"/>
        <w:jc w:val="left"/>
        <w:spacing w:line="360" w:lineRule="auto"/>
        <w:widowControl/>
        <w:rPr>
          <w:rFonts w:ascii="宋体" w:hAnsi="宋体" w:cs="宋体"/>
          <w:b/>
          <w:color w:val="auto"/>
          <w:highlight w:val="none"/>
        </w:rPr>
      </w:pPr>
      <w:r>
        <w:rPr>
          <w:rFonts w:hint="eastAsia" w:ascii="宋体" w:hAnsi="宋体" w:cs="宋体"/>
          <w:b/>
          <w:color w:val="auto"/>
          <w:highlight w:val="none"/>
        </w:rPr>
        <w:t xml:space="preserve">3.潜在投标人对招标文件项目需求部分的询问、质疑请向采购人提出，由采购人负责答复。</w:t>
      </w:r>
      <w:r/>
    </w:p>
    <w:p>
      <w:pPr>
        <w:ind w:firstLine="420"/>
        <w:spacing w:line="360" w:lineRule="auto"/>
        <w:rPr>
          <w:rFonts w:ascii="宋体" w:hAnsi="宋体" w:cs="宋体"/>
          <w:b/>
          <w:bCs/>
          <w:color w:val="auto"/>
          <w:highlight w:val="none"/>
        </w:rPr>
      </w:pPr>
      <w:r>
        <w:rPr>
          <w:rFonts w:hint="eastAsia" w:ascii="宋体" w:hAnsi="宋体" w:cs="宋体"/>
          <w:b/>
          <w:bCs/>
          <w:color w:val="auto"/>
          <w:szCs w:val="21"/>
          <w:highlight w:val="none"/>
        </w:rPr>
        <w:t xml:space="preserve">4.</w:t>
      </w:r>
      <w:r>
        <w:rPr>
          <w:rFonts w:hint="eastAsia" w:ascii="宋体" w:hAnsi="宋体"/>
          <w:b/>
          <w:bCs/>
          <w:color w:val="auto"/>
          <w:highlight w:val="none"/>
        </w:rPr>
        <w:t xml:space="preserve">本次招标不收取投标保证金。</w:t>
      </w:r>
      <w:r/>
    </w:p>
    <w:p>
      <w:pPr>
        <w:ind w:firstLine="420"/>
        <w:spacing w:line="360" w:lineRule="auto"/>
        <w:rPr>
          <w:rFonts w:ascii="宋体" w:hAnsi="宋体" w:cs="宋体"/>
          <w:b/>
          <w:bCs/>
          <w:color w:val="auto"/>
          <w:highlight w:val="none"/>
        </w:rPr>
      </w:pPr>
      <w:r>
        <w:rPr>
          <w:rFonts w:hint="eastAsia" w:ascii="宋体" w:hAnsi="宋体"/>
          <w:b/>
          <w:bCs/>
          <w:color w:val="auto"/>
          <w:szCs w:val="21"/>
          <w:highlight w:val="none"/>
        </w:rPr>
        <w:t xml:space="preserve">5.</w:t>
      </w:r>
      <w:r>
        <w:rPr>
          <w:rFonts w:hint="eastAsia" w:ascii="宋体" w:hAnsi="宋体" w:cs="宋体"/>
          <w:b/>
          <w:bCs/>
          <w:color w:val="auto"/>
          <w:highlight w:val="none"/>
        </w:rPr>
        <w:t xml:space="preserve">有关本次招标的事项若存在变动或修改，敬请及时关注“扬州市政府采购网”、“江苏政府采购网”发布的信息。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6.本项目招标文件中所有斜体下划线部分为实质性条款，如不满足，则为无效投标。</w:t>
      </w:r>
      <w:r/>
    </w:p>
    <w:p>
      <w:pPr>
        <w:rPr>
          <w:color w:val="auto"/>
          <w:highlight w:val="none"/>
        </w:rPr>
      </w:pPr>
      <w:r>
        <w:rPr>
          <w:color w:val="auto"/>
          <w:highlight w:val="none"/>
        </w:rPr>
        <w:br w:type="page" w:clear="all"/>
      </w:r>
      <w:r/>
    </w:p>
    <w:p>
      <w:pPr>
        <w:pStyle w:val="863"/>
        <w:jc w:val="center"/>
        <w:spacing w:line="240" w:lineRule="auto"/>
        <w:rPr>
          <w:rFonts w:ascii="宋体" w:hAnsi="宋体"/>
          <w:color w:val="auto"/>
          <w:szCs w:val="36"/>
          <w:highlight w:val="none"/>
        </w:rPr>
      </w:pPr>
      <w:r/>
      <w:bookmarkStart w:id="40" w:name="_Toc55204178"/>
      <w:r>
        <w:rPr>
          <w:rFonts w:hint="eastAsia" w:ascii="宋体" w:hAnsi="宋体"/>
          <w:color w:val="auto"/>
          <w:szCs w:val="36"/>
          <w:highlight w:val="none"/>
        </w:rPr>
        <w:t xml:space="preserve">第二章 投标人须知</w:t>
      </w:r>
      <w:bookmarkEnd w:id="40"/>
      <w:r/>
      <w:r/>
    </w:p>
    <w:p>
      <w:pPr>
        <w:ind w:firstLine="422"/>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color w:val="auto"/>
          <w:szCs w:val="21"/>
          <w:highlight w:val="none"/>
          <w:lang w:eastAsia="zh-CN"/>
        </w:rPr>
        <w:t xml:space="preserve">JSZC-321012-JDYQ-G2026-0002</w:t>
      </w:r>
      <w:r>
        <w:rPr>
          <w:rFonts w:hint="eastAsia" w:ascii="宋体" w:hAnsi="宋体"/>
          <w:bCs/>
          <w:color w:val="auto"/>
          <w:szCs w:val="21"/>
          <w:highlight w:val="none"/>
        </w:rPr>
        <w:t xml:space="preserve">号项目。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4.2招标代理费由采购人按照签订的代理合同向代理机构支付。</w:t>
      </w:r>
      <w:r/>
    </w:p>
    <w:p>
      <w:pPr>
        <w:ind w:firstLine="42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4.3专家评审费按扬财购【2020】40 号文《关于进一步规范扬州市政府采购专家评审费标准的通知》执行。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8.3招标文件的修改将在“扬州市政府采购网”、“江苏政府采购网”公布，补充文件将作为招标文件的组成部分，并对投标人具有约束力。</w:t>
      </w:r>
      <w:r/>
    </w:p>
    <w:p>
      <w:pPr>
        <w:ind w:firstLine="420"/>
        <w:spacing w:line="360" w:lineRule="auto"/>
        <w:rPr>
          <w:color w:val="auto"/>
          <w:highlight w:val="none"/>
        </w:rPr>
      </w:pPr>
      <w:r>
        <w:rPr>
          <w:rFonts w:hint="eastAsia" w:ascii="宋体" w:hAnsi="宋体"/>
          <w:color w:val="auto"/>
          <w:szCs w:val="21"/>
          <w:highlight w:val="none"/>
        </w:rPr>
        <w:t xml:space="preserve">8.4投标人应在投标截止时间前关注原采购信息发布媒体上有关本招标项目有无变更公告。</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9.4投标文件应字迹清楚、内容齐全、不得涂改。如有修改，修改处须有投标人加盖公章和法定代表人或其授权代表签字。</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（5）投标产品配置及分项报价表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（7）技术条款响应及偏离表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（8）其他（投标人认为有必要提供的声明和文件，如有自拟并自行添加）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w:t>
      </w:r>
      <w:r>
        <w:rPr>
          <w:rFonts w:hint="eastAsia" w:ascii="宋体" w:hAnsi="宋体"/>
          <w:color w:val="auto"/>
          <w:highlight w:val="none"/>
        </w:rPr>
        <w:t xml:space="preserve">投标人应按照招标文件规定格式填报分项报价表，每项服务只允许有一个报价，任何有选择的报价将不予接受。</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41" w:name="_Toc513029225"/>
      <w:r/>
      <w:bookmarkStart w:id="42" w:name="_Toc20823297"/>
      <w:r/>
      <w:bookmarkStart w:id="43" w:name="_Toc462564084"/>
      <w:r/>
      <w:bookmarkStart w:id="44" w:name="_Toc16938541"/>
      <w:r>
        <w:rPr>
          <w:rFonts w:hint="eastAsia" w:ascii="宋体" w:hAnsi="宋体"/>
          <w:b/>
          <w:color w:val="auto"/>
          <w:szCs w:val="21"/>
          <w:highlight w:val="none"/>
        </w:rPr>
        <w:t xml:space="preserve">17、投标文件</w:t>
      </w:r>
      <w:bookmarkEnd w:id="41"/>
      <w:r/>
      <w:bookmarkEnd w:id="42"/>
      <w:r/>
      <w:bookmarkEnd w:id="43"/>
      <w:r/>
      <w:bookmarkEnd w:id="44"/>
      <w:r>
        <w:rPr>
          <w:rFonts w:hint="eastAsia" w:ascii="宋体" w:hAnsi="宋体"/>
          <w:b/>
          <w:color w:val="auto"/>
          <w:szCs w:val="21"/>
          <w:highlight w:val="none"/>
        </w:rPr>
        <w:t xml:space="preserve">的递交</w:t>
      </w:r>
      <w:r/>
    </w:p>
    <w:p>
      <w:pPr>
        <w:ind w:firstLine="420"/>
        <w:spacing w:line="360" w:lineRule="auto"/>
        <w:rPr>
          <w:rFonts w:ascii="宋体" w:hAnsi="宋体"/>
          <w:b/>
          <w:bCs w:val="0"/>
          <w:color w:val="auto"/>
          <w:szCs w:val="21"/>
          <w:highlight w:val="none"/>
        </w:rPr>
      </w:pPr>
      <w:r>
        <w:rPr>
          <w:rFonts w:hint="eastAsia" w:ascii="宋体" w:hAnsi="宋体"/>
          <w:b/>
          <w:bCs w:val="0"/>
          <w:color w:val="auto"/>
          <w:szCs w:val="21"/>
          <w:highlight w:val="none"/>
        </w:rPr>
        <w:t xml:space="preserve">17.1 电子投标文件的递交投标人应当按照《操作手册》规定，在投标截止时间前制作并上传电子投标文件。</w:t>
      </w:r>
      <w:bookmarkStart w:id="45" w:name="_Toc513029226"/>
      <w:r/>
      <w:bookmarkStart w:id="46" w:name="_Toc16938542"/>
      <w:r/>
      <w:bookmarkStart w:id="47" w:name="_Toc20823298"/>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5"/>
      <w:r/>
      <w:bookmarkEnd w:id="46"/>
      <w:r/>
      <w:bookmarkEnd w:id="47"/>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48" w:name="_Toc20823299"/>
      <w:r/>
      <w:bookmarkStart w:id="49" w:name="_Toc16938543"/>
      <w:r/>
      <w:bookmarkStart w:id="50" w:name="_Toc513029227"/>
      <w:r>
        <w:rPr>
          <w:rFonts w:hint="eastAsia" w:ascii="宋体" w:hAnsi="宋体"/>
          <w:b/>
          <w:color w:val="auto"/>
          <w:szCs w:val="21"/>
          <w:highlight w:val="none"/>
        </w:rPr>
        <w:t xml:space="preserve">19、投标文件</w:t>
      </w:r>
      <w:bookmarkEnd w:id="48"/>
      <w:r/>
      <w:bookmarkEnd w:id="49"/>
      <w:r/>
      <w:bookmarkEnd w:id="50"/>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51" w:name="_Toc513029228"/>
      <w:r/>
      <w:bookmarkStart w:id="52" w:name="_Toc20823300"/>
      <w:r/>
      <w:bookmarkStart w:id="53" w:name="_Toc16938544"/>
      <w:r>
        <w:rPr>
          <w:rFonts w:hint="eastAsia" w:ascii="宋体" w:hAnsi="宋体"/>
          <w:b/>
          <w:color w:val="auto"/>
          <w:szCs w:val="21"/>
          <w:highlight w:val="none"/>
        </w:rPr>
        <w:t xml:space="preserve">20、投标文件的撤回和修改</w:t>
      </w:r>
      <w:bookmarkEnd w:id="51"/>
      <w:r/>
      <w:bookmarkEnd w:id="52"/>
      <w:r/>
      <w:bookmarkEnd w:id="53"/>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0"/>
        <w:spacing w:line="360" w:lineRule="auto"/>
        <w:rPr>
          <w:color w:val="auto"/>
          <w:highlight w:val="none"/>
        </w:rPr>
      </w:pPr>
      <w:r>
        <w:rPr>
          <w:rFonts w:hint="eastAsia" w:ascii="宋体" w:hAnsi="宋体"/>
          <w:color w:val="auto"/>
          <w:highlight w:val="none"/>
        </w:rPr>
        <w:t xml:space="preserve">21.5投标人如果对开标过程和开标记录有疑义，应当根据《操作手册》规定提出， “</w:t>
      </w:r>
      <w:r>
        <w:rPr>
          <w:rFonts w:hint="eastAsia" w:ascii="宋体" w:hAnsi="宋体"/>
          <w:color w:val="auto"/>
          <w:szCs w:val="21"/>
          <w:highlight w:val="none"/>
        </w:rPr>
        <w:t xml:space="preserve">政府采购交易管理系统（苏采云）</w:t>
      </w:r>
      <w:r>
        <w:rPr>
          <w:rFonts w:hint="eastAsia" w:ascii="宋体" w:hAnsi="宋体"/>
          <w:color w:val="auto"/>
          <w:highlight w:val="none"/>
        </w:rPr>
        <w:t xml:space="preserve">”中《开标记录表》宣布后5分钟内未提出的，视同认可开标结果。</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http://www.creditchina.gov.cn）、“中国政府采购网"(http://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同时出现两种以上错误的，按照前款规定的顺序修正。对不同文字文本投标文件的解释发生异议的，以中文文本为准。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25.7</w:t>
      </w:r>
      <w:r>
        <w:rPr>
          <w:rFonts w:ascii="宋体" w:hAnsi="宋体"/>
          <w:color w:val="auto"/>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Cs w:val="21"/>
          <w:highlight w:val="none"/>
        </w:rPr>
        <w:t xml:space="preserve">按照招标文件规定的方式确定招标文件未规定的通过</w:t>
      </w:r>
      <w:r>
        <w:rPr>
          <w:rFonts w:ascii="宋体" w:hAnsi="宋体"/>
          <w:color w:val="auto"/>
          <w:szCs w:val="21"/>
          <w:highlight w:val="none"/>
        </w:rPr>
        <w:t xml:space="preserve">随机抽取</w:t>
      </w:r>
      <w:r>
        <w:rPr>
          <w:rFonts w:hint="eastAsia" w:ascii="宋体" w:hAnsi="宋体"/>
          <w:color w:val="auto"/>
          <w:szCs w:val="21"/>
          <w:highlight w:val="none"/>
        </w:rPr>
        <w:t xml:space="preserve">的</w:t>
      </w:r>
      <w:r>
        <w:rPr>
          <w:rFonts w:ascii="宋体" w:hAnsi="宋体"/>
          <w:color w:val="auto"/>
          <w:szCs w:val="21"/>
          <w:highlight w:val="none"/>
        </w:rPr>
        <w:t xml:space="preserve">方式确定一个参加评标的投标人，其他投标无效。</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Cs w:val="21"/>
          <w:highlight w:val="none"/>
        </w:rPr>
        <w:t xml:space="preserve">根据招标文件规定的方式确定，招标文件未规定的采取随机抽取的方式</w:t>
      </w:r>
      <w:r>
        <w:rPr>
          <w:rFonts w:ascii="宋体" w:hAnsi="宋体"/>
          <w:color w:val="auto"/>
          <w:szCs w:val="21"/>
          <w:highlight w:val="none"/>
        </w:rPr>
        <w:t xml:space="preserve">确定</w:t>
      </w:r>
      <w:r>
        <w:rPr>
          <w:rFonts w:hint="eastAsia" w:ascii="宋体" w:hAnsi="宋体"/>
          <w:color w:val="auto"/>
          <w:szCs w:val="21"/>
          <w:highlight w:val="none"/>
        </w:rPr>
        <w:t xml:space="preserve">一个中标候选人</w:t>
      </w:r>
      <w:r>
        <w:rPr>
          <w:rFonts w:ascii="宋体" w:hAnsi="宋体"/>
          <w:color w:val="auto"/>
          <w:szCs w:val="21"/>
          <w:highlight w:val="none"/>
        </w:rPr>
        <w:t xml:space="preserve">，其他同品牌投标人不作为中标候选人。</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非单一产品采购项目，招标文件中</w:t>
      </w:r>
      <w:r>
        <w:rPr>
          <w:rFonts w:hint="eastAsia" w:ascii="宋体" w:hAnsi="宋体"/>
          <w:color w:val="auto"/>
          <w:szCs w:val="21"/>
          <w:highlight w:val="none"/>
        </w:rPr>
        <w:t xml:space="preserve">将载明其中的核心产品</w:t>
      </w:r>
      <w:r>
        <w:rPr>
          <w:rFonts w:ascii="宋体" w:hAnsi="宋体"/>
          <w:color w:val="auto"/>
          <w:szCs w:val="21"/>
          <w:highlight w:val="none"/>
        </w:rPr>
        <w:t xml:space="preserve">。多家投标人提供的核心产品品牌相同的，按前两款规定处理。</w:t>
      </w:r>
      <w:r/>
    </w:p>
    <w:p>
      <w:pPr>
        <w:ind w:firstLine="420"/>
        <w:jc w:val="left"/>
        <w:spacing w:line="360" w:lineRule="auto"/>
        <w:rPr>
          <w:color w:val="auto"/>
          <w:highlight w:val="none"/>
        </w:rPr>
      </w:pPr>
      <w:r>
        <w:rPr>
          <w:rFonts w:hint="eastAsia" w:ascii="宋体" w:hAnsi="宋体"/>
          <w:color w:val="auto"/>
          <w:highlight w:val="none"/>
        </w:rPr>
        <w:t xml:space="preserve">25.8 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http://www.creditchina.gov.cn）、“中国政府采购网"(http://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w:t>
      </w:r>
      <w:r>
        <w:rPr>
          <w:rFonts w:hint="eastAsia" w:ascii="宋体" w:hAnsi="宋体"/>
          <w:b/>
          <w:color w:val="auto"/>
          <w:szCs w:val="21"/>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 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26.2.1符合专业条件的供应商或者对招标文件作实质响应的供应商不足三家的。26.2.2投标人的报价均超过采购预算或最高限价。</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26.2.3出现影响采购公正的违法、违规行为的。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26.2.5评委会认定招标文件存在歧义、重大缺陷导致评审工作无法进行。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26.3.1招标文件存在不合理条款或者招标程序不符合规定的，由采购人、代理机构改正后依法重新招标；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26.3.2 招标文件没有不合理条款、招标程序符合规定，需要采用其他采购方式采购的，采购人应当依法报财政部门批准。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对项目需求部分的质疑，潜在供应商应向采购人或代理机构提出，由采购人或代理机构负责答复。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28.5 </w:t>
      </w:r>
      <w:r>
        <w:rPr>
          <w:rFonts w:hint="eastAsia" w:ascii="宋体" w:hAnsi="宋体"/>
          <w:color w:val="auto"/>
          <w:szCs w:val="21"/>
          <w:highlight w:val="none"/>
        </w:rPr>
        <w:t xml:space="preserve">提出质疑的供应商（以下简称质疑供应商）应当是参与所质疑项目采购活动的供应商。</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28.7</w:t>
      </w:r>
      <w:r>
        <w:rPr>
          <w:rFonts w:hint="eastAsia" w:ascii="宋体" w:hAnsi="宋体"/>
          <w:color w:val="auto"/>
          <w:szCs w:val="21"/>
          <w:highlight w:val="none"/>
        </w:rPr>
        <w:t xml:space="preserve">供应商提出质疑应当提交质疑函和必要的证明材料。质疑函应当包括下列内容：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28.7.1供应商的姓名或者名称、地址、邮编、联系人及联系电话；</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28.7.2质疑项目的名称、编号；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28.7.3具体、明确的质疑事项和与质疑事项相关的请求；</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28.7.4事实依据；</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28.7.5必要的法律依据；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28.7.6提出质疑的日期。</w:t>
      </w:r>
      <w:r/>
    </w:p>
    <w:p>
      <w:pPr>
        <w:ind w:firstLine="420"/>
        <w:spacing w:line="360" w:lineRule="auto"/>
        <w:rPr>
          <w:color w:val="auto"/>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供应商为自然人的，应当由本人签字；供应商为法人或者其他组织的，应当由法定代表人、主要负责人，或者其授权代表签字或者盖章，并加盖公章。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28.7质疑人应当在法定质疑期限内进行补正并重新提交质疑函，拒不补正或者在法定期限内未重新提交质疑函的，为无效质疑，采购代理机构有权不予受理。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28.10 诚实信用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28.10.1 投标人之间不得相互串通投标报价，不得妨碍其他投标人的公平竞争，不得损害采购人和其他投标人的合法权益。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28.10.2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28.10.3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28.10.4 投标人不得虚假承诺，否则，按照提供虚假材料谋取中标成交处理。</w:t>
      </w:r>
      <w:r/>
    </w:p>
    <w:p>
      <w:pPr>
        <w:ind w:firstLine="420"/>
        <w:spacing w:line="360" w:lineRule="auto"/>
        <w:rPr>
          <w:color w:val="auto"/>
          <w:highlight w:val="none"/>
        </w:rPr>
      </w:pPr>
      <w:r>
        <w:rPr>
          <w:rFonts w:hint="eastAsia" w:ascii="宋体" w:hAnsi="宋体"/>
          <w:color w:val="auto"/>
          <w:szCs w:val="21"/>
          <w:highlight w:val="none"/>
        </w:rPr>
        <w:t xml:space="preserve">28.10.5 投标人应自觉遵守开标、评标纪律，扰乱开标评标现场秩序的，属于失信行为，根据《江苏省政府采购供应商监督管理暂行办法》，失信行为将被记入投标人诚信档案。</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360" w:lineRule="auto"/>
        <w:rPr>
          <w:b/>
          <w:bCs/>
          <w:color w:val="auto"/>
          <w:highlight w:val="none"/>
        </w:rPr>
      </w:pPr>
      <w:r>
        <w:rPr>
          <w:b/>
          <w:bCs/>
          <w:color w:val="auto"/>
          <w:highlight w:val="none"/>
        </w:rPr>
        <w:t xml:space="preserve">3</w:t>
      </w:r>
      <w:r>
        <w:rPr>
          <w:rFonts w:hint="eastAsia"/>
          <w:b/>
          <w:bCs/>
          <w:color w:val="auto"/>
          <w:highlight w:val="none"/>
        </w:rPr>
        <w:t xml:space="preserve">1其他</w:t>
      </w:r>
      <w:r/>
    </w:p>
    <w:p>
      <w:pPr>
        <w:ind w:firstLine="422"/>
        <w:jc w:val="left"/>
        <w:spacing w:line="360" w:lineRule="auto"/>
        <w:rPr>
          <w:rFonts w:ascii="宋体" w:hAnsi="宋体"/>
          <w:bCs/>
          <w:color w:val="auto"/>
          <w:szCs w:val="21"/>
          <w:highlight w:val="none"/>
        </w:rPr>
      </w:pPr>
      <w:r>
        <w:rPr>
          <w:color w:val="auto"/>
          <w:highlight w:val="none"/>
        </w:rPr>
        <w:t xml:space="preserve">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jc w:val="center"/>
        <w:spacing w:line="440" w:lineRule="exact"/>
        <w:rPr>
          <w:rFonts w:ascii="宋体" w:hAnsi="宋体"/>
          <w:color w:val="auto"/>
          <w:szCs w:val="36"/>
          <w:highlight w:val="none"/>
        </w:rPr>
      </w:pPr>
      <w:r>
        <w:rPr>
          <w:rFonts w:hint="eastAsia" w:ascii="宋体" w:hAnsi="宋体"/>
          <w:bCs/>
          <w:color w:val="auto"/>
          <w:szCs w:val="21"/>
          <w:highlight w:val="none"/>
        </w:rPr>
        <w:br w:type="page" w:clear="all"/>
      </w:r>
      <w:bookmarkStart w:id="54" w:name="_Toc55204179"/>
      <w:r/>
      <w:bookmarkStart w:id="55" w:name="_Hlk69392822"/>
      <w:r>
        <w:rPr>
          <w:rFonts w:hint="eastAsia" w:ascii="宋体" w:hAnsi="宋体"/>
          <w:b/>
          <w:bCs/>
          <w:color w:val="auto"/>
          <w:szCs w:val="36"/>
          <w:highlight w:val="none"/>
        </w:rPr>
        <w:t xml:space="preserve">第三章 合同条款及格式</w:t>
      </w:r>
      <w:bookmarkEnd w:id="54"/>
      <w:r/>
      <w:r/>
    </w:p>
    <w:p>
      <w:pPr>
        <w:pStyle w:val="883"/>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ind w:firstLine="422"/>
        <w:jc w:val="center"/>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扬州市政府采购合同</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项目名称：               </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甲方：（买方）</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乙方：（卖方）</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见证方：</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甲、乙双方根据</w:t>
      </w:r>
      <w:r>
        <w:rPr>
          <w:rFonts w:hint="eastAsia" w:ascii="宋体" w:hAnsi="宋体"/>
          <w:color w:val="auto"/>
          <w:szCs w:val="21"/>
          <w:highlight w:val="none"/>
          <w:lang w:eastAsia="zh-CN"/>
        </w:rPr>
        <w:t xml:space="preserve">江苏渝祺项目管理有限公司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项目公开招标的结果，签署本合同。</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一、服务及产品内容</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1.1 项目（产品）名称：</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1.2 项目服务内容：</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二、合同金额</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2.1 本合同金额为（大写）：______________________（￥_____________元）人民币。</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三、技术资料</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3.1乙方应按招标文件规定的时间向甲方提供使用货物及服务的有关技术资料。</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四、知识产权</w:t>
      </w:r>
      <w:r/>
    </w:p>
    <w:p>
      <w:pPr>
        <w:ind w:firstLine="420"/>
        <w:spacing w:before="120" w:after="120" w:line="360" w:lineRule="auto"/>
        <w:rPr>
          <w:rFonts w:ascii="宋体" w:hAnsi="宋体"/>
          <w:b/>
          <w:bCs/>
          <w:color w:val="auto"/>
          <w:szCs w:val="21"/>
          <w:highlight w:val="none"/>
        </w:rPr>
      </w:pPr>
      <w:r>
        <w:rPr>
          <w:rFonts w:hint="eastAsia" w:ascii="宋体" w:hAnsi="宋体"/>
          <w:color w:val="auto"/>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五、产权担保</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5.1 乙方保证所交付的货物及服务的所有权完全属于乙方且无任何抵押、查封等产权瑕疵。</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六、履约保证金</w:t>
      </w:r>
      <w:r/>
    </w:p>
    <w:p>
      <w:pPr>
        <w:ind w:firstLine="420"/>
        <w:spacing w:before="120" w:after="120" w:line="360" w:lineRule="auto"/>
        <w:rPr>
          <w:rFonts w:ascii="宋体" w:hAnsi="宋体"/>
          <w:color w:val="auto"/>
          <w:szCs w:val="21"/>
          <w:highlight w:val="none"/>
        </w:rPr>
      </w:pPr>
      <w:r>
        <w:rPr>
          <w:rFonts w:ascii="宋体" w:hAnsi="宋体"/>
          <w:color w:val="auto"/>
          <w:szCs w:val="21"/>
          <w:highlight w:val="none"/>
        </w:rPr>
        <w:t xml:space="preserve">6.1收取履约保证金的，</w:t>
      </w:r>
      <w:r>
        <w:rPr>
          <w:rFonts w:hint="eastAsia" w:ascii="宋体" w:hAnsi="宋体"/>
          <w:color w:val="auto"/>
          <w:szCs w:val="21"/>
          <w:highlight w:val="none"/>
        </w:rPr>
        <w:t xml:space="preserve">允许中标人自主选择支票、汇票、本票、保函等非现金形式缴纳或提交，</w:t>
      </w:r>
      <w:r>
        <w:rPr>
          <w:rFonts w:ascii="宋体" w:hAnsi="宋体"/>
          <w:color w:val="auto"/>
          <w:szCs w:val="21"/>
          <w:highlight w:val="none"/>
        </w:rPr>
        <w:t xml:space="preserve">应当在采购合同中约定履约保证金退还的方式、时间、条件和不予退还的情形，明确逾期退还履约保证金的违约责任。</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6.4 履约保证金收取：无</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七、转包或分包</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7.1本合同范围的货物及服务，应由乙方直接供应，不得转让他人供应；</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7.2 除非得到甲方的书面同意，乙方不得部分分包给他人供应。</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7.3如有转让和未经甲方同意的分包行为，甲方有权给予终止合同。</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八、服务期</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8.1 服务期：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九、交付期、交付方式及交付地点</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9.1 交付期：</w:t>
      </w:r>
      <w:r>
        <w:rPr>
          <w:rFonts w:hint="eastAsia" w:ascii="宋体" w:hAnsi="宋体"/>
          <w:color w:val="auto"/>
          <w:szCs w:val="21"/>
          <w:highlight w:val="none"/>
          <w:u w:val="single"/>
        </w:rPr>
        <w:t xml:space="preserve">       </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9.2 交付方式：</w:t>
      </w:r>
      <w:r>
        <w:rPr>
          <w:rFonts w:hint="eastAsia" w:ascii="宋体" w:hAnsi="宋体"/>
          <w:color w:val="auto"/>
          <w:szCs w:val="21"/>
          <w:highlight w:val="none"/>
          <w:u w:val="single"/>
        </w:rPr>
        <w:t xml:space="preserve">       </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9.3 交付地点：</w:t>
      </w:r>
      <w:r>
        <w:rPr>
          <w:rFonts w:hint="eastAsia" w:ascii="宋体" w:hAnsi="宋体"/>
          <w:color w:val="auto"/>
          <w:szCs w:val="21"/>
          <w:highlight w:val="none"/>
          <w:u w:val="single"/>
        </w:rPr>
        <w:t xml:space="preserve">       </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甲方付款方式：合同签订后，甲方自收到乙方发票之日起10个工作日内，支付第一年度合同价款的30%为预付款。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月租费计费时间标准：乙方建成开通，试运行三个月，经甲、乙双方监理等共同验收合格后，按审计金额开始计费，付费方式按季度支付。第一年扣除预付款后第二季度开始支付。试运行日期自甲方在开通清单签字确认之日起计算。（注：每次支付，甲方应自收到乙方发票之日起10个工作日内付款。）</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十一、税费</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11.1本合同执行中相关的一切税费均由乙方负担。</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十二、质量保证及售后服务</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12.1 乙方应按招标文件规定的货物及服务性能、技术要求、质量标准向甲方提供。</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⑴更换：由乙方承担所发生的全部费用。</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⑵贬值处理：由甲乙双方合议定价。</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⑶退还处理：乙方应退还甲方支付的合同款，同时应承担该货物及服务的直接费用（运输、保险、检验、款项利息及银行手续费等）。</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12.3 如在使用过程中发生质量问题，乙方在接到甲方通知后在______小时内到达甲方现场。</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12.4 在质保期内，乙方应对货物及服务出现的质量及安全问题负责处理解决并承担一切费用。</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12.5上述的货物及服务免费保修期为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年，因人为因素出现的故障不在免费保修范围内。超过保修期的机器设备，终生维修，维修时只收部件成本费。</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十三、调试和验收</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13.4 对技术复杂的货物及服务，甲方可请国家认可的专业检测机构参与初步验收及最终验收，并由其出具质量检测报告。</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13.5 验收时乙方必须在现场，验收完毕后作出验收结果报告；验收费用由甲乙双方协商解决。</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十四、服务或产品包装、发运及运输</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14.1 乙方应在货物及服务发运前对其进行满足运输距离、防潮、防震、防锈和防破损装卸等要求包装，以保证货物及服务安全运达甲方指定地点。</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14.2 使用说明书、质量检验证明书、随配附件和工具以及清单一并交付甲方。</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14.3 乙方在货物及服务发运手续办理完毕后24小时内或交付到甲方48小时前通知甲方，以准备接受交付。</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14.4 服务在交付甲方前发生的风险均由乙方负责。</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14.5 服务或产品在规定的交付期限内由乙方送达甲方指定的地点视为交付，乙方同时需通知甲方服务或产品已送达。</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十五、违约责任</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15.1 甲方无正当理由拒收货物及服务的，甲方向乙方偿付拒收款项总值的百分之五违约金。</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15.2 甲方无故逾期验收和办理款项支付手续的,甲方应按逾期付款总额每日万分之五向乙方支付违约金。</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十六、不可抗力事件处理</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16.1 在合同有效期内，任何一方因不可抗力事件导致不能履行合同，则合同履行期可延长，其延长期与不可抗力影响期相同。</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16.2 不可抗力事件发生后，应立即通知对方，并寄送有关权威机构出具的证明。</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16.3 不可抗力事件延续120天以上，双方应通过友好协商，确定是否继续履行合同。</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十七、诉讼</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17.1 双方在执行合同中所发生的一切争议，应通过协商解决。如协商不成，可向合同签订地法院起诉，合同签订地在此约定为扬州市江都区。</w:t>
      </w:r>
      <w:r/>
    </w:p>
    <w:p>
      <w:pPr>
        <w:ind w:firstLine="422"/>
        <w:spacing w:before="120" w:after="120" w:line="360" w:lineRule="auto"/>
        <w:rPr>
          <w:rFonts w:ascii="宋体" w:hAnsi="宋体"/>
          <w:b/>
          <w:bCs/>
          <w:color w:val="auto"/>
          <w:szCs w:val="21"/>
          <w:highlight w:val="none"/>
        </w:rPr>
      </w:pPr>
      <w:r>
        <w:rPr>
          <w:rFonts w:hint="eastAsia" w:ascii="宋体" w:hAnsi="宋体"/>
          <w:b/>
          <w:bCs/>
          <w:color w:val="auto"/>
          <w:szCs w:val="21"/>
          <w:highlight w:val="none"/>
        </w:rPr>
        <w:t xml:space="preserve">十八、合同生效及其它</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18.1 合同经双方法定代表人签章并加盖单位公章，并经见证方盖章后生效。</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18.2本合同未尽事宜，遵照《中华人民共和国民法典》有关条文执行。</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18.3 本合同正本一式六份，具有同等法律效力，甲方、乙方各执二份，见证方及财政监管部门（扬州市江都区财政局政府采购管理科）各执一份。  </w:t>
      </w:r>
      <w:r/>
    </w:p>
    <w:tbl>
      <w:tblPr>
        <w:tblStyle w:val="873"/>
        <w:tblW w:w="8522"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tc>
      </w:tr>
    </w:tbl>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 </w:t>
      </w:r>
      <w:r/>
    </w:p>
    <w:p>
      <w:pPr>
        <w:spacing w:before="120" w:after="120"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见证方：</w:t>
      </w:r>
      <w:r>
        <w:rPr>
          <w:rFonts w:hint="eastAsia" w:ascii="宋体" w:hAnsi="宋体"/>
          <w:color w:val="auto"/>
          <w:szCs w:val="21"/>
          <w:highlight w:val="none"/>
          <w:lang w:eastAsia="zh-CN"/>
        </w:rPr>
        <w:t xml:space="preserve">江苏渝祺项目管理有限公司</w:t>
      </w:r>
      <w:r>
        <w:rPr>
          <w:rFonts w:hint="eastAsia" w:ascii="宋体" w:hAnsi="宋体"/>
          <w:color w:val="auto"/>
          <w:szCs w:val="21"/>
          <w:highlight w:val="none"/>
          <w:lang w:val="en-US" w:eastAsia="zh-CN"/>
        </w:rPr>
        <w:t xml:space="preserve">                   </w:t>
      </w:r>
      <w:r/>
    </w:p>
    <w:p>
      <w:pPr>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pStyle w:val="907"/>
        <w:ind w:left="0" w:firstLine="0"/>
        <w:rPr>
          <w:rFonts w:hAnsi="宋体" w:cs="Times New Roman"/>
          <w:color w:val="auto"/>
          <w:highlight w:val="none"/>
        </w:rPr>
      </w:pPr>
      <w:r>
        <w:rPr>
          <w:rFonts w:hAnsi="宋体" w:cs="Times New Roman"/>
          <w:color w:val="auto"/>
          <w:highlight w:val="none"/>
        </w:rPr>
      </w:r>
      <w:r/>
    </w:p>
    <w:p>
      <w:pPr>
        <w:rPr>
          <w:rFonts w:ascii="宋体" w:hAnsi="宋体"/>
          <w:color w:val="auto"/>
          <w:szCs w:val="21"/>
          <w:highlight w:val="none"/>
        </w:rPr>
      </w:pPr>
      <w:r>
        <w:rPr>
          <w:rFonts w:ascii="宋体" w:hAnsi="宋体"/>
          <w:color w:val="auto"/>
          <w:szCs w:val="21"/>
          <w:highlight w:val="none"/>
        </w:rPr>
      </w:r>
      <w:r/>
    </w:p>
    <w:p>
      <w:pPr>
        <w:pStyle w:val="907"/>
        <w:ind w:left="0" w:firstLine="0"/>
        <w:rPr>
          <w:rFonts w:hAnsi="宋体" w:cs="Times New Roman"/>
          <w:color w:val="auto"/>
          <w:highlight w:val="none"/>
        </w:rPr>
      </w:pPr>
      <w:r>
        <w:rPr>
          <w:rFonts w:hAnsi="宋体" w:cs="Times New Roman"/>
          <w:color w:val="auto"/>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880"/>
        <w:numPr>
          <w:ilvl w:val="0"/>
          <w:numId w:val="0"/>
        </w:numPr>
        <w:rPr>
          <w:rFonts w:ascii="宋体" w:hAnsi="宋体" w:cs="宋体"/>
          <w:b/>
          <w:color w:val="auto"/>
          <w:sz w:val="28"/>
          <w:szCs w:val="28"/>
          <w:highlight w:val="none"/>
        </w:rPr>
      </w:pPr>
      <w:r>
        <w:rPr>
          <w:rFonts w:ascii="宋体" w:hAnsi="宋体" w:cs="宋体"/>
          <w:b/>
          <w:color w:val="auto"/>
          <w:sz w:val="28"/>
          <w:szCs w:val="28"/>
          <w:highlight w:val="none"/>
        </w:rPr>
      </w:r>
      <w:r/>
    </w:p>
    <w:p>
      <w:pPr>
        <w:pStyle w:val="880"/>
        <w:numPr>
          <w:ilvl w:val="0"/>
          <w:numId w:val="0"/>
        </w:numPr>
        <w:rPr>
          <w:rFonts w:ascii="宋体" w:hAnsi="宋体" w:cs="宋体"/>
          <w:b/>
          <w:color w:val="auto"/>
          <w:sz w:val="28"/>
          <w:szCs w:val="28"/>
          <w:highlight w:val="none"/>
        </w:rPr>
      </w:pPr>
      <w:r>
        <w:rPr>
          <w:rFonts w:ascii="宋体" w:hAnsi="宋体" w:cs="宋体"/>
          <w:b/>
          <w:color w:val="auto"/>
          <w:sz w:val="28"/>
          <w:szCs w:val="28"/>
          <w:highlight w:val="none"/>
        </w:rPr>
      </w:r>
      <w:r/>
    </w:p>
    <w:p>
      <w:pPr>
        <w:pStyle w:val="880"/>
        <w:numPr>
          <w:ilvl w:val="0"/>
          <w:numId w:val="0"/>
        </w:numPr>
        <w:rPr>
          <w:rFonts w:ascii="宋体" w:hAnsi="宋体" w:cs="宋体"/>
          <w:b/>
          <w:color w:val="auto"/>
          <w:sz w:val="28"/>
          <w:szCs w:val="28"/>
          <w:highlight w:val="none"/>
        </w:rPr>
      </w:pPr>
      <w:r>
        <w:rPr>
          <w:rFonts w:ascii="宋体" w:hAnsi="宋体" w:cs="宋体"/>
          <w:b/>
          <w:color w:val="auto"/>
          <w:sz w:val="28"/>
          <w:szCs w:val="28"/>
          <w:highlight w:val="none"/>
        </w:rPr>
      </w:r>
      <w:r/>
    </w:p>
    <w:p>
      <w:pPr>
        <w:pStyle w:val="880"/>
        <w:numPr>
          <w:ilvl w:val="0"/>
          <w:numId w:val="0"/>
        </w:numPr>
        <w:rPr>
          <w:rFonts w:ascii="宋体" w:hAnsi="宋体" w:cs="宋体"/>
          <w:b/>
          <w:color w:val="auto"/>
          <w:sz w:val="28"/>
          <w:szCs w:val="28"/>
          <w:highlight w:val="none"/>
        </w:rPr>
      </w:pPr>
      <w:r>
        <w:rPr>
          <w:rFonts w:ascii="宋体" w:hAnsi="宋体" w:cs="宋体"/>
          <w:b/>
          <w:color w:val="auto"/>
          <w:sz w:val="28"/>
          <w:szCs w:val="28"/>
          <w:highlight w:val="none"/>
        </w:rPr>
      </w:r>
      <w:r/>
    </w:p>
    <w:p>
      <w:pPr>
        <w:pStyle w:val="880"/>
        <w:numPr>
          <w:ilvl w:val="0"/>
          <w:numId w:val="0"/>
        </w:numPr>
        <w:rPr>
          <w:rFonts w:ascii="宋体" w:hAnsi="宋体" w:cs="宋体"/>
          <w:b/>
          <w:color w:val="auto"/>
          <w:sz w:val="28"/>
          <w:szCs w:val="28"/>
          <w:highlight w:val="none"/>
        </w:rPr>
      </w:pPr>
      <w:r>
        <w:rPr>
          <w:rFonts w:ascii="宋体" w:hAnsi="宋体" w:cs="宋体"/>
          <w:b/>
          <w:color w:val="auto"/>
          <w:sz w:val="28"/>
          <w:szCs w:val="28"/>
          <w:highlight w:val="none"/>
        </w:rPr>
      </w:r>
      <w:r/>
    </w:p>
    <w:p>
      <w:pPr>
        <w:pStyle w:val="880"/>
        <w:numPr>
          <w:ilvl w:val="0"/>
          <w:numId w:val="0"/>
        </w:numPr>
        <w:rPr>
          <w:rFonts w:ascii="宋体" w:hAnsi="宋体" w:cs="宋体"/>
          <w:b/>
          <w:color w:val="auto"/>
          <w:sz w:val="28"/>
          <w:szCs w:val="28"/>
          <w:highlight w:val="none"/>
        </w:rPr>
      </w:pPr>
      <w:r>
        <w:rPr>
          <w:rFonts w:ascii="宋体" w:hAnsi="宋体" w:cs="宋体"/>
          <w:b/>
          <w:color w:val="auto"/>
          <w:sz w:val="28"/>
          <w:szCs w:val="28"/>
          <w:highlight w:val="none"/>
        </w:rPr>
      </w:r>
      <w:bookmarkEnd w:id="55"/>
      <w:r/>
      <w:r/>
    </w:p>
    <w:p>
      <w:pPr>
        <w:pStyle w:val="880"/>
        <w:numPr>
          <w:ilvl w:val="0"/>
          <w:numId w:val="0"/>
        </w:numPr>
        <w:rPr>
          <w:rFonts w:ascii="宋体" w:hAnsi="宋体" w:cs="宋体"/>
          <w:b/>
          <w:color w:val="auto"/>
          <w:sz w:val="28"/>
          <w:szCs w:val="28"/>
          <w:highlight w:val="none"/>
        </w:rPr>
      </w:pPr>
      <w:r>
        <w:rPr>
          <w:rFonts w:ascii="宋体" w:hAnsi="宋体" w:cs="宋体"/>
          <w:b/>
          <w:color w:val="auto"/>
          <w:sz w:val="28"/>
          <w:szCs w:val="28"/>
          <w:highlight w:val="none"/>
        </w:rPr>
      </w:r>
      <w:r/>
    </w:p>
    <w:p>
      <w:pPr>
        <w:pStyle w:val="880"/>
        <w:numPr>
          <w:ilvl w:val="0"/>
          <w:numId w:val="0"/>
        </w:numPr>
        <w:rPr>
          <w:rFonts w:ascii="宋体" w:hAnsi="宋体" w:cs="宋体"/>
          <w:b/>
          <w:color w:val="auto"/>
          <w:sz w:val="28"/>
          <w:szCs w:val="28"/>
          <w:highlight w:val="none"/>
        </w:rPr>
      </w:pPr>
      <w:r>
        <w:rPr>
          <w:rFonts w:ascii="宋体" w:hAnsi="宋体" w:cs="宋体"/>
          <w:b/>
          <w:color w:val="auto"/>
          <w:sz w:val="28"/>
          <w:szCs w:val="28"/>
          <w:highlight w:val="none"/>
        </w:rPr>
      </w:r>
      <w:r/>
    </w:p>
    <w:p>
      <w:pPr>
        <w:pStyle w:val="863"/>
        <w:numPr>
          <w:ilvl w:val="0"/>
          <w:numId w:val="4"/>
        </w:numPr>
        <w:jc w:val="center"/>
        <w:spacing w:line="360" w:lineRule="auto"/>
        <w:rPr>
          <w:rFonts w:ascii="宋体" w:hAnsi="宋体"/>
          <w:color w:val="auto"/>
          <w:highlight w:val="none"/>
        </w:rPr>
      </w:pPr>
      <w:r>
        <w:rPr>
          <w:rFonts w:hint="eastAsia"/>
          <w:color w:val="auto"/>
          <w:highlight w:val="none"/>
        </w:rPr>
        <w:t xml:space="preserve"> </w:t>
      </w:r>
      <w:r>
        <w:rPr>
          <w:rFonts w:hint="eastAsia" w:ascii="宋体" w:hAnsi="宋体"/>
          <w:color w:val="auto"/>
          <w:highlight w:val="none"/>
        </w:rPr>
        <w:t xml:space="preserve">项目需求</w:t>
      </w:r>
      <w:r/>
    </w:p>
    <w:p>
      <w:pPr>
        <w:spacing w:line="360" w:lineRule="auto"/>
        <w:rPr>
          <w:b/>
          <w:bCs/>
          <w:color w:val="auto"/>
          <w:highlight w:val="none"/>
        </w:rPr>
      </w:pPr>
      <w:r>
        <w:rPr>
          <w:rFonts w:hint="eastAsia"/>
          <w:b/>
          <w:bCs/>
          <w:color w:val="auto"/>
          <w:highlight w:val="none"/>
        </w:rPr>
        <w:t xml:space="preserve">项目属性：服务类项目</w:t>
      </w:r>
      <w:r/>
    </w:p>
    <w:p>
      <w:pPr>
        <w:spacing w:line="360" w:lineRule="auto"/>
        <w:rPr>
          <w:rFonts w:ascii="宋体" w:hAnsi="宋体" w:cs="宋体"/>
          <w:b/>
          <w:bCs/>
          <w:color w:val="auto"/>
          <w:szCs w:val="21"/>
          <w:highlight w:val="none"/>
        </w:rPr>
      </w:pPr>
      <w:r>
        <w:rPr>
          <w:rFonts w:hint="eastAsia"/>
          <w:b/>
          <w:bCs/>
          <w:color w:val="auto"/>
          <w:highlight w:val="none"/>
        </w:rPr>
        <w:t xml:space="preserve">其他要求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color w:val="auto"/>
          <w:highlight w:val="none"/>
        </w:rPr>
      </w:pPr>
      <w:r>
        <w:rPr>
          <w:rFonts w:hint="eastAsia" w:ascii="宋体" w:hAnsi="宋体" w:cs="宋体"/>
          <w:color w:val="auto"/>
          <w:highlight w:val="none"/>
        </w:rPr>
        <w:t xml:space="preserve">供应商对于投标产品的包装应按照“财办库〔2020〕123号关于印发《商品包装政府采购需求标准（试行）》、《快递包装政府采购需求标准（试行）》的通知》”执行。</w:t>
      </w:r>
      <w:r/>
    </w:p>
    <w:p>
      <w:pPr>
        <w:spacing w:line="360" w:lineRule="auto"/>
        <w:rPr>
          <w:color w:val="auto"/>
          <w:highlight w:val="none"/>
        </w:rPr>
      </w:pPr>
      <w:r>
        <w:rPr>
          <w:rFonts w:hint="eastAsia"/>
          <w:color w:val="auto"/>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spacing w:line="360" w:lineRule="auto"/>
        <w:rPr>
          <w:b/>
          <w:bCs/>
          <w:color w:val="auto"/>
          <w:highlight w:val="none"/>
        </w:rPr>
      </w:pPr>
      <w:r>
        <w:rPr>
          <w:rFonts w:hint="eastAsia"/>
          <w:b/>
          <w:bCs/>
          <w:color w:val="auto"/>
          <w:highlight w:val="none"/>
        </w:rPr>
        <w:t xml:space="preserve">本项目所属行业：</w:t>
      </w:r>
      <w:r>
        <w:rPr>
          <w:rFonts w:hint="eastAsia"/>
          <w:b/>
          <w:bCs/>
          <w:color w:val="auto"/>
          <w:highlight w:val="none"/>
          <w:lang w:val="en-US" w:eastAsia="zh-CN"/>
        </w:rPr>
        <w:t xml:space="preserve">软件信息技术服务业</w:t>
      </w:r>
      <w:r>
        <w:rPr>
          <w:rFonts w:hint="eastAsia"/>
          <w:b/>
          <w:bCs/>
          <w:color w:val="auto"/>
          <w:highlight w:val="none"/>
        </w:rPr>
        <w:t xml:space="preserve">。</w:t>
      </w:r>
      <w:r/>
    </w:p>
    <w:p>
      <w:pPr>
        <w:pStyle w:val="899"/>
        <w:numPr>
          <w:ilvl w:val="0"/>
          <w:numId w:val="5"/>
        </w:numPr>
        <w:ind w:left="0" w:firstLine="0"/>
        <w:jc w:val="left"/>
        <w:spacing w:before="120" w:line="360" w:lineRule="auto"/>
        <w:rPr>
          <w:color w:val="auto"/>
          <w:szCs w:val="21"/>
          <w:highlight w:val="none"/>
        </w:rPr>
      </w:pPr>
      <w:r>
        <w:rPr>
          <w:rFonts w:hint="eastAsia"/>
          <w:b/>
          <w:bCs/>
          <w:color w:val="auto"/>
          <w:highlight w:val="none"/>
        </w:rPr>
        <w:t xml:space="preserve">项目概况：</w:t>
      </w:r>
      <w:r>
        <w:rPr>
          <w:rFonts w:hint="eastAsia" w:ascii="宋体" w:hAnsi="宋体"/>
          <w:color w:val="auto"/>
          <w:szCs w:val="21"/>
          <w:highlight w:val="none"/>
        </w:rPr>
        <w:t xml:space="preserve">本项目共分三个标包，</w:t>
      </w:r>
      <w:r>
        <w:rPr>
          <w:rFonts w:hint="eastAsia" w:ascii="宋体" w:hAnsi="宋体"/>
          <w:b/>
          <w:bCs/>
          <w:color w:val="auto"/>
          <w:szCs w:val="21"/>
          <w:highlight w:val="none"/>
        </w:rPr>
        <w:t xml:space="preserve">采购包1</w:t>
      </w:r>
      <w:r>
        <w:rPr>
          <w:rFonts w:hint="eastAsia" w:ascii="宋体" w:hAnsi="宋体"/>
          <w:color w:val="auto"/>
          <w:szCs w:val="21"/>
          <w:highlight w:val="none"/>
        </w:rPr>
        <w:t xml:space="preserve">：</w:t>
      </w:r>
      <w:r>
        <w:rPr>
          <w:rFonts w:hint="eastAsia" w:ascii="宋体" w:hAnsi="宋体" w:eastAsia="宋体" w:cs="宋体"/>
          <w:color w:val="auto"/>
          <w:sz w:val="21"/>
          <w:szCs w:val="22"/>
          <w:highlight w:val="none"/>
          <w:lang w:val="en-US" w:eastAsia="zh-CN" w:bidi="ar-SA"/>
        </w:rPr>
        <w:t xml:space="preserve">对原江都公安天眼四期270台相机进行升级改造，新增、更换149台枪机、37台球机、2台高空球机、1台结构化球机、56台四目结构化相机、16台双目结构化相机（室外）、10台双目结构化相机（室内）及相配的视频图片存储、服务器扩容、软件授权、补光灯等，并提供本项目5年维护维保服务。对原江都公安疫情查控点智能采集设备项目郭村镇、浦头镇14个卡口进行升级改造，新增、更换29台智能卡口相机、5台卡口辅助双目结</w:t>
      </w:r>
      <w:r>
        <w:rPr>
          <w:rFonts w:hint="eastAsia" w:ascii="宋体" w:hAnsi="宋体" w:eastAsia="宋体" w:cs="宋体"/>
          <w:color w:val="auto"/>
          <w:sz w:val="21"/>
          <w:szCs w:val="22"/>
          <w:highlight w:val="none"/>
          <w:lang w:val="en-US" w:eastAsia="zh-CN" w:bidi="ar-SA"/>
        </w:rPr>
        <w:t xml:space="preserve">构化相机、8台卡口辅助四目结构化相机、15台卡口辅助球机及其相配的视频图片存储、服务器扩容、软件授权、补光灯等，并提供本项目5年维护维保服务。对原智能卡口升级改造与新建项目11个点位进行升级改造，新增、更换34台智能卡口相机、11台卡口辅助球机及其相配的视频图片存储、服务器扩容、软件授权、补光灯等，并提供本项目5年维护维保服务。新建4台小区双目结构化相机、55台道路四目结构化相机及其相配的视频图片存储、服务器扩容、软件授权、补光灯等，并提供本项目5年维护维保服务。AI算力扩容，并提供本项目5年维护维保服务。</w:t>
      </w:r>
      <w:r>
        <w:rPr>
          <w:rFonts w:hint="eastAsia" w:ascii="宋体" w:hAnsi="宋体"/>
          <w:b/>
          <w:bCs/>
          <w:color w:val="auto"/>
          <w:szCs w:val="21"/>
          <w:highlight w:val="none"/>
          <w:u w:val="none"/>
        </w:rPr>
        <w:t xml:space="preserve">采购包2</w:t>
      </w:r>
      <w:r>
        <w:rPr>
          <w:rFonts w:hint="eastAsia" w:ascii="宋体" w:hAnsi="宋体"/>
          <w:color w:val="auto"/>
          <w:szCs w:val="21"/>
          <w:highlight w:val="none"/>
        </w:rPr>
        <w:t xml:space="preserve">：</w:t>
      </w:r>
      <w:r>
        <w:rPr>
          <w:rFonts w:hint="eastAsia" w:ascii="宋体" w:hAnsi="宋体" w:eastAsia="宋体" w:cs="宋体"/>
          <w:color w:val="auto"/>
          <w:sz w:val="21"/>
          <w:szCs w:val="22"/>
          <w:highlight w:val="none"/>
          <w:lang w:val="en-US" w:eastAsia="zh-CN" w:bidi="ar-SA"/>
        </w:rPr>
        <w:t xml:space="preserve">对原江都公安天眼四期410台相机进行升级改造，新增、更换345台枪机、1台球机、63台四目结构化相机、1台双目结构化相机及相配的视频图片存储、服务器扩容、软件授权、补光灯等，并提供本项目5年维护维保服务。对原智能卡口升级改造与新建项目6个点位进行升级改造，新增、更换14台智能卡口相机、5台卡口辅助球机及其相配的视频图片存储、服务器扩容、软件授权、补光灯等，并提供本项目5年维护维保服务。视图库存储节点、交换机扩容，并提供本项目5年维护维保服务。</w:t>
      </w:r>
      <w:r>
        <w:rPr>
          <w:rFonts w:hint="eastAsia" w:ascii="宋体" w:hAnsi="宋体"/>
          <w:b/>
          <w:bCs/>
          <w:color w:val="auto"/>
          <w:szCs w:val="21"/>
          <w:highlight w:val="none"/>
        </w:rPr>
        <w:t xml:space="preserve">采购包3</w:t>
      </w:r>
      <w:r>
        <w:rPr>
          <w:rFonts w:hint="eastAsia" w:ascii="宋体" w:hAnsi="宋体"/>
          <w:color w:val="auto"/>
          <w:szCs w:val="21"/>
          <w:highlight w:val="none"/>
        </w:rPr>
        <w:t xml:space="preserve">：</w:t>
      </w:r>
      <w:r>
        <w:rPr>
          <w:rFonts w:hint="eastAsia" w:ascii="宋体" w:hAnsi="宋体" w:eastAsia="宋体" w:cs="宋体"/>
          <w:color w:val="auto"/>
          <w:sz w:val="21"/>
          <w:szCs w:val="22"/>
          <w:highlight w:val="none"/>
          <w:lang w:val="en-US" w:eastAsia="zh-CN" w:bidi="ar-SA"/>
        </w:rPr>
        <w:t xml:space="preserve">对原江都公安天眼四期227台相机进行升级</w:t>
      </w:r>
      <w:r>
        <w:rPr>
          <w:rFonts w:hint="eastAsia" w:ascii="宋体" w:hAnsi="宋体" w:eastAsia="宋体" w:cs="宋体"/>
          <w:b/>
          <w:bCs/>
          <w:color w:val="auto"/>
          <w:sz w:val="21"/>
          <w:szCs w:val="22"/>
          <w:highlight w:val="none"/>
          <w:lang w:val="en-US" w:eastAsia="zh-CN" w:bidi="ar-SA"/>
        </w:rPr>
        <w:t xml:space="preserve">改造，新增、更换</w:t>
      </w:r>
      <w:r>
        <w:rPr>
          <w:rFonts w:hint="eastAsia" w:ascii="宋体" w:hAnsi="宋体" w:eastAsia="宋体" w:cs="宋体"/>
          <w:color w:val="auto"/>
          <w:sz w:val="21"/>
          <w:szCs w:val="22"/>
          <w:highlight w:val="none"/>
          <w:lang w:val="en-US" w:eastAsia="zh-CN" w:bidi="ar-SA"/>
        </w:rPr>
        <w:t xml:space="preserve">78台枪机、44台球机、1台高空球机、79台四目结构化相机、14台双目结构化相机（室外）、11台双目结构化相机（室内）及相配的视频图片存储、服务器扩容、软件授权、补光灯等，并提供本项目5年维护维保服务。对原江都公安疫情查控点智能采集设备项目小纪镇、武坚镇7个卡口进行升级改造，新增、更换智能卡口相机15台、卡口辅助双目结构化相机1台、卡口辅助四目结构化相机8台、卡口辅助球机17台及其相配的视频图片存储、服务器扩容、软件授权、补光灯等，并提供本项目5年维护</w:t>
      </w:r>
      <w:r>
        <w:rPr>
          <w:rFonts w:hint="eastAsia" w:ascii="宋体" w:hAnsi="宋体" w:eastAsia="宋体" w:cs="宋体"/>
          <w:color w:val="auto"/>
          <w:sz w:val="21"/>
          <w:szCs w:val="22"/>
          <w:highlight w:val="none"/>
          <w:lang w:val="en-US" w:eastAsia="zh-CN" w:bidi="ar-SA"/>
        </w:rPr>
        <w:t xml:space="preserve">维保服务。对原智能卡口升级改造与新建项目19个点位进行升级改造，新增、更换50台智能卡口相机、12台卡口辅助双目结构化相机、20台卡口辅助球机及其相配的视频图片存储、服务器扩容、软件授权、补光灯等，并提供本项目5年维护维保服务。新建34台小区双目结构化相机、59台道路四目结构化相机及其相配的视频图片存储、服务器扩容、软件授权、补光灯等，并提供本项目5年维护维保服务。人脸解析、检索、灵犀平台服务器扩容、提供5年维护维保服务。实现与扬州公安局、扬州公安局江都分局现有平台无缝对接，实现资源统一管理、应用整合共享。</w:t>
      </w:r>
      <w:r/>
    </w:p>
    <w:p>
      <w:pPr>
        <w:pStyle w:val="899"/>
        <w:ind w:left="0" w:firstLine="0"/>
        <w:jc w:val="left"/>
        <w:rPr>
          <w:b/>
          <w:bCs/>
          <w:color w:val="auto"/>
          <w:szCs w:val="21"/>
          <w:highlight w:val="none"/>
        </w:rPr>
      </w:pPr>
      <w:r>
        <w:rPr>
          <w:rFonts w:hint="eastAsia"/>
          <w:b/>
          <w:bCs/>
          <w:color w:val="auto"/>
          <w:szCs w:val="21"/>
          <w:highlight w:val="none"/>
        </w:rPr>
        <w:t xml:space="preserve">（二）项目建设内容及要求</w:t>
      </w:r>
      <w:r/>
    </w:p>
    <w:p>
      <w:pPr>
        <w:pStyle w:val="899"/>
        <w:ind w:left="0" w:firstLine="0"/>
        <w:rPr>
          <w:color w:val="auto"/>
          <w:szCs w:val="21"/>
          <w:highlight w:val="none"/>
        </w:rPr>
      </w:pPr>
      <w:r>
        <w:rPr>
          <w:rFonts w:hint="eastAsia"/>
          <w:b/>
          <w:bCs/>
          <w:color w:val="auto"/>
          <w:szCs w:val="21"/>
          <w:highlight w:val="none"/>
        </w:rPr>
        <w:t xml:space="preserve">采购包1：</w:t>
      </w:r>
      <w:r/>
    </w:p>
    <w:p>
      <w:pPr>
        <w:ind w:firstLine="422"/>
        <w:spacing w:line="360" w:lineRule="auto"/>
        <w:rPr>
          <w:rFonts w:ascii="宋体" w:hAnsi="宋体"/>
          <w:b/>
          <w:i/>
          <w:color w:val="auto"/>
          <w:szCs w:val="21"/>
          <w:highlight w:val="none"/>
          <w:u w:val="single"/>
        </w:rPr>
      </w:pPr>
      <w:r>
        <w:rPr>
          <w:rFonts w:hint="eastAsia" w:ascii="宋体" w:hAnsi="宋体"/>
          <w:b/>
          <w:i/>
          <w:color w:val="auto"/>
          <w:szCs w:val="21"/>
          <w:highlight w:val="none"/>
          <w:u w:val="single"/>
        </w:rPr>
        <w:t xml:space="preserve">供应商在中标后合同签订前须提供前端相机、补光灯、云存储扩容、平台服务器扩容硬件厂家(或授权代理商)出具的针对本项目（或投标产品）的授权函及质保函，授权代理商盖章的同时提供授权代理证书。供应商在投标文件中须提供承诺书原件上传（承诺书格式自拟），未承诺的作无效投标处理。</w:t>
      </w:r>
      <w:r/>
    </w:p>
    <w:p>
      <w:pPr>
        <w:pStyle w:val="929"/>
        <w:ind w:firstLine="420"/>
        <w:rPr>
          <w:rFonts w:ascii="宋体" w:hAnsi="宋体"/>
          <w:color w:val="auto"/>
          <w:sz w:val="21"/>
          <w:szCs w:val="21"/>
          <w:highlight w:val="none"/>
        </w:rPr>
      </w:pPr>
      <w:r>
        <w:rPr>
          <w:rFonts w:hint="eastAsia" w:ascii="宋体" w:hAnsi="宋体"/>
          <w:color w:val="auto"/>
          <w:sz w:val="21"/>
          <w:szCs w:val="21"/>
          <w:highlight w:val="none"/>
          <w:lang w:val="en-US" w:eastAsia="zh-CN"/>
        </w:rPr>
        <w:t xml:space="preserve">对原江都公安天眼四期270台相机进行升级改造，新增、更换149台枪机、37台球机、2台高空球机、1台结构化球机、56台四目结构化相机、16台双目结构化相机（室外）、10台双目结构化相机（室内）及相配的视频图片存储、服务器扩容、软件授权、补光灯等，并提供本项目5年维护维保服务。对原江都公安疫情查控点智能采集设备项目郭村镇、浦头镇14个卡口进行升级改造，新增、更换29台智能卡口相机、5台卡口辅助双目结</w:t>
      </w:r>
      <w:r>
        <w:rPr>
          <w:rFonts w:hint="eastAsia" w:ascii="宋体" w:hAnsi="宋体"/>
          <w:color w:val="auto"/>
          <w:sz w:val="21"/>
          <w:szCs w:val="21"/>
          <w:highlight w:val="none"/>
          <w:lang w:val="en-US" w:eastAsia="zh-CN"/>
        </w:rPr>
        <w:t xml:space="preserve">构化相机、8台卡口辅助四目结构化相机、15台卡口辅助球机及其相配的视频图片存储、服务器扩容、软件授权、补光灯等，并提供本项目5年维护维保服务。对原智能卡口升级改造与新建项目11个点位进行升级改造，新增、更换34台智能卡口相机、11台卡口辅助球机及其相配的视频图片存储、服务器扩容、软件授权、补光灯等，并提供本项目5年维护维保服务。新建4台小区双目结构化相机、55台道路四目结构化相机及其相配的视频图片存储、服务器扩容、软件授权、补光灯等，并提供本项目5年维护维保服务。AI算力扩容，并提供本项目5年维护维保服务。</w:t>
      </w:r>
      <w:r>
        <w:rPr>
          <w:rFonts w:hint="eastAsia" w:ascii="宋体" w:hAnsi="宋体"/>
          <w:color w:val="auto"/>
          <w:sz w:val="21"/>
          <w:szCs w:val="21"/>
          <w:highlight w:val="none"/>
        </w:rPr>
        <w:t xml:space="preserve">实现与扬州市公安局、扬州公安局江都分局现有平台无缝对接，实现资源统一管理、应用整合共享。项目为租赁服务方式，公安局支付正常运行的租赁费用，因各种原因（包括不可抗力）造成的移杆、损坏等费用均不承担，费用分5年支付。5年租赁期内平台管理权、使用权归甲方所有，乙方必须无条件提供甲方要求的各类监控的接入技术服务</w:t>
      </w:r>
      <w:r>
        <w:rPr>
          <w:rFonts w:hint="eastAsia"/>
          <w:color w:val="auto"/>
          <w:sz w:val="21"/>
          <w:highlight w:val="none"/>
        </w:rPr>
        <w:t xml:space="preserve">，</w:t>
      </w:r>
      <w:r>
        <w:rPr>
          <w:rFonts w:hint="eastAsia" w:ascii="宋体" w:hAnsi="宋体"/>
          <w:color w:val="auto"/>
          <w:sz w:val="21"/>
          <w:szCs w:val="21"/>
          <w:highlight w:val="none"/>
        </w:rPr>
        <w:t xml:space="preserve">到期后平台管理权、使用权、后端服务器、存储等设备由甲方继续使用，项目实施期间及到期后，机房均由甲方负责提供。</w:t>
      </w:r>
      <w:r>
        <w:rPr>
          <w:rFonts w:hint="eastAsia" w:ascii="宋体" w:hAnsi="宋体"/>
          <w:i/>
          <w:iCs/>
          <w:color w:val="auto"/>
          <w:sz w:val="21"/>
          <w:szCs w:val="21"/>
          <w:highlight w:val="none"/>
          <w:u w:val="single"/>
        </w:rPr>
        <w:t xml:space="preserve">项目安装期限为签定合同后3个月，</w:t>
      </w:r>
      <w:r>
        <w:rPr>
          <w:rFonts w:hint="eastAsia" w:ascii="宋体" w:hAnsi="宋体"/>
          <w:i/>
          <w:iCs/>
          <w:color w:val="auto"/>
          <w:sz w:val="21"/>
          <w:szCs w:val="21"/>
          <w:highlight w:val="none"/>
          <w:u w:val="single"/>
          <w:lang w:eastAsia="zh-CN"/>
        </w:rPr>
        <w:t xml:space="preserve">后端设备供货期限</w:t>
      </w:r>
      <w:r>
        <w:rPr>
          <w:rFonts w:ascii="宋体" w:hAnsi="宋体"/>
          <w:i/>
          <w:iCs/>
          <w:color w:val="auto"/>
          <w:sz w:val="21"/>
          <w:szCs w:val="21"/>
          <w:highlight w:val="none"/>
          <w:u w:val="single"/>
        </w:rPr>
        <w:t xml:space="preserve">为</w:t>
      </w:r>
      <w:r>
        <w:rPr>
          <w:rFonts w:hint="eastAsia" w:ascii="宋体" w:hAnsi="宋体"/>
          <w:i/>
          <w:iCs/>
          <w:color w:val="auto"/>
          <w:sz w:val="21"/>
          <w:szCs w:val="21"/>
          <w:highlight w:val="none"/>
          <w:u w:val="single"/>
          <w:lang w:val="en-US" w:eastAsia="zh-CN"/>
        </w:rPr>
        <w:t xml:space="preserve">成交公告公示期结束</w:t>
      </w:r>
      <w:r>
        <w:rPr>
          <w:rFonts w:ascii="宋体" w:hAnsi="宋体"/>
          <w:i/>
          <w:iCs/>
          <w:color w:val="auto"/>
          <w:sz w:val="21"/>
          <w:szCs w:val="21"/>
          <w:highlight w:val="none"/>
          <w:u w:val="single"/>
        </w:rPr>
        <w:t xml:space="preserve">后</w:t>
      </w:r>
      <w:r>
        <w:rPr>
          <w:rFonts w:hint="eastAsia" w:ascii="宋体" w:hAnsi="宋体"/>
          <w:i/>
          <w:iCs/>
          <w:color w:val="auto"/>
          <w:sz w:val="21"/>
          <w:szCs w:val="21"/>
          <w:highlight w:val="none"/>
          <w:u w:val="single"/>
          <w:lang w:val="en-US" w:eastAsia="zh-CN"/>
        </w:rPr>
        <w:t xml:space="preserve">2</w:t>
      </w:r>
      <w:r>
        <w:rPr>
          <w:rFonts w:hint="eastAsia" w:ascii="宋体" w:hAnsi="宋体"/>
          <w:i/>
          <w:iCs/>
          <w:color w:val="auto"/>
          <w:sz w:val="21"/>
          <w:szCs w:val="21"/>
          <w:highlight w:val="none"/>
          <w:u w:val="single"/>
        </w:rPr>
        <w:t xml:space="preserve">个月，必须在规定期限内完成工作任务</w:t>
      </w:r>
      <w:r>
        <w:rPr>
          <w:rFonts w:hint="eastAsia" w:ascii="宋体" w:hAnsi="宋体"/>
          <w:color w:val="auto"/>
          <w:sz w:val="21"/>
          <w:szCs w:val="21"/>
          <w:highlight w:val="none"/>
        </w:rPr>
        <w:t xml:space="preserve">。</w:t>
      </w:r>
      <w:r>
        <w:rPr>
          <w:rFonts w:hint="eastAsia" w:ascii="宋体" w:hAnsi="宋体"/>
          <w:i/>
          <w:iCs/>
          <w:color w:val="auto"/>
          <w:sz w:val="21"/>
          <w:szCs w:val="21"/>
          <w:highlight w:val="none"/>
          <w:u w:val="single"/>
        </w:rPr>
        <w:t xml:space="preserve">供应商在投标文件中须提供承诺书原件上传（承诺书格式自拟），未承诺的作无效投标处理。</w:t>
      </w:r>
      <w:r/>
    </w:p>
    <w:p>
      <w:pPr>
        <w:ind w:firstLine="422"/>
        <w:jc w:val="left"/>
        <w:spacing w:line="360" w:lineRule="auto"/>
        <w:rPr>
          <w:rFonts w:ascii="宋体" w:hAnsi="宋体" w:cs="Arial"/>
          <w:b/>
          <w:color w:val="auto"/>
          <w:szCs w:val="21"/>
          <w:highlight w:val="none"/>
        </w:rPr>
        <w:outlineLvl w:val="2"/>
      </w:pPr>
      <w:r>
        <w:rPr>
          <w:rFonts w:ascii="宋体" w:hAnsi="宋体" w:cs="Arial"/>
          <w:b/>
          <w:color w:val="auto"/>
          <w:szCs w:val="21"/>
          <w:highlight w:val="none"/>
        </w:rPr>
        <w:t xml:space="preserve">一</w:t>
      </w:r>
      <w:r>
        <w:rPr>
          <w:rFonts w:hint="eastAsia" w:ascii="宋体" w:hAnsi="宋体" w:cs="Arial"/>
          <w:b/>
          <w:color w:val="auto"/>
          <w:szCs w:val="21"/>
          <w:highlight w:val="none"/>
        </w:rPr>
        <w:t xml:space="preserve">、</w:t>
      </w:r>
      <w:r>
        <w:rPr>
          <w:rFonts w:ascii="宋体" w:hAnsi="宋体" w:cs="Arial"/>
          <w:b/>
          <w:color w:val="auto"/>
          <w:szCs w:val="21"/>
          <w:highlight w:val="none"/>
        </w:rPr>
        <w:t xml:space="preserve">传输系统材料设备部分技术要求</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监控点根据现场实际情况，可采用立杆安装、抱箍安装、壁挂安装以及吊杆安装等方式。其中抱箍、壁挂支架以及吊杆支架有成套产品，根据现场选择符合要求的产品即可。监控立杆设计需要考虑整体杆件的设计、立杆材质、杆型、焊接工艺、表面处理以及杆体颜色等。</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立杆为横臂离地面高度不低于6.5米，微卡口横臂长度大于等于3米，智能卡口横臂不得比单向路面宽度少一米以上，特殊地形可适度调整，采用立杆固定时，杆底端焊接固定法兰盘，预留拉线孔，地基应是硬质，同时根据现场安装点地质的实际情况，调整相应的尺寸。立杆的安装应牢固，不得歪斜，需用水平仪来测定；制作要美观，其顶部应做防水帽。立杆应有较高强度，抗台风、防摄像机抖动、防攀爬、防腐。立杆基础规格按不同的杆体进行分别设计。</w:t>
      </w:r>
      <w:r/>
    </w:p>
    <w:p>
      <w:pPr>
        <w:ind w:firstLine="422"/>
        <w:jc w:val="left"/>
        <w:spacing w:line="360" w:lineRule="auto"/>
        <w:rPr>
          <w:rFonts w:ascii="宋体" w:hAnsi="宋体" w:cs="Arial"/>
          <w:b/>
          <w:color w:val="auto"/>
          <w:szCs w:val="21"/>
          <w:highlight w:val="none"/>
        </w:rPr>
      </w:pPr>
      <w:r>
        <w:rPr>
          <w:rFonts w:ascii="宋体" w:hAnsi="宋体" w:cs="Arial"/>
          <w:b/>
          <w:color w:val="auto"/>
          <w:szCs w:val="21"/>
          <w:highlight w:val="none"/>
        </w:rPr>
        <w:t xml:space="preserve">监控箱</w:t>
      </w:r>
      <w:r/>
    </w:p>
    <w:tbl>
      <w:tblPr>
        <w:tblStyle w:val="873"/>
        <w:tblW w:w="9648" w:type="dxa"/>
        <w:tblInd w:w="-6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721"/>
        <w:gridCol w:w="2850"/>
        <w:gridCol w:w="781"/>
        <w:gridCol w:w="3514"/>
      </w:tblGrid>
      <w:tr>
        <w:trPr>
          <w:trHeight w:val="454"/>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规格及型号</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材质</w:t>
            </w:r>
            <w:r/>
          </w:p>
        </w:tc>
      </w:tr>
      <w:tr>
        <w:trPr>
          <w:trHeight w:val="454"/>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子项</w:t>
            </w:r>
            <w:r>
              <w:rPr>
                <w:rFonts w:hint="eastAsia" w:ascii="宋体" w:hAnsi="宋体" w:cs="Arial"/>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rPr>
                <w:rFonts w:ascii="宋体" w:hAnsi="宋体" w:cs="Arial"/>
                <w:color w:val="auto"/>
                <w:szCs w:val="21"/>
                <w:highlight w:val="none"/>
              </w:rPr>
            </w:pPr>
            <w:r>
              <w:rPr>
                <w:rFonts w:ascii="宋体" w:hAnsi="宋体" w:cs="Arial"/>
                <w:b/>
                <w:color w:val="auto"/>
                <w:szCs w:val="21"/>
                <w:highlight w:val="none"/>
              </w:rPr>
              <w:t xml:space="preserve">监控箱</w:t>
            </w:r>
            <w:r>
              <w:rPr>
                <w:rFonts w:ascii="宋体" w:hAnsi="宋体" w:cs="Arial"/>
                <w:color w:val="auto"/>
                <w:szCs w:val="21"/>
                <w:highlight w:val="none"/>
              </w:rPr>
              <w:t xml:space="preserve">挂杆</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（宽）400×（高）500×（深）240</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只</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1.5MM304不锈钢，表面喷塑，固定螺丝热镀锌</w:t>
            </w:r>
            <w:r/>
          </w:p>
        </w:tc>
      </w:tr>
      <w:tr>
        <w:trPr>
          <w:trHeight w:val="454"/>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8866" w:type="dxa"/>
            <w:vAlign w:val="bottom"/>
            <w:textDirection w:val="lrTb"/>
            <w:noWrap w:val="false"/>
          </w:tcPr>
          <w:p>
            <w:pPr>
              <w:rPr>
                <w:rFonts w:ascii="宋体" w:hAnsi="宋体" w:cs="Arial"/>
                <w:color w:val="auto"/>
                <w:szCs w:val="21"/>
                <w:highlight w:val="none"/>
              </w:rPr>
            </w:pPr>
            <w:r>
              <w:rPr>
                <w:rFonts w:ascii="宋体" w:hAnsi="宋体" w:cs="Arial"/>
                <w:color w:val="auto"/>
                <w:szCs w:val="21"/>
                <w:highlight w:val="none"/>
              </w:rPr>
              <w:t xml:space="preserve">含公牛插座1个（3孔4插），箱体采用304不锈钢，交换机机位，12芯终端机位进缆孔装密封圈，门框采用密封条，箱体背后上、下采用抱箍，漏电保护器2个（（16A））。</w:t>
            </w:r>
            <w:r/>
          </w:p>
        </w:tc>
      </w:tr>
    </w:tbl>
    <w:p>
      <w:pPr>
        <w:ind w:firstLine="210"/>
        <w:rPr>
          <w:rFonts w:ascii="宋体" w:hAnsi="宋体" w:cs="Arial"/>
          <w:color w:val="auto"/>
          <w:szCs w:val="21"/>
          <w:highlight w:val="none"/>
        </w:rPr>
      </w:pPr>
      <w:r>
        <w:rPr>
          <w:rFonts w:hint="eastAsia" w:ascii="宋体" w:hAnsi="宋体" w:cs="Arial"/>
          <w:color w:val="auto"/>
          <w:szCs w:val="21"/>
          <w:highlight w:val="none"/>
        </w:rPr>
        <w:t xml:space="preserve">本项目所有监控杆件由中标公司承建杆件，按扬州市公安局相关文件要求贴上标牌。</w:t>
      </w:r>
      <w:r/>
    </w:p>
    <w:p>
      <w:pPr>
        <w:ind w:left="425"/>
        <w:jc w:val="left"/>
        <w:spacing w:line="440" w:lineRule="exact"/>
        <w:rPr>
          <w:rFonts w:ascii="宋体" w:hAnsi="宋体"/>
          <w:b/>
          <w:bCs/>
          <w:color w:val="auto"/>
          <w:szCs w:val="21"/>
          <w:highlight w:val="none"/>
        </w:rPr>
        <w:outlineLvl w:val="0"/>
      </w:pPr>
      <w:r>
        <w:rPr>
          <w:rFonts w:hint="eastAsia" w:ascii="宋体" w:hAnsi="宋体"/>
          <w:b/>
          <w:bCs/>
          <w:color w:val="auto"/>
          <w:szCs w:val="21"/>
          <w:highlight w:val="none"/>
        </w:rPr>
        <w:t xml:space="preserve">二、监控系统部分</w:t>
      </w:r>
      <w:r/>
    </w:p>
    <w:p>
      <w:pPr>
        <w:ind w:left="425"/>
        <w:spacing w:line="440" w:lineRule="exact"/>
        <w:rPr>
          <w:rFonts w:ascii="宋体" w:hAnsi="宋体"/>
          <w:b/>
          <w:bCs/>
          <w:color w:val="auto"/>
          <w:szCs w:val="21"/>
          <w:highlight w:val="none"/>
        </w:rPr>
        <w:outlineLvl w:val="0"/>
      </w:pPr>
      <w:r>
        <w:rPr>
          <w:rFonts w:ascii="宋体" w:hAnsi="宋体" w:cs="Arial"/>
          <w:b/>
          <w:color w:val="auto"/>
          <w:szCs w:val="21"/>
          <w:highlight w:val="none"/>
        </w:rPr>
        <w:t xml:space="preserve">1. </w:t>
      </w:r>
      <w:r>
        <w:rPr>
          <w:rFonts w:hint="eastAsia" w:ascii="宋体" w:hAnsi="宋体"/>
          <w:b/>
          <w:bCs/>
          <w:color w:val="auto"/>
          <w:szCs w:val="21"/>
          <w:highlight w:val="none"/>
        </w:rPr>
        <w:t xml:space="preserve">系统总体要求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1.1要求平台内录像存储容量不少于30天，图片存储不少于2年。要求全部高清摄像机按1080P每秒8-10帧动态码流存储。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要求流媒体服务器采用N+1备份、存储服务器（存储管理服务器）采用N+1备份。前端任意一台或者多台服务器发生故障，整个系统正常运转，且录像不丢失。任意两台存储主机出现故障，不影响视频流的正常存储，系统能正常运转。</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1.3供应商的前端设备、管理软件须满足国家</w:t>
      </w:r>
      <w:r>
        <w:rPr>
          <w:rFonts w:hint="eastAsia" w:ascii="宋体" w:hAnsi="宋体" w:cs="宋体"/>
          <w:color w:val="auto"/>
          <w:szCs w:val="21"/>
          <w:highlight w:val="none"/>
          <w:lang w:eastAsia="zh-CN"/>
        </w:rPr>
        <w:t xml:space="preserve">GB/T28181-2022</w:t>
      </w:r>
      <w:r>
        <w:rPr>
          <w:rFonts w:hint="eastAsia" w:ascii="宋体" w:hAnsi="宋体" w:cs="宋体"/>
          <w:color w:val="auto"/>
          <w:szCs w:val="21"/>
          <w:highlight w:val="none"/>
        </w:rPr>
        <w:t xml:space="preserve">、GB 35114标准（A级以上）标准。系统平台与扬州市公安局江都分局实战应用平台对接的方式采用</w:t>
      </w:r>
      <w:r>
        <w:rPr>
          <w:rFonts w:hint="eastAsia" w:ascii="宋体" w:hAnsi="宋体" w:cs="宋体"/>
          <w:color w:val="auto"/>
          <w:szCs w:val="21"/>
          <w:highlight w:val="none"/>
          <w:lang w:eastAsia="zh-CN"/>
        </w:rPr>
        <w:t xml:space="preserve">GB/T28181-2022</w:t>
      </w:r>
      <w:r>
        <w:rPr>
          <w:rFonts w:hint="eastAsia" w:ascii="宋体" w:hAnsi="宋体" w:cs="宋体"/>
          <w:color w:val="auto"/>
          <w:szCs w:val="21"/>
          <w:highlight w:val="none"/>
        </w:rPr>
        <w:t xml:space="preserve">规定的标准。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系统平台主要用于汇聚并管理视频专网图像资源和社会图像资源。应支持视频监控、电子警察、320卡口、智能卡口以及社会资源等各类监控资源的综合接入。</w:t>
      </w:r>
      <w:r/>
    </w:p>
    <w:p>
      <w:pPr>
        <w:ind w:firstLine="422"/>
        <w:jc w:val="left"/>
        <w:spacing w:line="440" w:lineRule="exact"/>
        <w:rPr>
          <w:color w:val="auto"/>
          <w:highlight w:val="none"/>
        </w:rPr>
        <w:outlineLvl w:val="0"/>
      </w:pPr>
      <w:r>
        <w:rPr>
          <w:rFonts w:hint="eastAsia" w:ascii="宋体" w:hAnsi="宋体"/>
          <w:b/>
          <w:bCs/>
          <w:color w:val="auto"/>
          <w:szCs w:val="21"/>
          <w:highlight w:val="none"/>
        </w:rPr>
        <w:t xml:space="preserve">三、设备采购清单与技术参数</w:t>
      </w:r>
      <w:r/>
    </w:p>
    <w:tbl>
      <w:tblPr>
        <w:tblStyle w:val="873"/>
        <w:tblW w:w="830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36"/>
        <w:gridCol w:w="656"/>
        <w:gridCol w:w="6039"/>
        <w:gridCol w:w="617"/>
        <w:gridCol w:w="559"/>
      </w:tblGrid>
      <w:tr>
        <w:trPr>
          <w:trHeight w:val="577"/>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产品名称</w:t>
            </w: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品牌</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数量</w:t>
            </w:r>
            <w:r/>
          </w:p>
        </w:tc>
      </w:tr>
      <w:tr>
        <w:trPr>
          <w:trHeight w:val="893"/>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枪机</w:t>
            </w: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1.支持采用不低于400万像素，靶面尺寸不小于1/1.8英寸CMOS图像传感器；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2.支持内置不少少于4颗补光灯；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3.支持内置CPU/GPU/NPU一体化芯片；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4.支持超感光技术：应用于超低亮度的环境下，提升图像的清晰度保证图像效果；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5.支持最低照度补光灯关闭:彩色:≤0.0002lx;黑白:≤0.0001lx；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6.支持内置高效暖光灯，最大暖光监控距离40米；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7.★支持针对人、机动车、动物3类有效目标进行检测,并触发报警和设置事件联动；（提供有资质的第三方检测机构或公安部出具的有效检测报告，原件扫描上传）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8.支持一键撤防，可在自定义设置的时间段内对报警输出，邮件，灯光等事件联动项进行统一撤防控制；</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9.支持ROI，SMART H.264/H.265，AI H.264/H.265，灵活编码，适用不同带宽和存储环境；</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10.支持1TB Micro SD卡，内置不少于2个麦克风，1个扬声器；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11.支持DC12V供电方式；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12.支持在温度不超过-40℃～+60℃，湿度不超过95%的环境下正常工作；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13.支持IP67防护等级；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14.GB35114标准内安全防护等级高于等于A级；</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149</w:t>
            </w:r>
            <w:r/>
          </w:p>
        </w:tc>
      </w:tr>
      <w:tr>
        <w:trPr>
          <w:trHeight w:val="9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球机</w:t>
            </w: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1.支持设备不少于2路全景摄像机和1路细节摄像机组成,CMOS靶面尺寸均不小于1/1.8英寸；</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2.支持全景通道视频图像分辨率不小于3680*1656，细节通道视频图像分辨率不小于2688*1520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3.支持全景通道输出2个镜头无缝拼接的全景图像,拼接偏差像素不大于4个像素,全景摄像机水平视场角不小于210°,垂直视场角不小于90°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4.支持细节相机不小于33倍光学变倍,16倍数字变倍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5.支持全景通道可电动调节垂直旋转,旋转范围支持5°~25°；细节通道支持0°~360°连续旋转,垂直旋转范围支持-30°~+90°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6.支持全景摄像机不少于4颗补光灯,细节摄像机不少于10颗红外灯和2颗白光灯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7.支持联动模式下,全景通道检测到触发规则的目标（行人、机动车、非机动车）后联动细节通道跟踪及报警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细节通道视频结构化抓拍,可对检测区内多个不同运动方向的行人、非机动车、机动车进行检测、跟踪、筛选、框选提示并抓拍存储图片；支持人脸、车牌、非机动车车牌抠图,可将人脸与人体、车牌与车辆关联现实,可同时检测目标数量最大不少于100个</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9.★支持补光灯补光区域呈类矩形分布,开启后,灯珠光束通过微结构阵列式透镜,使补光亮度均匀,无明显波纹状、圆环状、麻点状、条纹状及不规则亮斑</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10.支持1路音频输入和1路音频输出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11.支持内置7路报警输入和2路报警输出,支持报警联动功能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12.★支持内置喇叭,可随样机的转动进行水平（0°~360°）、垂直（-30°~+90°）不同方向的定向播放（提供公安部有效检测报告复印件加盖原厂公章或投标专用章）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13.支持DC36V供电方式；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14.支持在温度不超过-40℃～+70℃，湿度不超过95%的环境下正常工作；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15.IP≥67；</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16.GB35114标准内安全防护等级高于等于A级</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71</w:t>
            </w:r>
            <w:r/>
          </w:p>
        </w:tc>
      </w:tr>
      <w:tr>
        <w:trPr>
          <w:trHeight w:val="1155"/>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LED补光灯（枪机、球机）</w:t>
            </w: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LED颗数≥24颗</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光源效率：120 LM/W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色温：3000K-5500K</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LED显色指数：&gt;90Ra；</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角度：60度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支持加装可拆卸式防眩光格栅装置。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平均功率：≤30W</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★调光方式：红外遥控8档调光。（提供具有CMA标识的检测报告原件扫描上传）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工作电压：AC(86～264)V ～50Hz</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IP≥68</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工作温度：-40℃～80℃  </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190</w:t>
            </w:r>
            <w:r/>
          </w:p>
        </w:tc>
      </w:tr>
      <w:tr>
        <w:trPr>
          <w:trHeight w:val="3832"/>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高空球机</w:t>
            </w: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全景摄像机分辨率不低于3680 × 1656，细节摄像机分辨率不低于2688 × 1520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摄像机内置不少于3个镜头，可输出至少1路全景视频图像和1路细节视频图像，全景视频图像内置2个镜头，细节视频图像内置1个镜头</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全景视频图像内置2个镜头，光圈不小于F1.0，具有不小于1/1.8靶面尺寸，内置4颗补光灯。细节视频图像内置1个镜头，具有不小于1/1.8靶面尺寸，内置10颗红外补光灯及1颗白光灯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全景通道、细节通道最低照度：彩色≤0.0005lx，黑白≤0.0001lx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摄像机内置镜头，支持不小于40倍光学变倍，镜头最大焦距不小于240mm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支持水平旋转范围360°连续旋转，垂直旋转范围-20°~90°，全景通道可进行垂直旋转，旋转角度范围不低于12°，并可进行调节</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可设置300个预置位，8条巡航路径。支持预置位视频冻结功能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具有 H.265、H.264、MJPEG设置选项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内置不少于2颗GPU芯片，全景通道可输出两个镜头无缝拼接的全景图像，纵向拼接偏差像素不大于4个像素，全景画面水平视场角不小于190°，垂直视场角不小于80°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在设备上方使用手持喷淋装置对设备进行喷水操作，水流方向与水平方向夹角大于等于42°时，设备视窗应无水流直接接触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★具有AI-ISP图像质量提升功能，在低照度环境下，可自动调节预览场景视频画面中人脸、人体、车辆等目标及预览场景视频画面的区域曝光、亮度、色彩饱和度、对比度、锐度等（公安部检验报告证明）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smart事件上报的抓图支持叠加规则区域和目标框：可配置报警抓图叠加目标信息及规则信息，支持开启及关闭。支持设置预览画面是否叠加显示规则区域框及告警提示信息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★可从诊断信息中导出云台控制历史记录，包括：手动键控PTZ、3D定位、手动调用预置点、手动调用花扫、手动调用巡航</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★设备全景通道支持拼接畸变矫正，可分别对全景拼接画面的畸变、姿态角、旋转角进行调节（1-100可调），优化拼接效果（公安部检验报告证明）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设备可同时对行人、非机动车、机动车进行检测、跟踪、抓拍,可支持人脸与人体、车牌与车辆关联显示。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可识别距设备200m处的人体轮廓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具有7路报警输入、2路报警输出、1路音频输入、1路音频输出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IP≥67</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支持在-40 °C~70 °C范围内功能应正常</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3</w:t>
            </w:r>
            <w:r/>
          </w:p>
        </w:tc>
      </w:tr>
      <w:tr>
        <w:trPr>
          <w:trHeight w:val="612"/>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结构化球机</w:t>
            </w:r>
            <w:r/>
          </w:p>
        </w:tc>
        <w:tc>
          <w:tcPr>
            <w:tcBorders>
              <w:top w:val="single" w:color="000000" w:sz="4" w:space="0"/>
              <w:left w:val="single" w:color="000000" w:sz="4" w:space="0"/>
              <w:bottom w:val="single" w:color="000000" w:sz="4" w:space="0"/>
              <w:right w:val="single" w:color="000000" w:sz="4" w:space="0"/>
            </w:tcBorders>
            <w:tcW w:w="6039" w:type="dxa"/>
            <w:vAlign w:val="top"/>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全景通道视频图像分辨率不小于5344 × 2256，细节通道视频图像分辨率不小于3840 x 2160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摄像机内置不少于3个镜头，可输出至少1路全景视频图像和1路细节视频图像，全景视频图像内置2个镜头，细节视频图像内置1个镜头</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全景视频图像内置2个镜头，光圈不小于F1.0，具有不小于1/1.8靶面尺寸，内置4颗补光灯。细节视频图像内置1个镜头，具有不小于1/1.8靶面尺寸，内置10颗红外补光灯及1颗白光灯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全景通道、细节通道镜头最低照度：彩色≤0.0002lx，黑白≤0.0001lx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摄像机内置镜头，支持不小于40倍光学变倍，镜头最大焦距不小于240mm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支持水平旋转范围360°连续旋转，垂直旋转范围-20°~90°，全景通道可进行垂直旋转，旋转角度范围不低于12°，并可进行调节</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可设置300个预置位，8条巡航路径。支持预置位视频冻结功能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具有 H.265、H.264、MJPEG设置选项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内置不少于2颗GPU芯片，全景通道可输出两个镜头无缝拼接的全景图像，纵向拼接偏差像素不大于4个像素，全景通道水平视场角不小于190°，垂直视场角不小于80°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全景通道支持人员密度检测功能，并可输出显示实时人数及拥堵等级，可通过IE浏览器或客户端软件根据人数和占空比配置密度等级。全景通道支持区域入侵检测功能，并给出声光报警，同时联动细节通道进行跟踪、抓拍和结构化信息显示，全景通道区域入侵检测最远距离不小于50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★smart事件上报的抓图支持叠加规则区域和目标框：可配置报警抓图叠加目标信息及规则信息，支持开启及关闭。支持设置预览画面是否叠加显示规则区域框及告警提示信息（公安部检验报告证明）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可从诊断信息中导出云台控制历史记录，包括：手动键控PTZ、3D定位、手动调用预置点、手动调用花扫、手动调用巡航</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★设备全景通道支持拼接畸变矫正，可分别对全景拼接画面的畸变、姿态角、旋转角进行调节（1-100可调），优化拼接效果（公安部检验报告证明）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支持人员布控功能和车辆布控跟踪功能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当有停车、逆行、压线、变道、掉头、机动车占用非机动车道现象被触发时，设备可分别发出不同的语音提示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设备可同时对行人、非机动车、机动车进行检测、跟踪、抓拍,可支持人脸与人体、车牌与车辆关联显示。目标属性显示功能支持人脸属性、人体属性、非机动车属性、机动车属性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可识别距设备250m处的人体轮廓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具有7路报警输入、2路报警输出、1路音频输入、1路音频输出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IP≥67</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支持在-40 °C~70 °C范围内功能应正常</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w:t>
            </w:r>
            <w:r/>
          </w:p>
        </w:tc>
      </w:tr>
      <w:tr>
        <w:trPr>
          <w:trHeight w:val="361"/>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四目结构化相机</w:t>
            </w:r>
            <w:r/>
          </w:p>
        </w:tc>
        <w:tc>
          <w:tcPr>
            <w:tcBorders>
              <w:top w:val="single" w:color="000000" w:sz="4" w:space="0"/>
              <w:left w:val="single" w:color="000000" w:sz="4" w:space="0"/>
              <w:bottom w:val="single" w:color="000000" w:sz="4" w:space="0"/>
              <w:right w:val="single" w:color="000000" w:sz="4" w:space="0"/>
            </w:tcBorders>
            <w:tcW w:w="6039" w:type="dxa"/>
            <w:vAlign w:val="top"/>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设备支持同步采集4路视频流，2路为全景通道，2路为细节通道，组成2组视频采集组，每组均由1路全景通道和1路细节通道组成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设备内置4个镜头，具有2个靶面尺寸为1/1.2英寸的CMOS传感器，2个靶面尺寸为1/1.8英寸的CMOS传感器。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最低照度彩色≤0.0002 lx，黑白≤0.0001 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设备的2个细节采集镜头均支持电动和手动变焦、自动/电动聚焦，自动调节光圈功能，变焦过程中不会完全虚焦。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设备内置2个定焦镜头和2个电动变焦镜头，其中定焦镜头焦距范围：（4±5%）mm、电动变焦镜头焦距：（10±5%）mm~（50±5%）mm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支持H.264、H.265、MJPEG设置选项，可将H.265、H.264格式设置为Baseline/Main/High Profile</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同一静止场景相同图像质量下，设备在H.265编码方式时，开启智能编码功能和不开启智能编码相比，码率节约≥80%。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在分辨率1920x1080 @ 25fps，码流设置为1Mbps时，视频图像传输延时不大于60ms。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内置≥2颗GPU芯片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2个细节通道均支持混合目标检测，可分别对检测区域中的行人、非机动车、机动车进行检测、跟踪、抓拍，支持抓拍人脸、车牌、非机动车车牌小图并上传，可在客户端将人脸与人体、车牌与车辆图片关联显示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支持人脸、人体、非机动车、机动车属性识别功能，可识别不小于11种行人衣服/裤子颜色、不小于13种车身颜色。</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支持检出面部区域过曝、面部欠曝、阴阳脸、逆光等不同光照条件下人脸。</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★2个视频采集组均具有轨迹关联功能，细节镜头可抓拍、分析检测区域内的行人和非机动车，并在全景画面中叠加目标跟踪框、行进轨迹和方向。（公安部检测报告证明）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设备具有2个PT控制模块，均支持视频采集组（由一路全景通道和一路细节通道组成）的监控场景调节。</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设备的2个PT模块水平方向支持不小于0°～180°旋转，垂直方向支持不小于-5°～25°旋转。</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2种模式：卡口模式和多镜头协同模式。卡口模式下支持4种预设场景：多向卡口-Y型、多向卡口-L型、多向卡口-一型、同向卡口、可实现一键布防。多镜头协同模式具有3种协同分析模式：关联去重、目标关联、轨迹关联。（公安部检测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设备内置能耗检测模块，可实时检测设备的输入电压和功耗信息，可生成日报表、周报表，并以图表形式展现。</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自带机身平衡检测模块，可指示设备安装是否水平。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设备具有10颗混合补光灯，每组视频采集组各具有5颗补光灯，细节通道可识别距离设备不小于100m处的人体轮廓。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设备具有2路音频输入接口，1路音频输出接口，3路报警输入接口，2路报警输出接口</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IP≥67</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119</w:t>
            </w:r>
            <w:r/>
          </w:p>
        </w:tc>
      </w:tr>
      <w:tr>
        <w:trPr>
          <w:trHeight w:val="329"/>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LED补光灯（四目结构化相机）</w:t>
            </w:r>
            <w:r/>
          </w:p>
        </w:tc>
        <w:tc>
          <w:tcPr>
            <w:tcBorders>
              <w:top w:val="single" w:color="000000" w:sz="4" w:space="0"/>
              <w:left w:val="single" w:color="000000" w:sz="4" w:space="0"/>
              <w:bottom w:val="single" w:color="000000" w:sz="4" w:space="0"/>
              <w:right w:val="single" w:color="000000" w:sz="4" w:space="0"/>
            </w:tcBorders>
            <w:tcW w:w="6039" w:type="dxa"/>
            <w:vAlign w:val="top"/>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16颗常亮灯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16颗暖光LED</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可通过RS485实现可调亮度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发光角度40°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最佳补光距离16米~25米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响应时间小于20us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支持环境亮度检测，低照度下自动开启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电源：220VAC±10%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最大功耗：35W</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IP≥66</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路</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238</w:t>
            </w:r>
            <w:r/>
          </w:p>
        </w:tc>
      </w:tr>
      <w:tr>
        <w:trPr>
          <w:trHeight w:val="318"/>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室外双目结构化相机</w:t>
            </w: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1.支持采用三镜头、双通道一体化设计，内置不少于2个微云台</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2.支持通道1（细节）：采用不低于800万像素1/1.2英寸CMOS图像传感器；通道2（全景）：采用两个不低于400万像素1/1.8英寸CMOS图像传感器拼接；</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3.支持内置GPU芯片，支持深度学习算法，有效提升检测准确率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4.支持通道二视场角水平不少于180°，垂直不小于50°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5.支持两路通道独立电动云台控制，通道1（细节）：上下±5°; 通道2（全景）：上下±15°</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6.支持通道1（细节）焦距不小于20mm～80mm；通道2（全景）不小于3.6mm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具有景深扩展模式选项，在相同图像参数、光圈设置的情况下，开启景深扩展功能，可使设备景深变大，使前后边缘处看到的景象更清晰，开启景深扩展功能，可使设备景深纵深至最大化50m（提供有资质的第三方检测机构或公安部出具的有效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8.支持多种智能资源切换：通道1（细节）：通用行为分析、人脸识别、人脸检测、视频结构化、道路监控，通道2（全景）通用行为分析、人群分布图、人数统计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9.支持内置10颗补光灯,支持白光和混合补光模式。在白光模式下,只开启白光灯;在混合补光模式下,可开启白光灯和红外灯;补光灯强度可调节;上舱每颗补光灯均有红外灯和白光灯组成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10.支持报警7进3出，音频2进1出，485，BNC，GPS，最大支持256G Micro SD卡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设备不低于4颗全景补光灯。手动模式下，可选择全区域补光以及中心补光的亮度。全区域补光可使整体画面亮度提高，中心补光可使画面中心位置亮度提高（提供有资质的第三方检测机构或公安部出具的有效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12.支持DC12V供电方式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20.支持在温度不超过-30℃～+60℃，湿度不超过95%的环境下正常工作；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21.支持IP67防护等级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22.GB35114标准内安全防护等级高于等于A级</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16</w:t>
            </w:r>
            <w:r/>
          </w:p>
        </w:tc>
      </w:tr>
      <w:tr>
        <w:trPr>
          <w:trHeight w:val="40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LED补光灯（双目结构化相机）</w:t>
            </w: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1.支持由光源、外壳、安装基座等组成。包含多个光源时，所有光源应在同一外壳内；</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2.支持采用高性能MCU，不少于16颗高亮LED；</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3.支持环境亮度检测，低照度下6级光敏检测自动开启补光；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4.支持通过相机远程控制20级亮度等级，控制补光灯点亮和熄灭；</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5.支持远程显示补光灯故障、正常状态；</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6.支持串口485和相机亮度可调，1～20档可调，20档最亮；</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7.支持照射距离不小于20m。距离补光灯20m处，亮度等级1时，基准轴上光照度应不低于30 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8.支持受潮预处理后，1.5kV，1min，不应出现飞弧和击穿现象；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9.支持补光装置的绝缘电阻应大于等于10MΩ，经受潮预处理后，绝缘电阻应大于等于5MΩ；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10.支持具备符合GB/T 37958-2019《视频监控系统主动照明部件光辐射安全要求》的检测报告，且不超过1类危险；</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11.支持具备符合GA/T1202-2022《交通技术监控成像补光装置通用技术条件》的检测报告（LED持续点亮1级）；</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16</w:t>
            </w:r>
            <w:r/>
          </w:p>
        </w:tc>
      </w:tr>
      <w:tr>
        <w:trPr>
          <w:trHeight w:val="2877"/>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室内双目结构化相机</w:t>
            </w: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1、内置2个CPU、GPU、NPU一体化芯片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2、最低照度，彩色：≤0.0004Lux，黑白：≤0.0001Lux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3、全景、细节分辨率均不小于3840×2160；传感器靶面全景细节均≥1/1.8"，全景焦距4mm，细节焦距8-32mm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4、★全景路镜头，最大光圈为F0.95；细节路镜头支持电动变焦，并可对拍摄物体进行自动聚焦，镜头最大光圈为F1.0。（需提供公安部检测报告复印件加盖原厂公章证明）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5、细节路支持景深拓展功能，在固定光圈最大情况下，手动调整等级，画面亮度不变，但画面上、下部分清晰度明显变化。</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6、内置补光灯，红外补光距离≥60m，柔光补光距离≥30m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7、支持H.265/H.264/MJPEG编码格式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8、支持GB/T28181、GA/T1400和Onvif协议，确保兼容性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开启全结构化功能后，设备能同时检测不少于100个混合的运动目标，包括人脸、人体、车辆和非机动车4种运动目标；并支持对不少于45个目标进行跟踪、优选、抓拍及属性分析，支持将人脸与人体、车牌与车辆进行关联。（需提供公安部检测报告复印件加盖原厂公章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10、支持机动车、非机动车、行人等目标检测功能，其中非机动车抓拍可对自行车、电瓶车、三轮车进行抓拍，支持摩托车抓拍功能；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11、★支持快速集成智能算法或应用APP，智能算法或APP可以独立升级；支持智能算法模块动态加载，加载过程中，视频业务不中断（需提供公安部检测报告复印件加盖原厂公章证明）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12、具有1个RJ45 网络接口、内置双mic，扬声器，1路RS485接口、2路报警输入，1路报警输出、1路音频输入、1路音频输出、1个MicroSD卡插槽、1个复位键</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13、供电方式：AC24V、POE</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14、防护等级：IP67</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15、工作温度-30~60℃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17</w:t>
            </w:r>
            <w:r/>
          </w:p>
        </w:tc>
      </w:tr>
      <w:tr>
        <w:trPr>
          <w:trHeight w:val="1626"/>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结构化授权</w:t>
            </w:r>
            <w:r/>
          </w:p>
        </w:tc>
        <w:tc>
          <w:tcPr>
            <w:tcBorders>
              <w:top w:val="single" w:color="000000" w:sz="4" w:space="0"/>
              <w:left w:val="single" w:color="000000" w:sz="4" w:space="0"/>
              <w:bottom w:val="single" w:color="000000" w:sz="4" w:space="0"/>
              <w:right w:val="single" w:color="000000" w:sz="4" w:space="0"/>
            </w:tcBorders>
            <w:tcW w:w="6039"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支持与分局结构化系统无缝对接</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支持分局结构化系统平滑扩容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支持展示宏观态势数据、建设总览、布控、检索、比对、解析。</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302</w:t>
            </w:r>
            <w:r/>
          </w:p>
        </w:tc>
      </w:tr>
      <w:tr>
        <w:trPr>
          <w:trHeight w:val="218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智能卡口相机</w:t>
            </w:r>
            <w:r/>
          </w:p>
        </w:tc>
        <w:tc>
          <w:tcPr>
            <w:tcBorders>
              <w:top w:val="single" w:color="000000" w:sz="4" w:space="0"/>
              <w:left w:val="single" w:color="000000" w:sz="4" w:space="0"/>
              <w:bottom w:val="single" w:color="000000" w:sz="4" w:space="0"/>
              <w:right w:val="single" w:color="000000" w:sz="4" w:space="0"/>
            </w:tcBorders>
            <w:tcW w:w="6039" w:type="dxa"/>
            <w:vAlign w:val="top"/>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设备组成检查：高清抓拍单元由摄像机、高清镜头、室外防护罩、风扇、补光灯、电源适配器、安装万向节等组成。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内置摄像机采用1.1英寸高帧率全局曝光CMOS传感器，分辨率不小于4112 × 3072</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接口检查：具有2个RJ45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★分辨率检查：视频分辨率最大支持4112X3072,图片分辨率最大支持4112X3072,可覆盖车道数不小于3；（公安部检验报告证明）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多码流输出及延时试验：支持同时输出不少于5路视频流，其中 1路不低于16M码率，1路不低于8M码率， 同时摄像机时延低于 65ms （包括图像采样、 视频编码、网络传输等过程）。</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★人脸增强功能检查：具有AI人脸增强设置选项，开启后可去除白天车窗反光和彩条纹。（公安部检验报告证明）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支持人脸区域自动曝光，可根据人脸区域光照变化自动调节人脸区域曝光参数。</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支持前排主副驾驶人员的人脸检测功能，白天和夜晚图片中人脸信息清晰可辨，白天前排人脸抓拍率≥99%；夜晚前排人脸抓拍率≥99%。</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目标捕获率试验：在混合抓拍模式下，人体、非机动 车和机动车目标捕获率不低于99%。</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目标跟踪功能检查：支持检测并跟踪指定区域内不少于230个目标,目标包括机动车、非机动车 以及行人等。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超速设置功能检查：支持分别对11种车型(大货车、中货 车、小货车、客车、小轿车、中客车、危 险品运输车、校车、面包车、环卫车其他 车型等)进行不同超速比设置,可设置12 个超速比区间。在相同道路上,设备支持 根据不同的超速比设置对不同车型进行超 速抓拍,并输出不同的超速抓拍结果及违 法代码。</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车型识别功能检查：支持识别43种车型,包括轻型普通货 车、轻型厢式货车、轻型平板货车、微型 轿车、小型轿车、小型客车、小型越野客 车、小型面包车、中型罐式货车、中型仓 栅式货车、中型普通货车、中型</w:t>
            </w:r>
            <w:r>
              <w:rPr>
                <w:rFonts w:hint="eastAsia" w:ascii="宋体" w:hAnsi="宋体" w:eastAsia="宋体" w:cs="宋体"/>
                <w:i w:val="0"/>
                <w:iCs w:val="0"/>
                <w:color w:val="auto"/>
                <w:sz w:val="22"/>
                <w:szCs w:val="22"/>
                <w:u w:val="none"/>
                <w:lang w:val="en-US" w:eastAsia="zh-CN"/>
              </w:rPr>
              <w:t xml:space="preserve">普通半挂 车、中型普通客车、中型平板货车、中型 牵引车、中型厢式货车、中型厢式半挂车、 中型特殊结构货车、中型平板半挂车、重 型特殊结构货车、重型罐式挂车、重型普 通货车、重型牵引力车、重型多结构货车、 重型厢式挂车、重型车辆运输车、重型集 装箱车、重型集装箱车挂车、重型普通全 挂车、重型厢式货车、大型无轨电车、大 型普通客车、大型双层客车、大型专用校 车、专用客车、大型专项作业车、轮式平 地机械、轮式挖掘机械、轮式装载机械、 普通二轮摩托车、轻便侧三轮摩托车、轻 便正三轮载货摩托车、轻便正三轮载客摩托车。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违法行为 检测功能 试验：具有超速、压线、禁止大货车、逆向行驶、闯红灯、不按车道行驶、违法变道、违法掉头、不礼让行人、闯禁令、占用非机动车道、接打电话、不系安全带、货车禁行、外地车未办理进京证的违法行为检测及抓拍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在白天视频光照正常、夜间视频补光正常情况下，白天违法行为捕获率&gt;99%；夜间违法行为捕获率&gt;99%；白天违法行为记录有效率&gt;99%；夜间违法行为记录有效率&gt;99%。。</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抓拍的车牌图片支持配置放大倍数（1倍/2倍/3倍）。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支持对无人驾驶的车辆进行车牌识别。</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支持对改装的牛眼灯进行检测。</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闯禁令支持根据车牌类型区分抓拍计划，包括蓝牌、新能源和货车三种，支持设置蓝牌和新能源车牌在22点～7点进行抓拍，黄牌货车24小时全天进行抓拍。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支持车辆右转弯压实线检测并抓拍。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支持视频测速功能，视频测速误差不大于5%（车速30km/h～65km/h范围内）； 支持外接雷达实现测速，并支持视频测速校正雷达测速结果输出。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支持逆行和变道违章触发抓拍，逆行识别类型包括:高速公路逆行、单行道逆向行驶;变道违章检测类型包括:实线变道(含双黄线)、导流区变道、连续变道(&gt;3条车道)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支持图片编码质量配置，车牌小图的图片质量(大/中/小)可配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支持车牌遮挡检查功能，在检测到车牌被遮挡的情况下可给出提示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支持对两轮/三轮车分类识别;可识别外卖箱(外卖品牌)的标识。</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冒红灯违章支持叠加红灯已亮时间，可按照抓拍索引配置叠加红灯已亮时间</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支持渣土车/大货车喷涂车牌识别</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支持同时输出不少于5路视频流，其中1路不低于16Mbps码率，1路不低于8Mbps码率。</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63</w:t>
            </w:r>
            <w:r/>
          </w:p>
        </w:tc>
      </w:tr>
      <w:tr>
        <w:trPr>
          <w:trHeight w:val="9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多合一补光灯（智能卡口相机</w:t>
            </w:r>
            <w:r/>
          </w:p>
        </w:tc>
        <w:tc>
          <w:tcPr>
            <w:tcBorders>
              <w:top w:val="single" w:color="000000" w:sz="4" w:space="0"/>
              <w:left w:val="single" w:color="000000" w:sz="4" w:space="0"/>
              <w:bottom w:val="single" w:color="000000" w:sz="4" w:space="0"/>
              <w:right w:val="single" w:color="000000" w:sz="4" w:space="0"/>
            </w:tcBorders>
            <w:tcW w:w="6039" w:type="dxa"/>
            <w:vAlign w:val="top"/>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用24颗原装大功率高亮度LED光源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带LED格栅，有效减少周边光污染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支持红外滤片的切换</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气体光源回电时间小于67ms，支持超速连拍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气体补光控制具有峰值抑制功能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支持LED灯频闪、LED爆闪、白光气体爆闪，红外气体爆闪</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LED灯珠数量 24颗</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格栅 带LED格栅，有效减少周边光污染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色温 白光＜4000K，红外光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发光角度 单车道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气体爆闪峰值闪光持续时间 1/30ms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气体爆闪回电时间 ＜67ms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气体单次闪光能量 200J</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气体闪光次数 ＞2000万次（2S闪一次）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最佳补光距离 16米～30米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RS485接口 1路，支持PC机或相机连接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触发接口 1路频闪触发输入，1路爆闪输入,1路红外滤片切换输入</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符合GA/T 1202-2022《交通技术监控成像补光装置通用技术条件》</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补光装置光源包括LED光源（一级频闪）、气体放电光源（二级脉冲）和红外光源</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29</w:t>
            </w:r>
            <w:r/>
          </w:p>
        </w:tc>
      </w:tr>
      <w:tr>
        <w:trPr>
          <w:trHeight w:val="9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卡口辅助双目结构化相机</w:t>
            </w:r>
            <w:r/>
          </w:p>
        </w:tc>
        <w:tc>
          <w:tcPr>
            <w:tcBorders>
              <w:top w:val="single" w:color="000000" w:sz="4" w:space="0"/>
              <w:left w:val="single" w:color="000000" w:sz="4" w:space="0"/>
              <w:bottom w:val="single" w:color="000000" w:sz="4" w:space="0"/>
              <w:right w:val="single" w:color="000000" w:sz="4" w:space="0"/>
            </w:tcBorders>
            <w:tcW w:w="6039" w:type="dxa"/>
            <w:vAlign w:val="top"/>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细节通道主码流分辨率不小于3840x2160，全景通道主码流分辨率不小于3632x1632</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设备内置不少于3个镜头和3颗图像传感器，细节通道靶面尺寸不小于1/1.8英寸。</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支持全景通道和细节通道2路视频采集通道，全景通道由左右两路独立采集通道拼接而成。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全景通道水平视场角不小于180°，垂直视场角不小于70°。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最低照度彩色≤0.0002 lx，黑白≤0.0001 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内置不少于2颗CPU、GPU、NPU一体化芯片。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同一静止场景相同图像质量下，设备在H.265编码方式时，开启智能编码功能和不开启智能编码相比，码率节约80%。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在分辨率1920x1080 @ 25fps，码流设置为1Mbps时，视频图像传输延时不大于60ms。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细节通道为电动变焦镜头，最小焦距≤10mm，最大焦距≥50mm。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可在多种智能应用中来回切换，切换过程中样机不应重启，且预览画面应流畅，不应出现中断、卡顿、水波纹、条纹和花屏等异常现象。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智能应用包含全结构化、人脸抓拍、道路监控、smart事件、人脸比对。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支持配置3个人员密度等级，支持设置每个等级的人数或区域占空比报警阈值，当人员数量或者区域占空比达到设置阈值时，可触发报警。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支持检出两眼瞳距20像素点以上的人脸图片。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支持同时对检测区域内不少于60个移动目标（机动车、非机动车及行人）进行检测、框选跟踪、筛选、抓拍，并支持人脸与人体图片、车牌与车辆图片关联显示。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人脸比对准确率不低于99%。</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★设备具有耀光抑制功能，耀光区域≤1%。（公安部检验报告证明）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内置不少于6颗混合补光灯，每颗由红外灯、白光灯组成。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支持对镜头前盖玻璃加热，去除玻璃上的冰状和水状附着物。</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IP≥67</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5</w:t>
            </w:r>
            <w:r/>
          </w:p>
        </w:tc>
      </w:tr>
      <w:tr>
        <w:trPr>
          <w:trHeight w:val="90"/>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补光灯（卡口辅助双目结构化相机）</w:t>
            </w:r>
            <w:r/>
          </w:p>
        </w:tc>
        <w:tc>
          <w:tcPr>
            <w:tcBorders>
              <w:top w:val="single" w:color="000000" w:sz="4" w:space="0"/>
              <w:left w:val="single" w:color="000000" w:sz="4" w:space="0"/>
              <w:bottom w:val="single" w:color="000000" w:sz="4" w:space="0"/>
              <w:right w:val="single" w:color="000000" w:sz="4" w:space="0"/>
            </w:tcBorders>
            <w:tcW w:w="6039" w:type="dxa"/>
            <w:vAlign w:val="top"/>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16颗常亮灯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16颗暖光LED</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可通过RS485实现可调亮度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发光角度40°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最佳补光距离16米~25米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响应时间小于20us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支持环境亮度检测，低照度下自动开启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电源：220VAC±10%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最大功耗：35W</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IP≥66</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5</w:t>
            </w:r>
            <w:r/>
          </w:p>
        </w:tc>
      </w:tr>
      <w:tr>
        <w:trPr>
          <w:trHeight w:val="3832"/>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AI算力扩容</w:t>
            </w:r>
            <w:r/>
          </w:p>
        </w:tc>
        <w:tc>
          <w:tcPr>
            <w:tcBorders>
              <w:top w:val="single" w:color="000000" w:sz="4" w:space="0"/>
              <w:left w:val="single" w:color="000000" w:sz="4" w:space="0"/>
              <w:bottom w:val="single" w:color="000000" w:sz="4" w:space="0"/>
              <w:right w:val="single" w:color="000000" w:sz="4" w:space="0"/>
            </w:tcBorders>
            <w:tcW w:w="6039" w:type="dxa"/>
            <w:vAlign w:val="top"/>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1、4U机架式服务器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 所投服务器的CPU须符合安全可靠测评要求，提供CPU符合安全可靠测评要求的证明材料；配置≥4颗国产CPU，每颗CPU核心数≥48核，每颗CPU基频（非超频）≥2.6Ghz。</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 配置≥1TB DDR4内存</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4、存储 配置≥2块960GB SATA SSD盘，≥2块7.68TB NVMe SSD盘</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5、RAID卡 配置≥1块阵列卡，支持RAID 0/1/10/5/50/6/60，4G缓存，带超级电容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6、最大可扩展3个PCIe 4.0槽位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 AI算力不低于2.2PFLOPS @FP16；显存容量不低于512GB</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8、配置≥4个25GE光口(含光模块)，8个200GE光口(含光模块)</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9、配置4个2600W交流电源，支持N+N冗余配置，支持热插拔</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10、环境温度 工作环境温度支持5-35度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11、★可提供与服务器同品牌的基于openEuler路线的商用发行版操作系统，并提供软件著作权证书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BMC芯片为在中国大陆注册生产的芯片。投标厂商需要提供芯片照片及国产化证明材料，要求芯片厂商为中国大陆注册厂商。服务器iBMC智能管理系统具有高可靠的硬件监控及管理功能，通过完善的信息安全评估，包括传输保密性、完善性、日志可核查性、日志抗抵赖性、认证安全性、权限管理安全性、用户会话安全性、敏感信息防泄漏、信息输入输出安全等。提供由具备CNAS或CMA资格的检测机构出具的检测报告</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13、★可提供与所投服务器产品同品牌的集中管理软件，并提供软件著作权证书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14、AI能力 服务器同一生产厂商或母公司具备AI线下体验中心，可以帮助AI开发者快速完成AI环境部署和实验验证</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w:t>
            </w:r>
            <w:r/>
          </w:p>
        </w:tc>
      </w:tr>
    </w:tbl>
    <w:p>
      <w:pPr>
        <w:ind w:firstLine="420"/>
        <w:spacing w:line="360" w:lineRule="auto"/>
        <w:rPr>
          <w:rFonts w:ascii="宋体" w:hAnsi="宋体"/>
          <w:color w:val="auto"/>
          <w:highlight w:val="none"/>
          <w:lang w:val="zh-CN"/>
        </w:rPr>
      </w:pPr>
      <w:r>
        <w:rPr>
          <w:rFonts w:hint="eastAsia" w:ascii="宋体"/>
          <w:color w:val="auto"/>
          <w:highlight w:val="none"/>
        </w:rPr>
        <w:t xml:space="preserve">注：</w:t>
      </w:r>
      <w:r>
        <w:rPr>
          <w:rFonts w:hint="eastAsia" w:ascii="宋体" w:hAnsi="宋体"/>
          <w:color w:val="auto"/>
          <w:highlight w:val="none"/>
          <w:lang w:val="zh-CN"/>
        </w:rPr>
        <w:t xml:space="preserve">1、本项目以上仅为此项目所需的主要设备清单，投标供应商</w:t>
      </w:r>
      <w:r>
        <w:rPr>
          <w:rFonts w:hint="eastAsia" w:ascii="宋体" w:hAnsi="宋体"/>
          <w:color w:val="auto"/>
          <w:highlight w:val="none"/>
        </w:rPr>
        <w:t xml:space="preserve">应</w:t>
      </w:r>
      <w:r>
        <w:rPr>
          <w:rFonts w:hint="eastAsia" w:ascii="宋体" w:hAnsi="宋体"/>
          <w:color w:val="auto"/>
          <w:highlight w:val="none"/>
          <w:lang w:val="zh-CN"/>
        </w:rPr>
        <w:t xml:space="preserve">根据实际情况对配套的杆件、防雷接地、机柜网络等设备进行更换、维护和补充，确保使用过程中的安全可靠，中标人无论是自建、租赁杆件、借用公安自建杆件，中标人应负安全责任，杆件均需要满足本标书关于传输系统材料设备部分技术要求，</w:t>
      </w:r>
      <w:r>
        <w:rPr>
          <w:rFonts w:hint="eastAsia" w:ascii="宋体" w:hAnsi="宋体"/>
          <w:color w:val="auto"/>
          <w:highlight w:val="none"/>
        </w:rPr>
        <w:t xml:space="preserve">所有相机应根据场景配相应的电源、镜头、支架等配件</w:t>
      </w:r>
      <w:r>
        <w:rPr>
          <w:rFonts w:hint="eastAsia" w:ascii="宋体" w:hAnsi="宋体"/>
          <w:color w:val="auto"/>
          <w:highlight w:val="none"/>
          <w:lang w:val="zh-CN"/>
        </w:rPr>
        <w:t xml:space="preserve">，供应商报价时应考虑整个系统正常运行（包括后端接入、平台接入授权等硬件、软件、人工、运输）所产生的各种费用，本项目中交换机、</w:t>
      </w:r>
      <w:r>
        <w:rPr>
          <w:rFonts w:hint="eastAsia" w:ascii="宋体" w:hAnsi="宋体"/>
          <w:color w:val="auto"/>
          <w:highlight w:val="none"/>
        </w:rPr>
        <w:t xml:space="preserve">服务器扩容、存储等后端设备</w:t>
      </w:r>
      <w:r>
        <w:rPr>
          <w:rFonts w:hint="eastAsia" w:ascii="宋体" w:hAnsi="宋体"/>
          <w:color w:val="auto"/>
          <w:highlight w:val="none"/>
          <w:lang w:val="zh-CN"/>
        </w:rPr>
        <w:t xml:space="preserve">的运输（直至机柜安装位置）、安装、调试也均由中标人负责，投标人需考虑其中所有费用，除中标价外，采购人不再另外支付其他费用。</w:t>
      </w:r>
      <w:r/>
    </w:p>
    <w:p>
      <w:pPr>
        <w:ind w:firstLine="420"/>
        <w:spacing w:line="360" w:lineRule="auto"/>
        <w:rPr>
          <w:rFonts w:ascii="宋体" w:hAnsi="宋体"/>
          <w:color w:val="auto"/>
          <w:highlight w:val="none"/>
          <w:lang w:val="zh-CN"/>
        </w:rPr>
      </w:pPr>
      <w:r>
        <w:rPr>
          <w:rFonts w:hint="eastAsia" w:ascii="宋体" w:hAnsi="宋体"/>
          <w:color w:val="auto"/>
          <w:highlight w:val="none"/>
          <w:lang w:val="zh-CN"/>
        </w:rPr>
        <w:t xml:space="preserve">2、供应商必须考虑</w:t>
      </w:r>
      <w:r>
        <w:rPr>
          <w:rFonts w:hint="eastAsia" w:ascii="宋体" w:hAnsi="宋体"/>
          <w:color w:val="auto"/>
          <w:highlight w:val="none"/>
        </w:rPr>
        <w:t xml:space="preserve">全部</w:t>
      </w:r>
      <w:r>
        <w:rPr>
          <w:rFonts w:hint="eastAsia" w:ascii="宋体" w:hAnsi="宋体"/>
          <w:color w:val="auto"/>
          <w:highlight w:val="none"/>
          <w:lang w:val="zh-CN"/>
        </w:rPr>
        <w:t xml:space="preserve">前端设备的取电、电费及施工问题（含协调），</w:t>
      </w:r>
      <w:r>
        <w:rPr>
          <w:rFonts w:hint="eastAsia" w:ascii="宋体" w:hAnsi="宋体"/>
          <w:color w:val="auto"/>
          <w:highlight w:val="none"/>
        </w:rPr>
        <w:t xml:space="preserve">全部</w:t>
      </w:r>
      <w:r>
        <w:rPr>
          <w:rFonts w:hint="eastAsia" w:ascii="宋体" w:hAnsi="宋体"/>
          <w:color w:val="auto"/>
          <w:highlight w:val="none"/>
          <w:lang w:val="zh-CN"/>
        </w:rPr>
        <w:t xml:space="preserve">光缆</w:t>
      </w:r>
      <w:r>
        <w:rPr>
          <w:rFonts w:hint="eastAsia" w:ascii="宋体" w:hAnsi="宋体"/>
          <w:color w:val="auto"/>
          <w:highlight w:val="none"/>
        </w:rPr>
        <w:t xml:space="preserve">线路、公安自建以外的杆件</w:t>
      </w:r>
      <w:r>
        <w:rPr>
          <w:rFonts w:hint="eastAsia" w:ascii="宋体" w:hAnsi="宋体"/>
          <w:color w:val="auto"/>
          <w:highlight w:val="none"/>
          <w:lang w:val="zh-CN"/>
        </w:rPr>
        <w:t xml:space="preserve">租用等产生的所有费用自行在报价表中列出，采购人不另外提供任何费用。</w:t>
      </w:r>
      <w:r/>
    </w:p>
    <w:p>
      <w:pPr>
        <w:ind w:firstLine="424"/>
        <w:spacing w:line="360" w:lineRule="auto"/>
        <w:rPr>
          <w:rFonts w:ascii="宋体" w:hAnsi="宋体"/>
          <w:color w:val="auto"/>
          <w:highlight w:val="none"/>
          <w:lang w:val="zh-CN"/>
        </w:rPr>
      </w:pPr>
      <w:r>
        <w:rPr>
          <w:rFonts w:hint="eastAsia" w:ascii="宋体" w:hAnsi="宋体"/>
          <w:color w:val="auto"/>
          <w:highlight w:val="none"/>
          <w:lang w:val="zh-CN"/>
        </w:rPr>
        <w:t xml:space="preserve">3、</w:t>
      </w:r>
      <w:r>
        <w:rPr>
          <w:rFonts w:hint="eastAsia" w:ascii="宋体" w:hAnsi="宋体"/>
          <w:i/>
          <w:color w:val="auto"/>
          <w:highlight w:val="none"/>
          <w:u w:val="single"/>
          <w:lang w:val="zh-CN"/>
        </w:rPr>
        <w:t xml:space="preserve">供应商所提供的设备必须无缝接入扬州市公安局和扬州市公安局江都分局现有系统平台。</w:t>
      </w:r>
      <w:r>
        <w:rPr>
          <w:rFonts w:hint="eastAsia" w:ascii="宋体" w:hAnsi="宋体"/>
          <w:i/>
          <w:color w:val="auto"/>
          <w:highlight w:val="none"/>
          <w:u w:val="single"/>
        </w:rPr>
        <w:t xml:space="preserve">与江都分局结构化平台对接时，任意7天内的平台认定的超低质量图片比例不高于百分之五，</w:t>
      </w:r>
      <w:r>
        <w:rPr>
          <w:rFonts w:hint="eastAsia" w:ascii="宋体" w:hAnsi="宋体"/>
          <w:b/>
          <w:i/>
          <w:color w:val="auto"/>
          <w:szCs w:val="21"/>
          <w:highlight w:val="none"/>
          <w:u w:val="single"/>
        </w:rPr>
        <w:t xml:space="preserve">供应商在投标文件中须提供承诺书原件上传（承诺书格式自拟），未承诺的作无效投标处理。</w:t>
      </w:r>
      <w:r/>
    </w:p>
    <w:p>
      <w:pPr>
        <w:ind w:firstLine="420"/>
        <w:spacing w:line="360" w:lineRule="auto"/>
        <w:rPr>
          <w:rFonts w:ascii="宋体" w:hAnsi="Times New Roman"/>
          <w:color w:val="auto"/>
          <w:highlight w:val="none"/>
        </w:rPr>
      </w:pPr>
      <w:r>
        <w:rPr>
          <w:rFonts w:hint="eastAsia" w:ascii="宋体" w:hAnsi="Times New Roman"/>
          <w:color w:val="auto"/>
          <w:highlight w:val="none"/>
        </w:rPr>
        <w:t xml:space="preserve">4、前端相机、后端服务器扩容、云存储系统扩容及相关设备采用国产主流产品，</w:t>
      </w:r>
      <w:r>
        <w:rPr>
          <w:rFonts w:hint="eastAsia" w:ascii="宋体" w:hAnsi="Times New Roman"/>
          <w:i/>
          <w:iCs/>
          <w:color w:val="auto"/>
          <w:highlight w:val="none"/>
          <w:u w:val="single"/>
        </w:rPr>
        <w:t xml:space="preserve">其中</w:t>
      </w:r>
      <w:r>
        <w:rPr>
          <w:rFonts w:hint="eastAsia" w:ascii="宋体" w:hAnsi="Times New Roman"/>
          <w:i/>
          <w:iCs/>
          <w:color w:val="auto"/>
          <w:highlight w:val="none"/>
          <w:u w:val="single"/>
          <w:lang w:val="en-US" w:eastAsia="zh-CN"/>
        </w:rPr>
        <w:t xml:space="preserve">AI算力扩容需</w:t>
      </w:r>
      <w:r>
        <w:rPr>
          <w:rFonts w:hint="eastAsia" w:ascii="宋体" w:hAnsi="Times New Roman"/>
          <w:i/>
          <w:iCs/>
          <w:color w:val="auto"/>
          <w:highlight w:val="none"/>
          <w:u w:val="single"/>
        </w:rPr>
        <w:t xml:space="preserve">与江都分局现有算力平台无缝兼容，能与</w:t>
      </w:r>
      <w:r>
        <w:rPr>
          <w:rFonts w:hint="eastAsia" w:ascii="宋体" w:hAnsi="Times New Roman"/>
          <w:i/>
          <w:iCs/>
          <w:color w:val="auto"/>
          <w:highlight w:val="none"/>
          <w:u w:val="single"/>
          <w:lang w:val="en-US" w:eastAsia="zh-CN"/>
        </w:rPr>
        <w:t xml:space="preserve">分局</w:t>
      </w:r>
      <w:r>
        <w:rPr>
          <w:rFonts w:hint="eastAsia" w:ascii="宋体" w:hAnsi="Times New Roman"/>
          <w:i/>
          <w:iCs/>
          <w:color w:val="auto"/>
          <w:highlight w:val="none"/>
          <w:u w:val="single"/>
        </w:rPr>
        <w:t xml:space="preserve">现有算力互联组成集群，并且被江都分局现有调度管理平台统一管理</w:t>
      </w:r>
      <w:r>
        <w:rPr>
          <w:rFonts w:hint="eastAsia" w:ascii="宋体" w:hAnsi="Times New Roman"/>
          <w:color w:val="auto"/>
          <w:highlight w:val="none"/>
          <w:u w:val="single"/>
        </w:rPr>
        <w:t xml:space="preserve">。</w:t>
      </w:r>
      <w:r>
        <w:rPr>
          <w:rFonts w:hint="eastAsia" w:ascii="宋体" w:hAnsi="宋体"/>
          <w:b/>
          <w:bCs/>
          <w:i/>
          <w:iCs/>
          <w:color w:val="auto"/>
          <w:szCs w:val="21"/>
          <w:highlight w:val="none"/>
          <w:u w:val="single"/>
        </w:rPr>
        <w:t xml:space="preserve">供应商在投标文件中须提供承诺书原件上传（承诺书格式自拟），未承诺的作无效投标处理。</w:t>
      </w:r>
      <w:r/>
    </w:p>
    <w:p>
      <w:pPr>
        <w:ind w:firstLine="420"/>
        <w:spacing w:line="360" w:lineRule="auto"/>
        <w:rPr>
          <w:rFonts w:ascii="宋体" w:hAnsi="宋体"/>
          <w:i/>
          <w:color w:val="auto"/>
          <w:highlight w:val="none"/>
          <w:u w:val="single"/>
        </w:rPr>
      </w:pPr>
      <w:r>
        <w:rPr>
          <w:rFonts w:hint="eastAsia" w:ascii="宋体" w:hAnsi="Times New Roman"/>
          <w:color w:val="auto"/>
          <w:highlight w:val="none"/>
        </w:rPr>
        <w:t xml:space="preserve">5、</w:t>
      </w:r>
      <w:r>
        <w:rPr>
          <w:rFonts w:hint="eastAsia" w:ascii="宋体" w:hAnsi="宋体"/>
          <w:i/>
          <w:color w:val="auto"/>
          <w:highlight w:val="none"/>
          <w:u w:val="single"/>
          <w:lang w:eastAsia="zh-CN"/>
        </w:rPr>
        <w:t xml:space="preserve">供应商</w:t>
      </w:r>
      <w:r>
        <w:rPr>
          <w:rFonts w:hint="eastAsia" w:ascii="宋体" w:hAnsi="宋体"/>
          <w:i/>
          <w:color w:val="auto"/>
          <w:highlight w:val="none"/>
          <w:u w:val="single"/>
        </w:rPr>
        <w:t xml:space="preserve">需承诺所有后端设备硬盘在本地有备份，有损坏时能在48小时内更换，并承诺所有硬件设备，不限于交换机、服务器、存储后端等设备在合同到期后，采购人有永久使用权。</w:t>
      </w:r>
      <w:r>
        <w:rPr>
          <w:rFonts w:hint="eastAsia" w:ascii="宋体" w:hAnsi="宋体"/>
          <w:b/>
          <w:i/>
          <w:color w:val="auto"/>
          <w:szCs w:val="21"/>
          <w:highlight w:val="none"/>
          <w:u w:val="single"/>
        </w:rPr>
        <w:t xml:space="preserve">供应商在投标文件中须提供承诺书原件上传（承诺书格式自拟），未承诺的作无效投标处理。</w:t>
      </w:r>
      <w:r/>
    </w:p>
    <w:p>
      <w:pPr>
        <w:ind w:firstLine="420"/>
        <w:spacing w:line="360" w:lineRule="auto"/>
        <w:rPr>
          <w:rFonts w:ascii="宋体" w:hAnsi="宋体"/>
          <w:b/>
          <w:i/>
          <w:color w:val="auto"/>
          <w:szCs w:val="21"/>
          <w:highlight w:val="none"/>
          <w:u w:val="single"/>
        </w:rPr>
      </w:pPr>
      <w:r>
        <w:rPr>
          <w:rFonts w:hint="eastAsia" w:ascii="宋体" w:hAnsi="Times New Roman"/>
          <w:color w:val="auto"/>
          <w:highlight w:val="none"/>
        </w:rPr>
        <w:t xml:space="preserve">6、</w:t>
      </w:r>
      <w:r>
        <w:rPr>
          <w:rFonts w:hint="eastAsia" w:ascii="宋体" w:hAnsi="宋体"/>
          <w:i/>
          <w:color w:val="auto"/>
          <w:highlight w:val="none"/>
          <w:u w:val="single"/>
        </w:rPr>
        <w:t xml:space="preserve">服务期间，供应商未经采购方同意，不得访问、获取、留存、使用、泄露或者向他人提供数据，不得对数据进行关联分析。所有数据归采购方所有。</w:t>
      </w:r>
      <w:r>
        <w:rPr>
          <w:rFonts w:hint="eastAsia" w:ascii="宋体" w:hAnsi="宋体"/>
          <w:b/>
          <w:i/>
          <w:color w:val="auto"/>
          <w:szCs w:val="21"/>
          <w:highlight w:val="none"/>
          <w:u w:val="single"/>
        </w:rPr>
        <w:t xml:space="preserve">供应商在投标文件中须提供承诺书原件上传（承诺书格式自拟），未承诺的作无效投标处理。</w:t>
      </w:r>
      <w:r/>
    </w:p>
    <w:p>
      <w:pPr>
        <w:ind w:firstLine="420"/>
        <w:spacing w:line="360" w:lineRule="auto"/>
        <w:rPr>
          <w:rFonts w:ascii="宋体" w:hAnsi="宋体"/>
          <w:i/>
          <w:color w:val="auto"/>
          <w:highlight w:val="none"/>
          <w:u w:val="single"/>
        </w:rPr>
      </w:pPr>
      <w:r>
        <w:rPr>
          <w:rFonts w:ascii="宋体" w:hAnsi="宋体"/>
          <w:i/>
          <w:color w:val="auto"/>
          <w:highlight w:val="none"/>
          <w:u w:val="single"/>
        </w:rPr>
      </w:r>
      <w:r/>
    </w:p>
    <w:p>
      <w:pPr>
        <w:spacing w:line="360" w:lineRule="auto"/>
        <w:rPr>
          <w:rFonts w:ascii="Cambria" w:hAnsi="Cambria"/>
          <w:b/>
          <w:bCs/>
          <w:color w:val="auto"/>
          <w:sz w:val="24"/>
          <w:szCs w:val="32"/>
          <w:highlight w:val="none"/>
        </w:rPr>
      </w:pPr>
      <w:r>
        <w:rPr>
          <w:rFonts w:hint="eastAsia" w:ascii="Cambria" w:hAnsi="Cambria"/>
          <w:b/>
          <w:bCs/>
          <w:color w:val="auto"/>
          <w:sz w:val="24"/>
          <w:szCs w:val="32"/>
          <w:highlight w:val="none"/>
        </w:rPr>
        <w:t xml:space="preserve">采购包2：</w:t>
      </w:r>
      <w:r/>
    </w:p>
    <w:p>
      <w:pPr>
        <w:ind w:firstLine="422"/>
        <w:spacing w:line="360" w:lineRule="auto"/>
        <w:rPr>
          <w:rFonts w:ascii="宋体" w:hAnsi="宋体"/>
          <w:b/>
          <w:i/>
          <w:color w:val="auto"/>
          <w:szCs w:val="21"/>
          <w:highlight w:val="none"/>
          <w:u w:val="single"/>
        </w:rPr>
      </w:pPr>
      <w:r>
        <w:rPr>
          <w:rFonts w:hint="eastAsia" w:ascii="宋体" w:hAnsi="宋体"/>
          <w:b/>
          <w:i/>
          <w:color w:val="auto"/>
          <w:szCs w:val="21"/>
          <w:highlight w:val="none"/>
          <w:u w:val="single"/>
        </w:rPr>
        <w:t xml:space="preserve">供应商在中标后合同签订前须提供前端相机、补光灯、云存储扩容、平台服务器扩容硬件厂家(或授权代理商)出具的针对本项目（或投标产品）的授权函及质保函，授权代理商盖章的同时提供授权代理证书。供应商在投标文件中须提供承诺书原件上传（承诺书格式自拟），未承诺的作无效投标处理。</w:t>
      </w:r>
      <w:r/>
    </w:p>
    <w:p>
      <w:pPr>
        <w:pStyle w:val="929"/>
        <w:ind w:firstLine="420"/>
        <w:rPr>
          <w:rFonts w:ascii="宋体" w:hAnsi="宋体"/>
          <w:color w:val="auto"/>
          <w:sz w:val="21"/>
          <w:szCs w:val="21"/>
          <w:highlight w:val="none"/>
        </w:rPr>
      </w:pPr>
      <w:r>
        <w:rPr>
          <w:rFonts w:hint="eastAsia" w:ascii="宋体" w:hAnsi="宋体"/>
          <w:color w:val="auto"/>
          <w:sz w:val="21"/>
          <w:highlight w:val="none"/>
          <w:lang w:val="en-US" w:eastAsia="zh-CN"/>
        </w:rPr>
        <w:t xml:space="preserve">对原江都公安天眼四期410台相机进行升级改造，新增、更换345台枪机、1台球机、63台四目结构化相机、1台双目结构化相机及相配的视频图片存储、服务器扩容、软件授权、补光灯等，并提供本项目5年维护维保服务。对原智能卡口升级改造与新建项目6个点位进行升级改造，新增、更换14台智能卡口相机、5台卡口辅助球机及其相配的视频图片存储、服务器扩容、软件授权、补光灯等，并提供本项目5年维护维保服务。视图库存储节点、交换机扩容，并提供本项目5年维护维保服务。</w:t>
      </w:r>
      <w:r>
        <w:rPr>
          <w:rFonts w:hint="eastAsia" w:ascii="宋体" w:hAnsi="宋体"/>
          <w:color w:val="auto"/>
          <w:sz w:val="21"/>
          <w:highlight w:val="none"/>
        </w:rPr>
        <w:t xml:space="preserve">实现与扬州市公安局、扬州公安局江都分局现有平台无缝对接，实现资源统一管理、应用整合共享</w:t>
      </w:r>
      <w:r>
        <w:rPr>
          <w:rFonts w:hint="eastAsia" w:ascii="宋体" w:hAnsi="宋体"/>
          <w:color w:val="auto"/>
          <w:sz w:val="21"/>
          <w:szCs w:val="21"/>
          <w:highlight w:val="none"/>
        </w:rPr>
        <w:t xml:space="preserve">。项目为租赁服务方式，公安局支付正常运行的租赁费用，因各种原因（包括不可抗力）造成的移杆、损坏等费用均不承担，费用分5年支付。5年租赁期内平台管理权、使用权归甲方所有，乙方必须无条件提供甲方要求的各类监控的接入技术服务</w:t>
      </w:r>
      <w:r>
        <w:rPr>
          <w:rFonts w:hint="eastAsia"/>
          <w:color w:val="auto"/>
          <w:sz w:val="21"/>
          <w:highlight w:val="none"/>
        </w:rPr>
        <w:t xml:space="preserve">，</w:t>
      </w:r>
      <w:r>
        <w:rPr>
          <w:rFonts w:hint="eastAsia" w:ascii="宋体" w:hAnsi="宋体"/>
          <w:color w:val="auto"/>
          <w:sz w:val="21"/>
          <w:szCs w:val="21"/>
          <w:highlight w:val="none"/>
        </w:rPr>
        <w:t xml:space="preserve">到期后平台管理权、使用权、后端服务器、存储等设备由甲方继续使用，项目实施期间及到期后，机房均由甲方负责提供。</w:t>
      </w:r>
      <w:r>
        <w:rPr>
          <w:rFonts w:hint="eastAsia" w:ascii="宋体" w:hAnsi="宋体"/>
          <w:i/>
          <w:iCs/>
          <w:color w:val="auto"/>
          <w:sz w:val="21"/>
          <w:szCs w:val="21"/>
          <w:highlight w:val="none"/>
          <w:u w:val="single"/>
        </w:rPr>
        <w:t xml:space="preserve">项目安装期限为签定合同后3个月，</w:t>
      </w:r>
      <w:r>
        <w:rPr>
          <w:rFonts w:hint="eastAsia" w:ascii="宋体" w:hAnsi="宋体"/>
          <w:i/>
          <w:iCs/>
          <w:color w:val="auto"/>
          <w:sz w:val="21"/>
          <w:szCs w:val="21"/>
          <w:highlight w:val="none"/>
          <w:u w:val="single"/>
          <w:lang w:eastAsia="zh-CN"/>
        </w:rPr>
        <w:t xml:space="preserve">后端设备供货期限</w:t>
      </w:r>
      <w:r>
        <w:rPr>
          <w:rFonts w:ascii="宋体" w:hAnsi="宋体"/>
          <w:i/>
          <w:iCs/>
          <w:color w:val="auto"/>
          <w:sz w:val="21"/>
          <w:szCs w:val="21"/>
          <w:highlight w:val="none"/>
          <w:u w:val="single"/>
        </w:rPr>
        <w:t xml:space="preserve">为</w:t>
      </w:r>
      <w:r>
        <w:rPr>
          <w:rFonts w:hint="eastAsia" w:ascii="宋体" w:hAnsi="宋体"/>
          <w:i/>
          <w:iCs/>
          <w:color w:val="auto"/>
          <w:sz w:val="21"/>
          <w:szCs w:val="21"/>
          <w:highlight w:val="none"/>
          <w:u w:val="single"/>
          <w:lang w:val="en-US" w:eastAsia="zh-CN"/>
        </w:rPr>
        <w:t xml:space="preserve">成交公告公示期结束</w:t>
      </w:r>
      <w:r>
        <w:rPr>
          <w:rFonts w:ascii="宋体" w:hAnsi="宋体"/>
          <w:i/>
          <w:iCs/>
          <w:color w:val="auto"/>
          <w:sz w:val="21"/>
          <w:szCs w:val="21"/>
          <w:highlight w:val="none"/>
          <w:u w:val="single"/>
        </w:rPr>
        <w:t xml:space="preserve">后</w:t>
      </w:r>
      <w:r>
        <w:rPr>
          <w:rFonts w:hint="eastAsia" w:ascii="宋体" w:hAnsi="宋体"/>
          <w:i/>
          <w:iCs/>
          <w:color w:val="auto"/>
          <w:sz w:val="21"/>
          <w:szCs w:val="21"/>
          <w:highlight w:val="none"/>
          <w:u w:val="single"/>
          <w:lang w:val="en-US" w:eastAsia="zh-CN"/>
        </w:rPr>
        <w:t xml:space="preserve">2</w:t>
      </w:r>
      <w:r>
        <w:rPr>
          <w:rFonts w:hint="eastAsia" w:ascii="宋体" w:hAnsi="宋体"/>
          <w:i/>
          <w:iCs/>
          <w:color w:val="auto"/>
          <w:sz w:val="21"/>
          <w:szCs w:val="21"/>
          <w:highlight w:val="none"/>
          <w:u w:val="single"/>
        </w:rPr>
        <w:t xml:space="preserve">个月，必须在规定期限内完成工作任务</w:t>
      </w:r>
      <w:r>
        <w:rPr>
          <w:rFonts w:hint="eastAsia" w:ascii="宋体" w:hAnsi="宋体"/>
          <w:color w:val="auto"/>
          <w:sz w:val="21"/>
          <w:szCs w:val="21"/>
          <w:highlight w:val="none"/>
        </w:rPr>
        <w:t xml:space="preserve">。</w:t>
      </w:r>
      <w:r>
        <w:rPr>
          <w:rFonts w:hint="eastAsia" w:ascii="宋体" w:hAnsi="宋体"/>
          <w:i/>
          <w:iCs/>
          <w:color w:val="auto"/>
          <w:sz w:val="21"/>
          <w:szCs w:val="21"/>
          <w:highlight w:val="none"/>
          <w:u w:val="single"/>
        </w:rPr>
        <w:t xml:space="preserve">供应商在投标文件中须提供承诺书原件上传（承诺书格式自拟），未承诺的作无效投标处理。</w:t>
      </w:r>
      <w:r/>
    </w:p>
    <w:p>
      <w:pPr>
        <w:ind w:firstLine="422"/>
        <w:jc w:val="left"/>
        <w:spacing w:line="360" w:lineRule="auto"/>
        <w:rPr>
          <w:rFonts w:ascii="宋体" w:hAnsi="宋体" w:cs="Arial"/>
          <w:b/>
          <w:color w:val="auto"/>
          <w:szCs w:val="21"/>
          <w:highlight w:val="none"/>
        </w:rPr>
        <w:outlineLvl w:val="2"/>
      </w:pPr>
      <w:r>
        <w:rPr>
          <w:rFonts w:ascii="宋体" w:hAnsi="宋体" w:cs="Arial"/>
          <w:b/>
          <w:color w:val="auto"/>
          <w:szCs w:val="21"/>
          <w:highlight w:val="none"/>
        </w:rPr>
        <w:t xml:space="preserve">一</w:t>
      </w:r>
      <w:r>
        <w:rPr>
          <w:rFonts w:hint="eastAsia" w:ascii="宋体" w:hAnsi="宋体" w:cs="Arial"/>
          <w:b/>
          <w:color w:val="auto"/>
          <w:szCs w:val="21"/>
          <w:highlight w:val="none"/>
        </w:rPr>
        <w:t xml:space="preserve">、</w:t>
      </w:r>
      <w:r>
        <w:rPr>
          <w:rFonts w:ascii="宋体" w:hAnsi="宋体" w:cs="Arial"/>
          <w:b/>
          <w:color w:val="auto"/>
          <w:szCs w:val="21"/>
          <w:highlight w:val="none"/>
        </w:rPr>
        <w:t xml:space="preserve">传输系统材料设备部分技术要求</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监控点根据现场实际情况，可采用立杆安装、抱箍安装、壁挂安装以及吊杆安装等方式。其中抱箍、壁挂支架以及吊杆支架有成套产品，根据现场选择符合要求的产品即可。监控立杆设计需要考虑整体杆件的设计、立杆材质、杆型、焊接工艺、表面处理以及杆体颜色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立杆为横臂离地面高度不低于6.5米，微卡口横臂长度大于等于3米，智能卡口横臂不得比单向路面宽度少一米以上，特殊地形可适度调整，采用立杆固定时，杆底端焊接固定法兰盘，预留拉线孔，地基应是硬质，同时根据现场安装点地质的实际情况，调整相应的尺寸。立杆的安装应牢固，不得歪斜，需用水平仪来测定；制作要美观，其顶部应做防水帽。立杆应有较高强度，抗台风、防摄像机抖动、防攀爬、防腐。立杆基础规格按不同的杆体进行分别设计。</w:t>
      </w:r>
      <w:r/>
    </w:p>
    <w:p>
      <w:pPr>
        <w:ind w:firstLine="422"/>
        <w:jc w:val="left"/>
        <w:spacing w:line="360" w:lineRule="auto"/>
        <w:rPr>
          <w:rFonts w:ascii="宋体" w:hAnsi="宋体" w:cs="Arial"/>
          <w:b/>
          <w:color w:val="auto"/>
          <w:szCs w:val="21"/>
          <w:highlight w:val="none"/>
        </w:rPr>
      </w:pPr>
      <w:r>
        <w:rPr>
          <w:rFonts w:ascii="宋体" w:hAnsi="宋体" w:cs="Arial"/>
          <w:b/>
          <w:color w:val="auto"/>
          <w:szCs w:val="21"/>
          <w:highlight w:val="none"/>
        </w:rPr>
        <w:t xml:space="preserve">监控箱</w:t>
      </w:r>
      <w:r/>
    </w:p>
    <w:tbl>
      <w:tblPr>
        <w:tblStyle w:val="873"/>
        <w:tblW w:w="8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565"/>
        <w:gridCol w:w="2850"/>
        <w:gridCol w:w="781"/>
        <w:gridCol w:w="2743"/>
      </w:tblGrid>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规格及型号</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材质</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子项</w:t>
            </w:r>
            <w:r>
              <w:rPr>
                <w:rFonts w:hint="eastAsia" w:ascii="宋体" w:hAnsi="宋体" w:cs="Arial"/>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rPr>
                <w:rFonts w:ascii="宋体" w:hAnsi="宋体" w:cs="Arial"/>
                <w:color w:val="auto"/>
                <w:szCs w:val="21"/>
                <w:highlight w:val="none"/>
              </w:rPr>
            </w:pPr>
            <w:r>
              <w:rPr>
                <w:rFonts w:ascii="宋体" w:hAnsi="宋体" w:cs="Arial"/>
                <w:b/>
                <w:color w:val="auto"/>
                <w:szCs w:val="21"/>
                <w:highlight w:val="none"/>
              </w:rPr>
              <w:t xml:space="preserve">监控箱</w:t>
            </w:r>
            <w:r>
              <w:rPr>
                <w:rFonts w:ascii="宋体" w:hAnsi="宋体" w:cs="Arial"/>
                <w:color w:val="auto"/>
                <w:szCs w:val="21"/>
                <w:highlight w:val="none"/>
              </w:rPr>
              <w:t xml:space="preserve">挂杆</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（宽）400×（高）500×（深）240</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只</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1.5MM304不锈钢，表面喷塑，固定螺丝热镀锌</w:t>
            </w:r>
            <w:r/>
          </w:p>
        </w:tc>
      </w:tr>
      <w:tr>
        <w:trPr>
          <w:trHeight w:val="454"/>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7939" w:type="dxa"/>
            <w:vAlign w:val="bottom"/>
            <w:textDirection w:val="lrTb"/>
            <w:noWrap w:val="false"/>
          </w:tcPr>
          <w:p>
            <w:pPr>
              <w:rPr>
                <w:rFonts w:ascii="宋体" w:hAnsi="宋体" w:cs="Arial"/>
                <w:color w:val="auto"/>
                <w:szCs w:val="21"/>
                <w:highlight w:val="none"/>
              </w:rPr>
            </w:pPr>
            <w:r>
              <w:rPr>
                <w:rFonts w:ascii="宋体" w:hAnsi="宋体" w:cs="Arial"/>
                <w:color w:val="auto"/>
                <w:szCs w:val="21"/>
                <w:highlight w:val="none"/>
              </w:rPr>
              <w:t xml:space="preserve">含公牛插座1个（3孔4插），箱体采用304不锈钢，交换机机位，12芯终端机位进缆孔装密封圈，门框采用密封条，箱体背后上、下采用抱箍，漏电保护器2个（（16A））。</w:t>
            </w:r>
            <w:r/>
          </w:p>
        </w:tc>
      </w:tr>
    </w:tbl>
    <w:p>
      <w:pPr>
        <w:ind w:firstLine="210"/>
        <w:rPr>
          <w:rFonts w:ascii="宋体" w:hAnsi="宋体" w:cs="Arial"/>
          <w:color w:val="auto"/>
          <w:szCs w:val="21"/>
          <w:highlight w:val="none"/>
        </w:rPr>
      </w:pPr>
      <w:r>
        <w:rPr>
          <w:rFonts w:hint="eastAsia" w:ascii="宋体" w:hAnsi="宋体" w:cs="Arial"/>
          <w:color w:val="auto"/>
          <w:szCs w:val="21"/>
          <w:highlight w:val="none"/>
        </w:rPr>
        <w:t xml:space="preserve">本项目所有监控杆件由中标公司承建杆件，按扬州市公安局相关文件要求贴上标牌。</w:t>
      </w:r>
      <w:r/>
    </w:p>
    <w:p>
      <w:pPr>
        <w:ind w:left="425"/>
        <w:jc w:val="left"/>
        <w:spacing w:line="440" w:lineRule="exact"/>
        <w:rPr>
          <w:rFonts w:ascii="宋体" w:hAnsi="宋体"/>
          <w:b/>
          <w:bCs/>
          <w:color w:val="auto"/>
          <w:szCs w:val="21"/>
          <w:highlight w:val="none"/>
        </w:rPr>
        <w:outlineLvl w:val="0"/>
      </w:pPr>
      <w:r>
        <w:rPr>
          <w:rFonts w:hint="eastAsia" w:ascii="宋体" w:hAnsi="宋体"/>
          <w:b/>
          <w:bCs/>
          <w:color w:val="auto"/>
          <w:szCs w:val="21"/>
          <w:highlight w:val="none"/>
        </w:rPr>
        <w:t xml:space="preserve">二、监控系统部分</w:t>
      </w:r>
      <w:r/>
    </w:p>
    <w:p>
      <w:pPr>
        <w:ind w:left="425"/>
        <w:spacing w:line="440" w:lineRule="exact"/>
        <w:rPr>
          <w:rFonts w:ascii="宋体" w:hAnsi="宋体"/>
          <w:b/>
          <w:bCs/>
          <w:color w:val="auto"/>
          <w:szCs w:val="21"/>
          <w:highlight w:val="none"/>
        </w:rPr>
        <w:outlineLvl w:val="0"/>
      </w:pPr>
      <w:r>
        <w:rPr>
          <w:rFonts w:ascii="宋体" w:hAnsi="宋体" w:cs="Arial"/>
          <w:b/>
          <w:color w:val="auto"/>
          <w:szCs w:val="21"/>
          <w:highlight w:val="none"/>
        </w:rPr>
        <w:t xml:space="preserve">1. </w:t>
      </w:r>
      <w:r>
        <w:rPr>
          <w:rFonts w:hint="eastAsia" w:ascii="宋体" w:hAnsi="宋体"/>
          <w:b/>
          <w:bCs/>
          <w:color w:val="auto"/>
          <w:szCs w:val="21"/>
          <w:highlight w:val="none"/>
        </w:rPr>
        <w:t xml:space="preserve">系统总体要求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1.1要求平台内录像存储容量不少于30天，图片存储不少于2年。要求全部高清摄像机按1080P每秒8-10帧动态码流存储。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要求流媒体服务器采用N+1备份、存储服务器（存储管理服务器）采用N+1备份。前端任意一台或者多台服务器发生故障，整个系统正常运转，且录像不丢失。任意两台存储主机出现故障，不影响视频流的正常存储，系统能正常运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1.3供应商的前端设备、管理软件须满足国家</w:t>
      </w:r>
      <w:r>
        <w:rPr>
          <w:rFonts w:hint="eastAsia" w:ascii="宋体" w:hAnsi="宋体" w:cs="宋体"/>
          <w:color w:val="auto"/>
          <w:szCs w:val="21"/>
          <w:highlight w:val="none"/>
          <w:lang w:eastAsia="zh-CN"/>
        </w:rPr>
        <w:t xml:space="preserve">GB/T28181-2022</w:t>
      </w:r>
      <w:r>
        <w:rPr>
          <w:rFonts w:hint="eastAsia" w:ascii="宋体" w:hAnsi="宋体" w:cs="宋体"/>
          <w:color w:val="auto"/>
          <w:szCs w:val="21"/>
          <w:highlight w:val="none"/>
        </w:rPr>
        <w:t xml:space="preserve">、GB 35114标准（A级以上）标准。系统平台与扬州市公安局江都分局实战应用平台对接的方式采用</w:t>
      </w:r>
      <w:r>
        <w:rPr>
          <w:rFonts w:hint="eastAsia" w:ascii="宋体" w:hAnsi="宋体" w:cs="宋体"/>
          <w:color w:val="auto"/>
          <w:szCs w:val="21"/>
          <w:highlight w:val="none"/>
          <w:lang w:eastAsia="zh-CN"/>
        </w:rPr>
        <w:t xml:space="preserve">GB/T28181-2022</w:t>
      </w:r>
      <w:r>
        <w:rPr>
          <w:rFonts w:hint="eastAsia" w:ascii="宋体" w:hAnsi="宋体" w:cs="宋体"/>
          <w:color w:val="auto"/>
          <w:szCs w:val="21"/>
          <w:highlight w:val="none"/>
        </w:rPr>
        <w:t xml:space="preserve">规定的标准。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系统平台主要用于汇聚并管理视频专网图像资源和社会图像资源。应支持视频监控、电子警察、320卡口、智能卡口以及社会资源等各类监控资源的综合接入。</w:t>
      </w:r>
      <w:r/>
    </w:p>
    <w:p>
      <w:pPr>
        <w:ind w:firstLine="422"/>
        <w:spacing w:line="440" w:lineRule="exact"/>
        <w:rPr>
          <w:rFonts w:ascii="宋体" w:hAnsi="宋体"/>
          <w:b/>
          <w:color w:val="auto"/>
          <w:szCs w:val="21"/>
          <w:highlight w:val="none"/>
        </w:rPr>
        <w:outlineLvl w:val="0"/>
      </w:pPr>
      <w:r>
        <w:rPr>
          <w:rFonts w:hint="eastAsia" w:ascii="宋体" w:hAnsi="宋体"/>
          <w:b/>
          <w:color w:val="auto"/>
          <w:szCs w:val="21"/>
          <w:highlight w:val="none"/>
        </w:rPr>
        <w:t xml:space="preserve">三、设备采购清单与技术参数</w:t>
      </w:r>
      <w:r/>
    </w:p>
    <w:tbl>
      <w:tblPr>
        <w:tblStyle w:val="873"/>
        <w:tblW w:w="82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3"/>
        <w:gridCol w:w="935"/>
        <w:gridCol w:w="4481"/>
        <w:gridCol w:w="954"/>
        <w:gridCol w:w="954"/>
      </w:tblGrid>
      <w:tr>
        <w:trPr>
          <w:trHeight w:val="9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产品</w:t>
            </w:r>
            <w:r/>
          </w:p>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技术要求</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数量</w:t>
            </w:r>
            <w:r/>
          </w:p>
        </w:tc>
      </w:tr>
      <w:tr>
        <w:trPr>
          <w:trHeight w:val="681"/>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枪机</w:t>
            </w:r>
            <w:r/>
          </w:p>
        </w:tc>
        <w:tc>
          <w:tcPr>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1.支持采用不低于400万像素，靶面尺寸不小于1/1.8英寸CMOS图像传感器；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2.支持内置不少少于4颗补光灯；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3.支持内置CPU/GPU/NPU一体化芯片；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4.支持超感光技术：应用于超低亮度的环境下，提升图像的清晰度保证图像效果；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5.支持最低照度补光灯关闭:彩色:≤0.0002lx;黑白:≤0.0001lx；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6.支持内置高效暖光灯，最大暖光监控距离40米；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7.★支持针对人、机动车、动物3类有效目标进行检测,并触发报警和设置事件联动；（提供有资质的第三方检测机构或公安部出具的有效检测报告，原件扫描上传）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8.支持一键撤防，可在自定义设置的时间段内对报警输出，邮件，灯光等事件联动项进行统一撤防控制；</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9.支持ROI，SMART H.264/H.265，AI H.264/H.265，灵活编码，适用不同带宽和存储环境；</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10.支持1TB Micro SD卡，内置不少于2个麦克风，1个扬声器；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11.支持DC12V供电方式；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12.支持在温度不超过-40℃～+60℃，湿度不超过95%的环境下正常工作；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13.支持IP67防护等级；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14.GB35114标准内安全防护等级高于等于A级；</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345</w:t>
            </w:r>
            <w:r/>
          </w:p>
        </w:tc>
      </w:tr>
      <w:tr>
        <w:trPr>
          <w:trHeight w:val="4516"/>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球机</w:t>
            </w:r>
            <w:r/>
          </w:p>
        </w:tc>
        <w:tc>
          <w:tcPr>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1.支持设备不少于2路全景摄像机和1路细节摄像机组成,CMOS靶面尺寸均不小于1/1.8英寸；</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2.支持全景通道视频图像分辨率不小于3680*1656，细节通道视频图像分辨率不小于2688*1520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3.支持全景通道输出2个镜头无缝拼接的全景图像,拼接偏差像素不大于4个像素,全景摄像机水平视场角不小于210°,垂直视场角不小于90°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4.支持细节相机不小于33倍光学变倍,16倍数字变倍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5.支持全景通道可电动调节垂直旋转,旋转范围支持5°~25°；细节通道支持0°~360°连续旋转,垂直旋转范围支持-30°~+90°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6.支持全景摄像机不少于4颗补光灯,细节摄像机不少于10颗红外灯和2颗白光灯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7.支持联动模式下,全景通道检测到触发规则的目标（行人、机动车、非机动车）后联动细节通道跟踪及报警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细节通道视频结构化抓拍,可对检测区内多个不同运动方向的行人、非机动车、机动车进行检测、跟踪、筛选、框选提示并抓拍存储图片；支持人脸、车牌、非机动车车牌抠图,可将人脸与人体、车牌与车辆关联现实,可同时检测目标数量最大不少于100个</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9.★支持补光灯补光区域呈类矩形分布,开启后,灯珠光束通过微结构阵列式透镜,使补光亮度均匀,无明显波纹状、圆环状、麻点状、条纹状及不规则亮斑</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10.支持1路音频输入和1路音频输出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11.支持内置7路报警输入和2路报警输出,支持报警联动功能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12.★支持内置喇叭,可随样机的转动进行水平（0°~360°）、垂直（-30°~+90°）不同方向的定向播放（提供公安部有效检测报告复印件加盖原厂公章或投标专用章）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13.支持DC36V供电方式；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14.支持在温度不超过-40℃～+70℃，湿度不超过95%的环境下正常工作；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15.IP≥67；</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16.GB35114标准内安全防护等级高于等于A级</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6</w:t>
            </w:r>
            <w:r/>
          </w:p>
        </w:tc>
      </w:tr>
      <w:tr>
        <w:trPr>
          <w:trHeight w:val="86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LED补光灯（枪机、球机）</w:t>
            </w:r>
            <w:r/>
          </w:p>
        </w:tc>
        <w:tc>
          <w:tcPr>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LED颗数≥24颗</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光源效率：120 LM/W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色温：3000K-5500K</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LED显色指数：&gt;90Ra；</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角度：60度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支持加装可拆卸式防眩光格栅装置。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平均功率：≤30W</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★调光方式：红外遥控8档调光。（提供具有CMA标识的检测报告原件扫描上传）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工作电压：AC(86～264)V ～50Hz</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IP≥68</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工作温度：-40℃～80℃  </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346</w:t>
            </w:r>
            <w:r/>
          </w:p>
        </w:tc>
      </w:tr>
      <w:tr>
        <w:trPr>
          <w:trHeight w:val="110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四目结构化相机</w:t>
            </w:r>
            <w:r/>
          </w:p>
        </w:tc>
        <w:tc>
          <w:tcPr>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设备支持同步采集4路视频流，2路为全景通道，2路为细节通道，组成2组视频采集组，每组均由1路全景通道和1路细节通道组成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设备内置4个镜头，具有2个靶面尺寸为1/1.2英寸的CMOS传感器，2个靶面尺寸为1/1.8英寸的CMOS传感器。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最低照度彩色≤0.0002 lx，黑白≤0.0001 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设备的2个细节采集镜头均支持电动和手动变焦、自动/电动聚焦，自动调节光圈功能，变焦过程中不会完全虚焦。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设备内置2个定焦镜头和2个电动变焦镜头，其中定焦镜头焦距范围：（4±5%）mm、电动变焦镜头焦距：（10±5%）mm~（50±5%）mm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支持H.264、H.265、MJPEG设置选项，可将H.265、H.264格式设置为Baseline/Main/High Profile</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同一静止场景相同图像质量下，设备在H.265编码方式时，开启智能编码功能和不开启智能编码相比，码率节约≥80%。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在分辨率1920x1080 @ 25fps，码流设置为1Mbps时，视频图像传输延时不大于60ms。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内置≥2颗GPU芯片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2个细节通道均支持混合目标检测，可分别对检测区域中的行人、非机动车、机动车进行检测、跟踪、抓拍，支持抓拍人脸、车牌、非机动车车牌小图并上传，可在客户端将人脸与人体、车牌与车辆图片关联显示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支持人脸、人体、非机动车、机动车属性识别功能，可识别不小于11种行人衣服/裤子颜色、不小于13种车身颜色。</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支持检出面部区域过曝、面部欠曝、阴阳脸、逆光等不同光照条件下人脸。</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★2个视频采集组均具有轨迹关联功能，细节镜头可抓拍、分析检测区域内的行人和非机动车，并在全景画面中叠加目标跟踪框、行进轨迹和方向。（公安部检测报告证明）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设备具有2个PT控制模块，均支持视频采集组（由一路全景通道和一路细节通道组成）的监控场景调节。</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设备的2个PT模块水平方向支持不小于0°～180°旋转，垂直方向支持不小于-5°～25°旋转。</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2种模式：卡口模式和多镜头协同模式。卡口模式下支持4种预设场景：多向卡口-Y型、多向卡口-L型、多向卡口-一型、同向卡口、可实现一键布防。多镜头协同模式具有3种协同分析模式：关联去重、目标关联、轨迹关联。（公安部检测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设备内置能耗检测模块，可实时检测设备的输入电压和功耗信息，可生成日报表、周报表，并以图表形式展现。</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自带机身平衡检测模块，可指示设备安装是否水平。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设备具有10颗混合补光灯，每组视频采集组各具有5颗补光灯，细节通道可识别距离设备不小于100m处的人体轮廓。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设备具有2路音频输入接口，1路音频输出接口，3路报警输入接口，2路报警输出接口</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IP≥67</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63</w:t>
            </w:r>
            <w:r/>
          </w:p>
        </w:tc>
      </w:tr>
      <w:tr>
        <w:trPr>
          <w:trHeight w:val="2979"/>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LED补光灯（四目结构化相机）</w:t>
            </w:r>
            <w:r/>
          </w:p>
        </w:tc>
        <w:tc>
          <w:tcPr>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16颗常亮灯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16颗暖光LED</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可通过RS485实现可调亮度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发光角度40°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最佳补光距离16米~25米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响应时间小于20us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支持环境亮度检测，低照度下自动开启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电源：220VAC±10%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最大功耗：35W</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IP≥66</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166</w:t>
            </w:r>
            <w:r/>
          </w:p>
        </w:tc>
      </w:tr>
      <w:tr>
        <w:trPr>
          <w:trHeight w:val="2330"/>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室外双目结构化相机</w:t>
            </w:r>
            <w:r/>
          </w:p>
        </w:tc>
        <w:tc>
          <w:tcPr>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1.支持采用三镜头、双通道一体化设计，内置不少于2个微云台</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2.支持通道1（细节）：采用不低于800万像素1/1.2英寸CMOS图像传感器；通道2（全景）：采用两个不低于400万像素1/1.8英寸CMOS图像传感器拼接；</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3.支持内置GPU芯片，支持深度学习算法，有效提升检测准确率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4.支持通道二视场角水平不少于180°，垂直不小于50°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5.支持两路通道独立电动云台控制，通道1（细节）：上下±5°; 通道2（全景）：上下±15°</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6.支持通道1（细节）焦距不小于20mm～80mm；通道2（全景）不小于3.6mm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具有景深扩展模式选项，在相同图像参数、光圈设置的情况下，开启景深扩展功能，可使设备景深变大，使前后边缘处看到的景象更清晰，开启景深扩展功能，可使设备景深纵深至最大化50m（提供有资质的第三方检测机构或公安部出具的有效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8.支持多种智能资源切换：通道1（细节）：通用行为分析、人脸识别、人脸检测、视频结构化、道路监控，通道2（全景）通用行为分析、人群分布图、人数统计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9.支持内置10颗补光灯,支持白光和混合补光模式。在白光模式下,只开启白光灯;在混合补光模式下,可开启白光灯和红外灯;补光灯强度可调节;上舱每颗补光灯均有红外灯和白光灯组成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10.支持报警7进3出，音频2进1出，485，BNC，GPS，最大支持256G Micro SD卡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设备不低于4颗全景补光灯。手动模式下，可选择全区域补光以及中心补光的亮度。全区域补光可使整体画面亮度提高，中心补光可使画面中心位置亮度提高（提供有资质的第三方检测机构或公安部出具的有效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12.支持DC12V供电方式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20.支持在温度不超过-30℃～+60℃，湿度不超过95%的环境下正常工作；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21.支持IP67防护等级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22.GB35114标准内安全防护等级高于等于A级</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w:t>
            </w:r>
            <w:r/>
          </w:p>
        </w:tc>
      </w:tr>
      <w:tr>
        <w:trPr>
          <w:trHeight w:val="296"/>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LED补光灯（室外双目结构化相机）</w:t>
            </w:r>
            <w:r/>
          </w:p>
        </w:tc>
        <w:tc>
          <w:tcPr>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1.支持由光源、外壳、安装基座等组成。包含多个光源时，所有光源应在同一外壳内；</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2.支持采用高性能MCU，不少于16颗高亮LED；</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3.支持环境亮度检测，低照度下6级光敏检测自动开启补光；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4.支持通过相机远程控制20级亮度等级，控制补光灯点亮和熄灭；</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5.支持远程显示补光灯故障、正常状态；</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6.支持串口485和相机亮度可调，1～20档可调，20档最亮；</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7.支持照射距离不小于20m。距离补光灯20m处，亮度等级1时，基准轴上光照度应不低于30 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8.支持受潮预处理后，1.5kV，1min，不应出现飞弧和击穿现象；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9.支持补光装置的绝缘电阻应大于等于10MΩ，经受潮预处理后，绝缘电阻应大于等于5MΩ；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10.支持具备符合GB/T 37958-2019《视频监控系统主动照明部件光辐射安全要求》的检测报告，且不超过1类危险；</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11.支持具备符合GA/T1202-2022《交通技术监控成像补光装置通用技术条件》的检测报告（LED持续点亮1级）；</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路</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w:t>
            </w:r>
            <w:r/>
          </w:p>
        </w:tc>
      </w:tr>
      <w:tr>
        <w:trPr>
          <w:trHeight w:val="168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结构化授权</w:t>
            </w:r>
            <w:r/>
          </w:p>
        </w:tc>
        <w:tc>
          <w:tcPr>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支持与分局结构化系统无缝对接</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支持分局结构化系统平滑扩容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支持展示宏观态势数据、建设总览、布控、检索、比对、解析。</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141</w:t>
            </w:r>
            <w:r/>
          </w:p>
        </w:tc>
      </w:tr>
      <w:tr>
        <w:trPr>
          <w:trHeight w:val="11124"/>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智能卡口相机</w:t>
            </w:r>
            <w:r/>
          </w:p>
        </w:tc>
        <w:tc>
          <w:tcPr>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spacing w:after="220" w:afterAutospacing="0"/>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1、内置1个 CPU、GPU、NPU—体化芯片；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2、内置传感器分辨率≥4096×2160；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3、传感器靶面≥1.1"；</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4、支持GB/T28181、GA/T1400和Onvif协议，确保兼容性；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5、★支持红外和可见光同时补光，可调整红外及可见光融合比例，在低照环境下抓拍清晰车内目标；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6、★镜头支持电动聚焦功能，可通过Web 界面一键聚焦，满足抓拍图像对焦清晰；（需提供公安部检测报告复印件加盖原厂公章证明）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前排人脸检测和主驾驶员、副驾驶员的性别属性识别功能，能够区分主副驾，驾驶员人脸抠图率≥99%，副驾驶人脸抠图率≥98%；可对抠取的人脸图片叠加位置/图片大小、亮度进行调节设置，人脸抠图像素点不小于120像素 x 120像素；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8、支持未悬挂机动车号牌车辆抓拍捕获，捕获率≥99%；</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9、支持AI车牌增强功能，开启后可防止车牌过曝，支持蓝牌、黄牌、白牌、黑牌、绿牌、黄绿双拼牌；支持AI车窗增强功能，开启后可去除白天车窗反光和彩条纹；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10、可识别大、小型汽车车牌，电动新能源小车、大车车牌，摩托车车牌等常见车牌；可识别红色、白色、黑色等常见色的车身颜色；支持车辆品牌和车型识别；</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11、2个10M/100M/1000M的RJ45自适应网络接口、4个RS485接口，1个USB接口、1个TF卡接口、1个复位按键；</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13、工作温度-40℃~60℃(补光灯不开启) -40℃~40℃(补光灯开启)；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14、支持AC50~300V范围内正常工作，防护等级IP≥67。</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b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14</w:t>
            </w:r>
            <w:r/>
          </w:p>
        </w:tc>
      </w:tr>
      <w:tr>
        <w:trPr>
          <w:trHeight w:val="150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多合一补光灯（智能卡口相机</w:t>
            </w:r>
            <w:r/>
          </w:p>
        </w:tc>
        <w:tc>
          <w:tcPr>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1、补光距离16-25m；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2、支持LED频闪、LED爆闪、氙气白光闪光与红外闪光；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3、气体爆闪色温5500K-7000K，LED色温3500K-4500K；</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4、采用先进的恒流驱动控制方式，长寿命，稳定可靠，无漏闪；</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5、回电时间小于60ms；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6、触发方式：氙气爆闪开关量触发、LED 频闪电平量触发、LED爆闪电平量触发；</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7、LED发光方式：频闪、爆闪模式；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8、RS485串口功能：支持 RS485 参数调节和软件升级功能；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9、具备闪光计次功能；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10、IP≥66；</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4</w:t>
            </w:r>
            <w:r/>
          </w:p>
        </w:tc>
      </w:tr>
      <w:tr>
        <w:trPr>
          <w:trHeight w:val="248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视图库存储节点扩容</w:t>
            </w:r>
            <w:r/>
          </w:p>
        </w:tc>
        <w:tc>
          <w:tcPr>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1、▲存储软件必须具有软件自主知识产权，具有自主研发能力。（提供软件著作权登记证书，加盖投标人公章）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2、★本次新建存储节点≥6个，配置相应容量文件存储软件授权。单节点配置如下：</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单节点CPU:配置≥2颗处理器，单颗处理器主频≥2.6GHz，单颗处理器物理核数≥48核。</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单节点内存：配置≥256GB内存。</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单节点硬盘：配置≥36块20TB SATA HDD;配置≥2*480GB SSD;配置≥4*3.2TB NVME SSD。</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单节点网卡：配置≥4个10GE光口（含模块）;</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3、全对称分布式架构，无独立元数据节点，性能、容量随节点数增加而线性增加。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4、具备大规模横向扩展能力，单集群规模最大可扩展至≥4096节点。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单个集群支持配置多个独立的文件系统，每个文件系统支持1000亿以上文件。</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5、支持数据高冗余模式，最多可容忍任意4个节点同时失效而不丢失数据。支持动态EC，当节点故障时，自动调整EC配比，确保新数据可靠性不降级。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6、▲为了确保数据可靠性，当磁盘或存储节点故障时，系统能自动进行数据重建，在无人工干预条件下，数据重建速度需能满足每TB≤30分钟。（提供带有CMA、CNAS标识的检测报告相关截图证明，加盖投标人公章）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在线添加节点，添加节点后，集群容量和性能近线性增长，新增性能不低于单节点性能基线80%*新增节点个数。扩容过程中对业务无影响；支持存储软件在线升级，扩容和升级操作均不影响前端业务的连续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8、提供配额功能，支持命名空间级和子命名空间级配额，支持容量和文件数配额，可基于用户和用户组设置配额，支持默认配额。</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提供QoS功能，多服务共享一份Qos资源，可基于租户、命名空间（文件系统/桶）或客户端进行配置，可限定带宽和IOPS上限可控制最大链接数、最大打开文件数、最大锁数量。（提供带有CMA、CNAS标识的检测报告相关截图证明，加盖投标人公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10、▲流转存能力：单节点可录入2Mbps码流4500路或4Mbps 码流 2250路；单节点最大可满足8000张/s图片同时写入；（提供带有CMA、CNAS标识的检测报告相关截图证明，加盖投标人公章）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11、支持回收站功能；回收站内文件的保留时长和扫描周期可配置</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12、支持业务在节点、硬盘、网口间的负载均衡；节点内磁盘间容量误差率不超2%，节点间容量误差不超0.2%</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13、▲支持端到端数据完整性校验，解决字节跳变、读偏、写偏等静默数据错误问题，提升数据可靠性。（提供带有CMA、CNAS标识的检测报告相关截图证明，加盖投标人公章）</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6</w:t>
            </w:r>
            <w:r/>
          </w:p>
        </w:tc>
      </w:tr>
      <w:tr>
        <w:trPr>
          <w:trHeight w:val="1132"/>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Ansi="宋体"/>
                <w:color w:val="auto"/>
                <w:highlight w:val="none"/>
              </w:rPr>
            </w:pPr>
            <w:r>
              <w:rPr>
                <w:rFonts w:hint="eastAsia" w:ascii="宋体" w:hAnsi="宋体" w:eastAsia="宋体" w:cs="宋体"/>
                <w:i w:val="0"/>
                <w:iCs w:val="0"/>
                <w:color w:val="auto"/>
                <w:sz w:val="22"/>
                <w:szCs w:val="22"/>
                <w:u w:val="none"/>
                <w:lang w:val="en-US" w:eastAsia="zh-CN"/>
              </w:rPr>
              <w:t xml:space="preserve">视图库存储网络交换机</w:t>
            </w:r>
            <w:r/>
          </w:p>
        </w:tc>
        <w:tc>
          <w:tcPr>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widowControl/>
              <w:rPr>
                <w:rFonts w:ascii="宋体" w:hAnsi="宋体" w:cs="宋体"/>
                <w:color w:val="auto"/>
                <w:highlight w:val="none"/>
              </w:rPr>
            </w:pPr>
            <w:r>
              <w:rPr>
                <w:rFonts w:hint="eastAsia" w:ascii="宋体" w:hAnsi="宋体" w:eastAsia="宋体" w:cs="宋体"/>
                <w:i w:val="0"/>
                <w:iCs w:val="0"/>
                <w:color w:val="auto"/>
                <w:sz w:val="18"/>
                <w:szCs w:val="18"/>
                <w:u w:val="none"/>
                <w:lang w:val="en-US" w:eastAsia="zh-CN"/>
              </w:rPr>
              <w:t xml:space="preserve">1、★交换容量≥4.8Tbps，包转发率≥2000Mpps；</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2、★接口要求：48 x 10GE+8 x 40/100GE，冗余电源模块，3个风扇，24个万兆多模模块，1根40G-高速电缆-5m；</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3、★CPU、LSW 均为国产自研芯片，提供权威第三方报告证明；</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4、采用严格的前后风道设计，支持冷热风道完全隔离，提升散热的效率，满足数据中心机房设计要求</w:t>
            </w:r>
            <w:r>
              <w:rPr>
                <w:rStyle w:val="969"/>
                <w:color w:val="auto"/>
                <w:lang w:val="en-US" w:eastAsia="zh-CN"/>
              </w:rPr>
              <w:t xml:space="preserve">；</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5、★M-LAG（或 vPC 或 DRNI）支持一致性检查、维护模式无损升级、协议认证等功能，提供权威第三方报告证明；</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6、支持硬件 BFD，最小时间间隔为 3.3ms</w:t>
            </w:r>
            <w:r>
              <w:rPr>
                <w:rStyle w:val="969"/>
                <w:color w:val="auto"/>
                <w:lang w:val="en-US" w:eastAsia="zh-CN"/>
              </w:rPr>
              <w:t xml:space="preserve">；</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7、支持 PFC 和 AI ECN、RDMA 和 RoCE（RoCE v1 和 RoCE v2）；</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8、支持 RIPng、OSPFv3、ISISv6、BGP4+等 IPv6 动态路由协议；</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9、支持 BGP-EVPN 作为 VXLAN 的控制平面，简化 DC 内、DC 间的 VXLAN 的配置；</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10、★支持 MacSec 国密算法，提供权威第三方报告证明；</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11、支持 PQ、DRR、PQ+DRR 等队列调度方式，支持流量整形，支持1588v2；</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12、支持 SNMP V1/V2/V3、Telnet、RMON、SSH；</w:t>
            </w:r>
            <w:r>
              <w:rPr>
                <w:rFonts w:hint="eastAsia" w:ascii="宋体" w:hAnsi="宋体" w:eastAsia="宋体" w:cs="宋体"/>
                <w:i w:val="0"/>
                <w:iCs w:val="0"/>
                <w:color w:val="auto"/>
                <w:sz w:val="18"/>
                <w:szCs w:val="18"/>
                <w:u w:val="none"/>
                <w:lang w:val="en-US" w:eastAsia="zh-CN"/>
              </w:rPr>
              <w:br/>
            </w:r>
            <w:r>
              <w:rPr>
                <w:rFonts w:hint="eastAsia" w:ascii="宋体" w:hAnsi="宋体" w:eastAsia="宋体" w:cs="宋体"/>
                <w:i w:val="0"/>
                <w:iCs w:val="0"/>
                <w:color w:val="auto"/>
                <w:sz w:val="18"/>
                <w:szCs w:val="18"/>
                <w:u w:val="none"/>
                <w:lang w:val="en-US" w:eastAsia="zh-CN"/>
              </w:rPr>
              <w:t xml:space="preserve">13、支持 Telemetry 可视化运维；</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2</w:t>
            </w:r>
            <w:r/>
          </w:p>
        </w:tc>
      </w:tr>
    </w:tbl>
    <w:p>
      <w:pPr>
        <w:ind w:firstLine="420"/>
        <w:spacing w:line="360" w:lineRule="auto"/>
        <w:rPr>
          <w:rFonts w:ascii="宋体"/>
          <w:color w:val="auto"/>
          <w:highlight w:val="none"/>
        </w:rPr>
      </w:pPr>
      <w:r>
        <w:rPr>
          <w:rFonts w:ascii="宋体"/>
          <w:color w:val="auto"/>
          <w:highlight w:val="none"/>
        </w:rPr>
      </w:r>
      <w:r/>
    </w:p>
    <w:p>
      <w:pPr>
        <w:ind w:firstLine="420"/>
        <w:spacing w:line="360" w:lineRule="auto"/>
        <w:rPr>
          <w:rFonts w:ascii="宋体" w:hAnsi="宋体"/>
          <w:color w:val="auto"/>
          <w:highlight w:val="none"/>
          <w:lang w:val="zh-CN"/>
        </w:rPr>
      </w:pPr>
      <w:r>
        <w:rPr>
          <w:rFonts w:hint="eastAsia" w:ascii="宋体"/>
          <w:color w:val="auto"/>
          <w:highlight w:val="none"/>
        </w:rPr>
        <w:t xml:space="preserve">注：</w:t>
      </w:r>
      <w:r>
        <w:rPr>
          <w:rFonts w:hint="eastAsia" w:ascii="宋体" w:hAnsi="宋体"/>
          <w:color w:val="auto"/>
          <w:highlight w:val="none"/>
          <w:lang w:val="zh-CN"/>
        </w:rPr>
        <w:t xml:space="preserve">1、本项目以上仅为此项目所需的主要设备清单，投标供应商</w:t>
      </w:r>
      <w:r>
        <w:rPr>
          <w:rFonts w:hint="eastAsia" w:ascii="宋体" w:hAnsi="宋体"/>
          <w:color w:val="auto"/>
          <w:highlight w:val="none"/>
        </w:rPr>
        <w:t xml:space="preserve">应</w:t>
      </w:r>
      <w:r>
        <w:rPr>
          <w:rFonts w:hint="eastAsia" w:ascii="宋体" w:hAnsi="宋体"/>
          <w:color w:val="auto"/>
          <w:highlight w:val="none"/>
          <w:lang w:val="zh-CN"/>
        </w:rPr>
        <w:t xml:space="preserve">根据实际情况对配套的杆件、防雷接地、机柜网络等设备进行更换、维护和补充，确保使用过程中的安全可靠，中标人无论是自建、租赁杆件、借用公安自建杆件，中标人应负安全责任，杆件均需要满足本标书关于传输系统材料设备部分技术要求，</w:t>
      </w:r>
      <w:r>
        <w:rPr>
          <w:rFonts w:hint="eastAsia" w:ascii="宋体" w:hAnsi="宋体"/>
          <w:color w:val="auto"/>
          <w:highlight w:val="none"/>
        </w:rPr>
        <w:t xml:space="preserve">所有相机应根据场景配相应的电源、镜头、支架等配件</w:t>
      </w:r>
      <w:r>
        <w:rPr>
          <w:rFonts w:hint="eastAsia" w:ascii="宋体" w:hAnsi="宋体"/>
          <w:color w:val="auto"/>
          <w:highlight w:val="none"/>
          <w:lang w:val="zh-CN"/>
        </w:rPr>
        <w:t xml:space="preserve">，供应商报价时应考虑整个系统正常运行（包括后端接入、平台接入授权等硬件、软件、人工、运输）所产生的各种费用，本项目中交换机、</w:t>
      </w:r>
      <w:r>
        <w:rPr>
          <w:rFonts w:hint="eastAsia" w:ascii="宋体" w:hAnsi="宋体"/>
          <w:color w:val="auto"/>
          <w:highlight w:val="none"/>
        </w:rPr>
        <w:t xml:space="preserve">服务器、存储等后端设备</w:t>
      </w:r>
      <w:r>
        <w:rPr>
          <w:rFonts w:hint="eastAsia" w:ascii="宋体" w:hAnsi="宋体"/>
          <w:color w:val="auto"/>
          <w:highlight w:val="none"/>
          <w:lang w:val="zh-CN"/>
        </w:rPr>
        <w:t xml:space="preserve">的运输（直至机柜安装位置）、安装、调试，</w:t>
      </w:r>
      <w:r>
        <w:rPr>
          <w:rFonts w:hint="eastAsia" w:ascii="宋体" w:hAnsi="宋体"/>
          <w:color w:val="auto"/>
          <w:highlight w:val="none"/>
          <w:lang w:val="en-US" w:eastAsia="zh-CN"/>
        </w:rPr>
        <w:t xml:space="preserve">因修路、实际工作需要等导致的监控点位移点，</w:t>
      </w:r>
      <w:r>
        <w:rPr>
          <w:rFonts w:hint="eastAsia" w:ascii="宋体" w:hAnsi="宋体"/>
          <w:color w:val="auto"/>
          <w:highlight w:val="none"/>
          <w:lang w:val="zh-CN"/>
        </w:rPr>
        <w:t xml:space="preserve">也均由中标人负责，投标人需考虑其中所有费用，除中标价外，采购人不再另外支付其他费用。</w:t>
      </w:r>
      <w:r/>
    </w:p>
    <w:p>
      <w:pPr>
        <w:ind w:firstLine="420"/>
        <w:spacing w:line="360" w:lineRule="auto"/>
        <w:rPr>
          <w:rFonts w:ascii="宋体" w:hAnsi="宋体"/>
          <w:color w:val="auto"/>
          <w:highlight w:val="none"/>
          <w:lang w:val="zh-CN"/>
        </w:rPr>
      </w:pPr>
      <w:r>
        <w:rPr>
          <w:rFonts w:hint="eastAsia" w:ascii="宋体" w:hAnsi="宋体"/>
          <w:color w:val="auto"/>
          <w:highlight w:val="none"/>
          <w:lang w:val="zh-CN"/>
        </w:rPr>
        <w:t xml:space="preserve">2、供应商必须考虑</w:t>
      </w:r>
      <w:r>
        <w:rPr>
          <w:rFonts w:hint="eastAsia" w:ascii="宋体" w:hAnsi="宋体"/>
          <w:color w:val="auto"/>
          <w:highlight w:val="none"/>
        </w:rPr>
        <w:t xml:space="preserve">全部</w:t>
      </w:r>
      <w:r>
        <w:rPr>
          <w:rFonts w:hint="eastAsia" w:ascii="宋体" w:hAnsi="宋体"/>
          <w:color w:val="auto"/>
          <w:highlight w:val="none"/>
          <w:lang w:val="zh-CN"/>
        </w:rPr>
        <w:t xml:space="preserve">前端设备的取电、电费及施工问题（含协调），</w:t>
      </w:r>
      <w:r>
        <w:rPr>
          <w:rFonts w:hint="eastAsia" w:ascii="宋体" w:hAnsi="宋体"/>
          <w:color w:val="auto"/>
          <w:highlight w:val="none"/>
        </w:rPr>
        <w:t xml:space="preserve">全部</w:t>
      </w:r>
      <w:r>
        <w:rPr>
          <w:rFonts w:hint="eastAsia" w:ascii="宋体" w:hAnsi="宋体"/>
          <w:color w:val="auto"/>
          <w:highlight w:val="none"/>
          <w:lang w:val="zh-CN"/>
        </w:rPr>
        <w:t xml:space="preserve">光缆</w:t>
      </w:r>
      <w:r>
        <w:rPr>
          <w:rFonts w:hint="eastAsia" w:ascii="宋体" w:hAnsi="宋体"/>
          <w:color w:val="auto"/>
          <w:highlight w:val="none"/>
        </w:rPr>
        <w:t xml:space="preserve">线路、公安自建以外的杆件</w:t>
      </w:r>
      <w:r>
        <w:rPr>
          <w:rFonts w:hint="eastAsia" w:ascii="宋体" w:hAnsi="宋体"/>
          <w:color w:val="auto"/>
          <w:highlight w:val="none"/>
          <w:lang w:val="zh-CN"/>
        </w:rPr>
        <w:t xml:space="preserve">租用等产生的所有费用自行在报价表中列出，采购人不另外提供任何费用。</w:t>
      </w:r>
      <w:r/>
    </w:p>
    <w:p>
      <w:pPr>
        <w:ind w:firstLine="424"/>
        <w:spacing w:line="360" w:lineRule="auto"/>
        <w:rPr>
          <w:rFonts w:ascii="宋体" w:hAnsi="宋体"/>
          <w:color w:val="auto"/>
          <w:highlight w:val="none"/>
          <w:lang w:val="zh-CN"/>
        </w:rPr>
      </w:pPr>
      <w:r>
        <w:rPr>
          <w:rFonts w:hint="eastAsia" w:ascii="宋体" w:hAnsi="宋体"/>
          <w:color w:val="auto"/>
          <w:highlight w:val="none"/>
          <w:lang w:val="zh-CN"/>
        </w:rPr>
        <w:t xml:space="preserve">3、</w:t>
      </w:r>
      <w:r>
        <w:rPr>
          <w:rFonts w:hint="eastAsia" w:ascii="宋体" w:hAnsi="宋体"/>
          <w:i/>
          <w:color w:val="auto"/>
          <w:highlight w:val="none"/>
          <w:u w:val="single"/>
          <w:lang w:val="zh-CN"/>
        </w:rPr>
        <w:t xml:space="preserve">供应商所提供的设备必须无缝接入扬州市公安局和扬州市公安局江都分局现有系统平台。</w:t>
      </w:r>
      <w:r>
        <w:rPr>
          <w:rFonts w:hint="eastAsia" w:ascii="宋体" w:hAnsi="宋体"/>
          <w:i/>
          <w:color w:val="auto"/>
          <w:highlight w:val="none"/>
          <w:u w:val="single"/>
        </w:rPr>
        <w:t xml:space="preserve">与江都分局结构化平台对接时，任意7天内的平台认定的超低质量图片比例不高于百分之五，</w:t>
      </w:r>
      <w:r>
        <w:rPr>
          <w:rFonts w:hint="eastAsia" w:ascii="宋体" w:hAnsi="宋体"/>
          <w:b/>
          <w:i/>
          <w:color w:val="auto"/>
          <w:szCs w:val="21"/>
          <w:highlight w:val="none"/>
          <w:u w:val="single"/>
        </w:rPr>
        <w:t xml:space="preserve">供应商在投标文件中须提供承诺书原件上传（承诺书格式自拟），未承诺的作无效投标处理。</w:t>
      </w:r>
      <w:r/>
    </w:p>
    <w:p>
      <w:pPr>
        <w:ind w:firstLine="420"/>
        <w:spacing w:line="360" w:lineRule="auto"/>
        <w:rPr>
          <w:rFonts w:ascii="宋体" w:hAnsi="Times New Roman"/>
          <w:color w:val="auto"/>
          <w:highlight w:val="none"/>
        </w:rPr>
      </w:pPr>
      <w:r>
        <w:rPr>
          <w:rFonts w:hint="eastAsia" w:ascii="宋体" w:hAnsi="Times New Roman"/>
          <w:color w:val="auto"/>
          <w:highlight w:val="none"/>
        </w:rPr>
        <w:t xml:space="preserve">4、前端相机、后端服务器扩容、云存储系统扩容及相关设备采用国产主流产品，</w:t>
      </w:r>
      <w:r>
        <w:rPr>
          <w:rFonts w:hint="eastAsia" w:ascii="宋体" w:hAnsi="Times New Roman"/>
          <w:i/>
          <w:iCs/>
          <w:color w:val="auto"/>
          <w:highlight w:val="none"/>
          <w:u w:val="single"/>
        </w:rPr>
        <w:t xml:space="preserve">其中视图库存储扩容，需要实现与江都分局现有平台无缝对接，且需要被江都分局现有主机集群统一管理。</w:t>
      </w:r>
      <w:r>
        <w:rPr>
          <w:rFonts w:hint="eastAsia" w:ascii="宋体" w:hAnsi="宋体"/>
          <w:b/>
          <w:bCs/>
          <w:i/>
          <w:iCs/>
          <w:color w:val="auto"/>
          <w:szCs w:val="21"/>
          <w:highlight w:val="none"/>
          <w:u w:val="single"/>
        </w:rPr>
        <w:t xml:space="preserve">供应商在投标文件中须提供承诺书原件上传（承诺书格式自拟），未承诺的作无效投标处理</w:t>
      </w:r>
      <w:r>
        <w:rPr>
          <w:rFonts w:hint="eastAsia" w:ascii="宋体" w:hAnsi="Times New Roman"/>
          <w:b/>
          <w:bCs/>
          <w:color w:val="auto"/>
          <w:highlight w:val="none"/>
        </w:rPr>
        <w:t xml:space="preserve">。</w:t>
      </w:r>
      <w:r/>
    </w:p>
    <w:p>
      <w:pPr>
        <w:ind w:firstLine="420"/>
        <w:spacing w:line="360" w:lineRule="auto"/>
        <w:rPr>
          <w:rFonts w:ascii="宋体" w:hAnsi="宋体"/>
          <w:i/>
          <w:color w:val="auto"/>
          <w:highlight w:val="none"/>
          <w:u w:val="single"/>
        </w:rPr>
      </w:pPr>
      <w:r>
        <w:rPr>
          <w:rFonts w:hint="eastAsia" w:ascii="宋体" w:hAnsi="Times New Roman"/>
          <w:color w:val="auto"/>
          <w:highlight w:val="none"/>
        </w:rPr>
        <w:t xml:space="preserve">5、</w:t>
      </w:r>
      <w:r>
        <w:rPr>
          <w:rFonts w:hint="eastAsia" w:ascii="宋体" w:hAnsi="宋体"/>
          <w:i/>
          <w:color w:val="auto"/>
          <w:highlight w:val="none"/>
          <w:u w:val="single"/>
          <w:lang w:eastAsia="zh-CN"/>
        </w:rPr>
        <w:t xml:space="preserve">供应商</w:t>
      </w:r>
      <w:r>
        <w:rPr>
          <w:rFonts w:hint="eastAsia" w:ascii="宋体" w:hAnsi="宋体"/>
          <w:i/>
          <w:color w:val="auto"/>
          <w:highlight w:val="none"/>
          <w:u w:val="single"/>
        </w:rPr>
        <w:t xml:space="preserve">需承诺所有后端设备硬盘在本地有备份，有损坏时能在48小时内更换，并承诺所有硬件设备，不限于交换机、服务器、存储后端等设备在合同到期后，采购人有永久使用权。</w:t>
      </w:r>
      <w:r>
        <w:rPr>
          <w:rFonts w:hint="eastAsia" w:ascii="宋体" w:hAnsi="宋体"/>
          <w:b/>
          <w:i/>
          <w:color w:val="auto"/>
          <w:szCs w:val="21"/>
          <w:highlight w:val="none"/>
          <w:u w:val="single"/>
        </w:rPr>
        <w:t xml:space="preserve">供应商在投标文件中须提供承诺书原件上传（承诺书格式自拟），未承诺的作无效投标处理。</w:t>
      </w:r>
      <w:r/>
    </w:p>
    <w:p>
      <w:pPr>
        <w:ind w:firstLine="420"/>
        <w:spacing w:line="360" w:lineRule="auto"/>
        <w:rPr>
          <w:rFonts w:ascii="宋体" w:hAnsi="宋体"/>
          <w:b/>
          <w:i/>
          <w:color w:val="auto"/>
          <w:szCs w:val="21"/>
          <w:highlight w:val="none"/>
          <w:u w:val="single"/>
        </w:rPr>
      </w:pPr>
      <w:r>
        <w:rPr>
          <w:rFonts w:hint="eastAsia" w:ascii="宋体" w:hAnsi="Times New Roman"/>
          <w:color w:val="auto"/>
          <w:highlight w:val="none"/>
        </w:rPr>
        <w:t xml:space="preserve">6、</w:t>
      </w:r>
      <w:r>
        <w:rPr>
          <w:rFonts w:hint="eastAsia" w:ascii="宋体" w:hAnsi="宋体"/>
          <w:i/>
          <w:color w:val="auto"/>
          <w:highlight w:val="none"/>
          <w:u w:val="single"/>
        </w:rPr>
        <w:t xml:space="preserve">服务期间，供应商未经采购方同意，不得访问、获取、留存、使用、泄露或者向他人提供数据，不得对数据进行关联分析。所有数据归采购方所有。</w:t>
      </w:r>
      <w:r>
        <w:rPr>
          <w:rFonts w:hint="eastAsia" w:ascii="宋体" w:hAnsi="宋体"/>
          <w:b/>
          <w:i/>
          <w:color w:val="auto"/>
          <w:szCs w:val="21"/>
          <w:highlight w:val="none"/>
          <w:u w:val="single"/>
        </w:rPr>
        <w:t xml:space="preserve">供应商在投标文件中须提供承诺书原件上传（承诺书格式自拟），未承诺的作无效投标处理。</w:t>
      </w:r>
      <w:r/>
    </w:p>
    <w:p>
      <w:pPr>
        <w:ind w:firstLine="422"/>
        <w:spacing w:line="360" w:lineRule="auto"/>
        <w:rPr>
          <w:rFonts w:ascii="宋体" w:hAnsi="Times New Roman"/>
          <w:b/>
          <w:color w:val="auto"/>
          <w:highlight w:val="none"/>
        </w:rPr>
      </w:pPr>
      <w:r>
        <w:rPr>
          <w:rFonts w:ascii="宋体" w:hAnsi="Times New Roman"/>
          <w:b/>
          <w:color w:val="auto"/>
          <w:highlight w:val="none"/>
        </w:rPr>
      </w:r>
      <w:r/>
    </w:p>
    <w:p>
      <w:pPr>
        <w:spacing w:line="360" w:lineRule="auto"/>
        <w:rPr>
          <w:rFonts w:ascii="Cambria" w:hAnsi="Cambria"/>
          <w:b/>
          <w:bCs/>
          <w:color w:val="auto"/>
          <w:sz w:val="24"/>
          <w:szCs w:val="32"/>
          <w:highlight w:val="none"/>
        </w:rPr>
      </w:pPr>
      <w:r>
        <w:rPr>
          <w:rFonts w:hint="eastAsia" w:ascii="Cambria" w:hAnsi="Cambria"/>
          <w:b/>
          <w:bCs/>
          <w:color w:val="auto"/>
          <w:sz w:val="24"/>
          <w:szCs w:val="32"/>
          <w:highlight w:val="none"/>
        </w:rPr>
        <w:t xml:space="preserve">采购包3：</w:t>
      </w:r>
      <w:r/>
    </w:p>
    <w:p>
      <w:pPr>
        <w:ind w:firstLine="422"/>
        <w:spacing w:line="360" w:lineRule="auto"/>
        <w:rPr>
          <w:rFonts w:ascii="宋体" w:hAnsi="宋体"/>
          <w:b/>
          <w:i/>
          <w:color w:val="auto"/>
          <w:szCs w:val="21"/>
          <w:highlight w:val="none"/>
          <w:u w:val="single"/>
        </w:rPr>
      </w:pPr>
      <w:r>
        <w:rPr>
          <w:rFonts w:hint="eastAsia" w:ascii="宋体" w:hAnsi="宋体"/>
          <w:b/>
          <w:i/>
          <w:color w:val="auto"/>
          <w:szCs w:val="21"/>
          <w:highlight w:val="none"/>
          <w:u w:val="single"/>
        </w:rPr>
        <w:t xml:space="preserve">供应商在中标后合同签订前须提供前端相机、补光灯、云存储扩容、平台服务器扩容硬件厂家(或授权代理商)出具的针对本项目（或投标产品）的授权函及质保函，授权代理商盖章的同时提供授权代理证书。供应商在投标文件中须提供承诺书原件上传（承诺书格式自拟），未承诺的作无效投标处理。</w:t>
      </w:r>
      <w:r/>
    </w:p>
    <w:p>
      <w:pPr>
        <w:pStyle w:val="899"/>
        <w:numPr>
          <w:ilvl w:val="0"/>
          <w:numId w:val="5"/>
        </w:numPr>
        <w:ind w:left="0" w:firstLine="0"/>
        <w:jc w:val="left"/>
        <w:spacing w:before="120" w:line="360" w:lineRule="auto"/>
        <w:rPr>
          <w:rFonts w:ascii="宋体" w:hAnsi="宋体"/>
          <w:color w:val="auto"/>
          <w:sz w:val="21"/>
          <w:szCs w:val="21"/>
          <w:highlight w:val="none"/>
        </w:rPr>
      </w:pPr>
      <w:r>
        <w:rPr>
          <w:rFonts w:hint="eastAsia" w:ascii="宋体" w:hAnsi="宋体" w:eastAsia="宋体" w:cs="宋体"/>
          <w:color w:val="auto"/>
          <w:sz w:val="21"/>
          <w:szCs w:val="22"/>
          <w:highlight w:val="none"/>
          <w:lang w:val="en-US" w:eastAsia="zh-CN" w:bidi="ar-SA"/>
        </w:rPr>
        <w:t xml:space="preserve">对原江都公安天眼四期227台相机进行升级</w:t>
      </w:r>
      <w:r>
        <w:rPr>
          <w:rFonts w:hint="eastAsia" w:ascii="宋体" w:hAnsi="宋体" w:eastAsia="宋体" w:cs="宋体"/>
          <w:b/>
          <w:bCs/>
          <w:color w:val="auto"/>
          <w:sz w:val="21"/>
          <w:szCs w:val="22"/>
          <w:highlight w:val="none"/>
          <w:lang w:val="en-US" w:eastAsia="zh-CN" w:bidi="ar-SA"/>
        </w:rPr>
        <w:t xml:space="preserve">改造，新增、更换</w:t>
      </w:r>
      <w:r>
        <w:rPr>
          <w:rFonts w:hint="eastAsia" w:ascii="宋体" w:hAnsi="宋体" w:eastAsia="宋体" w:cs="宋体"/>
          <w:color w:val="auto"/>
          <w:sz w:val="21"/>
          <w:szCs w:val="22"/>
          <w:highlight w:val="none"/>
          <w:lang w:val="en-US" w:eastAsia="zh-CN" w:bidi="ar-SA"/>
        </w:rPr>
        <w:t xml:space="preserve">78台枪机、44台球机、1台高空球机、79台四目结构化相机、14台双目结构化相机（室外）、11台双目结构化相机（室内）及相配的视频图片存储、服务器扩容、软件授权、补光灯等，并提供本项目5年维护维保服务。对原江都公安疫情查控点智能采集设备项目小纪镇、武坚镇7个卡口进行升级改造，新增、更换智能卡口相机15台、卡口辅助双目结构化相机1台、卡口辅助四目结构化相机8台、卡口辅助球机17台及其相配的视频图片存储、服务器扩容、软件授权、补光灯等，并提供本项目5年维护</w:t>
      </w:r>
      <w:r>
        <w:rPr>
          <w:rFonts w:hint="eastAsia" w:ascii="宋体" w:hAnsi="宋体" w:eastAsia="宋体" w:cs="宋体"/>
          <w:color w:val="auto"/>
          <w:sz w:val="21"/>
          <w:szCs w:val="22"/>
          <w:highlight w:val="none"/>
          <w:lang w:val="en-US" w:eastAsia="zh-CN" w:bidi="ar-SA"/>
        </w:rPr>
        <w:t xml:space="preserve">维保服务。对原智能卡口升级改造与新建项目19个点位进行升级改造，新增、更换50台智能卡口相机、12台卡口辅助双目结构化相机、20台卡口辅助球机及其相配的视频图片存储、服务器扩容、软件授权、补光灯等，并提供本项目5年维护维保服务。新建34台小区双目结构化相机、59台道路四目结构化相机及其相配的视频图片存储、服务器扩容、软件授权、补光灯等，并提供本项目5年维护维保服务。人脸解析、检索、灵犀平台服务器扩容、提供5年维护维保服务。实现与扬州公安局、扬州公安局江都分局现有平台无缝对接，实现资源统一管理、应用整合共享。</w:t>
      </w:r>
      <w:r>
        <w:rPr>
          <w:rFonts w:hint="eastAsia" w:ascii="宋体" w:hAnsi="宋体"/>
          <w:color w:val="auto"/>
          <w:sz w:val="21"/>
          <w:highlight w:val="none"/>
        </w:rPr>
        <w:t xml:space="preserve">实现与扬州市公安局、扬州公安局江都分局现有平台无缝对接，实现资源统一管理、应用整合共享</w:t>
      </w:r>
      <w:r>
        <w:rPr>
          <w:rFonts w:hint="eastAsia" w:ascii="宋体" w:hAnsi="宋体"/>
          <w:color w:val="auto"/>
          <w:sz w:val="21"/>
          <w:szCs w:val="21"/>
          <w:highlight w:val="none"/>
        </w:rPr>
        <w:t xml:space="preserve">。项目为租赁服务方式，公安局支付正常运行的租赁费用，因各种原因（包括不可抗力）造成的移杆、损坏等费用均不承担，费用分5年支付。5年租赁期内平台管理权、使用权归甲方所有，乙方必须无条件提供甲方要求的各类监控的接入技术服务</w:t>
      </w:r>
      <w:r>
        <w:rPr>
          <w:rFonts w:hint="eastAsia"/>
          <w:color w:val="auto"/>
          <w:sz w:val="21"/>
          <w:highlight w:val="none"/>
        </w:rPr>
        <w:t xml:space="preserve">，</w:t>
      </w:r>
      <w:r>
        <w:rPr>
          <w:rFonts w:hint="eastAsia" w:ascii="宋体" w:hAnsi="宋体"/>
          <w:color w:val="auto"/>
          <w:sz w:val="21"/>
          <w:szCs w:val="21"/>
          <w:highlight w:val="none"/>
        </w:rPr>
        <w:t xml:space="preserve">到期后平台管理权、使用权、后端服务器、存储等设备由甲方继续使用，项目实施期间及到期后，机房均由甲方负责提供。</w:t>
      </w:r>
      <w:r>
        <w:rPr>
          <w:rFonts w:hint="eastAsia" w:ascii="宋体" w:hAnsi="宋体"/>
          <w:i/>
          <w:iCs/>
          <w:color w:val="auto"/>
          <w:sz w:val="21"/>
          <w:szCs w:val="21"/>
          <w:highlight w:val="none"/>
          <w:u w:val="single"/>
        </w:rPr>
        <w:t xml:space="preserve">项目安装期限为签定合同后3个月，</w:t>
      </w:r>
      <w:r>
        <w:rPr>
          <w:rFonts w:hint="eastAsia" w:ascii="宋体" w:hAnsi="宋体"/>
          <w:i/>
          <w:iCs/>
          <w:color w:val="auto"/>
          <w:sz w:val="21"/>
          <w:szCs w:val="21"/>
          <w:highlight w:val="none"/>
          <w:u w:val="single"/>
          <w:lang w:eastAsia="zh-CN"/>
        </w:rPr>
        <w:t xml:space="preserve">后端设备供货期限</w:t>
      </w:r>
      <w:r>
        <w:rPr>
          <w:rFonts w:ascii="宋体" w:hAnsi="宋体"/>
          <w:i/>
          <w:iCs/>
          <w:color w:val="auto"/>
          <w:sz w:val="21"/>
          <w:szCs w:val="21"/>
          <w:highlight w:val="none"/>
          <w:u w:val="single"/>
        </w:rPr>
        <w:t xml:space="preserve">为</w:t>
      </w:r>
      <w:r>
        <w:rPr>
          <w:rFonts w:hint="eastAsia" w:ascii="宋体" w:hAnsi="宋体"/>
          <w:i/>
          <w:iCs/>
          <w:color w:val="auto"/>
          <w:sz w:val="21"/>
          <w:szCs w:val="21"/>
          <w:highlight w:val="none"/>
          <w:u w:val="single"/>
          <w:lang w:val="en-US" w:eastAsia="zh-CN"/>
        </w:rPr>
        <w:t xml:space="preserve">成交公告公示期结束</w:t>
      </w:r>
      <w:r>
        <w:rPr>
          <w:rFonts w:ascii="宋体" w:hAnsi="宋体"/>
          <w:i/>
          <w:iCs/>
          <w:color w:val="auto"/>
          <w:sz w:val="21"/>
          <w:szCs w:val="21"/>
          <w:highlight w:val="none"/>
          <w:u w:val="single"/>
        </w:rPr>
        <w:t xml:space="preserve">后</w:t>
      </w:r>
      <w:r>
        <w:rPr>
          <w:rFonts w:hint="eastAsia" w:ascii="宋体" w:hAnsi="宋体"/>
          <w:i/>
          <w:iCs/>
          <w:color w:val="auto"/>
          <w:sz w:val="21"/>
          <w:szCs w:val="21"/>
          <w:highlight w:val="none"/>
          <w:u w:val="single"/>
          <w:lang w:val="en-US" w:eastAsia="zh-CN"/>
        </w:rPr>
        <w:t xml:space="preserve">2</w:t>
      </w:r>
      <w:r>
        <w:rPr>
          <w:rFonts w:hint="eastAsia" w:ascii="宋体" w:hAnsi="宋体"/>
          <w:i/>
          <w:iCs/>
          <w:color w:val="auto"/>
          <w:sz w:val="21"/>
          <w:szCs w:val="21"/>
          <w:highlight w:val="none"/>
          <w:u w:val="single"/>
        </w:rPr>
        <w:t xml:space="preserve">个月，必须在规定期限内完成工作任务</w:t>
      </w:r>
      <w:r>
        <w:rPr>
          <w:rFonts w:hint="eastAsia" w:ascii="宋体" w:hAnsi="宋体"/>
          <w:color w:val="auto"/>
          <w:sz w:val="21"/>
          <w:szCs w:val="21"/>
          <w:highlight w:val="none"/>
        </w:rPr>
        <w:t xml:space="preserve">。</w:t>
      </w:r>
      <w:r>
        <w:rPr>
          <w:rFonts w:hint="eastAsia" w:ascii="宋体" w:hAnsi="宋体"/>
          <w:i/>
          <w:iCs/>
          <w:color w:val="auto"/>
          <w:sz w:val="21"/>
          <w:szCs w:val="21"/>
          <w:highlight w:val="none"/>
          <w:u w:val="single"/>
        </w:rPr>
        <w:t xml:space="preserve">供应商在投标文件中须提供承诺书原件上传（承诺书格式自拟），未承诺的作无效投标处理。</w:t>
      </w:r>
      <w:r/>
    </w:p>
    <w:p>
      <w:pPr>
        <w:ind w:firstLine="422"/>
        <w:jc w:val="left"/>
        <w:spacing w:line="360" w:lineRule="auto"/>
        <w:rPr>
          <w:rFonts w:ascii="宋体" w:hAnsi="宋体" w:cs="Arial"/>
          <w:b/>
          <w:color w:val="auto"/>
          <w:szCs w:val="21"/>
          <w:highlight w:val="none"/>
        </w:rPr>
        <w:outlineLvl w:val="2"/>
      </w:pPr>
      <w:r>
        <w:rPr>
          <w:rFonts w:ascii="宋体" w:hAnsi="宋体" w:cs="Arial"/>
          <w:b/>
          <w:color w:val="auto"/>
          <w:szCs w:val="21"/>
          <w:highlight w:val="none"/>
        </w:rPr>
        <w:t xml:space="preserve">一</w:t>
      </w:r>
      <w:r>
        <w:rPr>
          <w:rFonts w:hint="eastAsia" w:ascii="宋体" w:hAnsi="宋体" w:cs="Arial"/>
          <w:b/>
          <w:color w:val="auto"/>
          <w:szCs w:val="21"/>
          <w:highlight w:val="none"/>
        </w:rPr>
        <w:t xml:space="preserve">、</w:t>
      </w:r>
      <w:r>
        <w:rPr>
          <w:rFonts w:ascii="宋体" w:hAnsi="宋体" w:cs="Arial"/>
          <w:b/>
          <w:color w:val="auto"/>
          <w:szCs w:val="21"/>
          <w:highlight w:val="none"/>
        </w:rPr>
        <w:t xml:space="preserve">传输系统材料设备部分技术要求</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监控点根据现场实际情况，可采用立杆安装、抱箍安装、壁挂安装以及吊杆安装等方式。其中抱箍、壁挂支架以及吊杆支架有成套产品，根据现场选择符合要求的产品即可。监控立杆设计需要考虑整体杆件的设计、立杆材质、杆型、焊接工艺、表面处理以及杆体颜色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立杆为横臂离地面高度不低于6.5米，微卡口横臂长度大于等于3米，智能卡口横臂不得比单向路面宽度少一米以上，特殊地形可适度调整，采用立杆固定时，杆底端焊接固定法兰盘，预留拉线孔，地基应是硬质，同时根据现场安装点地质的实际情况，调整相应的尺寸。立杆的安装应牢固，不得歪斜，需用水平仪来测定；制作要美观，其顶部应做防水帽。立杆应有较高强度，抗台风、防摄像机抖动、防攀爬、防腐。立杆基础规格按不同的杆体进行分别设计。</w:t>
      </w:r>
      <w:r/>
    </w:p>
    <w:p>
      <w:pPr>
        <w:ind w:firstLine="422"/>
        <w:jc w:val="left"/>
        <w:spacing w:line="360" w:lineRule="auto"/>
        <w:rPr>
          <w:rFonts w:ascii="宋体" w:hAnsi="宋体" w:cs="Arial"/>
          <w:b/>
          <w:color w:val="auto"/>
          <w:szCs w:val="21"/>
          <w:highlight w:val="none"/>
        </w:rPr>
      </w:pPr>
      <w:r>
        <w:rPr>
          <w:rFonts w:ascii="宋体" w:hAnsi="宋体" w:cs="Arial"/>
          <w:b/>
          <w:color w:val="auto"/>
          <w:szCs w:val="21"/>
          <w:highlight w:val="none"/>
        </w:rPr>
        <w:t xml:space="preserve">监控箱</w:t>
      </w:r>
      <w:r/>
    </w:p>
    <w:tbl>
      <w:tblPr>
        <w:tblStyle w:val="873"/>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721"/>
        <w:gridCol w:w="2850"/>
        <w:gridCol w:w="781"/>
        <w:gridCol w:w="2710"/>
      </w:tblGrid>
      <w:tr>
        <w:trPr>
          <w:trHeight w:val="454"/>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规格及型号</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2710"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材质</w:t>
            </w:r>
            <w:r/>
          </w:p>
        </w:tc>
      </w:tr>
      <w:tr>
        <w:trPr>
          <w:trHeight w:val="454"/>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子项</w:t>
            </w:r>
            <w:r>
              <w:rPr>
                <w:rFonts w:hint="eastAsia" w:ascii="宋体" w:hAnsi="宋体" w:cs="Arial"/>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rPr>
                <w:rFonts w:ascii="宋体" w:hAnsi="宋体" w:cs="Arial"/>
                <w:color w:val="auto"/>
                <w:szCs w:val="21"/>
                <w:highlight w:val="none"/>
              </w:rPr>
            </w:pPr>
            <w:r>
              <w:rPr>
                <w:rFonts w:ascii="宋体" w:hAnsi="宋体" w:cs="Arial"/>
                <w:b/>
                <w:color w:val="auto"/>
                <w:szCs w:val="21"/>
                <w:highlight w:val="none"/>
              </w:rPr>
              <w:t xml:space="preserve">监控箱</w:t>
            </w:r>
            <w:r>
              <w:rPr>
                <w:rFonts w:ascii="宋体" w:hAnsi="宋体" w:cs="Arial"/>
                <w:color w:val="auto"/>
                <w:szCs w:val="21"/>
                <w:highlight w:val="none"/>
              </w:rPr>
              <w:t xml:space="preserve">挂杆</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（宽）400×（高）500×（深）240</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只</w:t>
            </w:r>
            <w:r/>
          </w:p>
        </w:tc>
        <w:tc>
          <w:tcPr>
            <w:tcBorders>
              <w:top w:val="single" w:color="auto" w:sz="4" w:space="0"/>
              <w:left w:val="single" w:color="auto" w:sz="4" w:space="0"/>
              <w:bottom w:val="single" w:color="auto" w:sz="4" w:space="0"/>
              <w:right w:val="single" w:color="auto" w:sz="4" w:space="0"/>
            </w:tcBorders>
            <w:tcW w:w="2710"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1.5MM304不锈钢，表面喷塑，固定螺丝热镀锌</w:t>
            </w:r>
            <w:r/>
          </w:p>
        </w:tc>
      </w:tr>
      <w:tr>
        <w:trPr>
          <w:trHeight w:val="454"/>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Arial"/>
                <w:color w:val="auto"/>
                <w:szCs w:val="21"/>
                <w:highlight w:val="none"/>
              </w:rPr>
            </w:pPr>
            <w:r>
              <w:rPr>
                <w:rFonts w:ascii="宋体" w:hAnsi="宋体" w:cs="Arial"/>
                <w:color w:val="auto"/>
                <w:szCs w:val="21"/>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8062" w:type="dxa"/>
            <w:vAlign w:val="bottom"/>
            <w:textDirection w:val="lrTb"/>
            <w:noWrap w:val="false"/>
          </w:tcPr>
          <w:p>
            <w:pPr>
              <w:rPr>
                <w:rFonts w:ascii="宋体" w:hAnsi="宋体" w:cs="Arial"/>
                <w:color w:val="auto"/>
                <w:szCs w:val="21"/>
                <w:highlight w:val="none"/>
              </w:rPr>
            </w:pPr>
            <w:r>
              <w:rPr>
                <w:rFonts w:ascii="宋体" w:hAnsi="宋体" w:cs="Arial"/>
                <w:color w:val="auto"/>
                <w:szCs w:val="21"/>
                <w:highlight w:val="none"/>
              </w:rPr>
              <w:t xml:space="preserve">含公牛插座1个（3孔4插），箱体采用304不锈钢，交换机机位，12芯终端机位进缆孔装密封圈，门框采用密封条，箱体背后上、下采用抱箍，漏电保护器2个（（16A））。</w:t>
            </w:r>
            <w:r/>
          </w:p>
        </w:tc>
      </w:tr>
    </w:tbl>
    <w:p>
      <w:pPr>
        <w:ind w:firstLine="210"/>
        <w:rPr>
          <w:rFonts w:ascii="宋体" w:hAnsi="宋体" w:cs="Arial"/>
          <w:color w:val="auto"/>
          <w:szCs w:val="21"/>
          <w:highlight w:val="none"/>
        </w:rPr>
      </w:pPr>
      <w:r>
        <w:rPr>
          <w:rFonts w:hint="eastAsia" w:ascii="宋体" w:hAnsi="宋体" w:cs="Arial"/>
          <w:color w:val="auto"/>
          <w:szCs w:val="21"/>
          <w:highlight w:val="none"/>
        </w:rPr>
        <w:t xml:space="preserve">本项目所有监控杆件由中标公司承建杆件，按扬州市公安局相关文件要求贴上标牌。</w:t>
      </w:r>
      <w:r/>
    </w:p>
    <w:p>
      <w:pPr>
        <w:ind w:left="425"/>
        <w:jc w:val="left"/>
        <w:spacing w:line="440" w:lineRule="exact"/>
        <w:rPr>
          <w:rFonts w:ascii="宋体" w:hAnsi="宋体"/>
          <w:b/>
          <w:bCs/>
          <w:color w:val="auto"/>
          <w:szCs w:val="21"/>
          <w:highlight w:val="none"/>
        </w:rPr>
        <w:outlineLvl w:val="0"/>
      </w:pPr>
      <w:r>
        <w:rPr>
          <w:rFonts w:hint="eastAsia" w:ascii="宋体" w:hAnsi="宋体"/>
          <w:b/>
          <w:bCs/>
          <w:color w:val="auto"/>
          <w:szCs w:val="21"/>
          <w:highlight w:val="none"/>
        </w:rPr>
        <w:t xml:space="preserve">二、监控系统部分</w:t>
      </w:r>
      <w:r/>
    </w:p>
    <w:p>
      <w:pPr>
        <w:ind w:left="425"/>
        <w:spacing w:line="440" w:lineRule="exact"/>
        <w:rPr>
          <w:rFonts w:ascii="宋体" w:hAnsi="宋体"/>
          <w:b/>
          <w:bCs/>
          <w:color w:val="auto"/>
          <w:szCs w:val="21"/>
          <w:highlight w:val="none"/>
        </w:rPr>
        <w:outlineLvl w:val="0"/>
      </w:pPr>
      <w:r>
        <w:rPr>
          <w:rFonts w:ascii="宋体" w:hAnsi="宋体" w:cs="Arial"/>
          <w:b/>
          <w:color w:val="auto"/>
          <w:szCs w:val="21"/>
          <w:highlight w:val="none"/>
        </w:rPr>
        <w:t xml:space="preserve">1. </w:t>
      </w:r>
      <w:r>
        <w:rPr>
          <w:rFonts w:hint="eastAsia" w:ascii="宋体" w:hAnsi="宋体"/>
          <w:b/>
          <w:bCs/>
          <w:color w:val="auto"/>
          <w:szCs w:val="21"/>
          <w:highlight w:val="none"/>
        </w:rPr>
        <w:t xml:space="preserve">系统总体要求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1.1要求平台内录像存储容量不少于30天，图片存储不少于2年。要求全部高清摄像机按1080P每秒8-10帧动态码流存储。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要求流媒体服务器采用N+1备份、存储服务器（存储管理服务器）采用N+1备份。前端任意一台或者多台服务器发生故障，整个系统正常运转，且录像不丢失。任意两台存储主机出现故障，不影响视频流的正常存储，系统能正常运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1.3供应商的前端设备、管理软件须满足国家</w:t>
      </w:r>
      <w:r>
        <w:rPr>
          <w:rFonts w:hint="eastAsia" w:ascii="宋体" w:hAnsi="宋体" w:cs="宋体"/>
          <w:color w:val="auto"/>
          <w:szCs w:val="21"/>
          <w:highlight w:val="none"/>
          <w:lang w:eastAsia="zh-CN"/>
        </w:rPr>
        <w:t xml:space="preserve">GB/T28181-2022</w:t>
      </w:r>
      <w:r>
        <w:rPr>
          <w:rFonts w:hint="eastAsia" w:ascii="宋体" w:hAnsi="宋体" w:cs="宋体"/>
          <w:color w:val="auto"/>
          <w:szCs w:val="21"/>
          <w:highlight w:val="none"/>
        </w:rPr>
        <w:t xml:space="preserve">、GB 35114标准（A级以上）标准。系统平台与扬州市公安局江都分局实战应用平台对接的方式采用</w:t>
      </w:r>
      <w:r>
        <w:rPr>
          <w:rFonts w:hint="eastAsia" w:ascii="宋体" w:hAnsi="宋体" w:cs="宋体"/>
          <w:color w:val="auto"/>
          <w:szCs w:val="21"/>
          <w:highlight w:val="none"/>
          <w:lang w:eastAsia="zh-CN"/>
        </w:rPr>
        <w:t xml:space="preserve">GB/T28181-2022</w:t>
      </w:r>
      <w:r>
        <w:rPr>
          <w:rFonts w:hint="eastAsia" w:ascii="宋体" w:hAnsi="宋体" w:cs="宋体"/>
          <w:color w:val="auto"/>
          <w:szCs w:val="21"/>
          <w:highlight w:val="none"/>
        </w:rPr>
        <w:t xml:space="preserve">规定的标准。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系统平台主要用于汇聚并管理视频专网图像资源和社会图像资源。应支持视频监控、电子警察、320卡口、智能卡口以及社会资源等各类监控资源的综合接入。</w:t>
      </w:r>
      <w:r/>
    </w:p>
    <w:p>
      <w:pPr>
        <w:ind w:firstLine="422"/>
        <w:spacing w:line="440" w:lineRule="exact"/>
        <w:rPr>
          <w:rFonts w:ascii="宋体" w:hAnsi="宋体"/>
          <w:b/>
          <w:color w:val="auto"/>
          <w:szCs w:val="21"/>
          <w:highlight w:val="none"/>
        </w:rPr>
        <w:outlineLvl w:val="0"/>
      </w:pPr>
      <w:r>
        <w:rPr>
          <w:rFonts w:hint="eastAsia" w:ascii="宋体" w:hAnsi="宋体"/>
          <w:b/>
          <w:color w:val="auto"/>
          <w:szCs w:val="21"/>
          <w:highlight w:val="none"/>
        </w:rPr>
        <w:t xml:space="preserve">三、设备采购清单与技术参数</w:t>
      </w:r>
      <w:r/>
    </w:p>
    <w:tbl>
      <w:tblPr>
        <w:tblStyle w:val="873"/>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83"/>
        <w:gridCol w:w="878"/>
        <w:gridCol w:w="6069"/>
        <w:gridCol w:w="405"/>
        <w:gridCol w:w="594"/>
      </w:tblGrid>
      <w:tr>
        <w:trPr>
          <w:trHeight w:val="60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产品名称</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技术要求</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left"/>
              <w:widowControl/>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数量 </w:t>
            </w:r>
            <w:r/>
          </w:p>
        </w:tc>
      </w:tr>
      <w:tr>
        <w:trPr>
          <w:trHeight w:val="276"/>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枪机</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1.支持采用不低于400万像素，靶面尺寸不小于1/1.8英寸CMOS图像传感器；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2.支持内置不少少于4颗补光灯；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3.支持内置CPU/GPU/NPU一体化芯片；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4.支持超感光技术：应用于超低亮度的环境下，提升图像的清晰度保证图像效果；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5.支持最低照度补光灯关闭:彩色:≤0.0002lx;黑白:≤0.0001lx；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6.支持内置高效暖光灯，最大暖光监控距离40米；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7.★支持针对人、机动车、动物3类有效目标进行检测,并触发报警和设置事件联动；（提供有资质的第三方检测机构或公安部出具的有效检测报告，原件扫描上传）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8.支持一键撤防，可在自定义设置的时间段内对报警输出，邮件，灯光等事件联动项进行统一撤防控制；</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9.支持ROI，SMART H.264/H.265，AI H.264/H.265，灵活编码，适用不同带宽和存储环境；</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10.支持1TB Micro SD卡，内置不少于2个麦克风，1个扬声器；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11.支持DC12V供电方式；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12.支持在温度不超过-40℃～+60℃，湿度不超过95%的环境下正常工作；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13.支持IP67防护等级；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14.GB35114标准内安全防护等级高于等于A级；</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78</w:t>
            </w:r>
            <w:r/>
          </w:p>
        </w:tc>
      </w:tr>
      <w:tr>
        <w:trPr>
          <w:trHeight w:val="2363"/>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球机</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1.支持设备不少于2路全景摄像机和1路细节摄像机组成,CMOS靶面尺寸均不小于1/1.8英寸；</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2.支持全景通道视频图像分辨率不小于3680*1656，细节通道视频图像分辨率不小于2688*1520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3.支持全景通道输出2个镜头无缝拼接的全景图像,拼接偏差像素不大于4个像素,全景摄像机水平视场角不小于210°,垂直视场角不小于90°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4.支持细节相机不小于33倍光学变倍,16倍数字变倍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5.支持全景通道可电动调节垂直旋转,旋转范围支持5°~25°；细节通道支持0°~360°连续旋转,垂直旋转范围支持-30°~+90°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6.支持全景摄像机不少于4颗补光灯,细节摄像机不少于10颗红外灯和2颗白光灯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7.支持联动模式下,全景通道检测到触发规则的目标（行人、机动车、非机动车）后联动细节通道跟踪及报警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细节通道视频结构化抓拍,可对检测区内多个不同运动方向的行人、非机动车、机动车进行检测、跟踪、筛选、框选提示并抓拍存储图片；支持人脸、车牌、非机动车车牌抠图,可将人脸与人体、车牌与车辆关联现实,可同时检测目标数量最大不少于100个</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9.★支持补光灯补光区域呈类矩形分布,开启后,灯珠光束通过微结构阵列式透镜,使补光亮度均匀,无明显波纹状、圆环状、麻点状、条纹状及不规则亮斑</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10.支持1路音频输入和1路音频输出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11.支持内置7路报警输入和2路报警输出,支持报警联动功能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12.★支持内置喇叭,可随样机的转动进行水平（0°~360°）、垂直（-30°~+90°）不同方向的定向播放（提供公安部有效检测报告复印件加盖原厂公章或投标专用章）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13.支持DC36V供电方式；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14.支持在温度不超过-40℃～+70℃，湿度不超过95%的环境下正常工作；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15.IP≥67；</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16.GB35114标准内安全防护等级高于等于A级</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81</w:t>
            </w:r>
            <w:r/>
          </w:p>
        </w:tc>
      </w:tr>
      <w:tr>
        <w:trPr>
          <w:trHeight w:val="2363"/>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LED补光灯（枪机、球机）</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LED颗数≥24颗</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光源效率：120 LM/W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色温：3000K-5500K</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LED显色指数：&gt;90Ra；</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角度：60度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支持加装可拆卸式防眩光格栅装置。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平均功率：≤30W</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★调光方式：红外遥控8档调光。（提供具有CMA标识的检测报告原件扫描上传）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工作电压：AC(86～264)V ～50Hz</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IP≥68</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工作温度：-40℃～80℃  </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156</w:t>
            </w:r>
            <w:r/>
          </w:p>
        </w:tc>
      </w:tr>
      <w:tr>
        <w:trPr>
          <w:trHeight w:val="2886"/>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高空球机</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全景摄像机分辨率不低于3680 × 1656，细节摄像机分辨率不低于2688 × 1520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摄像机内置不少于3个镜头，可输出至少1路全景视频图像和1路细节视频图像，全景视频图像内置2个镜头，细节视频图像内置1个镜头</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全景视频图像内置2个镜头，光圈不小于F1.0，具有不小于1/1.8靶面尺寸，内置4颗补光灯。细节视频图像内置1个镜头，具有不小于1/1.8靶面尺寸，内置10颗红外补光灯及1颗白光灯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全景通道、细节通道最低照度：彩色≤0.0005lx，黑白≤0.0001lx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摄像机内置镜头，支持不小于40倍光学变倍，镜头最大焦距不小于240mm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支持水平旋转范围360°连续旋转，垂直旋转范围-20°~90°，全景通道可进行垂直旋转，旋转角度范围不低于12°，并可进行调节</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可设置300个预置位，8条巡航路径。支持预置位视频冻结功能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具有 H.265、H.264、MJPEG设置选项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内置不少于2颗GPU芯片，全景通道可输出两个镜头无缝拼接的全景图像，纵向拼接偏差像素不大于4个像素，全景画面水平视场角不小于190°，垂直视场角不小于80°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在设备上方使用手持喷淋装置对设备进行喷水操作，水流方向与水平方向夹角大于等于42°时，设备视窗应无水流直接接触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★具有AI-ISP图像质量提升功能，在低照度环境下，可自动调节预览场景视频画面中人脸、人体、车辆等目标及预览场景视频画面的区域曝光、亮度、色彩饱和度、对比度、锐度等（公安部检验报告证明）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smart事件上报的抓图支持叠加规则区域和目标框：可配置报警抓图叠加目标信息及规则信息，支持开启及关闭。支持设置预览画面是否叠加显示规则区域框及告警提示信息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★可从诊断信息中导出云台控制历史记录，包括：手动键控PTZ、3D定位、手动调用预置点、手动调用花扫、手动调用巡航</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★设备全景通道支持拼接畸变矫正，可分别对全景拼接画面的畸变、姿态角、旋转角进行调节（1-100可调），优化拼接效果（公安部检验报告证明）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设备可同时对行人、非机动车、机动车进行检测、跟踪、抓拍,可支持人脸与人体、车牌与车辆关联显示。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可识别距设备200m处的人体轮廓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具有7路报警输入、2路报警输出、1路音频输入、1路音频输出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IP≥67</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支持在-40 °C~70 °C范围内功能应正常</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r>
      <w:tr>
        <w:trPr>
          <w:trHeight w:val="1557"/>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四目结构化相机</w:t>
            </w:r>
            <w:r/>
          </w:p>
        </w:tc>
        <w:tc>
          <w:tcPr>
            <w:tcBorders>
              <w:top w:val="single" w:color="000000" w:sz="4" w:space="0"/>
              <w:left w:val="single" w:color="000000" w:sz="4" w:space="0"/>
              <w:bottom w:val="single" w:color="000000" w:sz="4" w:space="0"/>
              <w:right w:val="single" w:color="000000" w:sz="4" w:space="0"/>
            </w:tcBorders>
            <w:tcW w:w="6069"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设备支持同步采集4路视频流，2路为全景通道，2路为细节通道，组成2组视频采集组，每组均由1路全景通道和1路细节通道组成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设备内置4个镜头，具有2个靶面尺寸为1/1.2英寸的CMOS传感器，2个靶面尺寸为1/1.8英寸的CMOS传感器。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最低照度彩色≤0.0002 lx，黑白≤0.0001 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设备的2个细节采集镜头均支持电动和手动变焦、自动/电动聚焦，自动调节光圈功能，变焦过程中不会完全虚焦。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设备内置2个定焦镜头和2个电动变焦镜头，其中定焦镜头焦距范围：（4±5%）mm、电动变焦镜头焦距：（10±5%）mm~（50±5%）mm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支持H.264、H.265、MJPEG设置选项，可将H.265、H.264格式设置为Baseline/Main/High Profile</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同一静止场景相同图像质量下，设备在H.265编码方式时，开启智能编码功能和不开启智能编码相比，码率节约≥80%。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在分辨率1920x1080 @ 25fps，码流设置为1Mbps时，视频图像传输延时不大于60ms。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内置≥2颗GPU芯片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2个细节通道均支持混合目标检测，可分别对检测区域中的行人、非机动车、机动车进行检测、跟踪、抓拍，支持抓拍人脸、车牌、非机动车车牌小图并上传，可在客户端将人脸与人体、车牌与车辆图片关联显示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支持人脸、人体、非机动车、机动车属性识别功能，可识别不小于11种行人衣服/裤子颜色、不小于13种车身颜色。</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支持检出面部区域过曝、面部欠曝、阴阳脸、逆光等不同光照条件下人脸。</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★2个视频采集组均具有轨迹关联功能，细节镜头可抓拍、分析检测区域内的行人和非机动车，并在全景画面中叠加目标跟踪框、行进轨迹和方向。（公安部检测报告证明）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设备具有2个PT控制模块，均支持视频采集组（由一路全景通道和一路细节通道组成）的监控场景调节。</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设备的2个PT模块水平方向支持不小于0°～180°旋转，垂直方向支持不小于-5°～25°旋转。</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2种模式：卡口模式和多镜头协同模式。卡口模式下支持4种预设场景：多向卡口-Y型、多向卡口-L型、多向卡口-一型、同向卡口、可实现一键布防。多镜头协同模式具有3种协同分析模式：关联去重、目标关联、轨迹关联。（公安部检测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设备内置能耗检测模块，可实时检测设备的输入电压和功耗信息，可生成日报表、周报表，并以图表形式展现。</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自带机身平衡检测模块，可指示设备安装是否水平。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设备具有10颗混合补光灯，每组视频采集组各具有5颗补光灯，细节通道可识别距离设备不小于100m处的人体轮廓。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设备具有2路音频输入接口，1路音频输出接口，3路报警输入接口，2路报警输出接口</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IP≥67</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146</w:t>
            </w:r>
            <w:r/>
          </w:p>
        </w:tc>
      </w:tr>
      <w:tr>
        <w:trPr>
          <w:trHeight w:val="184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LED补光灯（四目结构化相机）</w:t>
            </w:r>
            <w:r/>
          </w:p>
        </w:tc>
        <w:tc>
          <w:tcPr>
            <w:tcBorders>
              <w:top w:val="single" w:color="000000" w:sz="4" w:space="0"/>
              <w:left w:val="single" w:color="000000" w:sz="4" w:space="0"/>
              <w:bottom w:val="single" w:color="000000" w:sz="4" w:space="0"/>
              <w:right w:val="single" w:color="000000" w:sz="4" w:space="0"/>
            </w:tcBorders>
            <w:tcW w:w="6069"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16颗常亮灯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16颗暖光LED</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可通过RS485实现可调亮度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发光角度40°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最佳补光距离16米~25米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响应时间小于20us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支持环境亮度检测，低照度下自动开启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电源：220VAC±10%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最大功耗：35W</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IP≥66</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292</w:t>
            </w:r>
            <w:r/>
          </w:p>
        </w:tc>
      </w:tr>
      <w:tr>
        <w:trPr>
          <w:trHeight w:val="60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室外双目结构化相机</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1.支持采用三镜头、双通道一体化设计，内置不少于2个微云台</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2.支持通道1（细节）：采用不低于800万像素1/1.2英寸CMOS图像传感器；通道2（全景）：采用两个不低于400万像素1/1.8英寸CMOS图像传感器拼接；</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3.支持内置GPU芯片，支持深度学习算法，有效提升检测准确率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4.支持通道二视场角水平不少于180°，垂直不小于50°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5.支持两路通道独立电动云台控制，通道1（细节）：上下±5°; 通道2（全景）：上下±15°</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6.支持通道1（细节）焦距不小于20mm～80mm；通道2（全景）不小于3.6mm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具有景深扩展模式选项，在相同图像参数、光圈设置的情况下，开启景深扩展功能，可使设备景深变大，使前后边缘处看到的景象更清晰，开启景深扩展功能，可使设备景深纵深至最大化50m（提供有资质的第三方检测机构或公安部出具的有效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8.支持多种智能资源切换：通道1（细节）：通用行为分析、人脸识别、人脸检测、视频结构化、道路监控，通道2（全景）通用行为分析、人群分布图、人数统计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9.支持内置10颗补光灯,支持白光和混合补光模式。在白光模式下,只开启白光灯;在混合补光模式下,可开启白光灯和红外灯;补光灯强度可调节;上舱每颗补光灯均有红外灯和白光灯组成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10.支持报警7进3出，音频2进1出，485，BNC，GPS，最大支持256G Micro SD卡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设备不低于4颗全景补光灯。手动模式下，可选择全区域补光以及中心补光的亮度。全区域补光可使整体画面亮度提高，中心补光可使画面中心位置亮度提高（提供有资质的第三方检测机构或公安部出具的有效检测报告，原件扫描上传）</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12.支持DC12V供电方式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20.支持在温度不超过-30℃～+60℃，湿度不超过95%的环境下正常工作；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21.支持IP67防护等级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22.GB35114标准内安全防护等级高于等于A级</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14</w:t>
            </w:r>
            <w:r/>
          </w:p>
        </w:tc>
      </w:tr>
      <w:tr>
        <w:trPr>
          <w:trHeight w:val="879"/>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LED补光灯（双目结构化相机）</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1.支持由光源、外壳、安装基座等组成。包含多个光源时，所有光源应在同一外壳内；</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2.支持采用高性能MCU，不少于16颗高亮LED；</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3.支持环境亮度检测，低照度下6级光敏检测自动开启补光；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4.支持通过相机远程控制20级亮度等级，控制补光灯点亮和熄灭；</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5.支持远程显示补光灯故障、正常状态；</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6.支持串口485和相机亮度可调，1～20档可调，20档最亮；</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7.支持照射距离不小于20m。距离补光灯20m处，亮度等级1时，基准轴上光照度应不低于30 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8.支持受潮预处理后，1.5kV，1min，不应出现飞弧和击穿现象；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9.支持补光装置的绝缘电阻应大于等于10MΩ，经受潮预处理后，绝缘电阻应大于等于5MΩ；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10.支持具备符合GB/T 37958-2019《视频监控系统主动照明部件光辐射安全要求》的检测报告，且不超过1类危险；</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11.支持具备符合GA/T1202-2022《交通技术监控成像补光装置通用技术条件》的检测报告（LED持续点亮1级）；</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14</w:t>
            </w:r>
            <w:r/>
          </w:p>
        </w:tc>
      </w:tr>
      <w:tr>
        <w:trPr>
          <w:trHeight w:val="745"/>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双目结构化相机</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1、内置2个CPU、GPU、NPU一体化芯片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2、最低照度，彩色：≤0.0004Lux，黑白：≤0.0001Lux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3、全景、细节分辨率均不小于3840×2160；传感器靶面全景细节均≥1/1.8"，全景焦距4mm，细节焦距8-32mm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4、★全景路镜头，最大光圈为F0.95；细节路镜头支持电动变焦，并可对拍摄物体进行自动聚焦，镜头最大光圈为F1.0。（需提供公安部检测报告复印件加盖原厂公章证明）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5、细节路支持景深拓展功能，在固定光圈最大情况下，手动调整等级，画面亮度不变，但画面上、下部分清晰度明显变化。</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6、内置补光灯，红外补光距离≥60m，柔光补光距离≥30m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7、支持H.265/H.264/MJPEG编码格式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8、支持GB/T28181、GA/T1400和Onvif协议，确保兼容性</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开启全结构化功能后，设备能同时检测不少于100个混合的运动目标，包括人脸、人体、车辆和非机动车4种运动目标；并支持对不少于45个目标进行跟踪、优选、抓拍及属性分析，支持将人脸与人体、车牌与车辆进行关联。（需提供公安部检测报告复印件加盖原厂公章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10、支持机动车、非机动车、行人等目标检测功能，其中非机动车抓拍可对自行车、电瓶车、三轮车进行抓拍，支持摩托车抓拍功能；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11、★支持快速集成智能算法或应用APP，智能算法或APP可以独立升级；支持智能算法模块动态加载，加载过程中，视频业务不中断（需提供公安部检测报告复印件加盖原厂公章证明）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12、具有1个RJ45 网络接口、内置双mic，扬声器，1路RS485接口、2路报警输入，1路报警输出、1路音频输入、1路音频输出、1个MicroSD卡插槽、1个复位键</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13、供电方式：AC24V、POE</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14、防护等级：IP67</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15、工作温度-30~60℃</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45</w:t>
            </w:r>
            <w:r/>
          </w:p>
        </w:tc>
      </w:tr>
      <w:tr>
        <w:trPr>
          <w:trHeight w:val="2102"/>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结构化授权</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支持与分局结构化系统无缝对接</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支持分局结构化系统平滑扩容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支持展示宏观态势数据、建设总览、布控、检索、比对、解析。</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路</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379</w:t>
            </w:r>
            <w:r/>
          </w:p>
        </w:tc>
      </w:tr>
      <w:tr>
        <w:trPr>
          <w:trHeight w:val="61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智能卡口相机</w:t>
            </w:r>
            <w:r/>
          </w:p>
        </w:tc>
        <w:tc>
          <w:tcPr>
            <w:tcBorders>
              <w:top w:val="single" w:color="000000" w:sz="4" w:space="0"/>
              <w:left w:val="single" w:color="000000" w:sz="4" w:space="0"/>
              <w:bottom w:val="single" w:color="000000" w:sz="4" w:space="0"/>
              <w:right w:val="single" w:color="000000" w:sz="4" w:space="0"/>
            </w:tcBorders>
            <w:tcW w:w="6069"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设备组成检查：高清抓拍单元由摄像机、高清镜头、室外防护罩、风扇、补光灯、电源适配器、安装万向节等组成。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内置摄像机采用1.1英寸高帧率全局曝光CMOS传感器，分辨率不小于4112 × 3072</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接口检查：具有2个RJ45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★分辨率检查：视频分辨率最大支持4112X3072,图片分辨率最大支持4112X3072,可覆盖车道数不小于3；（公安部检验报告证明）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多码流输出及延时试验：支持同时输出不少于5路视频流，其中 1路不低于16M码率，1路不低于8M码率， 同时摄像机时延低于 65ms （包括图像采样、 视频编码、网络传输等过程）。</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★人脸增强功能检查：具有AI人脸增强设置选项，开启后可去除白天车窗反光和彩条纹。（公安部检验报告证明）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支持人脸区域自动曝光，可根据人脸区域光照变化自动调节人脸区域曝光参数。</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支持前排主副驾驶人员的人脸检测功能，白天和夜晚图片中人脸信息清晰可辨，白天前排人脸抓拍率≥99%；夜晚前排人脸抓拍率≥99%。</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目标捕获率试验：在混合抓拍模式下，人体、非机动 车和机动车目标捕获率不低于99%。</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目标跟踪功能检查：支持检测并跟踪指定区域内不少于230个目标,目标包括机动车、非机动车 以及行人等。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超速设置功能检查：支持分别对11种车型(大货车、中货 车、小货车、客车、小轿车、中客车、危 险品运输车、校车、面包车、环卫车其他 车型等)进行不同超速比设置,可设置12 个超速比区间。在相同道路上,设备支持 根据不同的超速比设置对不同车型进行超 速抓拍,并输出不同的超速抓拍结果及违 法代码。</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车型识别功能检查：支持识别43种车型,包括轻型普通货 车、轻型厢式货车、轻型平板货车、微型 轿车、小型轿车、小型客车、小型越野客 车、小型面包车、中型罐式货车、中型仓 栅式货车、中型普通货车、中型</w:t>
            </w:r>
            <w:r>
              <w:rPr>
                <w:rFonts w:hint="eastAsia" w:ascii="宋体" w:hAnsi="宋体" w:eastAsia="宋体" w:cs="宋体"/>
                <w:i w:val="0"/>
                <w:iCs w:val="0"/>
                <w:color w:val="auto"/>
                <w:sz w:val="22"/>
                <w:szCs w:val="22"/>
                <w:u w:val="none"/>
                <w:lang w:val="en-US" w:eastAsia="zh-CN"/>
              </w:rPr>
              <w:t xml:space="preserve">普通半挂 车、中型普通客车、中型平板货车、中型 牵引车、中型厢式货车、中型厢式半挂车、 中型特殊结构货车、中型平板半挂车、重 型特殊结构货车、重型罐式挂车、重型普 通货车、重型牵引力车、重型多结构货车、 重型厢式挂车、重型车辆运输车、重型集 装箱车、重型集装箱车挂车、重型普通全 挂车、重型厢式货车、大型无轨电车、大 型普通客车、大型双层客车、大型专用校 车、专用客车、大型专项作业车、轮式平 地机械、轮式挖掘机械、轮式装载机械、 普通二轮摩托车、轻便侧三轮摩托车、轻 便正三轮载货摩托车、轻便正三轮载客摩托车。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违法行为 检测功能 试验：具有超速、压线、禁止大货车、逆向行驶、闯红灯、不按车道行驶、违法变道、违法掉头、不礼让行人、闯禁令、占用非机动车道、接打电话、不系安全带、货车禁行、外地车未办理进京证的违法行为检测及抓拍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在白天视频光照正常、夜间视频补光正常情况下，白天违法行为捕获率&gt;99%；夜间违法行为捕获率&gt;99%；白天违法行为记录有效率&gt;99%；夜间违法行为记录有效率&gt;99%。。</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抓拍的车牌图片支持配置放大倍数（1倍/2倍/3倍）。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支持对无人驾驶的车辆进行车牌识别。</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支持对改装的牛眼灯进行检测。</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闯禁令支持根据车牌类型区分抓拍计划，包括蓝牌、新能源和货车三种，支持设置蓝牌和新能源车牌在22点～7点进行抓拍，黄牌货车24小时全天进行抓拍。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支持车辆右转弯压实线检测并抓拍。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支持视频测速功能，视频测速误差不大于5%（车速30km/h～65km/h范围内）； 支持外接雷达实现测速，并支持视频测速校正雷达测速结果输出。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支持逆行和变道违章触发抓拍，逆行识别类型包括:高速公路逆行、单行道逆向行驶;变道违章检测类型包括:实线变道(含双黄线)、导流区变道、连续变道(&gt;3条车道)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支持图片编码质量配置，车牌小图的图片质量(大/中/小)可配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支持车牌遮挡检查功能，在检测到车牌被遮挡的情况下可给出提示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支持对两轮/三轮车分类识别;可识别外卖箱(外卖品牌)的标识。</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冒红灯违章支持叠加红灯已亮时间，可按照抓拍索引配置叠加红灯已亮时间</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支持渣土车/大货车喷涂车牌识别</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支持同时输出不少于5路视频流，其中1路不低于16Mbps码率，1路不低于8Mbps码率。</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65</w:t>
            </w:r>
            <w:r/>
          </w:p>
        </w:tc>
      </w:tr>
      <w:tr>
        <w:trPr>
          <w:trHeight w:val="61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i w:val="0"/>
                <w:iCs w:val="0"/>
                <w:color w:val="auto"/>
                <w:sz w:val="22"/>
                <w:szCs w:val="22"/>
                <w:u w:val="none"/>
                <w:lang w:val="en-US" w:eastAsia="zh-CN"/>
              </w:rPr>
              <w:t xml:space="preserve">多合一补光灯（智能卡口相机</w:t>
            </w:r>
            <w:r/>
          </w:p>
        </w:tc>
        <w:tc>
          <w:tcPr>
            <w:tcBorders>
              <w:top w:val="single" w:color="000000" w:sz="4" w:space="0"/>
              <w:left w:val="single" w:color="000000" w:sz="4" w:space="0"/>
              <w:bottom w:val="single" w:color="000000" w:sz="4" w:space="0"/>
              <w:right w:val="single" w:color="000000" w:sz="4" w:space="0"/>
            </w:tcBorders>
            <w:tcW w:w="6069"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用24颗原装大功率高亮度LED光源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带LED格栅，有效减少周边光污染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支持红外滤片的切换</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气体光源回电时间小于67ms，支持超速连拍</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气体补光控制具有峰值抑制功能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支持LED灯频闪、LED爆闪、白光气体爆闪，红外气体爆闪</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LED灯珠数量 24颗</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格栅 带LED格栅，有效减少周边光污染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色温 白光＜4000K，红外光</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发光角度 单车道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气体爆闪峰值闪光持续时间 1/30ms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气体爆闪回电时间 ＜67ms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气体单次闪光能量 200J</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气体闪光次数 ＞2000万次（2S闪一次）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最佳补光距离 16米～30米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RS485接口 1路，支持PC机或相机连接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触发接口 1路频闪触发输入，1路爆闪输入,1路红外滤片切换输入</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符合GA/T 1202-2022《交通技术监控成像补光装置通用技术条件》</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补光装置光源包括LED光源（一级频闪）、气体放电光源（二级脉冲）和红外光源</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65</w:t>
            </w:r>
            <w:r/>
          </w:p>
        </w:tc>
      </w:tr>
      <w:tr>
        <w:trPr>
          <w:trHeight w:val="61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卡口辅助双目结构化相机</w:t>
            </w:r>
            <w:r/>
          </w:p>
        </w:tc>
        <w:tc>
          <w:tcPr>
            <w:tcBorders>
              <w:top w:val="single" w:color="000000" w:sz="4" w:space="0"/>
              <w:left w:val="single" w:color="000000" w:sz="4" w:space="0"/>
              <w:bottom w:val="single" w:color="000000" w:sz="4" w:space="0"/>
              <w:right w:val="single" w:color="000000" w:sz="4" w:space="0"/>
            </w:tcBorders>
            <w:tcW w:w="6069"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细节通道主码流分辨率不小于3840x2160，全景通道主码流分辨率不小于3632x1632</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设备内置不少于3个镜头和3颗图像传感器，细节通道靶面尺寸不小于1/1.8英寸。</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支持全景通道和细节通道2路视频采集通道，全景通道由左右两路独立采集通道拼接而成。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全景通道水平视场角不小于180°，垂直视场角不小于70°。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最低照度彩色≤0.0002 lx，黑白≤0.0001 lx。</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内置不少于2颗CPU、GPU、NPU一体化芯片。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同一静止场景相同图像质量下，设备在H.265编码方式时，开启智能编码功能和不开启智能编码相比，码率节约80%。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在分辨率1920x1080 @ 25fps，码流设置为1Mbps时，视频图像传输延时不大于60ms。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细节通道为电动变焦镜头，最小焦距≤10mm，最大焦距≥50mm。</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可在多种智能应用中来回切换，切换过程中样机不应重启，且预览画面应流畅，不应出现中断、卡顿、水波纹、条纹和花屏等异常现象。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智能应用包含全结构化、人脸抓拍、道路监控、smart事件、人脸比对。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支持配置3个人员密度等级，支持设置每个等级的人数或区域占空比报警阈值，当人员数量或者区域占空比达到设置阈值时，可触发报警。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支持检出两眼瞳距20像素点以上的人脸图片。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支持同时对检测区域内不少于60个移动目标（机动车、非机动车及行人）进行检测、框选跟踪、筛选、抓拍，并支持人脸与人体图片、车牌与车辆图片关联显示。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人脸比对准确率不低于99%。</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★设备具有耀光抑制功能，耀光区域≤1%。（公安部检验报告证明）</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内置不少于6颗混合补光灯，每颗由红外灯、白光灯组成。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支持对镜头前盖玻璃加热，去除玻璃上的冰状和水状附着物。</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IP≥67</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13</w:t>
            </w:r>
            <w:r/>
          </w:p>
        </w:tc>
      </w:tr>
      <w:tr>
        <w:trPr>
          <w:trHeight w:val="345"/>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补光灯（卡口辅助双目结构化相机）</w:t>
            </w:r>
            <w:r/>
          </w:p>
        </w:tc>
        <w:tc>
          <w:tcPr>
            <w:tcBorders>
              <w:top w:val="single" w:color="000000" w:sz="4" w:space="0"/>
              <w:left w:val="single" w:color="000000" w:sz="4" w:space="0"/>
              <w:bottom w:val="single" w:color="000000" w:sz="4" w:space="0"/>
              <w:right w:val="single" w:color="000000" w:sz="4" w:space="0"/>
            </w:tcBorders>
            <w:tcW w:w="6069"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16颗常亮灯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16颗暖光LED</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可通过RS485实现可调亮度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发光角度40°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最佳补光距离16米~25米</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响应时间小于20us</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支持环境亮度检测，低照度下自动开启</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电源：220VAC±10%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最大功耗：35W</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IP≥66</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13</w:t>
            </w:r>
            <w:r/>
          </w:p>
        </w:tc>
      </w:tr>
      <w:tr>
        <w:trPr>
          <w:trHeight w:val="61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人脸解析服务器扩容</w:t>
            </w:r>
            <w:r/>
          </w:p>
        </w:tc>
        <w:tc>
          <w:tcPr>
            <w:tcBorders>
              <w:top w:val="single" w:color="000000" w:sz="4" w:space="0"/>
              <w:left w:val="single" w:color="000000" w:sz="4" w:space="0"/>
              <w:bottom w:val="single" w:color="000000" w:sz="4" w:space="0"/>
              <w:right w:val="single" w:color="000000" w:sz="4" w:space="0"/>
            </w:tcBorders>
            <w:tcW w:w="6069" w:type="dxa"/>
            <w:vAlign w:val="top"/>
            <w:textDirection w:val="lrTb"/>
            <w:noWrap w:val="false"/>
          </w:tcPr>
          <w:p>
            <w:pPr>
              <w:jc w:val="left"/>
              <w:widowControl/>
              <w:rPr>
                <w:rFonts w:hint="eastAsia"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1、国产品牌</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2、2U标准机架式服务器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3、服务器CPU须符合安全可靠测评要求，提供CPU符合安全可靠测评要求的证明材料；配置≥2颗ARM处理器，单颗处理器核心数≥32核，基准频率≥2.6GHz</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 配置≥256GB DDR4内存</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 配置≥2块480GB SATA SSD盘，≥8块4TB SATA 硬盘</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6、RAID卡 配置1块磁盘阵列卡，支持RAID0/1/5/6/50/60，2G缓存，带超级电容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7、GPU 配置≥4块GPU卡，单块GPU卡INT8算力不低于140TOPS，FP16算力不低于70 TFLOPS,显存不低于48GB</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8、网络 配置≥2块双端口万兆光口网卡(含光模块)</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9、电源 满配冗余热插拔电源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10、环境温度 长期工作环境温度支持5-40度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  BMC芯片为在中国大陆注册生产的芯片。服务器生产厂商需要提供芯片照片及国产化证明材料，要求芯片厂商为中国大陆注册厂商。服务器iBMC智能管理系统具有高可靠的硬件监控及管理功能，通过完善的软件安全性测试（包括传输保密性、完善性校验、日志可核查性、日志抗抵赖性）和软件防渗透测试（包括认证安全性、权限管理安全性、用户会话安全性、敏感信息防泄漏、信息输入输出安全）。提供由具备CNAS或CMA资格的检测机构出具的检测报告</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 可提供与所投服务器产品同品牌的智能集中管理软件，需要提供软件著作权证书。可提供与所投服务器产品同品牌的移动运维APP软件，需要提供软件著作权证书、软件UI截图。</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13、★ 可提供与服务器同品牌的基于openEuler路线的商用发行版操作系统</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r>
      <w:tr>
        <w:trPr>
          <w:trHeight w:val="689"/>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i w:val="0"/>
                <w:iCs w:val="0"/>
                <w:color w:val="auto"/>
                <w:sz w:val="22"/>
                <w:szCs w:val="22"/>
                <w:u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检索服务器扩容</w:t>
            </w:r>
            <w:r/>
          </w:p>
        </w:tc>
        <w:tc>
          <w:tcPr>
            <w:tcBorders>
              <w:top w:val="single" w:color="000000" w:sz="4" w:space="0"/>
              <w:left w:val="single" w:color="000000" w:sz="4" w:space="0"/>
              <w:bottom w:val="single" w:color="000000" w:sz="4" w:space="0"/>
              <w:right w:val="single" w:color="000000" w:sz="4" w:space="0"/>
            </w:tcBorders>
            <w:tcW w:w="6069"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1、国产品牌</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2、2U标准机架式服务器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 服务器CPU须符合安全可靠测评要求，提供CPU符合安全可靠测评要求的证明材料；配置≥2颗ARM处理器，单颗处理器核心数≥32核，基准频率≥2.6GHz</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 配置≥512GB DDR4内存</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 配置≥2块480GB SATA SSD盘，≥8块4TB SATA 硬盘，≥1块1.92TB NVMe SSD盘</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6、RAID卡 配置1块磁盘阵列卡，支持RAID0/1/5/6/50/60，2G缓存，带超级电容</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7、网络 配置≥2块双端口万兆光口网卡(含光模块)</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8、电源 满配冗余热插拔电源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9、环境温度 长期工作环境温度支持5-40度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 BMC芯片为在中国大陆注册生产的芯片。服务器生产厂商需要提供芯片照片及国产化证明材料，要求芯片厂商为中国大陆注册厂商。服务器iBMC智能管理系统具有高可靠的硬件监控及管理功能，通过完善的软件安全性测试（包括传输保密性、完善性校验、日志可核查性、日志抗抵赖性）和软件防渗透测试（包括认证安全性、权限管理安全性、用户会话安全性、敏感信息防泄漏、信息输入输出安全）。提供由具备CNAS或CMA资格的检测机构出具的检测报告</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 可提供与所投服务器产品同品牌的智能集中管理软件，需要提供软件著作权证书。可提供与所投服务器产品同品牌的移动运维APP软件，需要提供软件著作权证书、软件UI截图。</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 可提供与服务器同品牌的基于openEuler路线的商用发行版操作系统</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r>
      <w:tr>
        <w:trPr>
          <w:trHeight w:val="61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i w:val="0"/>
                <w:iCs w:val="0"/>
                <w:color w:val="auto"/>
                <w:sz w:val="22"/>
                <w:szCs w:val="22"/>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灵犀平台扩容</w:t>
            </w:r>
            <w:r/>
          </w:p>
        </w:tc>
        <w:tc>
          <w:tcPr>
            <w:tcBorders>
              <w:top w:val="single" w:color="000000" w:sz="4" w:space="0"/>
              <w:left w:val="single" w:color="000000" w:sz="4" w:space="0"/>
              <w:bottom w:val="single" w:color="000000" w:sz="4" w:space="0"/>
              <w:right w:val="single" w:color="000000" w:sz="4" w:space="0"/>
            </w:tcBorders>
            <w:tcW w:w="6069"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1、国产品牌</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2、2U标准机架式服务器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 服务器CPU须符合安全可靠测评要求，提供CPU符合安全可靠测评要求的证明材料；配置≥2颗ARM处理器，单颗处理器核心数≥24核，基准频率≥2.6GHz</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 配置≥64GB DDR4内存</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 配置≥2块600GB SAS 硬盘</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6、RAID卡 配置1块磁盘阵列卡，支持RAID0/1/10</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7、网络 配置≥1块四端口千兆电口，≥1块双端口万兆光口网卡(含光模块)</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8、电源 满配冗余热插拔电源</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9、环境温度 长期工作环境温度支持5-40度</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10、★ BMC芯片为在中国大陆注册生产的芯片。服务器生产厂商需要提供芯片照片及国产化证明材料，要求芯片厂商为中国大陆注册厂商。服务器iBMC智能管理系统具有高可靠的硬件监控及管理功能，通过完善的软件安全性测试（包括传输保密性、完善性校验、日志可核查性、日志抗抵赖性）和软件防渗透测试（包括认证安全性、权限管理安全性、用户会话安全性、敏感信息防泄漏、信息输入输出安全）。提供由具备CNAS或CMA资格的检测机构出具的检测报告</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11、★ 可提供与所投服务器产品同品牌的智能集中管理软件，需要提供软件著作权证书。可提供与所投服务器产品同品牌的移动运维APP软件，需要提供软件著作权证书、软件UI截图。</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12、★ 可提供与服务器同品牌的基于openEuler路线的商用发行版操作系统</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2</w:t>
            </w:r>
            <w:r/>
          </w:p>
        </w:tc>
      </w:tr>
      <w:tr>
        <w:trPr>
          <w:trHeight w:val="61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i w:val="0"/>
                <w:iCs w:val="0"/>
                <w:color w:val="auto"/>
                <w:sz w:val="22"/>
                <w:szCs w:val="22"/>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服务器</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1、处理器要求：不低于2颗国产处理器 (单颗24核，主频2.6GHz)</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2、内存要求：不低于128G内存（32G×4），最大支持不低于16个DDR4内存插槽</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3、硬盘容量要求：最大支持不低于12个3.5寸SAS、SATA机械盘或2.5寸SSD固态硬盘；内置RAID卡，支持RAID 0/1/10保证数据可靠性，本次配置1块480G SSD 、1块960G SSD和1块6T企业级硬盘</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4、接口：支持不低于4个千兆电口，双万兆网口（含光模块），不低于1个VGA接口 、2个USB 接口</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5、电源：配置不低于900W 1+1电源冗余备份，电源输入范围：100-240Vac</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本次所投设备完成硬件上架、电源接入及网络连通后，运维人员仅需在原有融合通信平台服务器集群内执行一次“添加节点”操作，集群控制节点即应自动完成对新服务器的识别、健康检查及资源纳管，新服务器侧无需任何人工登录、命令行执行或配置文件修改，集群应在一定时间内完成新服务器的服务状态同步、配置策略下发及负载均衡规则更新，同步期间现有业务零中断（投标时提供承诺函。中标后提供设备进行测试，测试不通过采购人有权视其为虚假响应并报监管部门处理。）</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r>
      <w:tr>
        <w:trPr>
          <w:trHeight w:val="61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eastAsia="宋体" w:cs="宋体"/>
                <w:i w:val="0"/>
                <w:iCs w:val="0"/>
                <w:color w:val="auto"/>
                <w:sz w:val="22"/>
                <w:szCs w:val="22"/>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移动设备接入综合管理平台</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视频监控应用提供视频管理服务，支持编码设备通过海康设备网络SDK协议、海康ISUP5.0协议、GB28181协议、ONVIF协议、大华设备网络SDK协议、萤石协议接入平台，实现视频预览、录像回放、视频上墙、视频事件监控服务能力，并且在网络带宽不足、有流量限制的网络环境下可以通过以图片替代视频的模式提供监控服务。</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一、视频预览</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1、支持视频实时预览能力，实现预览窗口布局切换、预览画面自适应及全屏切换；</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2、支持云台控制、实时抓图、紧急录像、即时回放、主子码流切换、声音开启\关闭、辅屏预览（1个辅屏）、对讲、广播、报警输出控制的能力；</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3、支持资源视图管理能力，以视图形式管理监控点、视频预览轮巡等自定义资源组，其中视图类型包含公有视图和私有视图；</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二、录像回放</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1、支持录像计划管理能力，支持实时录像计划、录像回传计划；</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2、支持录像回放能力，支持多画面同步回放和异步回放切换、超高倍速回放、分段回放、录像下载、录像剪辑、录像标签、录像锁定、录像抓图；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三、视频上墙</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1、支持电视墙场景管理能力，实现场景窗口配置、场景切换计划配置以及轮巡计划的管理；</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2、支持上墙控制能力，实现场景一键上墙、场景切换、电视墙切换、监控点上下墙、轮巡控制操作；</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四、视频事件</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1、支持视频事件布撤防能力，可按计划模版进行布防，事件类型包括移动侦测、视频丢失、视频遮挡、报警输入、报警输出；</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五、视频联网</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视频级联应用主要为视频监控业务提供级联服务，专注于平台域间视频联网，基于视频通用标准协议（</w:t>
            </w:r>
            <w:r>
              <w:rPr>
                <w:rFonts w:hint="eastAsia" w:ascii="宋体" w:hAnsi="宋体" w:cs="宋体"/>
                <w:i w:val="0"/>
                <w:iCs w:val="0"/>
                <w:color w:val="auto"/>
                <w:sz w:val="22"/>
                <w:szCs w:val="22"/>
                <w:u w:val="none"/>
                <w:lang w:val="en-US" w:eastAsia="zh-CN"/>
              </w:rPr>
              <w:t xml:space="preserve">GB/T28181-2022</w:t>
            </w:r>
            <w:r>
              <w:rPr>
                <w:rFonts w:hint="eastAsia" w:ascii="宋体" w:hAnsi="宋体" w:eastAsia="宋体" w:cs="宋体"/>
                <w:i w:val="0"/>
                <w:iCs w:val="0"/>
                <w:color w:val="auto"/>
                <w:sz w:val="22"/>
                <w:szCs w:val="22"/>
                <w:u w:val="none"/>
                <w:lang w:val="en-US" w:eastAsia="zh-CN"/>
              </w:rPr>
              <w:t xml:space="preserve">）与外域平台互联互通，实现上级平台对下级平台视频资源点位的操作控制。</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1、支持上下级域注册管理能力，实现平台数据级联；</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2、支持资源同步能力；</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3、支持级联视频点位实时预览、录像回放、录像下载、语音对讲能力；</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4、支持级联视频点位设备操作控制能力；</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5、支持下级平台推送到本级平台视频点位路数控制能力，通过级联点位授权路数控制；</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其中第3、4点需要基于视频监控应用特性提供业务应用。</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六、视图数据级联</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1.支持通过GA/T 1400及扩展协议级联人体、人脸、车辆、设备、车辆违法、非机动车等数据。</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2.支持上下级视图库进行注册、保活，支持查看上下级在线情况。</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3.支持订阅、取消订阅和修改订阅时间。</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4.支持多个下级视图库的联网接入。</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5.支持联网接入多个上级视图库。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6.支持设置人脸、人体、车辆、非机动车、违法过车等数据的过滤和填充规则，下级视图库根据规则将数据级联到上级视图库。</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7.支持以采集接口方式接收下级推送的采集设备、人脸采集数据、车辆采集数据和人体采集数据。</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8.支持以采集接口方式向上级推送采集设备、人脸采集数据、车辆采集数据和人体采集数据。</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r>
      <w:tr>
        <w:trPr>
          <w:trHeight w:val="61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i w:val="0"/>
                <w:iCs w:val="0"/>
                <w:color w:val="auto"/>
                <w:sz w:val="22"/>
                <w:szCs w:val="22"/>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主控室大屏性能扩容</w:t>
            </w:r>
            <w:r/>
          </w:p>
        </w:tc>
        <w:tc>
          <w:tcPr>
            <w:tcBorders>
              <w:top w:val="single" w:color="000000" w:sz="4" w:space="0"/>
              <w:left w:val="single" w:color="000000" w:sz="4" w:space="0"/>
              <w:bottom w:val="single" w:color="000000" w:sz="4" w:space="0"/>
              <w:right w:val="single" w:color="000000" w:sz="4" w:space="0"/>
            </w:tcBorders>
            <w:tcW w:w="6069" w:type="dxa"/>
            <w:vAlign w:val="top"/>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1.支持设备模块化设计，19"机架尺寸，≤5U高度机箱，提供12个板卡插槽，嵌入式系统，整机最大支持60路HDMI视频输出接口；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2.支持双电源冗余，不少于2组风扇，每组6个风扇（支持热插拔、冗余；支持吹和抽两种模式同时工作)；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3.支持设备主控及控制板至少具有1个VGA接口，不少于2个千兆网口、3个USB接口，具有RS232接口和RS485接口。支持报警手动消除功能；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4.支持多网口绑定，整机通过一个IP地址即可完成IP设备、模拟设备、SDI设备视音频数据的接入、转发和存储；具有容错网络模式、多址网络模式、负载均衡网络模式、链路聚合网络模式；  </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5.★支持通过主控板VGA接口外接显示屏幕，可实时显示机箱温度、风扇转速、子板信息、电源模块信息、网络使用率信息、CPU/内存使用率信息等，实时监测机箱运作情况；支持通过本地界面进行业务配置 </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r>
      <w:tr>
        <w:trPr>
          <w:trHeight w:val="61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i w:val="0"/>
                <w:iCs w:val="0"/>
                <w:color w:val="auto"/>
                <w:sz w:val="22"/>
                <w:szCs w:val="22"/>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4路HDMI编码卡</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1.支持HDMI视频输入接口；</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2.支持H.264/MPEG4编码格式；</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3.支持不少于单板4路1080P编码能力；</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4.支持1080P/720P/UXGA/SXGA+ /SXGA/XGA/SVGA/VGA分辨率</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r>
      <w:tr>
        <w:trPr>
          <w:trHeight w:val="61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i w:val="0"/>
                <w:iCs w:val="0"/>
                <w:color w:val="auto"/>
                <w:sz w:val="22"/>
                <w:szCs w:val="22"/>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6路HDMI解码卡</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val="false"/>
          </w:tcPr>
          <w:p>
            <w:pPr>
              <w:jc w:val="left"/>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1.支持不少于6路HDMI视频接口；</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2.支持32MP、16MP、12MP、8MP、5MP、3MP、1080p、UXGA、720p、D1视频解码分辨率；</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3.支持1/4/6/8/9/16/25/36画面分割，自由分割；</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4.支持支不少于8路8MP@30fps，32路1080p@30fps，64路720p@30fps，90路D1@30fpsH.264解码能力；</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5.支持不少于2路32MP@25fps，6路12MP@25fps，8路8MP@30fps，32路1080p@30fps，64路720p@30fps，90路D1@30fpsH.265解码能力；</w:t>
            </w:r>
            <w:r>
              <w:rPr>
                <w:rFonts w:hint="eastAsia" w:ascii="宋体" w:hAnsi="宋体" w:eastAsia="宋体" w:cs="宋体"/>
                <w:i w:val="0"/>
                <w:iCs w:val="0"/>
                <w:color w:val="auto"/>
                <w:sz w:val="22"/>
                <w:szCs w:val="22"/>
                <w:u w:val="none"/>
                <w:lang w:val="en-US" w:eastAsia="zh-CN"/>
              </w:rPr>
              <w:br/>
            </w:r>
            <w:r>
              <w:rPr>
                <w:rFonts w:hint="eastAsia" w:ascii="宋体" w:hAnsi="宋体" w:eastAsia="宋体" w:cs="宋体"/>
                <w:i w:val="0"/>
                <w:iCs w:val="0"/>
                <w:color w:val="auto"/>
                <w:sz w:val="22"/>
                <w:szCs w:val="22"/>
                <w:u w:val="none"/>
                <w:lang w:val="en-US" w:eastAsia="zh-CN"/>
              </w:rPr>
              <w:t xml:space="preserve">6.支持不少于8路1080p的SVAC解码，24路非标D1码流解码；</w:t>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eastAsia="宋体" w:cs="宋体"/>
                <w:i w:val="0"/>
                <w:iCs w:val="0"/>
                <w:color w:val="auto"/>
                <w:sz w:val="22"/>
                <w:szCs w:val="22"/>
                <w:u w:val="none"/>
                <w:lang w:val="en-US" w:eastAsia="zh-CN"/>
              </w:rPr>
              <w:t xml:space="preserve">1</w:t>
            </w:r>
            <w:r/>
          </w:p>
        </w:tc>
      </w:tr>
    </w:tbl>
    <w:p>
      <w:pPr>
        <w:ind w:firstLine="420"/>
        <w:spacing w:line="360" w:lineRule="auto"/>
        <w:rPr>
          <w:rFonts w:ascii="宋体" w:hAnsi="宋体"/>
          <w:color w:val="auto"/>
          <w:highlight w:val="none"/>
          <w:lang w:val="zh-CN"/>
        </w:rPr>
      </w:pPr>
      <w:r>
        <w:rPr>
          <w:rFonts w:hint="eastAsia" w:ascii="宋体"/>
          <w:color w:val="auto"/>
          <w:highlight w:val="none"/>
        </w:rPr>
        <w:t xml:space="preserve">注：</w:t>
      </w:r>
      <w:r>
        <w:rPr>
          <w:rFonts w:hint="eastAsia" w:ascii="宋体" w:hAnsi="宋体"/>
          <w:color w:val="auto"/>
          <w:highlight w:val="none"/>
          <w:lang w:val="zh-CN"/>
        </w:rPr>
        <w:t xml:space="preserve">1、本项目以上仅为此项目所需的主要设备清单，投标供应商</w:t>
      </w:r>
      <w:r>
        <w:rPr>
          <w:rFonts w:hint="eastAsia" w:ascii="宋体" w:hAnsi="宋体"/>
          <w:color w:val="auto"/>
          <w:highlight w:val="none"/>
        </w:rPr>
        <w:t xml:space="preserve">应</w:t>
      </w:r>
      <w:r>
        <w:rPr>
          <w:rFonts w:hint="eastAsia" w:ascii="宋体" w:hAnsi="宋体"/>
          <w:color w:val="auto"/>
          <w:highlight w:val="none"/>
          <w:lang w:val="zh-CN"/>
        </w:rPr>
        <w:t xml:space="preserve">根据实际情况对配套的杆件、防雷接地、机柜网络等设备进行更换、维护和补充，确保使用过程中的安全可靠，中标人无论是自建、租赁杆件、借用公安自建杆件，中标人应负安全责任，杆件均需要满足本标书关于传输系统材料设备部分技术要求，</w:t>
      </w:r>
      <w:r>
        <w:rPr>
          <w:rFonts w:hint="eastAsia" w:ascii="宋体" w:hAnsi="宋体"/>
          <w:color w:val="auto"/>
          <w:highlight w:val="none"/>
        </w:rPr>
        <w:t xml:space="preserve">所有相机应根据场景配相应的电源、镜头、支架等配件</w:t>
      </w:r>
      <w:r>
        <w:rPr>
          <w:rFonts w:hint="eastAsia" w:ascii="宋体" w:hAnsi="宋体"/>
          <w:color w:val="auto"/>
          <w:highlight w:val="none"/>
          <w:lang w:val="zh-CN"/>
        </w:rPr>
        <w:t xml:space="preserve">，供应商报价时应考虑整个系统正常运行（包括后端接入、平台接入授权等硬件、软件、人工、运输）所产生的各种费用，本项目中交换机、</w:t>
      </w:r>
      <w:r>
        <w:rPr>
          <w:rFonts w:hint="eastAsia" w:ascii="宋体" w:hAnsi="宋体"/>
          <w:color w:val="auto"/>
          <w:highlight w:val="none"/>
        </w:rPr>
        <w:t xml:space="preserve">服务器、存储等后端设备</w:t>
      </w:r>
      <w:r>
        <w:rPr>
          <w:rFonts w:hint="eastAsia" w:ascii="宋体" w:hAnsi="宋体"/>
          <w:color w:val="auto"/>
          <w:highlight w:val="none"/>
          <w:lang w:val="zh-CN"/>
        </w:rPr>
        <w:t xml:space="preserve">的运输（直至机柜安装位置）、安装、调试，</w:t>
      </w:r>
      <w:r>
        <w:rPr>
          <w:rFonts w:hint="eastAsia" w:ascii="宋体" w:hAnsi="宋体"/>
          <w:color w:val="auto"/>
          <w:highlight w:val="none"/>
          <w:lang w:val="en-US" w:eastAsia="zh-CN"/>
        </w:rPr>
        <w:t xml:space="preserve">因修路、实际工作需要等导致的监控点位移点，</w:t>
      </w:r>
      <w:r>
        <w:rPr>
          <w:rFonts w:hint="eastAsia" w:ascii="宋体" w:hAnsi="宋体"/>
          <w:color w:val="auto"/>
          <w:highlight w:val="none"/>
          <w:lang w:val="zh-CN"/>
        </w:rPr>
        <w:t xml:space="preserve">也均由中标人负责，投标人需考虑其中所有费用，除中标价外，采购人不再另外支付其他费用。</w:t>
      </w:r>
      <w:r/>
    </w:p>
    <w:p>
      <w:pPr>
        <w:ind w:firstLine="420"/>
        <w:spacing w:line="360" w:lineRule="auto"/>
        <w:rPr>
          <w:rFonts w:ascii="宋体" w:hAnsi="宋体"/>
          <w:color w:val="auto"/>
          <w:highlight w:val="none"/>
          <w:lang w:val="zh-CN"/>
        </w:rPr>
      </w:pPr>
      <w:r>
        <w:rPr>
          <w:rFonts w:hint="eastAsia" w:ascii="宋体" w:hAnsi="宋体"/>
          <w:color w:val="auto"/>
          <w:highlight w:val="none"/>
          <w:lang w:val="zh-CN"/>
        </w:rPr>
        <w:t xml:space="preserve">2、供应商必须考虑</w:t>
      </w:r>
      <w:r>
        <w:rPr>
          <w:rFonts w:hint="eastAsia" w:ascii="宋体" w:hAnsi="宋体"/>
          <w:color w:val="auto"/>
          <w:highlight w:val="none"/>
        </w:rPr>
        <w:t xml:space="preserve">全部</w:t>
      </w:r>
      <w:r>
        <w:rPr>
          <w:rFonts w:hint="eastAsia" w:ascii="宋体" w:hAnsi="宋体"/>
          <w:color w:val="auto"/>
          <w:highlight w:val="none"/>
          <w:lang w:val="zh-CN"/>
        </w:rPr>
        <w:t xml:space="preserve">前端设备的取电、电费及施工问题（含协调），</w:t>
      </w:r>
      <w:r>
        <w:rPr>
          <w:rFonts w:hint="eastAsia" w:ascii="宋体" w:hAnsi="宋体"/>
          <w:color w:val="auto"/>
          <w:highlight w:val="none"/>
        </w:rPr>
        <w:t xml:space="preserve">全部</w:t>
      </w:r>
      <w:r>
        <w:rPr>
          <w:rFonts w:hint="eastAsia" w:ascii="宋体" w:hAnsi="宋体"/>
          <w:color w:val="auto"/>
          <w:highlight w:val="none"/>
          <w:lang w:val="zh-CN"/>
        </w:rPr>
        <w:t xml:space="preserve">光缆</w:t>
      </w:r>
      <w:r>
        <w:rPr>
          <w:rFonts w:hint="eastAsia" w:ascii="宋体" w:hAnsi="宋体"/>
          <w:color w:val="auto"/>
          <w:highlight w:val="none"/>
        </w:rPr>
        <w:t xml:space="preserve">线路、公安自建以外的杆件</w:t>
      </w:r>
      <w:r>
        <w:rPr>
          <w:rFonts w:hint="eastAsia" w:ascii="宋体" w:hAnsi="宋体"/>
          <w:color w:val="auto"/>
          <w:highlight w:val="none"/>
          <w:lang w:val="zh-CN"/>
        </w:rPr>
        <w:t xml:space="preserve">租用等产生的所有费用自行在报价表中列出，采购人不另外提供任何费用。</w:t>
      </w:r>
      <w:r/>
    </w:p>
    <w:p>
      <w:pPr>
        <w:ind w:firstLine="424"/>
        <w:spacing w:line="360" w:lineRule="auto"/>
        <w:rPr>
          <w:rFonts w:ascii="宋体" w:hAnsi="宋体"/>
          <w:color w:val="auto"/>
          <w:highlight w:val="none"/>
          <w:lang w:val="zh-CN"/>
        </w:rPr>
      </w:pPr>
      <w:r>
        <w:rPr>
          <w:rFonts w:hint="eastAsia" w:ascii="宋体" w:hAnsi="宋体"/>
          <w:color w:val="auto"/>
          <w:highlight w:val="none"/>
          <w:lang w:val="zh-CN"/>
        </w:rPr>
        <w:t xml:space="preserve">3、</w:t>
      </w:r>
      <w:r>
        <w:rPr>
          <w:rFonts w:hint="eastAsia" w:ascii="宋体" w:hAnsi="宋体"/>
          <w:i/>
          <w:color w:val="auto"/>
          <w:highlight w:val="none"/>
          <w:u w:val="single"/>
          <w:lang w:val="zh-CN"/>
        </w:rPr>
        <w:t xml:space="preserve">供应商所提供的设备必须无缝接入扬州市公安局和扬州市公安局江都分局现有系统平台。</w:t>
      </w:r>
      <w:r>
        <w:rPr>
          <w:rFonts w:hint="eastAsia" w:ascii="宋体" w:hAnsi="宋体"/>
          <w:i/>
          <w:color w:val="auto"/>
          <w:highlight w:val="none"/>
          <w:u w:val="single"/>
        </w:rPr>
        <w:t xml:space="preserve">与江都分局结构化平台对接时，任意7天内的平台认定的超低质量图片比例不高于百分之五，</w:t>
      </w:r>
      <w:r>
        <w:rPr>
          <w:rFonts w:hint="eastAsia" w:ascii="宋体" w:hAnsi="宋体"/>
          <w:b/>
          <w:i/>
          <w:color w:val="auto"/>
          <w:szCs w:val="21"/>
          <w:highlight w:val="none"/>
          <w:u w:val="single"/>
        </w:rPr>
        <w:t xml:space="preserve">供应商在投标文件中须提供承诺书原件上传（承诺书格式自拟），未承诺的作无效投标处理。</w:t>
      </w:r>
      <w:r/>
    </w:p>
    <w:p>
      <w:pPr>
        <w:ind w:firstLine="420"/>
        <w:spacing w:line="360" w:lineRule="auto"/>
        <w:rPr>
          <w:rFonts w:ascii="宋体" w:hAnsi="Times New Roman"/>
          <w:color w:val="auto"/>
          <w:highlight w:val="none"/>
        </w:rPr>
      </w:pPr>
      <w:r>
        <w:rPr>
          <w:rFonts w:hint="eastAsia" w:ascii="宋体" w:hAnsi="Times New Roman"/>
          <w:color w:val="auto"/>
          <w:highlight w:val="none"/>
        </w:rPr>
        <w:t xml:space="preserve">4、前端相机、后端服务器扩容、云存储系统扩容及相关设备采用国产主流产品，</w:t>
      </w:r>
      <w:r>
        <w:rPr>
          <w:rFonts w:hint="eastAsia" w:ascii="宋体" w:hAnsi="Times New Roman"/>
          <w:i/>
          <w:iCs/>
          <w:color w:val="auto"/>
          <w:highlight w:val="none"/>
          <w:u w:val="single"/>
        </w:rPr>
        <w:t xml:space="preserve">其中</w:t>
      </w:r>
      <w:r>
        <w:rPr>
          <w:rFonts w:hint="eastAsia" w:ascii="宋体" w:hAnsi="Times New Roman"/>
          <w:i/>
          <w:iCs/>
          <w:color w:val="auto"/>
          <w:highlight w:val="none"/>
          <w:u w:val="single"/>
          <w:lang w:val="en-US" w:eastAsia="zh-CN"/>
        </w:rPr>
        <w:t xml:space="preserve">人脸解析服务器、检索服务器、灵犀平台扩容</w:t>
      </w:r>
      <w:r>
        <w:rPr>
          <w:rFonts w:hint="eastAsia" w:ascii="宋体" w:hAnsi="Times New Roman"/>
          <w:i/>
          <w:iCs/>
          <w:color w:val="auto"/>
          <w:highlight w:val="none"/>
          <w:u w:val="single"/>
        </w:rPr>
        <w:t xml:space="preserve">需与</w:t>
      </w:r>
      <w:r>
        <w:rPr>
          <w:rFonts w:hint="eastAsia" w:ascii="宋体" w:hAnsi="Times New Roman"/>
          <w:i/>
          <w:iCs/>
          <w:color w:val="auto"/>
          <w:highlight w:val="none"/>
          <w:u w:val="single"/>
          <w:lang w:eastAsia="zh-CN"/>
        </w:rPr>
        <w:t xml:space="preserve">扬州市公安局江都分局</w:t>
      </w:r>
      <w:r>
        <w:rPr>
          <w:rFonts w:hint="eastAsia" w:ascii="宋体" w:hAnsi="Times New Roman"/>
          <w:i/>
          <w:iCs/>
          <w:color w:val="auto"/>
          <w:highlight w:val="none"/>
          <w:u w:val="single"/>
          <w:lang w:val="en-US" w:eastAsia="zh-CN"/>
        </w:rPr>
        <w:t xml:space="preserve">现有平台</w:t>
      </w:r>
      <w:r>
        <w:rPr>
          <w:rFonts w:hint="eastAsia" w:ascii="宋体" w:hAnsi="Times New Roman"/>
          <w:i/>
          <w:iCs/>
          <w:color w:val="auto"/>
          <w:highlight w:val="none"/>
          <w:u w:val="single"/>
        </w:rPr>
        <w:t xml:space="preserve">系统无缝对接。</w:t>
      </w:r>
      <w:r>
        <w:rPr>
          <w:rFonts w:hint="eastAsia" w:ascii="宋体" w:hAnsi="宋体"/>
          <w:b/>
          <w:bCs/>
          <w:i/>
          <w:iCs/>
          <w:color w:val="auto"/>
          <w:szCs w:val="21"/>
          <w:highlight w:val="none"/>
          <w:u w:val="single"/>
        </w:rPr>
        <w:t xml:space="preserve">供应商在投标文件中须提供承诺书原件上传（承诺书格式自拟），未承诺的作无效投标处理。</w:t>
      </w:r>
      <w:r/>
    </w:p>
    <w:p>
      <w:pPr>
        <w:ind w:firstLine="420"/>
        <w:spacing w:line="360" w:lineRule="auto"/>
        <w:rPr>
          <w:rFonts w:ascii="宋体" w:hAnsi="宋体"/>
          <w:i/>
          <w:color w:val="auto"/>
          <w:highlight w:val="none"/>
          <w:u w:val="single"/>
        </w:rPr>
      </w:pPr>
      <w:r>
        <w:rPr>
          <w:rFonts w:hint="eastAsia" w:ascii="宋体" w:hAnsi="Times New Roman"/>
          <w:color w:val="auto"/>
          <w:highlight w:val="none"/>
        </w:rPr>
        <w:t xml:space="preserve">5、</w:t>
      </w:r>
      <w:r>
        <w:rPr>
          <w:rFonts w:hint="eastAsia" w:ascii="宋体" w:hAnsi="宋体"/>
          <w:i/>
          <w:color w:val="auto"/>
          <w:highlight w:val="none"/>
          <w:u w:val="single"/>
          <w:lang w:eastAsia="zh-CN"/>
        </w:rPr>
        <w:t xml:space="preserve">供应商</w:t>
      </w:r>
      <w:r>
        <w:rPr>
          <w:rFonts w:hint="eastAsia" w:ascii="宋体" w:hAnsi="宋体"/>
          <w:i/>
          <w:color w:val="auto"/>
          <w:highlight w:val="none"/>
          <w:u w:val="single"/>
        </w:rPr>
        <w:t xml:space="preserve">需承诺所有后端设备硬盘在本地有备份，有损坏时能在48小时内更换，并承诺所有硬件设备，不限于交换机、服务器、存储后端等设备在合同到期后，采购人有永久使用权。</w:t>
      </w:r>
      <w:r>
        <w:rPr>
          <w:rFonts w:hint="eastAsia" w:ascii="宋体" w:hAnsi="宋体"/>
          <w:b/>
          <w:i/>
          <w:color w:val="auto"/>
          <w:szCs w:val="21"/>
          <w:highlight w:val="none"/>
          <w:u w:val="single"/>
        </w:rPr>
        <w:t xml:space="preserve">供应商在投标文件中须提供承诺书原件上传（承诺书格式自拟），未承诺的作无效投标处理。</w:t>
      </w:r>
      <w:r/>
    </w:p>
    <w:p>
      <w:pPr>
        <w:ind w:firstLine="420"/>
        <w:spacing w:line="360" w:lineRule="auto"/>
        <w:rPr>
          <w:rFonts w:ascii="宋体" w:hAnsi="Times New Roman"/>
          <w:b/>
          <w:color w:val="auto"/>
          <w:highlight w:val="none"/>
        </w:rPr>
      </w:pPr>
      <w:r>
        <w:rPr>
          <w:rFonts w:hint="eastAsia" w:ascii="宋体" w:hAnsi="Times New Roman"/>
          <w:color w:val="auto"/>
          <w:highlight w:val="none"/>
        </w:rPr>
        <w:t xml:space="preserve">6、</w:t>
      </w:r>
      <w:r>
        <w:rPr>
          <w:rFonts w:hint="eastAsia" w:ascii="宋体" w:hAnsi="宋体"/>
          <w:i/>
          <w:color w:val="auto"/>
          <w:highlight w:val="none"/>
          <w:u w:val="single"/>
        </w:rPr>
        <w:t xml:space="preserve">服务期间，供应商未经采购方同意，不得访问、获取、留存、使用、泄露或者向他人提供数据，不得对数据进行关联分析。所有数据归采购方所有。</w:t>
      </w:r>
      <w:r>
        <w:rPr>
          <w:rFonts w:hint="eastAsia" w:ascii="宋体" w:hAnsi="宋体"/>
          <w:b/>
          <w:i/>
          <w:color w:val="auto"/>
          <w:szCs w:val="21"/>
          <w:highlight w:val="none"/>
          <w:u w:val="single"/>
        </w:rPr>
        <w:t xml:space="preserve">供应商在投标文件中须提供承诺书原件上传（承诺书格式自拟），未承诺的作无效投标处理。</w:t>
      </w:r>
      <w:r/>
    </w:p>
    <w:p>
      <w:pPr>
        <w:ind w:firstLine="420"/>
        <w:spacing w:line="360" w:lineRule="auto"/>
        <w:rPr>
          <w:rFonts w:ascii="宋体" w:hAnsi="Times New Roman"/>
          <w:color w:val="auto"/>
          <w:highlight w:val="none"/>
        </w:rPr>
      </w:pPr>
      <w:r>
        <w:rPr>
          <w:rFonts w:hint="eastAsia" w:ascii="宋体" w:hAnsi="Times New Roman"/>
          <w:color w:val="auto"/>
          <w:highlight w:val="none"/>
        </w:rPr>
        <w:t xml:space="preserve">（三）售后服务要求</w:t>
      </w:r>
      <w:r/>
    </w:p>
    <w:p>
      <w:pPr>
        <w:ind w:firstLine="420"/>
        <w:spacing w:line="360" w:lineRule="auto"/>
        <w:rPr>
          <w:rFonts w:ascii="宋体" w:hAnsi="Times New Roman"/>
          <w:color w:val="auto"/>
          <w:highlight w:val="none"/>
        </w:rPr>
      </w:pPr>
      <w:r>
        <w:rPr>
          <w:rFonts w:hint="eastAsia" w:ascii="宋体" w:hAnsi="Times New Roman"/>
          <w:color w:val="auto"/>
          <w:highlight w:val="none"/>
        </w:rPr>
        <w:t xml:space="preserve">本项目免费质保期为5年，时间从通过验收次日起计算，运行维护按《扬州市公安局江都分局维护考核》执行。</w:t>
      </w:r>
      <w:r/>
    </w:p>
    <w:p>
      <w:pPr>
        <w:ind w:firstLine="420"/>
        <w:spacing w:line="360" w:lineRule="auto"/>
        <w:rPr>
          <w:rFonts w:ascii="宋体" w:hAnsi="Times New Roman"/>
          <w:color w:val="auto"/>
          <w:highlight w:val="none"/>
        </w:rPr>
      </w:pPr>
      <w:r>
        <w:rPr>
          <w:rFonts w:hint="eastAsia" w:ascii="宋体" w:hAnsi="Times New Roman"/>
          <w:color w:val="auto"/>
          <w:highlight w:val="none"/>
        </w:rPr>
        <w:t xml:space="preserve">（四）其他要求</w:t>
      </w:r>
      <w:r/>
    </w:p>
    <w:p>
      <w:pPr>
        <w:ind w:firstLine="420"/>
        <w:spacing w:line="360" w:lineRule="auto"/>
        <w:rPr>
          <w:rFonts w:ascii="宋体" w:hAnsi="Times New Roman"/>
          <w:color w:val="auto"/>
          <w:highlight w:val="none"/>
        </w:rPr>
      </w:pPr>
      <w:r>
        <w:rPr>
          <w:rFonts w:hint="eastAsia" w:ascii="宋体" w:hAnsi="Times New Roman"/>
          <w:color w:val="auto"/>
          <w:highlight w:val="none"/>
        </w:rPr>
        <w:t xml:space="preserve">1、安全责任：本项目在交付使用前安全责任由中标方负责，施工过程中造成的人身伤害、财产伤害以及涉及相关法律责任均由中标方承担。</w:t>
      </w:r>
      <w:r/>
    </w:p>
    <w:p>
      <w:pPr>
        <w:ind w:firstLine="420"/>
        <w:spacing w:line="360" w:lineRule="auto"/>
        <w:rPr>
          <w:rFonts w:ascii="宋体" w:hAnsi="Times New Roman"/>
          <w:color w:val="auto"/>
          <w:highlight w:val="none"/>
        </w:rPr>
      </w:pPr>
      <w:r>
        <w:rPr>
          <w:rFonts w:hint="eastAsia" w:ascii="宋体" w:hAnsi="Times New Roman"/>
          <w:color w:val="auto"/>
          <w:highlight w:val="none"/>
        </w:rPr>
        <w:t xml:space="preserve">2、在施工中若对道路、绿化、管网、光缆等公共设施破坏的，由中标方负责恢复。</w:t>
      </w:r>
      <w:r/>
    </w:p>
    <w:p>
      <w:pPr>
        <w:ind w:firstLine="422"/>
        <w:spacing w:line="360" w:lineRule="auto"/>
        <w:rPr>
          <w:rFonts w:ascii="宋体" w:hAnsi="Times New Roman"/>
          <w:color w:val="auto"/>
          <w:highlight w:val="none"/>
        </w:rPr>
      </w:pPr>
      <w:r>
        <w:rPr>
          <w:rFonts w:hint="eastAsia" w:ascii="宋体" w:hAnsi="Times New Roman"/>
          <w:b/>
          <w:i/>
          <w:color w:val="auto"/>
          <w:highlight w:val="none"/>
          <w:u w:val="single"/>
        </w:rPr>
        <w:t xml:space="preserve">3、中标供应商须在中标后五个工作日内提供设备厂家出具的质保承诺函原件。</w:t>
      </w:r>
      <w:r>
        <w:rPr>
          <w:rFonts w:hint="eastAsia" w:ascii="宋体" w:hAnsi="宋体"/>
          <w:b/>
          <w:i/>
          <w:color w:val="auto"/>
          <w:szCs w:val="21"/>
          <w:highlight w:val="none"/>
          <w:u w:val="single"/>
        </w:rPr>
        <w:t xml:space="preserve">供应商在投标文件中须提供承诺书原件上传（承诺书格式自拟），未承诺的作无效投标处理。</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4、实施方案：为保障项目顺利实施，应根据采购人需求制定详细周密的项目实施方案，对任务及目标进行解读，目标应清晰、任务应明确、项目需求应理解准确。</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5、监控建设方案：</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（1）建设原则</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本项目建设时应遵循技术先进、功能齐全、性能稳定、节约成本的原则。综合考虑后期维护及操作等因素，并为今后的扩建、改造等留有扩充的余地。建设方案应完整、全面，具有科学性、合理性及可操作性。</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（2）项目建设内容</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本次项目本项目共分三个标包。</w:t>
      </w:r>
      <w:r/>
    </w:p>
    <w:p>
      <w:pPr>
        <w:ind w:firstLine="420"/>
        <w:spacing w:line="46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采购包1：对原江都公安天眼四期270台相机进行升级改造，新增、更换149台枪机、37台球机、2台高空球机、1台结构化球机、56台四目结构化相机、16台双目结构化相机（室外）、10台双目结构化相机（室内）及相配的视频图片存储、服务器扩容、软件授权、补光灯等，并提供本项目5年维护维保服务。对原江都公安疫情查控点智能采集设备项目郭村镇、浦头镇14个卡口进行升级改造，新增、更换29台智能卡口相机、5台卡口辅助双目结构化</w:t>
      </w:r>
      <w:r>
        <w:rPr>
          <w:rFonts w:hint="eastAsia" w:ascii="Times New Roman" w:hAnsi="Times New Roman"/>
          <w:color w:val="auto"/>
          <w:szCs w:val="21"/>
          <w:highlight w:val="none"/>
        </w:rPr>
        <w:t xml:space="preserve">相机、8台卡口辅助四目结构化相机、15台卡口辅助球机及其相配的视频图片存储、服务器扩容、软件授权、补光灯等，并提供本项目5年维护维保服务。对原智能卡口升级改造与新建项目项目11个点位进行升级改造，新增、更换34台智能卡口相机、11台卡口辅助球机及其相配的视频图片存储、服务器扩容、软件授权、补光灯等，并提供本项目5年维护维保服务。新建4台小区双目结构化相机、55台道路四目结构化相机及其相配的视频图片存储、服务器扩容、软件授权、补光灯等，并提供本项目5年维护维保服务。AI算力扩容，并提供本项目5年维护维保服务。</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采购包2：</w:t>
      </w:r>
      <w:r>
        <w:rPr>
          <w:rFonts w:hint="eastAsia" w:ascii="宋体" w:hAnsi="宋体"/>
          <w:color w:val="auto"/>
          <w:szCs w:val="21"/>
          <w:highlight w:val="none"/>
        </w:rPr>
        <w:t xml:space="preserve">对原江都公安天眼四期410台相机进行升级改造，新增、更换345台枪机、1台球机、63台四目结构化相机、1台双目结构化相机及相配的视频图片存储、服务器扩容、软件授权、补光灯等，并提供本项目5年维护维保服务。对原智能卡口升级改造与新建项目项目6个点位进行升级改造，新增、更换14台智能卡口相机、5台卡口辅助球机及其相配的视频图片存储、服务器扩容、软件授权、补光灯等，并提供本项目5年维护维保服务。视图库存储节点、交换机扩容，并提供本项目5年维护维保服务。</w:t>
      </w:r>
      <w:r/>
    </w:p>
    <w:p>
      <w:pPr>
        <w:pStyle w:val="899"/>
        <w:numPr>
          <w:ilvl w:val="0"/>
          <w:numId w:val="0"/>
        </w:numPr>
        <w:ind w:firstLine="420"/>
        <w:jc w:val="left"/>
        <w:spacing w:before="120" w:line="360" w:lineRule="auto"/>
        <w:rPr>
          <w:rFonts w:hint="eastAsia" w:ascii="宋体" w:hAnsi="宋体" w:eastAsia="宋体" w:cs="Times New Roman"/>
          <w:color w:val="auto"/>
          <w:sz w:val="21"/>
          <w:szCs w:val="21"/>
          <w:highlight w:val="none"/>
          <w:lang w:val="en-US" w:eastAsia="zh-CN" w:bidi="ar-SA"/>
        </w:rPr>
      </w:pPr>
      <w:r>
        <w:rPr>
          <w:rFonts w:hint="eastAsia" w:ascii="Times New Roman" w:hAnsi="Times New Roman"/>
          <w:color w:val="auto"/>
          <w:szCs w:val="21"/>
          <w:highlight w:val="none"/>
        </w:rPr>
        <w:t xml:space="preserve">采购包3：</w:t>
      </w:r>
      <w:r>
        <w:rPr>
          <w:rFonts w:hint="eastAsia" w:ascii="宋体" w:hAnsi="宋体" w:eastAsia="宋体" w:cs="Times New Roman"/>
          <w:color w:val="auto"/>
          <w:sz w:val="21"/>
          <w:szCs w:val="21"/>
          <w:highlight w:val="none"/>
          <w:lang w:val="en-US" w:eastAsia="zh-CN" w:bidi="ar-SA"/>
        </w:rPr>
        <w:t xml:space="preserve">对原</w:t>
      </w:r>
      <w:r>
        <w:rPr>
          <w:rFonts w:hint="eastAsia" w:ascii="宋体" w:hAnsi="宋体" w:eastAsia="宋体" w:cs="Times New Roman"/>
          <w:color w:val="auto"/>
          <w:sz w:val="21"/>
          <w:szCs w:val="21"/>
          <w:highlight w:val="none"/>
          <w:lang w:val="en-US" w:eastAsia="zh-CN" w:bidi="ar-SA"/>
        </w:rPr>
        <w:t xml:space="preserve">江都公安天眼四期227台相机进行升级改造，新增、更换78台枪机、44台球机、1台高空球机、79台四目结构化相机、14台双目结构化相机（室外）、11台双目结构化相机（室内）及相配的视频图片存储、服务器扩容、软件授权、补光灯等，并提供本项目5年维护维保服务。对原江都公安疫情查控点智能采集设备项目小纪镇、武坚镇7个卡口进行升级改造，新增、更换智能卡口相机15台、卡口辅助双目结构化相机1台、卡口辅助四目结构化相机8台、卡口辅助球机17台及其相配的视频图片存储、服务器扩容、软件授权、补光灯等，并提供本项目5年维护维保</w:t>
      </w:r>
      <w:r>
        <w:rPr>
          <w:rFonts w:hint="eastAsia" w:ascii="宋体" w:hAnsi="宋体" w:eastAsia="宋体" w:cs="Times New Roman"/>
          <w:color w:val="auto"/>
          <w:sz w:val="21"/>
          <w:szCs w:val="21"/>
          <w:highlight w:val="none"/>
          <w:lang w:val="en-US" w:eastAsia="zh-CN" w:bidi="ar-SA"/>
        </w:rPr>
        <w:t xml:space="preserve">服务。对原智能卡口升级改造与新建项目项目19个点位进行升级改造，新增、更换50台智能卡口相机、12台卡口辅助双目结构化相机、20台卡口辅助球机及其相配的视频图片存储、服务器扩容、软件授权、补光灯等，并提供本项目5年维护维保服务。新建34台小区双目结构化相机、59台道路四目结构化相机及其相配的视频图片存储、服务器扩容、软件授权、补光灯等，并提供本项目5年维护维保服务。人脸解析、检索、灵犀平台服务器扩容、提供5年维护维保服务。实现与扬州公安局、扬州公安局江都分局现有平台无缝对接，实现资源统一管理、应用整合共享。</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（3）项目实施要求</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1）与江都公安现有监控平台系统无缝对接，实现资源统一管理、应用整合共享。</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对项目建设进行总体管理，完成本项目所有设备安装调试、外场立杆施工、总体联调工作。由专人负责对相关设备、点位等信息按照省厅、市公安局“一机一档”建设要求进行配置、联调、对接、系统录入等工作。</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6、接口对接方案：</w:t>
      </w:r>
      <w:r>
        <w:rPr>
          <w:rFonts w:hint="eastAsia" w:ascii="宋体" w:hAnsi="宋体"/>
          <w:color w:val="auto"/>
          <w:szCs w:val="21"/>
          <w:highlight w:val="none"/>
        </w:rPr>
        <w:t xml:space="preserve">雪亮技防工程四期的前端相机、后端服务器等与江都公安视频监控平台、人脸大数据平台、车辆大数据平台等现有平台实现国标、SDK等对接，免费提供（包括新开发）对接接口；远期可实现与PGIS、PKI/PMI、机动车辆信息库、三台合一接处警系统、警务综合管理系统等各业务系统集成对接</w:t>
      </w:r>
      <w:r>
        <w:rPr>
          <w:rFonts w:hint="eastAsia" w:ascii="Times New Roman" w:hAnsi="Times New Roman"/>
          <w:color w:val="auto"/>
          <w:szCs w:val="21"/>
          <w:highlight w:val="none"/>
        </w:rPr>
        <w:t xml:space="preserve">。</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7、网络方案：网络现状分析、组网架构说明、IP地址规划、与现有网络对接。</w:t>
      </w:r>
      <w:r>
        <w:rPr>
          <w:rFonts w:hint="eastAsia"/>
          <w:color w:val="auto"/>
          <w:highlight w:val="none"/>
        </w:rPr>
        <w:t xml:space="preserve">确保网络结构合理，IP地址节约使用</w:t>
      </w:r>
      <w:r>
        <w:rPr>
          <w:rFonts w:ascii="Times New Roman" w:hAnsi="Times New Roman"/>
          <w:color w:val="auto"/>
          <w:szCs w:val="21"/>
          <w:highlight w:val="none"/>
        </w:rPr>
        <w:t xml:space="preserve">。</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8、进度管理：提供供货方案、进度控制方案。制定详细、科学的进度跟踪方案及工作措施，确保期限内完成。</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9、安全保障：</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1</w:t>
      </w:r>
      <w:r>
        <w:rPr>
          <w:rFonts w:hint="eastAsia" w:ascii="Times New Roman" w:hAnsi="Times New Roman"/>
          <w:color w:val="auto"/>
          <w:szCs w:val="21"/>
          <w:highlight w:val="none"/>
        </w:rPr>
        <w:t xml:space="preserve">）项目实施期间，中标供应商工作人员须遵守各项规章制度，进入项目现场的车辆、设备按指定的地点停放，不得妨碍施工和阻碍交通。项目结束后，及时清理现场，如有损坏需恢复原状。</w:t>
      </w:r>
      <w:r/>
    </w:p>
    <w:p>
      <w:pPr>
        <w:ind w:firstLine="420"/>
        <w:spacing w:line="46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（2）项目实施期间，如发生安全事故、人身伤害和其它财产安全事故，由中标供应商全权负责处理，并承担全部责任。</w:t>
      </w:r>
      <w:r/>
    </w:p>
    <w:p>
      <w:pPr>
        <w:ind w:firstLine="420"/>
        <w:spacing w:line="460" w:lineRule="exact"/>
        <w:rPr>
          <w:rFonts w:hint="eastAsia" w:ascii="Times New Roman" w:hAnsi="Times New Roman"/>
          <w:color w:val="auto"/>
          <w:highlight w:val="none"/>
        </w:rPr>
      </w:pPr>
      <w:r>
        <w:rPr>
          <w:rFonts w:hint="eastAsia" w:ascii="Times New Roman" w:hAnsi="Times New Roman"/>
          <w:color w:val="auto"/>
          <w:szCs w:val="21"/>
          <w:highlight w:val="none"/>
        </w:rPr>
        <w:t xml:space="preserve">10、人员安排：提供人员配置表，详细的人员工作内容安排。</w:t>
      </w:r>
      <w:r/>
    </w:p>
    <w:p>
      <w:pPr>
        <w:ind w:firstLine="420"/>
        <w:spacing w:line="460" w:lineRule="exact"/>
        <w:rPr>
          <w:rFonts w:ascii="Times New Roman" w:hAnsi="Times New Roman"/>
          <w:color w:val="auto"/>
          <w:highlight w:val="none"/>
        </w:rPr>
      </w:pPr>
      <w:r>
        <w:rPr>
          <w:rFonts w:hint="eastAsia" w:ascii="Times New Roman" w:hAnsi="Times New Roman"/>
          <w:color w:val="auto"/>
          <w:szCs w:val="21"/>
          <w:highlight w:val="none"/>
        </w:rPr>
        <w:t xml:space="preserve">11、</w:t>
      </w:r>
      <w:r>
        <w:rPr>
          <w:rFonts w:hint="eastAsia" w:ascii="Times New Roman" w:hAnsi="Times New Roman"/>
          <w:b/>
          <w:bCs/>
          <w:i/>
          <w:iCs/>
          <w:color w:val="auto"/>
          <w:szCs w:val="21"/>
          <w:highlight w:val="none"/>
          <w:u w:val="single"/>
        </w:rPr>
        <w:t xml:space="preserve">供应商须承诺设备、服务满足《绿色数据中心政府采购需求标准（试行）》的相关要求。供应商在投标文件中须提供承诺书原件上传（承诺书格式自拟），未承诺的作无效投标处理。</w:t>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63"/>
        <w:jc w:val="center"/>
        <w:rPr>
          <w:rFonts w:ascii="宋体" w:hAnsi="宋体"/>
          <w:color w:val="auto"/>
          <w:highlight w:val="none"/>
        </w:rPr>
      </w:pPr>
      <w:r/>
      <w:bookmarkStart w:id="56" w:name="_Toc55204181"/>
      <w:r>
        <w:rPr>
          <w:rFonts w:hint="eastAsia" w:ascii="宋体" w:hAnsi="宋体"/>
          <w:color w:val="auto"/>
          <w:highlight w:val="none"/>
        </w:rPr>
        <w:t xml:space="preserve">第五章 评标方法及评标标准</w:t>
      </w:r>
      <w:bookmarkEnd w:id="56"/>
      <w:r/>
      <w:r/>
    </w:p>
    <w:p>
      <w:pPr>
        <w:pStyle w:val="921"/>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21"/>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57" w:name="_Toc449016388"/>
      <w:r/>
      <w:bookmarkStart w:id="58"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1"/>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921"/>
        <w:ind w:firstLine="420"/>
        <w:rPr>
          <w:rFonts w:ascii="宋体" w:hAnsi="宋体"/>
          <w:color w:val="auto"/>
          <w:sz w:val="21"/>
          <w:szCs w:val="21"/>
          <w:highlight w:val="none"/>
        </w:rPr>
      </w:pPr>
      <w:r>
        <w:rPr>
          <w:rFonts w:ascii="宋体" w:hAnsi="宋体"/>
          <w:color w:val="auto"/>
          <w:sz w:val="21"/>
          <w:szCs w:val="21"/>
          <w:highlight w:val="none"/>
        </w:rPr>
        <w:t xml:space="preserve">（1）对小型和微型企业产品给予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921"/>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（2）供应商需按照采购文件的要求提供相应的《企业声明函》。</w:t>
      </w:r>
      <w:r/>
    </w:p>
    <w:p>
      <w:pPr>
        <w:pStyle w:val="921"/>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921"/>
        <w:ind w:left="315" w:firstLine="105"/>
        <w:rPr>
          <w:rFonts w:ascii="宋体" w:hAnsi="宋体"/>
          <w:color w:val="auto"/>
          <w:sz w:val="21"/>
          <w:szCs w:val="21"/>
          <w:highlight w:val="none"/>
        </w:rPr>
      </w:pPr>
      <w:r>
        <w:rPr>
          <w:rFonts w:ascii="宋体" w:hAnsi="宋体"/>
          <w:color w:val="auto"/>
          <w:sz w:val="21"/>
          <w:szCs w:val="21"/>
          <w:highlight w:val="none"/>
        </w:rPr>
        <w:t xml:space="preserve">（1）对残疾人福利性单位视同小型、微型企业，给予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w:t>
      </w:r>
      <w:r/>
    </w:p>
    <w:p>
      <w:pPr>
        <w:pStyle w:val="921"/>
        <w:ind w:firstLine="0"/>
        <w:rPr>
          <w:rFonts w:ascii="宋体" w:hAnsi="宋体"/>
          <w:color w:val="auto"/>
          <w:sz w:val="21"/>
          <w:szCs w:val="21"/>
          <w:highlight w:val="none"/>
        </w:rPr>
      </w:pPr>
      <w:r>
        <w:rPr>
          <w:rFonts w:ascii="宋体" w:hAnsi="宋体"/>
          <w:color w:val="auto"/>
          <w:sz w:val="21"/>
          <w:szCs w:val="21"/>
          <w:highlight w:val="none"/>
        </w:rPr>
        <w:t xml:space="preserve">后的价格参与评审。</w:t>
      </w:r>
      <w:r/>
    </w:p>
    <w:p>
      <w:pPr>
        <w:pStyle w:val="921"/>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921"/>
        <w:ind w:left="420" w:firstLine="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w:t>
      </w:r>
      <w:r/>
    </w:p>
    <w:p>
      <w:pPr>
        <w:pStyle w:val="921"/>
        <w:ind w:left="420" w:hanging="420"/>
        <w:rPr>
          <w:rFonts w:ascii="宋体" w:hAnsi="宋体"/>
          <w:color w:val="auto"/>
          <w:sz w:val="21"/>
          <w:szCs w:val="21"/>
          <w:highlight w:val="none"/>
        </w:rPr>
      </w:pPr>
      <w:r>
        <w:rPr>
          <w:rFonts w:ascii="宋体" w:hAnsi="宋体"/>
          <w:color w:val="auto"/>
          <w:sz w:val="21"/>
          <w:szCs w:val="21"/>
          <w:highlight w:val="none"/>
        </w:rPr>
        <w:t xml:space="preserve">〔2017〕141号）。</w:t>
      </w:r>
      <w:r/>
    </w:p>
    <w:p>
      <w:pPr>
        <w:pStyle w:val="921"/>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921"/>
        <w:ind w:left="420" w:firstLine="0"/>
        <w:rPr>
          <w:rFonts w:ascii="宋体" w:hAnsi="宋体"/>
          <w:color w:val="auto"/>
          <w:sz w:val="21"/>
          <w:szCs w:val="21"/>
          <w:highlight w:val="none"/>
        </w:rPr>
      </w:pPr>
      <w:r>
        <w:rPr>
          <w:rFonts w:ascii="宋体" w:hAnsi="宋体"/>
          <w:color w:val="auto"/>
          <w:sz w:val="21"/>
          <w:szCs w:val="21"/>
          <w:highlight w:val="none"/>
        </w:rPr>
        <w:t xml:space="preserve">（1）对监狱和戒毒企业（简称监狱企业）视同小型、微型企业，给予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921"/>
        <w:ind w:left="420" w:firstLine="0"/>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w:t>
      </w:r>
      <w:r/>
    </w:p>
    <w:p>
      <w:pPr>
        <w:pStyle w:val="921"/>
        <w:ind w:firstLine="0"/>
        <w:rPr>
          <w:rFonts w:ascii="宋体" w:hAnsi="宋体"/>
          <w:color w:val="auto"/>
          <w:sz w:val="21"/>
          <w:szCs w:val="21"/>
          <w:highlight w:val="none"/>
        </w:rPr>
      </w:pPr>
      <w:r>
        <w:rPr>
          <w:rFonts w:ascii="宋体" w:hAnsi="宋体"/>
          <w:color w:val="auto"/>
          <w:sz w:val="21"/>
          <w:szCs w:val="21"/>
          <w:highlight w:val="none"/>
        </w:rPr>
        <w:t xml:space="preserve">新疆生产建设兵团)出具的属于监狱企业的证明文件。供应商如不提供上述证明文件，价格将不做相应扣除。</w:t>
      </w:r>
      <w:r/>
    </w:p>
    <w:p>
      <w:pPr>
        <w:pStyle w:val="921"/>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921"/>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921"/>
        <w:ind w:left="420" w:firstLine="0"/>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w:t>
      </w:r>
      <w:r/>
    </w:p>
    <w:p>
      <w:pPr>
        <w:pStyle w:val="921"/>
        <w:ind w:firstLine="0"/>
        <w:rPr>
          <w:rFonts w:ascii="宋体" w:hAnsi="宋体"/>
          <w:color w:val="auto"/>
          <w:sz w:val="21"/>
          <w:szCs w:val="21"/>
          <w:highlight w:val="none"/>
        </w:rPr>
      </w:pPr>
      <w:r>
        <w:rPr>
          <w:rFonts w:ascii="宋体" w:hAnsi="宋体"/>
          <w:color w:val="auto"/>
          <w:sz w:val="21"/>
          <w:szCs w:val="21"/>
          <w:highlight w:val="none"/>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921"/>
        <w:ind w:left="420" w:firstLine="0"/>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p>
    <w:p>
      <w:pPr>
        <w:pStyle w:val="921"/>
        <w:ind w:firstLine="0"/>
        <w:rPr>
          <w:rFonts w:ascii="宋体" w:hAnsi="宋体"/>
          <w:color w:val="auto"/>
          <w:sz w:val="21"/>
          <w:szCs w:val="21"/>
          <w:highlight w:val="none"/>
        </w:rPr>
      </w:pP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921"/>
        <w:ind w:firstLine="420"/>
        <w:rPr>
          <w:rFonts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21"/>
        <w:ind w:firstLine="422"/>
        <w:rPr>
          <w:rFonts w:ascii="宋体" w:hAnsi="宋体"/>
          <w:b/>
          <w:color w:val="auto"/>
          <w:sz w:val="21"/>
          <w:szCs w:val="21"/>
          <w:highlight w:val="none"/>
        </w:rPr>
      </w:pPr>
      <w:r>
        <w:rPr>
          <w:rFonts w:hint="eastAsia" w:ascii="宋体" w:hAnsi="宋体"/>
          <w:b/>
          <w:color w:val="auto"/>
          <w:sz w:val="21"/>
          <w:szCs w:val="21"/>
          <w:highlight w:val="none"/>
        </w:rPr>
        <w:t xml:space="preserve">三、评标标准</w:t>
      </w:r>
      <w:r/>
    </w:p>
    <w:p>
      <w:pPr>
        <w:ind w:firstLine="482"/>
        <w:jc w:val="left"/>
        <w:spacing w:before="120" w:after="120" w:line="0" w:lineRule="atLeast"/>
        <w:rPr>
          <w:rFonts w:ascii="宋体" w:hAnsi="宋体"/>
          <w:b/>
          <w:color w:val="auto"/>
          <w:sz w:val="24"/>
          <w:szCs w:val="24"/>
          <w:highlight w:val="none"/>
        </w:rPr>
      </w:pPr>
      <w:r>
        <w:rPr>
          <w:rFonts w:hint="eastAsia" w:ascii="宋体" w:hAnsi="宋体"/>
          <w:b/>
          <w:color w:val="auto"/>
          <w:sz w:val="24"/>
          <w:szCs w:val="24"/>
          <w:highlight w:val="none"/>
        </w:rPr>
        <w:t xml:space="preserve">采购包1：</w:t>
      </w:r>
      <w:r/>
    </w:p>
    <w:tbl>
      <w:tblPr>
        <w:tblStyle w:val="873"/>
        <w:tblW w:w="9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119"/>
        <w:gridCol w:w="7491"/>
      </w:tblGrid>
      <w:tr>
        <w:trPr>
          <w:cantSplit/>
          <w:jc w:val="center"/>
          <w:trHeight w:val="290"/>
        </w:trPr>
        <w:tc>
          <w:tcPr>
            <w:tcW w:w="643" w:type="dxa"/>
            <w:vAlign w:val="top"/>
            <w:textDirection w:val="lrTb"/>
            <w:noWrap w:val="false"/>
          </w:tcPr>
          <w:p>
            <w:pPr>
              <w:jc w:val="center"/>
              <w:rPr>
                <w:rFonts w:ascii="宋体" w:hAnsi="宋体"/>
                <w:color w:val="auto"/>
                <w:highlight w:val="none"/>
              </w:rPr>
            </w:pPr>
            <w:r>
              <w:rPr>
                <w:rFonts w:hint="eastAsia" w:ascii="宋体" w:hAnsi="宋体"/>
                <w:color w:val="auto"/>
                <w:highlight w:val="none"/>
              </w:rPr>
              <w:t xml:space="preserve">序号</w:t>
            </w:r>
            <w:r/>
          </w:p>
        </w:tc>
        <w:tc>
          <w:tcPr>
            <w:tcW w:w="111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项  目</w:t>
            </w:r>
            <w:r/>
          </w:p>
        </w:tc>
        <w:tc>
          <w:tcPr>
            <w:tcW w:w="749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评  分  标  准</w:t>
            </w:r>
            <w:r/>
          </w:p>
        </w:tc>
      </w:tr>
      <w:tr>
        <w:trPr>
          <w:cantSplit/>
          <w:jc w:val="center"/>
          <w:trHeight w:val="732"/>
        </w:trPr>
        <w:tc>
          <w:tcPr>
            <w:tcW w:w="64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111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价 格</w:t>
            </w:r>
            <w:r/>
          </w:p>
          <w:p>
            <w:pPr>
              <w:jc w:val="center"/>
              <w:rPr>
                <w:rFonts w:ascii="宋体" w:hAnsi="宋体"/>
                <w:color w:val="auto"/>
                <w:highlight w:val="none"/>
              </w:rPr>
            </w:pPr>
            <w:r>
              <w:rPr>
                <w:rFonts w:hint="eastAsia" w:ascii="宋体" w:hAnsi="宋体"/>
                <w:color w:val="auto"/>
                <w:highlight w:val="none"/>
              </w:rPr>
              <w:t xml:space="preserve">（30分）</w:t>
            </w:r>
            <w:r/>
          </w:p>
        </w:tc>
        <w:tc>
          <w:tcPr>
            <w:tcW w:w="7491" w:type="dxa"/>
            <w:vAlign w:val="top"/>
            <w:textDirection w:val="lrTb"/>
            <w:noWrap w:val="false"/>
          </w:tcPr>
          <w:p>
            <w:pPr>
              <w:ind w:left="80"/>
              <w:rPr>
                <w:rFonts w:ascii="宋体" w:hAnsi="宋体"/>
                <w:color w:val="auto"/>
                <w:highlight w:val="none"/>
              </w:rPr>
            </w:pPr>
            <w:r>
              <w:rPr>
                <w:rFonts w:hint="eastAsia" w:ascii="宋体" w:hAnsi="宋体"/>
                <w:color w:val="auto"/>
                <w:highlight w:val="none"/>
              </w:rPr>
              <w:t xml:space="preserve">以满足招标文件要求的最低价为基准价，得30分，其他得分＝（基准价/报价）×30×100％（保留2位小数）</w:t>
            </w:r>
            <w:r/>
          </w:p>
        </w:tc>
      </w:tr>
      <w:tr>
        <w:trPr>
          <w:cantSplit/>
          <w:jc w:val="center"/>
          <w:trHeight w:val="732"/>
        </w:trPr>
        <w:tc>
          <w:tcPr>
            <w:tcW w:w="643"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111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技术性能</w:t>
            </w:r>
            <w:r/>
          </w:p>
          <w:p>
            <w:pPr>
              <w:jc w:val="center"/>
              <w:rPr>
                <w:rFonts w:ascii="宋体" w:hAnsi="宋体"/>
                <w:color w:val="auto"/>
                <w:highlight w:val="none"/>
              </w:rPr>
            </w:pPr>
            <w:r>
              <w:rPr>
                <w:rFonts w:hint="eastAsia" w:ascii="宋体" w:hAnsi="宋体"/>
                <w:color w:val="auto"/>
                <w:highlight w:val="none"/>
              </w:rPr>
              <w:t xml:space="preserve">（30分）</w:t>
            </w:r>
            <w:r/>
          </w:p>
        </w:tc>
        <w:tc>
          <w:tcPr>
            <w:tcW w:w="7491" w:type="dxa"/>
            <w:vAlign w:val="top"/>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highlight w:val="none"/>
              </w:rPr>
              <w:t xml:space="preserve">根据供应商提供的技术参数响应及偏离表对照采购文件中第四章项目需求中【设备采购清单与技术参数】后进行评分，所有指标完全满足采购文件要求得30分。其中标注“★”号条款有一项不满</w:t>
            </w:r>
            <w:r>
              <w:rPr>
                <w:rFonts w:hint="eastAsia" w:ascii="宋体" w:hAnsi="宋体" w:cs="宋体"/>
                <w:color w:val="auto"/>
                <w:highlight w:val="none"/>
              </w:rPr>
              <w:t xml:space="preserve">足扣</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分，扣完为止。</w:t>
            </w:r>
            <w:r>
              <w:rPr>
                <w:rFonts w:hint="eastAsia" w:ascii="宋体" w:hAnsi="宋体" w:cs="宋体"/>
                <w:b/>
                <w:bCs/>
                <w:color w:val="auto"/>
                <w:highlight w:val="none"/>
              </w:rPr>
              <w:t xml:space="preserve">带“</w:t>
            </w:r>
            <w:r>
              <w:rPr>
                <w:rFonts w:hint="eastAsia" w:ascii="宋体" w:hAnsi="宋体"/>
                <w:color w:val="auto"/>
                <w:szCs w:val="21"/>
                <w:highlight w:val="none"/>
              </w:rPr>
              <w:t xml:space="preserve">★</w:t>
            </w:r>
            <w:r>
              <w:rPr>
                <w:rFonts w:hint="eastAsia" w:ascii="宋体" w:hAnsi="宋体" w:cs="宋体"/>
                <w:b/>
                <w:bCs/>
                <w:color w:val="auto"/>
                <w:highlight w:val="none"/>
              </w:rPr>
              <w:t xml:space="preserve">”设备产品有具体要求的按照招标文件要求提供证明资料，以验证所投产品的符合性，不提供的视为不满足。</w:t>
            </w:r>
            <w:r/>
          </w:p>
        </w:tc>
      </w:tr>
      <w:tr>
        <w:trPr>
          <w:cantSplit/>
          <w:jc w:val="center"/>
          <w:trHeight w:val="732"/>
        </w:trPr>
        <w:tc>
          <w:tcPr>
            <w:tcW w:w="64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w:t>
            </w:r>
            <w:r/>
          </w:p>
        </w:tc>
        <w:tc>
          <w:tcPr>
            <w:tcW w:w="111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业绩</w:t>
            </w:r>
            <w:r/>
          </w:p>
          <w:p>
            <w:pPr>
              <w:jc w:val="center"/>
              <w:rPr>
                <w:rFonts w:ascii="宋体" w:hAnsi="宋体"/>
                <w:color w:val="auto"/>
                <w:highlight w:val="none"/>
              </w:rPr>
            </w:pPr>
            <w:r>
              <w:rPr>
                <w:rFonts w:hint="eastAsia" w:ascii="宋体" w:hAnsi="宋体"/>
                <w:color w:val="auto"/>
                <w:highlight w:val="none"/>
              </w:rPr>
              <w:t xml:space="preserve">（5分）</w:t>
            </w:r>
            <w:r/>
          </w:p>
        </w:tc>
        <w:tc>
          <w:tcPr>
            <w:tcW w:w="7491" w:type="dxa"/>
            <w:vAlign w:val="top"/>
            <w:textDirection w:val="lrTb"/>
            <w:noWrap w:val="false"/>
          </w:tcPr>
          <w:p>
            <w:pPr>
              <w:spacing w:line="360" w:lineRule="auto"/>
              <w:rPr>
                <w:rFonts w:ascii="宋体" w:hAnsi="宋体"/>
                <w:color w:val="auto"/>
                <w:highlight w:val="none"/>
              </w:rPr>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月1日至今，投标人承担过类似项目业绩，每有一项得1分，满分5分。（同一项目不同年份的不重复得分，以合同签订时间为准，提供合同原件扫描上传）</w:t>
            </w:r>
            <w:r/>
          </w:p>
        </w:tc>
      </w:tr>
      <w:tr>
        <w:trPr>
          <w:cantSplit/>
          <w:jc w:val="center"/>
          <w:trHeight w:val="732"/>
        </w:trPr>
        <w:tc>
          <w:tcPr>
            <w:tcW w:w="64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4</w:t>
            </w:r>
            <w:r/>
          </w:p>
        </w:tc>
        <w:tc>
          <w:tcPr>
            <w:tcW w:w="111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售后服务</w:t>
            </w:r>
            <w:r/>
          </w:p>
          <w:p>
            <w:pPr>
              <w:jc w:val="center"/>
              <w:rPr>
                <w:rFonts w:ascii="宋体" w:hAnsi="宋体"/>
                <w:color w:val="auto"/>
                <w:highlight w:val="none"/>
              </w:rPr>
            </w:pPr>
            <w:r>
              <w:rPr>
                <w:rFonts w:hint="eastAsia" w:ascii="宋体" w:hAnsi="宋体"/>
                <w:color w:val="auto"/>
                <w:highlight w:val="none"/>
              </w:rPr>
              <w:t xml:space="preserve">（4分）</w:t>
            </w:r>
            <w:r/>
          </w:p>
        </w:tc>
        <w:tc>
          <w:tcPr>
            <w:tcW w:w="7491" w:type="dxa"/>
            <w:vAlign w:val="top"/>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1、投标人承诺在</w:t>
            </w:r>
            <w:r>
              <w:rPr>
                <w:rFonts w:hint="default" w:ascii="宋体" w:hAnsi="宋体"/>
                <w:color w:val="auto"/>
                <w:highlight w:val="none"/>
              </w:rPr>
              <w:t xml:space="preserve">接到采购人通知后，24小时内提供</w:t>
            </w:r>
            <w:r>
              <w:rPr>
                <w:rFonts w:hint="eastAsia" w:ascii="宋体" w:hAnsi="宋体"/>
                <w:color w:val="auto"/>
                <w:highlight w:val="none"/>
              </w:rPr>
              <w:t xml:space="preserve">备件的得1分。（提供承诺函原件上传）</w:t>
            </w:r>
            <w:r/>
          </w:p>
          <w:p>
            <w:pPr>
              <w:spacing w:line="360" w:lineRule="auto"/>
              <w:rPr>
                <w:rFonts w:ascii="宋体" w:hAnsi="宋体"/>
                <w:color w:val="auto"/>
                <w:highlight w:val="none"/>
              </w:rPr>
            </w:pPr>
            <w:r>
              <w:rPr>
                <w:rFonts w:hint="eastAsia" w:ascii="宋体" w:hAnsi="宋体"/>
                <w:color w:val="auto"/>
                <w:highlight w:val="none"/>
              </w:rPr>
              <w:t xml:space="preserve">2、投标人承诺故障响应时间在1小时以内、售后服务处理故障时间在24小时内恢复运行的得2分，其他不得分。（提供承诺函原件上传）</w:t>
            </w:r>
            <w:r/>
          </w:p>
          <w:p>
            <w:pPr>
              <w:spacing w:line="360" w:lineRule="auto"/>
              <w:rPr>
                <w:rFonts w:ascii="宋体" w:hAnsi="宋体"/>
                <w:color w:val="auto"/>
                <w:highlight w:val="none"/>
              </w:rPr>
            </w:pPr>
            <w:r>
              <w:rPr>
                <w:rFonts w:hint="eastAsia" w:ascii="宋体" w:hAnsi="宋体"/>
                <w:color w:val="auto"/>
                <w:highlight w:val="none"/>
              </w:rPr>
              <w:t xml:space="preserve">3、投标人在满足招标文件的基础上，承诺系统软件5年免费升级的得1分，不承诺不得分。（提供承诺函原件上传）</w:t>
            </w:r>
            <w:r/>
          </w:p>
        </w:tc>
      </w:tr>
      <w:tr>
        <w:trPr>
          <w:cantSplit/>
          <w:jc w:val="center"/>
          <w:trHeight w:val="4240"/>
        </w:trPr>
        <w:tc>
          <w:tcPr>
            <w:tcW w:w="64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5</w:t>
            </w:r>
            <w:r/>
          </w:p>
        </w:tc>
        <w:tc>
          <w:tcPr>
            <w:tcW w:w="111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实施方案</w:t>
            </w:r>
            <w:r/>
          </w:p>
          <w:p>
            <w:pPr>
              <w:jc w:val="center"/>
              <w:rPr>
                <w:rFonts w:ascii="宋体" w:hAnsi="宋体"/>
                <w:color w:val="auto"/>
                <w:highlight w:val="none"/>
              </w:rPr>
            </w:pPr>
            <w:r>
              <w:rPr>
                <w:rFonts w:hint="eastAsia" w:ascii="宋体" w:hAnsi="宋体"/>
                <w:color w:val="auto"/>
                <w:highlight w:val="none"/>
              </w:rPr>
              <w:t xml:space="preserve">（31分）</w:t>
            </w:r>
            <w:r/>
          </w:p>
        </w:tc>
        <w:tc>
          <w:tcPr>
            <w:tcW w:w="7491" w:type="dxa"/>
            <w:vAlign w:val="top"/>
            <w:textDirection w:val="lrTb"/>
            <w:noWrap w:val="false"/>
          </w:tcPr>
          <w:p>
            <w:pPr>
              <w:spacing w:line="460" w:lineRule="exact"/>
              <w:rPr>
                <w:rFonts w:ascii="宋体" w:hAnsi="宋体"/>
                <w:color w:val="auto"/>
                <w:szCs w:val="21"/>
                <w:highlight w:val="none"/>
              </w:rPr>
            </w:pPr>
            <w:r>
              <w:rPr>
                <w:rFonts w:hint="eastAsia" w:ascii="宋体" w:hAnsi="宋体"/>
                <w:color w:val="auto"/>
                <w:szCs w:val="21"/>
                <w:highlight w:val="none"/>
              </w:rPr>
              <w:t xml:space="preserve">1、实施方案：对项目任务、目标进行解读（5分）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对本项目任务及目标进行解读，目标清晰、任务明确、项目需求理解准确。方案</w:t>
            </w:r>
            <w:r>
              <w:rPr>
                <w:rFonts w:hint="eastAsia"/>
                <w:color w:val="auto"/>
                <w:szCs w:val="21"/>
                <w:highlight w:val="none"/>
              </w:rPr>
              <w:t xml:space="preserve">优于招标文件要求的得5分；</w:t>
            </w:r>
            <w:r>
              <w:rPr>
                <w:rFonts w:hint="eastAsia" w:ascii="宋体" w:hAnsi="宋体"/>
                <w:color w:val="auto"/>
                <w:szCs w:val="21"/>
                <w:highlight w:val="none"/>
              </w:rPr>
              <w:t xml:space="preserve">方案</w:t>
            </w:r>
            <w:r>
              <w:rPr>
                <w:rFonts w:hint="eastAsia"/>
                <w:color w:val="auto"/>
                <w:szCs w:val="21"/>
                <w:highlight w:val="none"/>
              </w:rPr>
              <w:t xml:space="preserve">符合招标文件要求的得3分；</w:t>
            </w:r>
            <w:r>
              <w:rPr>
                <w:rFonts w:hint="eastAsia" w:ascii="宋体" w:hAnsi="宋体"/>
                <w:color w:val="auto"/>
                <w:szCs w:val="21"/>
                <w:highlight w:val="none"/>
              </w:rPr>
              <w:t xml:space="preserve">方案</w:t>
            </w:r>
            <w:r>
              <w:rPr>
                <w:rFonts w:hint="eastAsia"/>
                <w:color w:val="auto"/>
                <w:szCs w:val="21"/>
                <w:highlight w:val="none"/>
              </w:rPr>
              <w:t xml:space="preserve">不符合招标文件要求的，不得分。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2、监控建设方案：阶段任务分配合理，技术路线先进成熟，对实施的重点关键环节有把握，对难点问题有充分准备。（5分）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方案</w:t>
            </w:r>
            <w:r>
              <w:rPr>
                <w:rFonts w:hint="eastAsia"/>
                <w:color w:val="auto"/>
                <w:szCs w:val="21"/>
                <w:highlight w:val="none"/>
              </w:rPr>
              <w:t xml:space="preserve">优于招标文件要求的得5分；</w:t>
            </w:r>
            <w:r>
              <w:rPr>
                <w:rFonts w:hint="eastAsia" w:ascii="宋体" w:hAnsi="宋体"/>
                <w:color w:val="auto"/>
                <w:szCs w:val="21"/>
                <w:highlight w:val="none"/>
              </w:rPr>
              <w:t xml:space="preserve">方案</w:t>
            </w:r>
            <w:r>
              <w:rPr>
                <w:rFonts w:hint="eastAsia"/>
                <w:color w:val="auto"/>
                <w:szCs w:val="21"/>
                <w:highlight w:val="none"/>
              </w:rPr>
              <w:t xml:space="preserve">符合招标文件要求的得3分；</w:t>
            </w:r>
            <w:r>
              <w:rPr>
                <w:rFonts w:hint="eastAsia" w:ascii="宋体" w:hAnsi="宋体"/>
                <w:color w:val="auto"/>
                <w:szCs w:val="21"/>
                <w:highlight w:val="none"/>
              </w:rPr>
              <w:t xml:space="preserve">方案</w:t>
            </w:r>
            <w:r>
              <w:rPr>
                <w:rFonts w:hint="eastAsia"/>
                <w:color w:val="auto"/>
                <w:szCs w:val="21"/>
                <w:highlight w:val="none"/>
              </w:rPr>
              <w:t xml:space="preserve">不符合招标文件要求的，不得分</w:t>
            </w:r>
            <w:r>
              <w:rPr>
                <w:rFonts w:hint="eastAsia" w:ascii="宋体" w:hAnsi="宋体"/>
                <w:color w:val="auto"/>
                <w:szCs w:val="21"/>
                <w:highlight w:val="none"/>
              </w:rPr>
              <w:t xml:space="preserve">。</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3、接口对接方案：提供前后端设备与现有平台的接入方案，包含不同品牌设备间的接口对接。（5分）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方案</w:t>
            </w:r>
            <w:r>
              <w:rPr>
                <w:rFonts w:hint="eastAsia"/>
                <w:color w:val="auto"/>
                <w:szCs w:val="21"/>
                <w:highlight w:val="none"/>
              </w:rPr>
              <w:t xml:space="preserve">优于招标文件要求的得5分；</w:t>
            </w:r>
            <w:r>
              <w:rPr>
                <w:rFonts w:hint="eastAsia" w:ascii="宋体" w:hAnsi="宋体"/>
                <w:color w:val="auto"/>
                <w:szCs w:val="21"/>
                <w:highlight w:val="none"/>
              </w:rPr>
              <w:t xml:space="preserve">方案</w:t>
            </w:r>
            <w:r>
              <w:rPr>
                <w:rFonts w:hint="eastAsia"/>
                <w:color w:val="auto"/>
                <w:szCs w:val="21"/>
                <w:highlight w:val="none"/>
              </w:rPr>
              <w:t xml:space="preserve">符合招标文件要求的得3分；</w:t>
            </w:r>
            <w:r>
              <w:rPr>
                <w:rFonts w:hint="eastAsia" w:ascii="宋体" w:hAnsi="宋体"/>
                <w:color w:val="auto"/>
                <w:szCs w:val="21"/>
                <w:highlight w:val="none"/>
              </w:rPr>
              <w:t xml:space="preserve">方案</w:t>
            </w:r>
            <w:r>
              <w:rPr>
                <w:rFonts w:hint="eastAsia"/>
                <w:color w:val="auto"/>
                <w:szCs w:val="21"/>
                <w:highlight w:val="none"/>
              </w:rPr>
              <w:t xml:space="preserve">不符合招标文件要求的，不得分。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4、网络方案：监控探头网络传输方案科学合理、可行性强。（4分）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方案</w:t>
            </w:r>
            <w:r>
              <w:rPr>
                <w:rFonts w:hint="eastAsia"/>
                <w:color w:val="auto"/>
                <w:szCs w:val="21"/>
                <w:highlight w:val="none"/>
              </w:rPr>
              <w:t xml:space="preserve">优于招标文件要求的得4分；</w:t>
            </w:r>
            <w:r>
              <w:rPr>
                <w:rFonts w:hint="eastAsia" w:ascii="宋体" w:hAnsi="宋体"/>
                <w:color w:val="auto"/>
                <w:szCs w:val="21"/>
                <w:highlight w:val="none"/>
              </w:rPr>
              <w:t xml:space="preserve">方案</w:t>
            </w:r>
            <w:r>
              <w:rPr>
                <w:rFonts w:hint="eastAsia"/>
                <w:color w:val="auto"/>
                <w:szCs w:val="21"/>
                <w:highlight w:val="none"/>
              </w:rPr>
              <w:t xml:space="preserve">符合招标文件要求的得2分；</w:t>
            </w:r>
            <w:r>
              <w:rPr>
                <w:rFonts w:hint="eastAsia" w:ascii="宋体" w:hAnsi="宋体"/>
                <w:color w:val="auto"/>
                <w:szCs w:val="21"/>
                <w:highlight w:val="none"/>
              </w:rPr>
              <w:t xml:space="preserve">方案</w:t>
            </w:r>
            <w:r>
              <w:rPr>
                <w:rFonts w:hint="eastAsia"/>
                <w:color w:val="auto"/>
                <w:szCs w:val="21"/>
                <w:highlight w:val="none"/>
              </w:rPr>
              <w:t xml:space="preserve">不符合招标文件要求的，不得分。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5、进度管理：进度安排科学合理，有完善的安装期限管理措施。（4分）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措施</w:t>
            </w:r>
            <w:r>
              <w:rPr>
                <w:rFonts w:hint="eastAsia"/>
                <w:color w:val="auto"/>
                <w:szCs w:val="21"/>
                <w:highlight w:val="none"/>
              </w:rPr>
              <w:t xml:space="preserve">优于招标文件要求的得4分；</w:t>
            </w:r>
            <w:r>
              <w:rPr>
                <w:rFonts w:hint="eastAsia" w:ascii="宋体" w:hAnsi="宋体"/>
                <w:color w:val="auto"/>
                <w:szCs w:val="21"/>
                <w:highlight w:val="none"/>
              </w:rPr>
              <w:t xml:space="preserve">措施</w:t>
            </w:r>
            <w:r>
              <w:rPr>
                <w:rFonts w:hint="eastAsia"/>
                <w:color w:val="auto"/>
                <w:szCs w:val="21"/>
                <w:highlight w:val="none"/>
              </w:rPr>
              <w:t xml:space="preserve">符合招标文件要求的得2分；</w:t>
            </w:r>
            <w:r>
              <w:rPr>
                <w:rFonts w:hint="eastAsia" w:ascii="宋体" w:hAnsi="宋体"/>
                <w:color w:val="auto"/>
                <w:szCs w:val="21"/>
                <w:highlight w:val="none"/>
              </w:rPr>
              <w:t xml:space="preserve">措施</w:t>
            </w:r>
            <w:r>
              <w:rPr>
                <w:rFonts w:hint="eastAsia"/>
                <w:color w:val="auto"/>
                <w:szCs w:val="21"/>
                <w:highlight w:val="none"/>
              </w:rPr>
              <w:t xml:space="preserve">不符合招标文件要求的，不得分。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6、安全保障：安全责任制度明确，保障措施全面合理。（4分）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措施</w:t>
            </w:r>
            <w:r>
              <w:rPr>
                <w:rFonts w:hint="eastAsia"/>
                <w:color w:val="auto"/>
                <w:szCs w:val="21"/>
                <w:highlight w:val="none"/>
              </w:rPr>
              <w:t xml:space="preserve">优于招标文件要求的得4分；</w:t>
            </w:r>
            <w:r>
              <w:rPr>
                <w:rFonts w:hint="eastAsia" w:ascii="宋体" w:hAnsi="宋体"/>
                <w:color w:val="auto"/>
                <w:szCs w:val="21"/>
                <w:highlight w:val="none"/>
              </w:rPr>
              <w:t xml:space="preserve">措施</w:t>
            </w:r>
            <w:r>
              <w:rPr>
                <w:rFonts w:hint="eastAsia"/>
                <w:color w:val="auto"/>
                <w:szCs w:val="21"/>
                <w:highlight w:val="none"/>
              </w:rPr>
              <w:t xml:space="preserve">符合招标文件要求的得2分；</w:t>
            </w:r>
            <w:r>
              <w:rPr>
                <w:rFonts w:hint="eastAsia" w:ascii="宋体" w:hAnsi="宋体"/>
                <w:color w:val="auto"/>
                <w:szCs w:val="21"/>
                <w:highlight w:val="none"/>
              </w:rPr>
              <w:t xml:space="preserve">措施</w:t>
            </w:r>
            <w:r>
              <w:rPr>
                <w:rFonts w:hint="eastAsia"/>
                <w:color w:val="auto"/>
                <w:szCs w:val="21"/>
                <w:highlight w:val="none"/>
              </w:rPr>
              <w:t xml:space="preserve">不符合招标文件要求的，不得分。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7、人员安排：项目组成员配置合理，能保证项目的顺利实施。（4分）</w:t>
            </w:r>
            <w:r/>
          </w:p>
          <w:p>
            <w:pPr>
              <w:spacing w:line="460" w:lineRule="exact"/>
              <w:tabs>
                <w:tab w:val="center" w:pos="4513" w:leader="none"/>
              </w:tabs>
              <w:rPr>
                <w:rFonts w:ascii="宋体" w:hAnsi="宋体"/>
                <w:color w:val="auto"/>
                <w:highlight w:val="none"/>
              </w:rPr>
            </w:pPr>
            <w:r>
              <w:rPr>
                <w:rFonts w:hint="eastAsia"/>
                <w:color w:val="auto"/>
                <w:szCs w:val="21"/>
                <w:highlight w:val="none"/>
              </w:rPr>
              <w:t xml:space="preserve">优于招标文件要求的得4分；符合招标文件要求的得2分；不符合招标文件要求的，不得分</w:t>
            </w:r>
            <w:r>
              <w:rPr>
                <w:rFonts w:hint="eastAsia" w:ascii="宋体" w:hAnsi="宋体"/>
                <w:color w:val="auto"/>
                <w:szCs w:val="21"/>
                <w:highlight w:val="none"/>
              </w:rPr>
              <w:t xml:space="preserve">。</w:t>
            </w:r>
            <w:r/>
          </w:p>
        </w:tc>
      </w:tr>
    </w:tbl>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异常低价投标（响应）</w:t>
      </w:r>
      <w:r/>
    </w:p>
    <w:p>
      <w:pPr>
        <w:ind w:firstLine="422"/>
        <w:spacing w:line="360" w:lineRule="auto"/>
        <w:rPr>
          <w:rFonts w:hint="eastAsia" w:ascii="宋体" w:hAnsi="宋体" w:eastAsia="宋体" w:cs="宋体"/>
          <w:b/>
          <w:bCs w:val="0"/>
          <w:szCs w:val="21"/>
          <w:highlight w:val="none"/>
          <w:lang w:val="en-US" w:eastAsia="zh-CN"/>
        </w:rPr>
      </w:pPr>
      <w:r>
        <w:rPr>
          <w:rFonts w:hint="eastAsia" w:ascii="宋体" w:hAnsi="宋体" w:eastAsia="宋体" w:cs="宋体"/>
          <w:b/>
          <w:bCs w:val="0"/>
          <w:szCs w:val="21"/>
          <w:lang w:val="en-US" w:eastAsia="zh-CN"/>
        </w:rPr>
        <w:t xml:space="preserve">（一）采购人应当在采购文件中明确，政府采购评审中出现下列情形之一的，评审委员会</w:t>
      </w:r>
      <w:r>
        <w:rPr>
          <w:rFonts w:hint="eastAsia" w:ascii="宋体" w:hAnsi="宋体" w:eastAsia="宋体" w:cs="宋体"/>
          <w:b/>
          <w:bCs w:val="0"/>
          <w:szCs w:val="21"/>
          <w:highlight w:val="none"/>
          <w:lang w:val="en-US" w:eastAsia="zh-CN"/>
        </w:rPr>
        <w:t xml:space="preserve">应当启动异常低价投标（响应）审查程序：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3、投标（响应）报价低于采购项目最高限价45%的，即投标（响应）报价&lt;采购项目最高限价×45%；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4、评审委员会基于专业判断，认为供应商报价过低，有可能影响产品质量或者不能诚信履约的其他情形。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ascii="宋体" w:hAnsi="宋体"/>
          <w:b/>
          <w:color w:val="auto"/>
          <w:sz w:val="24"/>
          <w:szCs w:val="24"/>
          <w:highlight w:val="none"/>
        </w:rPr>
      </w:r>
      <w:r/>
    </w:p>
    <w:p>
      <w:pPr>
        <w:jc w:val="left"/>
        <w:spacing w:before="120" w:after="120" w:line="0" w:lineRule="atLeast"/>
        <w:rPr>
          <w:rFonts w:ascii="宋体" w:hAnsi="宋体"/>
          <w:b/>
          <w:color w:val="auto"/>
          <w:sz w:val="24"/>
          <w:szCs w:val="24"/>
          <w:highlight w:val="none"/>
        </w:rPr>
      </w:pPr>
      <w:r>
        <w:rPr>
          <w:rFonts w:hint="eastAsia" w:ascii="宋体" w:hAnsi="宋体"/>
          <w:b/>
          <w:color w:val="auto"/>
          <w:sz w:val="24"/>
          <w:szCs w:val="24"/>
          <w:highlight w:val="none"/>
        </w:rPr>
        <w:t xml:space="preserve">采购包2、采购包3：</w:t>
      </w:r>
      <w:r/>
    </w:p>
    <w:tbl>
      <w:tblPr>
        <w:tblStyle w:val="873"/>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119"/>
        <w:gridCol w:w="7276"/>
      </w:tblGrid>
      <w:tr>
        <w:trPr>
          <w:cantSplit/>
          <w:jc w:val="center"/>
          <w:trHeight w:val="290"/>
        </w:trPr>
        <w:tc>
          <w:tcPr>
            <w:tcW w:w="643" w:type="dxa"/>
            <w:vAlign w:val="top"/>
            <w:textDirection w:val="lrTb"/>
            <w:noWrap w:val="false"/>
          </w:tcPr>
          <w:p>
            <w:pPr>
              <w:jc w:val="center"/>
              <w:rPr>
                <w:rFonts w:ascii="宋体" w:hAnsi="宋体"/>
                <w:color w:val="auto"/>
                <w:highlight w:val="none"/>
              </w:rPr>
            </w:pPr>
            <w:r>
              <w:rPr>
                <w:rFonts w:hint="eastAsia" w:ascii="宋体" w:hAnsi="宋体"/>
                <w:color w:val="auto"/>
                <w:highlight w:val="none"/>
              </w:rPr>
              <w:t xml:space="preserve">序号</w:t>
            </w:r>
            <w:r/>
          </w:p>
        </w:tc>
        <w:tc>
          <w:tcPr>
            <w:tcW w:w="111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项  目</w:t>
            </w:r>
            <w:r/>
          </w:p>
        </w:tc>
        <w:tc>
          <w:tcPr>
            <w:tcW w:w="727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评  分  标  准</w:t>
            </w:r>
            <w:r/>
          </w:p>
        </w:tc>
      </w:tr>
      <w:tr>
        <w:trPr>
          <w:cantSplit/>
          <w:jc w:val="center"/>
          <w:trHeight w:val="732"/>
        </w:trPr>
        <w:tc>
          <w:tcPr>
            <w:tcW w:w="64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111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价 格</w:t>
            </w:r>
            <w:r/>
          </w:p>
          <w:p>
            <w:pPr>
              <w:jc w:val="center"/>
              <w:rPr>
                <w:rFonts w:ascii="宋体" w:hAnsi="宋体"/>
                <w:color w:val="auto"/>
                <w:highlight w:val="none"/>
              </w:rPr>
            </w:pPr>
            <w:r>
              <w:rPr>
                <w:rFonts w:hint="eastAsia" w:ascii="宋体" w:hAnsi="宋体"/>
                <w:color w:val="auto"/>
                <w:highlight w:val="none"/>
              </w:rPr>
              <w:t xml:space="preserve">（30分）</w:t>
            </w:r>
            <w:r/>
          </w:p>
        </w:tc>
        <w:tc>
          <w:tcPr>
            <w:tcW w:w="7276" w:type="dxa"/>
            <w:vAlign w:val="top"/>
            <w:textDirection w:val="lrTb"/>
            <w:noWrap w:val="false"/>
          </w:tcPr>
          <w:p>
            <w:pPr>
              <w:ind w:left="80"/>
              <w:rPr>
                <w:rFonts w:ascii="宋体" w:hAnsi="宋体"/>
                <w:color w:val="auto"/>
                <w:highlight w:val="none"/>
              </w:rPr>
            </w:pPr>
            <w:r>
              <w:rPr>
                <w:rFonts w:hint="eastAsia" w:ascii="宋体" w:hAnsi="宋体"/>
                <w:color w:val="auto"/>
                <w:highlight w:val="none"/>
              </w:rPr>
              <w:t xml:space="preserve">以满足招标文件要求的最低价为基准价，得30分，其他得分＝（基准价/报价）×30×100％（保留2位小数）</w:t>
            </w:r>
            <w:r/>
          </w:p>
        </w:tc>
      </w:tr>
      <w:tr>
        <w:trPr>
          <w:cantSplit/>
          <w:jc w:val="center"/>
          <w:trHeight w:val="732"/>
        </w:trPr>
        <w:tc>
          <w:tcPr>
            <w:tcW w:w="643"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111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技术性能</w:t>
            </w:r>
            <w:r/>
          </w:p>
          <w:p>
            <w:pPr>
              <w:jc w:val="center"/>
              <w:rPr>
                <w:rFonts w:ascii="宋体" w:hAnsi="宋体"/>
                <w:color w:val="auto"/>
                <w:highlight w:val="none"/>
              </w:rPr>
            </w:pPr>
            <w:r>
              <w:rPr>
                <w:rFonts w:hint="eastAsia" w:ascii="宋体" w:hAnsi="宋体"/>
                <w:color w:val="auto"/>
                <w:highlight w:val="none"/>
              </w:rPr>
              <w:t xml:space="preserve">（30分）</w:t>
            </w:r>
            <w:r/>
          </w:p>
        </w:tc>
        <w:tc>
          <w:tcPr>
            <w:tcW w:w="7276" w:type="dxa"/>
            <w:vAlign w:val="top"/>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根据供应商提供的技术参数响应及偏离表对照采购文件中第四章项目需求中【设备采购清单与技术参数】后进行评分，所有指标完全满足采购文件要求得30分。其中标注“★”</w:t>
            </w:r>
            <w:r>
              <w:rPr>
                <w:rFonts w:hint="eastAsia" w:ascii="宋体" w:hAnsi="宋体" w:cs="宋体"/>
                <w:color w:val="auto"/>
                <w:highlight w:val="none"/>
              </w:rPr>
              <w:t xml:space="preserve">号条款有一项不满足扣2分，扣完为止。</w:t>
            </w:r>
            <w:r>
              <w:rPr>
                <w:rFonts w:hint="eastAsia" w:ascii="宋体" w:hAnsi="宋体" w:cs="宋体"/>
                <w:b/>
                <w:bCs/>
                <w:color w:val="auto"/>
                <w:highlight w:val="none"/>
              </w:rPr>
              <w:t xml:space="preserve">带“</w:t>
            </w:r>
            <w:r>
              <w:rPr>
                <w:rFonts w:hint="eastAsia" w:ascii="宋体" w:hAnsi="宋体"/>
                <w:color w:val="auto"/>
                <w:szCs w:val="21"/>
                <w:highlight w:val="none"/>
              </w:rPr>
              <w:t xml:space="preserve">★</w:t>
            </w:r>
            <w:r>
              <w:rPr>
                <w:rFonts w:hint="eastAsia" w:ascii="宋体" w:hAnsi="宋体" w:cs="宋体"/>
                <w:b/>
                <w:bCs/>
                <w:color w:val="auto"/>
                <w:highlight w:val="none"/>
              </w:rPr>
              <w:t xml:space="preserve">”设备产品有具体要求的按照招标文件要求提供证明资料，以验证所投产品的符合性，不提供的视为不满足。</w:t>
            </w:r>
            <w:r/>
          </w:p>
        </w:tc>
      </w:tr>
      <w:tr>
        <w:trPr>
          <w:cantSplit/>
          <w:jc w:val="center"/>
          <w:trHeight w:val="732"/>
        </w:trPr>
        <w:tc>
          <w:tcPr>
            <w:tcW w:w="64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w:t>
            </w:r>
            <w:r/>
          </w:p>
        </w:tc>
        <w:tc>
          <w:tcPr>
            <w:tcW w:w="111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业绩</w:t>
            </w:r>
            <w:r/>
          </w:p>
          <w:p>
            <w:pPr>
              <w:jc w:val="center"/>
              <w:rPr>
                <w:rFonts w:ascii="宋体" w:hAnsi="宋体"/>
                <w:color w:val="auto"/>
                <w:highlight w:val="none"/>
              </w:rPr>
            </w:pPr>
            <w:r>
              <w:rPr>
                <w:rFonts w:hint="eastAsia" w:ascii="宋体" w:hAnsi="宋体"/>
                <w:color w:val="auto"/>
                <w:highlight w:val="none"/>
              </w:rPr>
              <w:t xml:space="preserve">（5分）</w:t>
            </w:r>
            <w:r/>
          </w:p>
        </w:tc>
        <w:tc>
          <w:tcPr>
            <w:tcW w:w="7276" w:type="dxa"/>
            <w:vAlign w:val="top"/>
            <w:textDirection w:val="lrTb"/>
            <w:noWrap w:val="false"/>
          </w:tcPr>
          <w:p>
            <w:pPr>
              <w:spacing w:line="360" w:lineRule="auto"/>
              <w:rPr>
                <w:rFonts w:ascii="宋体" w:hAnsi="宋体"/>
                <w:color w:val="auto"/>
                <w:highlight w:val="none"/>
              </w:rPr>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月1日至今，投标人承担过类似项目业绩，每有一项得1分，满分5分。（同一项目不同年份的不重复得分，以合同签订时间为准，提供合同原件扫描上传）</w:t>
            </w:r>
            <w:r/>
          </w:p>
        </w:tc>
      </w:tr>
      <w:tr>
        <w:trPr>
          <w:cantSplit/>
          <w:jc w:val="center"/>
          <w:trHeight w:val="732"/>
        </w:trPr>
        <w:tc>
          <w:tcPr>
            <w:tcW w:w="64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4</w:t>
            </w:r>
            <w:r/>
          </w:p>
        </w:tc>
        <w:tc>
          <w:tcPr>
            <w:tcW w:w="111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售后服务</w:t>
            </w:r>
            <w:r/>
          </w:p>
          <w:p>
            <w:pPr>
              <w:jc w:val="center"/>
              <w:rPr>
                <w:rFonts w:ascii="宋体" w:hAnsi="宋体"/>
                <w:color w:val="auto"/>
                <w:highlight w:val="none"/>
              </w:rPr>
            </w:pPr>
            <w:r>
              <w:rPr>
                <w:rFonts w:hint="eastAsia" w:ascii="宋体" w:hAnsi="宋体"/>
                <w:color w:val="auto"/>
                <w:highlight w:val="none"/>
              </w:rPr>
              <w:t xml:space="preserve">（4分）</w:t>
            </w:r>
            <w:r/>
          </w:p>
        </w:tc>
        <w:tc>
          <w:tcPr>
            <w:tcW w:w="7276" w:type="dxa"/>
            <w:vAlign w:val="top"/>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1、投标人承诺在</w:t>
            </w:r>
            <w:r>
              <w:rPr>
                <w:rFonts w:hint="default" w:ascii="宋体" w:hAnsi="宋体"/>
                <w:color w:val="auto"/>
                <w:highlight w:val="none"/>
              </w:rPr>
              <w:t xml:space="preserve">接到采购人通知后，24小时内提供</w:t>
            </w:r>
            <w:r>
              <w:rPr>
                <w:rFonts w:hint="eastAsia" w:ascii="宋体" w:hAnsi="宋体"/>
                <w:color w:val="auto"/>
                <w:highlight w:val="none"/>
              </w:rPr>
              <w:t xml:space="preserve">备件的得1分。（提供承诺函原件上传）</w:t>
            </w:r>
            <w:r/>
          </w:p>
          <w:p>
            <w:pPr>
              <w:spacing w:line="360" w:lineRule="auto"/>
              <w:rPr>
                <w:rFonts w:ascii="宋体" w:hAnsi="宋体"/>
                <w:color w:val="auto"/>
                <w:highlight w:val="none"/>
              </w:rPr>
            </w:pPr>
            <w:r>
              <w:rPr>
                <w:rFonts w:hint="eastAsia" w:ascii="宋体" w:hAnsi="宋体"/>
                <w:color w:val="auto"/>
                <w:highlight w:val="none"/>
              </w:rPr>
              <w:t xml:space="preserve">2、投标人承诺故障响应时间在</w:t>
            </w:r>
            <w:r>
              <w:rPr>
                <w:rFonts w:ascii="宋体" w:hAnsi="宋体"/>
                <w:color w:val="auto"/>
                <w:highlight w:val="none"/>
              </w:rPr>
              <w:t xml:space="preserve">1</w:t>
            </w:r>
            <w:r>
              <w:rPr>
                <w:rFonts w:hint="eastAsia" w:ascii="宋体" w:hAnsi="宋体"/>
                <w:color w:val="auto"/>
                <w:highlight w:val="none"/>
              </w:rPr>
              <w:t xml:space="preserve">小时以内、</w:t>
            </w:r>
            <w:r>
              <w:rPr>
                <w:rFonts w:ascii="Times New Roman" w:hAnsi="Times New Roman"/>
                <w:color w:val="auto"/>
                <w:highlight w:val="none"/>
              </w:rPr>
              <w:t xml:space="preserve">售后服务处理故障时间</w:t>
            </w:r>
            <w:r>
              <w:rPr>
                <w:rFonts w:hint="eastAsia" w:ascii="Times New Roman" w:hAnsi="Times New Roman"/>
                <w:color w:val="auto"/>
                <w:highlight w:val="none"/>
              </w:rPr>
              <w:t xml:space="preserve">在24小时内恢复运行</w:t>
            </w:r>
            <w:r>
              <w:rPr>
                <w:rFonts w:hint="eastAsia" w:ascii="宋体" w:hAnsi="宋体"/>
                <w:color w:val="auto"/>
                <w:highlight w:val="none"/>
              </w:rPr>
              <w:t xml:space="preserve">的得2分，其他不得分。（提供承诺函原件上传）</w:t>
            </w:r>
            <w:r/>
          </w:p>
          <w:p>
            <w:pPr>
              <w:spacing w:line="320" w:lineRule="exact"/>
              <w:rPr>
                <w:rFonts w:ascii="宋体" w:hAnsi="宋体"/>
                <w:color w:val="auto"/>
                <w:highlight w:val="none"/>
              </w:rPr>
            </w:pPr>
            <w:r>
              <w:rPr>
                <w:rFonts w:hint="eastAsia" w:ascii="宋体" w:hAnsi="宋体"/>
                <w:color w:val="auto"/>
                <w:highlight w:val="none"/>
              </w:rPr>
              <w:t xml:space="preserve">3、投标人在满足招标文件的基础上，承诺系统软件5年免费升级的得1分，不承诺不得分。（提供承诺函原件上传）</w:t>
            </w:r>
            <w:r/>
          </w:p>
        </w:tc>
      </w:tr>
      <w:tr>
        <w:trPr>
          <w:cantSplit/>
          <w:jc w:val="center"/>
          <w:trHeight w:val="4240"/>
        </w:trPr>
        <w:tc>
          <w:tcPr>
            <w:tcW w:w="643"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p>
        </w:tc>
        <w:tc>
          <w:tcPr>
            <w:tcW w:w="111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实施方案设计</w:t>
            </w:r>
            <w:r/>
          </w:p>
          <w:p>
            <w:pPr>
              <w:jc w:val="center"/>
              <w:rPr>
                <w:rFonts w:ascii="宋体" w:hAnsi="宋体"/>
                <w:color w:val="auto"/>
                <w:highlight w:val="none"/>
              </w:rPr>
            </w:pPr>
            <w:r>
              <w:rPr>
                <w:rFonts w:hint="eastAsia" w:ascii="宋体" w:hAnsi="宋体"/>
                <w:color w:val="auto"/>
                <w:highlight w:val="none"/>
              </w:rPr>
              <w:t xml:space="preserve">（31分）</w:t>
            </w:r>
            <w:r/>
          </w:p>
        </w:tc>
        <w:tc>
          <w:tcPr>
            <w:tcW w:w="7276" w:type="dxa"/>
            <w:vAlign w:val="top"/>
            <w:textDirection w:val="lrTb"/>
            <w:noWrap w:val="false"/>
          </w:tcPr>
          <w:p>
            <w:pPr>
              <w:spacing w:line="460" w:lineRule="exact"/>
              <w:rPr>
                <w:rFonts w:ascii="宋体" w:hAnsi="宋体"/>
                <w:color w:val="auto"/>
                <w:szCs w:val="21"/>
                <w:highlight w:val="none"/>
              </w:rPr>
            </w:pPr>
            <w:r>
              <w:rPr>
                <w:rFonts w:hint="eastAsia" w:ascii="宋体" w:hAnsi="宋体"/>
                <w:color w:val="auto"/>
                <w:szCs w:val="21"/>
                <w:highlight w:val="none"/>
              </w:rPr>
              <w:t xml:space="preserve">1、实施方案：对项目任务、目标进行解读（5分）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对本项目任务及目标进行解读，目标清晰、任务明确、项目需求理解准确。方案</w:t>
            </w:r>
            <w:r>
              <w:rPr>
                <w:rFonts w:hint="eastAsia"/>
                <w:color w:val="auto"/>
                <w:szCs w:val="21"/>
                <w:highlight w:val="none"/>
              </w:rPr>
              <w:t xml:space="preserve">优于招标文件要求的得5分；</w:t>
            </w:r>
            <w:r>
              <w:rPr>
                <w:rFonts w:hint="eastAsia" w:ascii="宋体" w:hAnsi="宋体"/>
                <w:color w:val="auto"/>
                <w:szCs w:val="21"/>
                <w:highlight w:val="none"/>
              </w:rPr>
              <w:t xml:space="preserve">方案</w:t>
            </w:r>
            <w:r>
              <w:rPr>
                <w:rFonts w:hint="eastAsia"/>
                <w:color w:val="auto"/>
                <w:szCs w:val="21"/>
                <w:highlight w:val="none"/>
              </w:rPr>
              <w:t xml:space="preserve">符合招标文件要求的得3分；</w:t>
            </w:r>
            <w:r>
              <w:rPr>
                <w:rFonts w:hint="eastAsia" w:ascii="宋体" w:hAnsi="宋体"/>
                <w:color w:val="auto"/>
                <w:szCs w:val="21"/>
                <w:highlight w:val="none"/>
              </w:rPr>
              <w:t xml:space="preserve">方案</w:t>
            </w:r>
            <w:r>
              <w:rPr>
                <w:rFonts w:hint="eastAsia"/>
                <w:color w:val="auto"/>
                <w:szCs w:val="21"/>
                <w:highlight w:val="none"/>
              </w:rPr>
              <w:t xml:space="preserve">不符合招标文件要求的，不得分。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2、监控建设方案：阶段任务分配合理，技术路线先进成熟，对实施的重点关键环节有把握，对难点问题有充分准备。（5分）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方案</w:t>
            </w:r>
            <w:r>
              <w:rPr>
                <w:rFonts w:hint="eastAsia"/>
                <w:color w:val="auto"/>
                <w:szCs w:val="21"/>
                <w:highlight w:val="none"/>
              </w:rPr>
              <w:t xml:space="preserve">优于招标文件要求的得5分；</w:t>
            </w:r>
            <w:r>
              <w:rPr>
                <w:rFonts w:hint="eastAsia" w:ascii="宋体" w:hAnsi="宋体"/>
                <w:color w:val="auto"/>
                <w:szCs w:val="21"/>
                <w:highlight w:val="none"/>
              </w:rPr>
              <w:t xml:space="preserve">方案</w:t>
            </w:r>
            <w:r>
              <w:rPr>
                <w:rFonts w:hint="eastAsia"/>
                <w:color w:val="auto"/>
                <w:szCs w:val="21"/>
                <w:highlight w:val="none"/>
              </w:rPr>
              <w:t xml:space="preserve">符合招标文件要求的得3分；</w:t>
            </w:r>
            <w:r>
              <w:rPr>
                <w:rFonts w:hint="eastAsia" w:ascii="宋体" w:hAnsi="宋体"/>
                <w:color w:val="auto"/>
                <w:szCs w:val="21"/>
                <w:highlight w:val="none"/>
              </w:rPr>
              <w:t xml:space="preserve">方案</w:t>
            </w:r>
            <w:r>
              <w:rPr>
                <w:rFonts w:hint="eastAsia"/>
                <w:color w:val="auto"/>
                <w:szCs w:val="21"/>
                <w:highlight w:val="none"/>
              </w:rPr>
              <w:t xml:space="preserve">不符合招标文件要求的，不得分</w:t>
            </w:r>
            <w:r>
              <w:rPr>
                <w:rFonts w:hint="eastAsia" w:ascii="宋体" w:hAnsi="宋体"/>
                <w:color w:val="auto"/>
                <w:szCs w:val="21"/>
                <w:highlight w:val="none"/>
              </w:rPr>
              <w:t xml:space="preserve">。</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3、接口对接方案：提供前后端设备与现有平台的接入方案，包含不同品牌设备间的接口对接。（5分）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方案</w:t>
            </w:r>
            <w:r>
              <w:rPr>
                <w:rFonts w:hint="eastAsia"/>
                <w:color w:val="auto"/>
                <w:szCs w:val="21"/>
                <w:highlight w:val="none"/>
              </w:rPr>
              <w:t xml:space="preserve">优于招标文件要求的得5分；</w:t>
            </w:r>
            <w:r>
              <w:rPr>
                <w:rFonts w:hint="eastAsia" w:ascii="宋体" w:hAnsi="宋体"/>
                <w:color w:val="auto"/>
                <w:szCs w:val="21"/>
                <w:highlight w:val="none"/>
              </w:rPr>
              <w:t xml:space="preserve">方案</w:t>
            </w:r>
            <w:r>
              <w:rPr>
                <w:rFonts w:hint="eastAsia"/>
                <w:color w:val="auto"/>
                <w:szCs w:val="21"/>
                <w:highlight w:val="none"/>
              </w:rPr>
              <w:t xml:space="preserve">符合招标文件要求的得3分；</w:t>
            </w:r>
            <w:r>
              <w:rPr>
                <w:rFonts w:hint="eastAsia" w:ascii="宋体" w:hAnsi="宋体"/>
                <w:color w:val="auto"/>
                <w:szCs w:val="21"/>
                <w:highlight w:val="none"/>
              </w:rPr>
              <w:t xml:space="preserve">方案</w:t>
            </w:r>
            <w:r>
              <w:rPr>
                <w:rFonts w:hint="eastAsia"/>
                <w:color w:val="auto"/>
                <w:szCs w:val="21"/>
                <w:highlight w:val="none"/>
              </w:rPr>
              <w:t xml:space="preserve">不符合招标文件要求的，不得分。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4、网络方案：监控探头网络传输方案科学合理、可行性强。（4分）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方案</w:t>
            </w:r>
            <w:r>
              <w:rPr>
                <w:rFonts w:hint="eastAsia"/>
                <w:color w:val="auto"/>
                <w:szCs w:val="21"/>
                <w:highlight w:val="none"/>
              </w:rPr>
              <w:t xml:space="preserve">优于招标文件要求的得4分；</w:t>
            </w:r>
            <w:r>
              <w:rPr>
                <w:rFonts w:hint="eastAsia" w:ascii="宋体" w:hAnsi="宋体"/>
                <w:color w:val="auto"/>
                <w:szCs w:val="21"/>
                <w:highlight w:val="none"/>
              </w:rPr>
              <w:t xml:space="preserve">方案</w:t>
            </w:r>
            <w:r>
              <w:rPr>
                <w:rFonts w:hint="eastAsia"/>
                <w:color w:val="auto"/>
                <w:szCs w:val="21"/>
                <w:highlight w:val="none"/>
              </w:rPr>
              <w:t xml:space="preserve">符合招标文件要求的得2分；</w:t>
            </w:r>
            <w:r>
              <w:rPr>
                <w:rFonts w:hint="eastAsia" w:ascii="宋体" w:hAnsi="宋体"/>
                <w:color w:val="auto"/>
                <w:szCs w:val="21"/>
                <w:highlight w:val="none"/>
              </w:rPr>
              <w:t xml:space="preserve">方案</w:t>
            </w:r>
            <w:r>
              <w:rPr>
                <w:rFonts w:hint="eastAsia"/>
                <w:color w:val="auto"/>
                <w:szCs w:val="21"/>
                <w:highlight w:val="none"/>
              </w:rPr>
              <w:t xml:space="preserve">不符合招标文件要求的，不得分。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5、进度管理：进度安排科学合理，有完善的安装期限管理措施。（4分）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措施</w:t>
            </w:r>
            <w:r>
              <w:rPr>
                <w:rFonts w:hint="eastAsia"/>
                <w:color w:val="auto"/>
                <w:szCs w:val="21"/>
                <w:highlight w:val="none"/>
              </w:rPr>
              <w:t xml:space="preserve">优于招标文件要求的得4分；</w:t>
            </w:r>
            <w:r>
              <w:rPr>
                <w:rFonts w:hint="eastAsia" w:ascii="宋体" w:hAnsi="宋体"/>
                <w:color w:val="auto"/>
                <w:szCs w:val="21"/>
                <w:highlight w:val="none"/>
              </w:rPr>
              <w:t xml:space="preserve">措施</w:t>
            </w:r>
            <w:r>
              <w:rPr>
                <w:rFonts w:hint="eastAsia"/>
                <w:color w:val="auto"/>
                <w:szCs w:val="21"/>
                <w:highlight w:val="none"/>
              </w:rPr>
              <w:t xml:space="preserve">符合招标文件要求的得2分；</w:t>
            </w:r>
            <w:r>
              <w:rPr>
                <w:rFonts w:hint="eastAsia" w:ascii="宋体" w:hAnsi="宋体"/>
                <w:color w:val="auto"/>
                <w:szCs w:val="21"/>
                <w:highlight w:val="none"/>
              </w:rPr>
              <w:t xml:space="preserve">措施</w:t>
            </w:r>
            <w:r>
              <w:rPr>
                <w:rFonts w:hint="eastAsia"/>
                <w:color w:val="auto"/>
                <w:szCs w:val="21"/>
                <w:highlight w:val="none"/>
              </w:rPr>
              <w:t xml:space="preserve">不符合招标文件要求的，不得分。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6、安全保障：安全责任制度明确，保障措施全面合理。（4分）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措施</w:t>
            </w:r>
            <w:r>
              <w:rPr>
                <w:rFonts w:hint="eastAsia"/>
                <w:color w:val="auto"/>
                <w:szCs w:val="21"/>
                <w:highlight w:val="none"/>
              </w:rPr>
              <w:t xml:space="preserve">优于招标文件要求的得4分；</w:t>
            </w:r>
            <w:r>
              <w:rPr>
                <w:rFonts w:hint="eastAsia" w:ascii="宋体" w:hAnsi="宋体"/>
                <w:color w:val="auto"/>
                <w:szCs w:val="21"/>
                <w:highlight w:val="none"/>
              </w:rPr>
              <w:t xml:space="preserve">措施</w:t>
            </w:r>
            <w:r>
              <w:rPr>
                <w:rFonts w:hint="eastAsia"/>
                <w:color w:val="auto"/>
                <w:szCs w:val="21"/>
                <w:highlight w:val="none"/>
              </w:rPr>
              <w:t xml:space="preserve">符合招标文件要求的得2分；</w:t>
            </w:r>
            <w:r>
              <w:rPr>
                <w:rFonts w:hint="eastAsia" w:ascii="宋体" w:hAnsi="宋体"/>
                <w:color w:val="auto"/>
                <w:szCs w:val="21"/>
                <w:highlight w:val="none"/>
              </w:rPr>
              <w:t xml:space="preserve">措施</w:t>
            </w:r>
            <w:r>
              <w:rPr>
                <w:rFonts w:hint="eastAsia"/>
                <w:color w:val="auto"/>
                <w:szCs w:val="21"/>
                <w:highlight w:val="none"/>
              </w:rPr>
              <w:t xml:space="preserve">不符合招标文件要求的，不得分。</w:t>
            </w:r>
            <w:r/>
          </w:p>
          <w:p>
            <w:pPr>
              <w:spacing w:line="460" w:lineRule="exact"/>
              <w:rPr>
                <w:rFonts w:ascii="宋体" w:hAnsi="宋体"/>
                <w:color w:val="auto"/>
                <w:szCs w:val="21"/>
                <w:highlight w:val="none"/>
              </w:rPr>
            </w:pPr>
            <w:r>
              <w:rPr>
                <w:rFonts w:hint="eastAsia" w:ascii="宋体" w:hAnsi="宋体"/>
                <w:color w:val="auto"/>
                <w:szCs w:val="21"/>
                <w:highlight w:val="none"/>
              </w:rPr>
              <w:t xml:space="preserve">7、人员安排：项目组成员配置合理，能保证项目的顺利实施。（4分）</w:t>
            </w:r>
            <w:r/>
          </w:p>
          <w:p>
            <w:pPr>
              <w:spacing w:line="460" w:lineRule="exact"/>
              <w:tabs>
                <w:tab w:val="center" w:pos="4513" w:leader="none"/>
              </w:tabs>
              <w:rPr>
                <w:rFonts w:ascii="宋体" w:hAnsi="宋体"/>
                <w:color w:val="auto"/>
                <w:highlight w:val="none"/>
              </w:rPr>
            </w:pPr>
            <w:r>
              <w:rPr>
                <w:rFonts w:hint="eastAsia"/>
                <w:color w:val="auto"/>
                <w:szCs w:val="21"/>
                <w:highlight w:val="none"/>
              </w:rPr>
              <w:t xml:space="preserve">优于招标文件要求的得4分；符合招标文件要求的得2分；不符合招标文件要求的，不得分</w:t>
            </w:r>
            <w:r>
              <w:rPr>
                <w:rFonts w:hint="eastAsia" w:ascii="宋体" w:hAnsi="宋体"/>
                <w:color w:val="auto"/>
                <w:szCs w:val="21"/>
                <w:highlight w:val="none"/>
              </w:rPr>
              <w:t xml:space="preserve">。</w:t>
            </w:r>
            <w:r/>
          </w:p>
        </w:tc>
      </w:tr>
    </w:tbl>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异常低价投标（响应）</w:t>
      </w:r>
      <w:r/>
    </w:p>
    <w:p>
      <w:pPr>
        <w:ind w:firstLine="422"/>
        <w:spacing w:line="360" w:lineRule="auto"/>
        <w:rPr>
          <w:rFonts w:hint="eastAsia" w:ascii="宋体" w:hAnsi="宋体" w:eastAsia="宋体" w:cs="宋体"/>
          <w:b/>
          <w:bCs w:val="0"/>
          <w:szCs w:val="21"/>
          <w:highlight w:val="none"/>
          <w:lang w:val="en-US" w:eastAsia="zh-CN"/>
        </w:rPr>
      </w:pPr>
      <w:r>
        <w:rPr>
          <w:rFonts w:hint="eastAsia" w:ascii="宋体" w:hAnsi="宋体" w:eastAsia="宋体" w:cs="宋体"/>
          <w:b/>
          <w:bCs w:val="0"/>
          <w:szCs w:val="21"/>
          <w:lang w:val="en-US" w:eastAsia="zh-CN"/>
        </w:rPr>
        <w:t xml:space="preserve">（一）采购人应当在采购文件中明确，政府采购评审中出现下列情形之一的，评审委员会</w:t>
      </w:r>
      <w:r>
        <w:rPr>
          <w:rFonts w:hint="eastAsia" w:ascii="宋体" w:hAnsi="宋体" w:eastAsia="宋体" w:cs="宋体"/>
          <w:b/>
          <w:bCs w:val="0"/>
          <w:szCs w:val="21"/>
          <w:highlight w:val="none"/>
          <w:lang w:val="en-US" w:eastAsia="zh-CN"/>
        </w:rPr>
        <w:t xml:space="preserve">应当启动异常低价投标（响应）审查程序：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3、投标（响应）报价低于采购项目最高限价45%的，即投标（响应）报价&lt;采购项目最高限价×45%；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4、评审委员会基于专业判断，认为供应商报价过低，有可能影响产品质量或者不能诚信履约的其他情形。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60" w:lineRule="auto"/>
        <w:rPr>
          <w:rFonts w:hint="eastAsia" w:ascii="宋体" w:hAnsi="宋体" w:eastAsia="宋体" w:cs="宋体"/>
          <w:b/>
          <w:bCs w:val="0"/>
          <w:szCs w:val="21"/>
          <w:lang w:val="en-US" w:eastAsia="zh-CN"/>
        </w:rPr>
      </w:pPr>
      <w:r>
        <w:rPr>
          <w:rFonts w:hint="eastAsia" w:ascii="宋体" w:hAnsi="宋体" w:eastAsia="宋体" w:cs="宋体"/>
          <w:b/>
          <w:bCs w:val="0"/>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r/>
      <w:r/>
    </w:p>
    <w:p>
      <w:pPr>
        <w:rPr>
          <w:rFonts w:ascii="黑体" w:eastAsia="黑体"/>
          <w:bCs/>
          <w:color w:val="auto"/>
          <w:sz w:val="44"/>
          <w:highlight w:val="none"/>
        </w:rPr>
      </w:pPr>
      <w:r>
        <w:rPr>
          <w:color w:val="auto"/>
          <w:highlight w:val="none"/>
        </w:rPr>
        <w:br w:type="page" w:clear="all"/>
      </w:r>
      <w:r/>
    </w:p>
    <w:p>
      <w:pPr>
        <w:pStyle w:val="863"/>
        <w:jc w:val="center"/>
        <w:rPr>
          <w:rFonts w:ascii="宋体" w:hAnsi="宋体"/>
          <w:color w:val="auto"/>
          <w:highlight w:val="none"/>
        </w:rPr>
      </w:pPr>
      <w:r>
        <w:rPr>
          <w:rFonts w:hint="eastAsia" w:ascii="宋体" w:hAnsi="宋体"/>
          <w:color w:val="auto"/>
          <w:highlight w:val="none"/>
        </w:rPr>
        <w:t xml:space="preserve"> 第六章 投标文件格式 </w:t>
      </w:r>
      <w:r/>
    </w:p>
    <w:p>
      <w:pPr>
        <w:rPr>
          <w:rFonts w:ascii="黑体" w:eastAsia="黑体"/>
          <w:bCs/>
          <w:color w:val="auto"/>
          <w:sz w:val="44"/>
          <w:highlight w:val="none"/>
        </w:rPr>
      </w:pPr>
      <w:r>
        <w:rPr>
          <w:rFonts w:ascii="黑体" w:eastAsia="黑体"/>
          <w:bCs/>
          <w:color w:val="auto"/>
          <w:sz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889"/>
        <w:rPr>
          <w:color w:val="auto"/>
          <w:highlight w:val="none"/>
        </w:rPr>
      </w:pPr>
      <w:r>
        <w:rPr>
          <w:color w:val="auto"/>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五、投标产品配置及分项报价表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技术条款响应及偏离表</w:t>
      </w:r>
      <w:r/>
    </w:p>
    <w:p>
      <w:pPr>
        <w:ind w:firstLine="480"/>
        <w:spacing w:line="360" w:lineRule="auto"/>
        <w:rPr>
          <w:rFonts w:ascii="宋体" w:hAnsi="宋体"/>
          <w:color w:val="auto"/>
          <w:sz w:val="24"/>
          <w:highlight w:val="none"/>
        </w:rPr>
      </w:pPr>
      <w:r>
        <w:rPr>
          <w:rFonts w:hint="eastAsia" w:ascii="宋体" w:hAnsi="宋体" w:cs="Courier New"/>
          <w:color w:val="auto"/>
          <w:sz w:val="24"/>
          <w:szCs w:val="24"/>
          <w:highlight w:val="none"/>
        </w:rPr>
        <w:t xml:space="preserve">八、</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64"/>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873"/>
        <w:tblW w:w="84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21"/>
        <w:gridCol w:w="6008"/>
        <w:gridCol w:w="1794"/>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4"/>
            <w:tcBorders>
              <w:top w:val="single" w:color="auto" w:sz="4" w:space="0"/>
              <w:left w:val="single" w:color="auto" w:sz="4" w:space="0"/>
              <w:bottom w:val="single" w:color="auto" w:sz="4" w:space="0"/>
              <w:right w:val="single" w:color="auto" w:sz="4" w:space="0"/>
            </w:tcBorders>
            <w:tcW w:w="8469"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法人或者其他组织的营业执照等证明文件，自然人的身份证明（身份证为正、反面）</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spacing w:line="360" w:lineRule="auto"/>
              <w:rPr>
                <w:rFonts w:ascii="宋体" w:hAnsi="宋体" w:cs="宋体"/>
                <w:b/>
                <w:bCs/>
                <w:iCs/>
                <w:color w:val="auto"/>
                <w:szCs w:val="21"/>
                <w:highlight w:val="none"/>
              </w:rPr>
            </w:pPr>
            <w:r>
              <w:rPr>
                <w:rFonts w:hint="eastAsia" w:ascii="宋体" w:hAnsi="宋体" w:cs="宋体"/>
                <w:iCs/>
                <w:color w:val="auto"/>
                <w:szCs w:val="21"/>
                <w:highlight w:val="none"/>
              </w:rPr>
              <w:t xml:space="preserve">依法缴纳职工社会保障资金的证明材料</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Cs/>
                <w:color w:val="auto"/>
                <w:szCs w:val="21"/>
                <w:highlight w:val="none"/>
              </w:rPr>
              <w:t xml:space="preserve">供应商依法纳税的缴款凭证</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spacing w:line="360" w:lineRule="auto"/>
              <w:rPr>
                <w:rFonts w:ascii="宋体" w:hAnsi="宋体" w:cs="宋体"/>
                <w:b/>
                <w:bCs/>
                <w:iCs/>
                <w:color w:val="auto"/>
                <w:szCs w:val="21"/>
                <w:highlight w:val="none"/>
              </w:rPr>
            </w:pPr>
            <w:r>
              <w:rPr>
                <w:rFonts w:hint="eastAsia" w:ascii="宋体" w:hAnsi="宋体" w:cs="宋体"/>
                <w:iCs/>
                <w:color w:val="auto"/>
                <w:szCs w:val="21"/>
                <w:highlight w:val="none"/>
              </w:rPr>
              <w:t xml:space="preserve">上一年度的财务报告情况(成立不满一年无需提供)</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具备履行合同所必需的设备和专业技术能力的证明材料</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参加本次政府采购活动前3年内在经营活动中没有重大违法记录的书面声明</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jc w:val="left"/>
              <w:spacing w:line="360" w:lineRule="auto"/>
              <w:rPr>
                <w:rFonts w:ascii="宋体" w:hAnsi="宋体" w:cs="宋体"/>
                <w:b/>
                <w:bCs/>
                <w:iCs/>
                <w:color w:val="auto"/>
                <w:szCs w:val="21"/>
                <w:highlight w:val="none"/>
              </w:rPr>
            </w:pPr>
            <w:r>
              <w:rPr>
                <w:rFonts w:hint="eastAsia" w:ascii="宋体" w:hAnsi="宋体" w:cs="宋体"/>
                <w:iCs/>
                <w:color w:val="auto"/>
                <w:szCs w:val="21"/>
                <w:highlight w:val="none"/>
              </w:rPr>
              <w:t xml:space="preserve">未被“信用中国”网站（</w:t>
            </w:r>
            <w:r>
              <w:rPr>
                <w:rFonts w:hint="eastAsia" w:ascii="宋体" w:hAnsi="宋体" w:cs="宋体"/>
                <w:color w:val="auto"/>
                <w:highlight w:val="none"/>
              </w:rPr>
              <w:t xml:space="preserve">http://</w:t>
            </w:r>
            <w:r>
              <w:rPr>
                <w:rFonts w:hint="eastAsia" w:ascii="宋体" w:hAnsi="宋体" w:cs="宋体"/>
                <w:iCs/>
                <w:color w:val="auto"/>
                <w:szCs w:val="21"/>
                <w:highlight w:val="none"/>
              </w:rPr>
              <w:t xml:space="preserve">www.creditchina.gov.cn）、“中国政府采购网"(</w:t>
            </w:r>
            <w:r>
              <w:rPr>
                <w:rFonts w:hint="eastAsia" w:ascii="宋体" w:hAnsi="宋体" w:cs="宋体"/>
                <w:color w:val="auto"/>
                <w:highlight w:val="none"/>
              </w:rPr>
              <w:t xml:space="preserve">http://</w:t>
            </w:r>
            <w:r>
              <w:rPr>
                <w:rFonts w:hint="eastAsia" w:ascii="宋体" w:hAnsi="宋体" w:cs="宋体"/>
                <w:iCs/>
                <w:color w:val="auto"/>
                <w:szCs w:val="21"/>
                <w:highlight w:val="none"/>
              </w:rPr>
              <w:t xml:space="preserve">www.ccgp.gov.cn)列入失信被执行人、重大税收违法案件当事人名单、政府采购严重违法失信行为记录名单</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iCs/>
                <w:color w:val="auto"/>
                <w:szCs w:val="21"/>
                <w:highlight w:val="none"/>
              </w:rPr>
              <w:t xml:space="preserve">供应商信用承诺函</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4"/>
            <w:tcBorders>
              <w:top w:val="single" w:color="auto" w:sz="4" w:space="0"/>
              <w:left w:val="single" w:color="auto" w:sz="4" w:space="0"/>
              <w:bottom w:val="single" w:color="auto" w:sz="4" w:space="0"/>
              <w:right w:val="single" w:color="auto" w:sz="4" w:space="0"/>
            </w:tcBorders>
            <w:tcW w:w="8469"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6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pStyle w:val="865"/>
              <w:rPr>
                <w:b w:val="0"/>
                <w:color w:val="auto"/>
                <w:highlight w:val="none"/>
              </w:rPr>
            </w:pPr>
            <w:r>
              <w:rPr>
                <w:rFonts w:hint="eastAsia" w:ascii="宋体" w:hAnsi="宋体" w:cs="宋体"/>
                <w:b w:val="0"/>
                <w:bCs w:val="0"/>
                <w:iCs/>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4"/>
            <w:tcBorders>
              <w:top w:val="single" w:color="auto" w:sz="4" w:space="0"/>
              <w:left w:val="single" w:color="auto" w:sz="4" w:space="0"/>
              <w:bottom w:val="single" w:color="auto" w:sz="4" w:space="0"/>
              <w:right w:val="single" w:color="auto" w:sz="4" w:space="0"/>
            </w:tcBorders>
            <w:tcW w:w="8469"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6029" w:type="dxa"/>
            <w:vAlign w:val="center"/>
            <w:textDirection w:val="lrTb"/>
            <w:noWrap w:val="false"/>
          </w:tcPr>
          <w:p>
            <w:pPr>
              <w:rPr>
                <w:rFonts w:ascii="宋体" w:hAnsi="宋体"/>
                <w:iCs/>
                <w:color w:val="auto"/>
                <w:szCs w:val="21"/>
                <w:highlight w:val="none"/>
              </w:rPr>
            </w:pPr>
            <w:r>
              <w:rPr>
                <w:rFonts w:hint="eastAsia" w:ascii="宋体" w:hAnsi="宋体" w:cs="宋体"/>
                <w:i/>
                <w:iCs/>
                <w:color w:val="auto"/>
                <w:szCs w:val="21"/>
                <w:highlight w:val="none"/>
                <w:u w:val="single"/>
              </w:rPr>
              <w:t xml:space="preserve">在中华人民共和国境内注册、具有独立承担民事责任能力的企业（事业）或网络覆盖江都行政辖区内的通信运营商，非通信运营商必须提供保证本系统网络信号传输畅通的能力的材料（提供与运营商签定的合作协议等）</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4"/>
            <w:tcBorders>
              <w:top w:val="single" w:color="auto" w:sz="4" w:space="0"/>
              <w:left w:val="single" w:color="auto" w:sz="4" w:space="0"/>
              <w:bottom w:val="single" w:color="auto" w:sz="4" w:space="0"/>
              <w:right w:val="single" w:color="auto" w:sz="4" w:space="0"/>
            </w:tcBorders>
            <w:tcW w:w="8469"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6008"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6008"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1794"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bl>
    <w:p>
      <w:pPr>
        <w:rPr>
          <w:color w:val="auto"/>
          <w:highlight w:val="none"/>
        </w:rPr>
      </w:pPr>
      <w:r>
        <w:rPr>
          <w:color w:val="auto"/>
          <w:highlight w:val="none"/>
        </w:rPr>
      </w:r>
      <w:r/>
    </w:p>
    <w:p>
      <w:pPr>
        <w:jc w:val="center"/>
        <w:spacing w:line="500" w:lineRule="exact"/>
        <w:rPr>
          <w:rFonts w:ascii="宋体" w:hAnsi="宋体"/>
          <w:b/>
          <w:color w:val="auto"/>
          <w:szCs w:val="21"/>
          <w:highlight w:val="none"/>
        </w:rPr>
      </w:pPr>
      <w:r>
        <w:rPr>
          <w:rFonts w:ascii="宋体" w:hAnsi="宋体"/>
          <w:b/>
          <w:color w:val="auto"/>
          <w:szCs w:val="21"/>
          <w:highlight w:val="none"/>
        </w:rPr>
        <w:t xml:space="preserve">基本资格条件承诺函</w:t>
      </w:r>
      <w:r/>
    </w:p>
    <w:p>
      <w:pPr>
        <w:spacing w:line="530" w:lineRule="exact"/>
        <w:tabs>
          <w:tab w:val="left" w:pos="6300" w:leader="none"/>
        </w:tabs>
        <w:rPr>
          <w:rFonts w:ascii="Times New Roman" w:hAnsi="Times New Roman"/>
          <w:color w:val="auto"/>
          <w:sz w:val="24"/>
          <w:highlight w:val="none"/>
        </w:rPr>
      </w:pPr>
      <w:r>
        <w:rPr>
          <w:rFonts w:ascii="Times New Roman" w:hAnsi="Times New Roman"/>
          <w:color w:val="auto"/>
          <w:sz w:val="24"/>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致 </w:t>
      </w:r>
      <w:r>
        <w:rPr>
          <w:rFonts w:ascii="宋体" w:hAnsi="宋体"/>
          <w:color w:val="auto"/>
          <w:szCs w:val="21"/>
          <w:highlight w:val="none"/>
          <w:u w:val="single"/>
        </w:rPr>
        <w:t xml:space="preserve">                  </w:t>
      </w:r>
      <w:r>
        <w:rPr>
          <w:rFonts w:ascii="宋体" w:hAnsi="宋体"/>
          <w:color w:val="auto"/>
          <w:szCs w:val="21"/>
          <w:highlight w:val="none"/>
        </w:rPr>
        <w:t xml:space="preserve">（采购代理机构名称）：</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（项目名称）政府采购活动，并</w:t>
      </w:r>
      <w:r>
        <w:rPr>
          <w:rFonts w:ascii="宋体" w:hAnsi="宋体"/>
          <w:color w:val="auto"/>
          <w:szCs w:val="21"/>
          <w:highlight w:val="none"/>
        </w:rPr>
        <w:t xml:space="preserve">郑重承诺：</w:t>
      </w:r>
      <w:r/>
    </w:p>
    <w:p>
      <w:pPr>
        <w:ind w:firstLine="420"/>
        <w:spacing w:line="560" w:lineRule="exact"/>
        <w:rPr>
          <w:rFonts w:ascii="宋体" w:hAnsi="宋体"/>
          <w:szCs w:val="21"/>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ascii="宋体" w:hAnsi="宋体"/>
          <w:szCs w:val="21"/>
        </w:rPr>
      </w:pPr>
      <w:r>
        <w:rPr>
          <w:rFonts w:ascii="宋体" w:hAnsi="宋体"/>
          <w:szCs w:val="21"/>
        </w:rPr>
        <w:t xml:space="preserve">2.我方未列入在信用中国网站（</w:t>
      </w:r>
      <w:r>
        <w:rPr>
          <w:rFonts w:hint="eastAsia" w:ascii="宋体" w:hAnsi="宋体"/>
          <w:szCs w:val="21"/>
        </w:rPr>
        <w:t xml:space="preserve">http://</w:t>
      </w:r>
      <w:r>
        <w:rPr>
          <w:rFonts w:ascii="宋体" w:hAnsi="宋体"/>
          <w:szCs w:val="21"/>
        </w:rPr>
        <w:t xml:space="preserve">www.creditchina.gov.cn）“失信被执行人”、“重大税收违法案件当事人名单”中，也未列入中国政府采购网（</w:t>
      </w:r>
      <w:r>
        <w:rPr>
          <w:rFonts w:hint="eastAsia" w:ascii="宋体" w:hAnsi="宋体"/>
          <w:szCs w:val="21"/>
        </w:rPr>
        <w:t xml:space="preserve">http://</w:t>
      </w:r>
      <w:r>
        <w:rPr>
          <w:rFonts w:ascii="宋体" w:hAnsi="宋体"/>
          <w:szCs w:val="21"/>
        </w:rPr>
        <w:t xml:space="preserve">www.ccgp.gov.cn）“政府采购严重违法失信行为记录名单”中。</w:t>
      </w:r>
      <w:r/>
    </w:p>
    <w:p>
      <w:pPr>
        <w:ind w:firstLine="420"/>
        <w:spacing w:line="560" w:lineRule="exact"/>
        <w:rPr>
          <w:rFonts w:ascii="宋体" w:hAnsi="宋体"/>
          <w:szCs w:val="21"/>
        </w:rPr>
      </w:pPr>
      <w:r>
        <w:rPr>
          <w:rFonts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szCs w:val="21"/>
        </w:rPr>
      </w:pPr>
      <w:r>
        <w:rPr>
          <w:rFonts w:ascii="宋体" w:hAnsi="宋体"/>
          <w:szCs w:val="21"/>
        </w:rPr>
        <w:t xml:space="preserve">我方对以上承诺负全部法律责任。</w:t>
      </w:r>
      <w:r/>
    </w:p>
    <w:p>
      <w:pPr>
        <w:ind w:firstLine="420"/>
        <w:spacing w:line="560" w:lineRule="exact"/>
        <w:rPr>
          <w:rFonts w:ascii="宋体" w:hAnsi="宋体"/>
          <w:szCs w:val="21"/>
        </w:rPr>
      </w:pPr>
      <w:r>
        <w:rPr>
          <w:rFonts w:ascii="宋体" w:hAnsi="宋体"/>
          <w:szCs w:val="21"/>
        </w:rPr>
        <w:t xml:space="preserve">特此承诺。</w:t>
      </w:r>
      <w:r/>
    </w:p>
    <w:p>
      <w:pPr>
        <w:ind w:firstLine="420"/>
        <w:spacing w:line="560" w:lineRule="exact"/>
        <w:rPr>
          <w:rFonts w:ascii="宋体" w:hAnsi="宋体"/>
          <w:szCs w:val="21"/>
        </w:rPr>
      </w:pPr>
      <w:r>
        <w:rPr>
          <w:rFonts w:ascii="宋体" w:hAnsi="宋体"/>
          <w:szCs w:val="21"/>
        </w:rPr>
      </w:r>
      <w:r/>
    </w:p>
    <w:p>
      <w:pPr>
        <w:ind w:firstLine="420"/>
        <w:spacing w:line="560" w:lineRule="exact"/>
        <w:rPr>
          <w:rFonts w:ascii="宋体" w:hAnsi="宋体"/>
          <w:szCs w:val="21"/>
        </w:rPr>
      </w:pPr>
      <w:r>
        <w:rPr>
          <w:rFonts w:hint="eastAsia" w:ascii="宋体" w:hAnsi="宋体"/>
          <w:szCs w:val="21"/>
        </w:rPr>
        <w:t xml:space="preserve">     </w:t>
      </w:r>
      <w:r/>
    </w:p>
    <w:p>
      <w:pPr>
        <w:ind w:firstLine="1260"/>
        <w:jc w:val="center"/>
        <w:spacing w:line="560" w:lineRule="exact"/>
        <w:rPr>
          <w:rFonts w:ascii="宋体" w:hAnsi="宋体"/>
          <w:szCs w:val="21"/>
        </w:rPr>
      </w:pPr>
      <w:r>
        <w:rPr>
          <w:rFonts w:hint="eastAsia" w:ascii="宋体" w:hAnsi="宋体"/>
          <w:szCs w:val="21"/>
        </w:rPr>
        <w:t xml:space="preserve">                      法定代表人（签章）：</w:t>
      </w:r>
      <w:r/>
    </w:p>
    <w:p>
      <w:pPr>
        <w:ind w:firstLine="420"/>
        <w:spacing w:line="560" w:lineRule="exact"/>
        <w:rPr>
          <w:rFonts w:ascii="宋体" w:hAnsi="宋体"/>
          <w:szCs w:val="21"/>
        </w:rPr>
      </w:pPr>
      <w:r>
        <w:rPr>
          <w:rFonts w:hint="eastAsia" w:ascii="宋体" w:hAnsi="宋体"/>
          <w:szCs w:val="21"/>
        </w:rPr>
        <w:t xml:space="preserve">        </w:t>
      </w:r>
      <w:r/>
    </w:p>
    <w:p>
      <w:pPr>
        <w:ind w:firstLine="420"/>
        <w:jc w:val="left"/>
        <w:spacing w:line="560" w:lineRule="exact"/>
        <w:rPr>
          <w:rFonts w:ascii="宋体" w:hAnsi="宋体"/>
          <w:szCs w:val="21"/>
        </w:rPr>
      </w:pPr>
      <w:r>
        <w:rPr>
          <w:rFonts w:hint="eastAsia" w:ascii="宋体" w:hAnsi="宋体"/>
          <w:szCs w:val="21"/>
        </w:rPr>
        <w:t xml:space="preserve">                                           供应商名称（签章）：</w:t>
      </w:r>
      <w:r/>
    </w:p>
    <w:p>
      <w:pPr>
        <w:ind w:firstLine="420"/>
        <w:spacing w:line="560" w:lineRule="exact"/>
        <w:rPr>
          <w:rFonts w:ascii="宋体" w:hAnsi="宋体"/>
          <w:szCs w:val="21"/>
        </w:rPr>
      </w:pPr>
      <w:r>
        <w:rPr>
          <w:rFonts w:ascii="宋体" w:hAnsi="宋体"/>
          <w:szCs w:val="21"/>
        </w:rPr>
      </w:r>
      <w:r/>
    </w:p>
    <w:p>
      <w:pPr>
        <w:ind w:firstLine="1470"/>
        <w:jc w:val="center"/>
        <w:spacing w:line="560" w:lineRule="exact"/>
        <w:rPr>
          <w:rFonts w:ascii="宋体" w:hAnsi="宋体"/>
          <w:szCs w:val="21"/>
        </w:rPr>
      </w:pPr>
      <w:r>
        <w:rPr>
          <w:rFonts w:hint="eastAsia" w:ascii="宋体" w:hAnsi="宋体"/>
          <w:szCs w:val="21"/>
        </w:rPr>
        <w:t xml:space="preserve">                            </w:t>
      </w:r>
      <w:r>
        <w:rPr>
          <w:rFonts w:ascii="宋体" w:hAnsi="宋体"/>
          <w:szCs w:val="21"/>
        </w:rPr>
        <w:t xml:space="preserve">年   月   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pStyle w:val="889"/>
      </w:pPr>
      <w:r/>
      <w:r/>
    </w:p>
    <w:p>
      <w:pPr>
        <w:jc w:val="center"/>
        <w:spacing w:line="500" w:lineRule="exact"/>
        <w:rPr>
          <w:rFonts w:ascii="宋体" w:hAnsi="宋体"/>
          <w:b/>
          <w:szCs w:val="21"/>
        </w:rPr>
      </w:pP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440" w:lineRule="exact"/>
        <w:widowControl w:val="off"/>
        <w:rPr>
          <w:rFonts w:ascii="宋体" w:hAnsi="宋体"/>
          <w:szCs w:val="21"/>
        </w:rPr>
      </w:pPr>
      <w:r>
        <w:rPr>
          <w:rFonts w:hint="eastAsia" w:ascii="宋体" w:hAnsi="宋体"/>
          <w:szCs w:val="21"/>
        </w:rPr>
        <w:t xml:space="preserve">承诺主体名称：</w:t>
      </w:r>
      <w:r/>
    </w:p>
    <w:p>
      <w:pPr>
        <w:spacing w:line="440" w:lineRule="exact"/>
        <w:widowControl w:val="off"/>
        <w:rPr>
          <w:rFonts w:ascii="宋体" w:hAnsi="宋体"/>
          <w:szCs w:val="21"/>
        </w:rPr>
      </w:pPr>
      <w:r>
        <w:rPr>
          <w:rFonts w:hint="eastAsia" w:ascii="宋体" w:hAnsi="宋体"/>
          <w:szCs w:val="21"/>
        </w:rPr>
        <w:t xml:space="preserve">统一社会信用代码：</w:t>
      </w:r>
      <w:r/>
    </w:p>
    <w:p>
      <w:pPr>
        <w:ind w:firstLine="420"/>
        <w:spacing w:line="440" w:lineRule="exact"/>
        <w:widowControl w:val="off"/>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w:t>
      </w:r>
      <w:r>
        <w:rPr>
          <w:rFonts w:hint="eastAsia" w:ascii="宋体" w:hAnsi="宋体"/>
          <w:szCs w:val="21"/>
          <w:u w:val="single"/>
        </w:rPr>
        <w:t xml:space="preserve">                     </w:t>
      </w:r>
      <w:r>
        <w:rPr>
          <w:rFonts w:hint="eastAsia" w:ascii="宋体" w:hAnsi="宋体"/>
          <w:szCs w:val="21"/>
        </w:rPr>
        <w:t xml:space="preserve">项目政府采购活动郑重承诺如下:</w:t>
      </w:r>
      <w:r/>
    </w:p>
    <w:p>
      <w:pPr>
        <w:ind w:firstLine="420"/>
        <w:spacing w:line="440" w:lineRule="exact"/>
        <w:widowControl w:val="off"/>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40" w:lineRule="exact"/>
        <w:widowControl w:val="off"/>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widowControl w:val="off"/>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40" w:lineRule="exact"/>
        <w:widowControl w:val="off"/>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40" w:lineRule="exact"/>
        <w:widowControl w:val="off"/>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40" w:lineRule="exact"/>
        <w:widowControl w:val="off"/>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40" w:lineRule="exact"/>
        <w:widowControl w:val="off"/>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440" w:lineRule="exact"/>
        <w:widowControl w:val="off"/>
        <w:rPr>
          <w:rFonts w:ascii="宋体" w:hAnsi="宋体"/>
          <w:szCs w:val="21"/>
        </w:rPr>
      </w:pPr>
      <w:r>
        <w:rPr>
          <w:rFonts w:hint="eastAsia" w:ascii="宋体" w:hAnsi="宋体"/>
          <w:szCs w:val="21"/>
        </w:rPr>
        <w:t xml:space="preserve">八、在“信用中国”和“中国政府采购网”网站中无重大违法违规、较重或严重失信记录；</w:t>
      </w:r>
      <w:r/>
    </w:p>
    <w:p>
      <w:pPr>
        <w:ind w:firstLine="420"/>
        <w:spacing w:line="440" w:lineRule="exact"/>
        <w:widowControl w:val="off"/>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widowControl w:val="off"/>
        <w:rPr>
          <w:rFonts w:ascii="宋体" w:hAnsi="宋体"/>
          <w:szCs w:val="21"/>
        </w:rPr>
      </w:pPr>
      <w:r>
        <w:rPr>
          <w:rFonts w:hint="eastAsia" w:ascii="宋体" w:hAnsi="宋体"/>
          <w:szCs w:val="21"/>
        </w:rPr>
        <w:t xml:space="preserve">十、本承诺书自签订之日起生效。</w:t>
      </w:r>
      <w:r/>
    </w:p>
    <w:p>
      <w:pPr>
        <w:ind w:firstLine="420"/>
        <w:spacing w:line="440" w:lineRule="exact"/>
        <w:widowControl w:val="off"/>
        <w:rPr>
          <w:rFonts w:ascii="宋体" w:hAnsi="宋体"/>
          <w:szCs w:val="21"/>
        </w:rPr>
      </w:pPr>
      <w:r>
        <w:rPr>
          <w:rFonts w:hint="eastAsia" w:ascii="宋体" w:hAnsi="宋体"/>
          <w:szCs w:val="21"/>
        </w:rPr>
        <w:t xml:space="preserve"> （注：法定代表人或负责人、主体名称发生变更的应当重新做出承诺。）</w:t>
      </w:r>
      <w:r/>
    </w:p>
    <w:p>
      <w:pPr>
        <w:spacing w:line="440" w:lineRule="exact"/>
        <w:widowControl w:val="off"/>
        <w:rPr>
          <w:rFonts w:ascii="宋体" w:hAnsi="宋体"/>
          <w:szCs w:val="21"/>
        </w:rPr>
      </w:pPr>
      <w:r>
        <w:rPr>
          <w:rFonts w:ascii="宋体" w:hAnsi="宋体"/>
          <w:szCs w:val="21"/>
        </w:rPr>
      </w:r>
      <w:r/>
    </w:p>
    <w:p>
      <w:pPr>
        <w:jc w:val="center"/>
        <w:spacing w:line="440" w:lineRule="exact"/>
        <w:widowControl w:val="off"/>
        <w:rPr>
          <w:rFonts w:ascii="宋体" w:hAnsi="宋体"/>
          <w:szCs w:val="21"/>
        </w:rPr>
      </w:pPr>
      <w:r>
        <w:rPr>
          <w:rFonts w:hint="eastAsia" w:ascii="宋体" w:hAnsi="宋体"/>
          <w:szCs w:val="21"/>
        </w:rPr>
        <w:t xml:space="preserve">　　　　　　　　　　        承诺单位（签章）： </w:t>
      </w:r>
      <w:r/>
    </w:p>
    <w:p>
      <w:pPr>
        <w:jc w:val="center"/>
        <w:spacing w:line="440" w:lineRule="exact"/>
        <w:widowControl w:val="off"/>
        <w:rPr>
          <w:rFonts w:ascii="宋体" w:hAnsi="宋体"/>
          <w:szCs w:val="21"/>
        </w:rPr>
      </w:pPr>
      <w:r>
        <w:rPr>
          <w:rFonts w:hint="eastAsia" w:ascii="宋体" w:hAnsi="宋体"/>
          <w:szCs w:val="21"/>
        </w:rPr>
        <w:t xml:space="preserve">　　　　　　　　　   　  法定代表人（负责人）：</w:t>
      </w:r>
      <w:r/>
    </w:p>
    <w:p>
      <w:pPr>
        <w:jc w:val="center"/>
        <w:spacing w:line="440" w:lineRule="exact"/>
        <w:widowControl w:val="off"/>
        <w:rPr>
          <w:rFonts w:ascii="宋体" w:hAnsi="宋体"/>
          <w:szCs w:val="21"/>
        </w:rPr>
      </w:pPr>
      <w:r>
        <w:rPr>
          <w:rFonts w:hint="eastAsia" w:ascii="宋体" w:hAnsi="宋体"/>
          <w:szCs w:val="21"/>
        </w:rPr>
        <w:t xml:space="preserve">　　　　　　　　　      　年     月      日</w:t>
      </w:r>
      <w:r/>
    </w:p>
    <w:p>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t xml:space="preserve">1.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w:t>
      </w:r>
      <w:r>
        <w:fldChar w:fldCharType="begin"/>
      </w:r>
      <w:r>
        <w:instrText xml:space="preserve"> HYPERLINK "../../Microsoft/Windows/INetCache/Down/undefined.doc" \l "br1" </w:instrText>
      </w:r>
      <w:r>
        <w:fldChar w:fldCharType="separate"/>
      </w:r>
      <w:r>
        <w:rPr>
          <w:rStyle w:val="903"/>
          <w:rFonts w:hint="eastAsia" w:ascii="仿宋" w:eastAsia="Times New Roman"/>
          <w:color w:val="auto"/>
          <w:spacing w:val="-1"/>
          <w:vertAlign w:val="superscript"/>
        </w:rPr>
        <w:t xml:space="preserve">1</w:t>
      </w:r>
      <w:r>
        <w:rPr>
          <w:rFonts w:hint="eastAsia" w:ascii="仿宋" w:eastAsia="Times New Roman"/>
          <w:color w:val="auto"/>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t xml:space="preserve">2. </w:t>
      </w:r>
      <w:r>
        <w:rPr>
          <w:rFonts w:hint="eastAsia"/>
          <w:u w:val="single"/>
        </w:rPr>
        <w:t xml:space="preserve">（标的名称）</w:t>
      </w:r>
      <w:r>
        <w:t xml:space="preserve"> </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864"/>
        <w:spacing w:before="300" w:after="300" w:line="360" w:lineRule="auto"/>
        <w:widowControl/>
        <w:rPr>
          <w:rFonts w:ascii="宋体" w:hAnsi="宋体"/>
          <w:sz w:val="21"/>
          <w:szCs w:val="21"/>
        </w:rPr>
      </w:pPr>
      <w:r>
        <w:rPr>
          <w:rFonts w:hint="eastAsia" w:ascii="宋体" w:hAnsi="宋体" w:cs="微软雅黑"/>
          <w:bCs w:val="0"/>
          <w:sz w:val="21"/>
          <w:szCs w:val="21"/>
        </w:rPr>
        <w:t xml:space="preserve">中小微企业划型标准 </w:t>
      </w:r>
      <w:r/>
    </w:p>
    <w:p>
      <w:pPr>
        <w:pStyle w:val="897"/>
        <w:ind w:firstLine="420"/>
        <w:spacing w:before="300" w:after="452" w:line="360" w:lineRule="auto"/>
        <w:rPr>
          <w:sz w:val="21"/>
          <w:szCs w:val="21"/>
        </w:rPr>
      </w:pPr>
      <w:r>
        <w:rPr>
          <w:rFonts w:hint="eastAsia" w:cs="仿宋"/>
          <w:sz w:val="21"/>
          <w:szCs w:val="21"/>
        </w:rPr>
        <w:t xml:space="preserve">    </w:t>
      </w:r>
      <w:r>
        <w:rPr>
          <w:rStyle w:val="900"/>
          <w:rFonts w:hint="eastAsia" w:cs="仿宋"/>
          <w:sz w:val="21"/>
          <w:szCs w:val="21"/>
        </w:rPr>
        <w:t xml:space="preserve">中小微企业划型标准如下：</w:t>
      </w:r>
      <w:r/>
    </w:p>
    <w:tbl>
      <w:tblPr>
        <w:tblStyle w:val="873"/>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97"/>
              <w:spacing w:after="150" w:line="360" w:lineRule="auto"/>
              <w:rPr>
                <w:sz w:val="21"/>
                <w:szCs w:val="21"/>
              </w:rPr>
            </w:pPr>
            <w:r>
              <w:rPr>
                <w:rStyle w:val="900"/>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both"/>
              <w:spacing w:after="150" w:line="360" w:lineRule="auto"/>
              <w:rPr>
                <w:sz w:val="21"/>
                <w:szCs w:val="21"/>
              </w:rPr>
            </w:pPr>
            <w:r>
              <w:rPr>
                <w:rStyle w:val="900"/>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X＜10</w:t>
            </w:r>
            <w:r/>
          </w:p>
        </w:tc>
      </w:tr>
      <w:tr>
        <w:trPr>
          <w:tblCellSpacing w:w="15" w:type="dxa"/>
          <w:trHeight w:val="11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X＜100</w:t>
            </w:r>
            <w:r/>
          </w:p>
        </w:tc>
      </w:tr>
      <w:tr>
        <w:trPr>
          <w:tblCellSpacing w:w="15" w:type="dxa"/>
          <w:trHeight w:val="1051"/>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Y＜100</w:t>
            </w:r>
            <w:r/>
          </w:p>
        </w:tc>
      </w:tr>
      <w:tr>
        <w:trPr>
          <w:tblCellSpacing w:w="15" w:type="dxa"/>
          <w:trHeight w:val="74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7"/>
              <w:ind w:firstLine="420"/>
              <w:jc w:val="center"/>
              <w:spacing w:after="150" w:line="360" w:lineRule="auto"/>
              <w:rPr>
                <w:sz w:val="21"/>
                <w:szCs w:val="21"/>
              </w:rPr>
            </w:pPr>
            <w:r>
              <w:rPr>
                <w:rStyle w:val="900"/>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rPr>
                <w:sz w:val="21"/>
                <w:szCs w:val="21"/>
              </w:rPr>
            </w:pPr>
            <w:r>
              <w:rPr>
                <w:rStyle w:val="900"/>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rPr>
                <w:sz w:val="21"/>
                <w:szCs w:val="21"/>
              </w:rPr>
            </w:pPr>
            <w:r>
              <w:rPr>
                <w:rStyle w:val="900"/>
                <w:rFonts w:hint="eastAsia" w:cs="仿宋"/>
                <w:sz w:val="21"/>
                <w:szCs w:val="21"/>
              </w:rPr>
              <w:t xml:space="preserve">X＜10</w:t>
            </w:r>
            <w:r/>
          </w:p>
        </w:tc>
      </w:tr>
    </w:tbl>
    <w:p>
      <w:pPr>
        <w:pStyle w:val="897"/>
        <w:ind w:firstLine="810"/>
        <w:spacing w:before="300" w:after="452" w:line="360" w:lineRule="auto"/>
        <w:rPr>
          <w:rFonts w:cs="仿宋"/>
          <w:b/>
          <w:sz w:val="21"/>
          <w:szCs w:val="21"/>
        </w:rPr>
      </w:pPr>
      <w:r>
        <w:rPr>
          <w:rStyle w:val="900"/>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pPr>
      <w:r/>
      <w:r/>
    </w:p>
    <w:p>
      <w:pPr>
        <w:jc w:val="left"/>
        <w:widowControl/>
        <w:rPr>
          <w:rFonts w:ascii="宋体" w:hAnsi="宋体" w:cs="Arial"/>
          <w:b/>
          <w:bCs/>
        </w:rPr>
      </w:pPr>
      <w:r>
        <w:rPr>
          <w:rFonts w:ascii="宋体" w:hAnsi="宋体" w:cs="Arial"/>
          <w:b/>
          <w:bCs/>
        </w:rPr>
        <w:br w:type="page" w:clear="all"/>
      </w:r>
      <w:r/>
    </w:p>
    <w:p>
      <w:pPr>
        <w:jc w:val="left"/>
        <w:widowControl/>
        <w:rPr>
          <w:rFonts w:ascii="宋体" w:hAnsi="宋体" w:cs="Arial"/>
          <w:b/>
          <w:bCs/>
        </w:rPr>
      </w:pPr>
      <w:r>
        <w:rPr>
          <w:rFonts w:ascii="宋体" w:hAnsi="宋体" w:cs="Arial"/>
          <w:b/>
          <w:bCs/>
        </w:rPr>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pStyle w:val="916"/>
        <w:rPr>
          <w:rFonts w:hAnsi="宋体" w:cs="Arial"/>
          <w:b/>
          <w:bCs/>
        </w:rPr>
      </w:pPr>
      <w:r>
        <w:rPr>
          <w:rFonts w:hAnsi="宋体" w:cs="Arial"/>
          <w:b/>
          <w:bCs/>
        </w:rPr>
      </w:r>
      <w:r/>
    </w:p>
    <w:p>
      <w:pPr>
        <w:pStyle w:val="917"/>
        <w:rPr>
          <w:rFonts w:hAnsi="宋体" w:cs="Arial"/>
          <w:b/>
          <w:bCs/>
          <w:lang w:eastAsia="zh-CN"/>
        </w:rPr>
      </w:pPr>
      <w:r>
        <w:rPr>
          <w:rFonts w:hAnsi="宋体" w:cs="Arial"/>
          <w:b/>
          <w:bCs/>
          <w:lang w:eastAsia="zh-CN"/>
        </w:rPr>
      </w:r>
      <w:r/>
    </w:p>
    <w:p>
      <w:r/>
      <w:r/>
    </w:p>
    <w:p>
      <w:pPr>
        <w:pStyle w:val="920"/>
        <w:rPr>
          <w:rFonts w:hAnsi="宋体" w:cs="Arial"/>
          <w:b/>
          <w:bCs/>
        </w:rPr>
      </w:pPr>
      <w:r>
        <w:rPr>
          <w:rFonts w:hAnsi="宋体" w:cs="Arial"/>
          <w:b/>
          <w:bCs/>
        </w:rPr>
      </w:r>
      <w:r/>
    </w:p>
    <w:p>
      <w:r/>
      <w:r/>
    </w:p>
    <w:p>
      <w:pPr>
        <w:jc w:val="left"/>
        <w:widowControl/>
        <w:rPr>
          <w:rFonts w:ascii="宋体" w:hAnsi="宋体" w:cs="Arial"/>
          <w:b/>
          <w:bCs/>
        </w:rPr>
      </w:pPr>
      <w:r>
        <w:rPr>
          <w:rFonts w:ascii="宋体" w:hAnsi="宋体" w:cs="Arial"/>
          <w:b/>
          <w:bCs/>
        </w:rPr>
      </w:r>
      <w:r/>
    </w:p>
    <w:p>
      <w:pPr>
        <w:pStyle w:val="916"/>
      </w:pPr>
      <w:r/>
      <w:r/>
    </w:p>
    <w:p>
      <w:pPr>
        <w:jc w:val="left"/>
        <w:widowControl/>
        <w:rPr>
          <w:rFonts w:ascii="宋体" w:hAnsi="宋体" w:cs="Arial"/>
          <w:b/>
          <w:bCs/>
        </w:rPr>
      </w:pPr>
      <w:r>
        <w:rPr>
          <w:rFonts w:ascii="宋体" w:hAnsi="宋体" w:cs="Arial"/>
          <w:b/>
          <w:bCs/>
        </w:rPr>
      </w:r>
      <w:r/>
    </w:p>
    <w:p>
      <w:pPr>
        <w:pStyle w:val="889"/>
      </w:pPr>
      <w:r/>
      <w:r/>
    </w:p>
    <w:p>
      <w:pPr>
        <w:jc w:val="center"/>
        <w:rPr>
          <w:rFonts w:ascii="宋体" w:hAnsi="宋体"/>
          <w:b/>
          <w:bCs/>
          <w:szCs w:val="21"/>
        </w:rPr>
      </w:pPr>
      <w:r>
        <w:rPr>
          <w:rFonts w:hint="eastAsia" w:ascii="宋体" w:hAnsi="宋体"/>
          <w:b/>
          <w:bCs/>
          <w:szCs w:val="21"/>
        </w:rPr>
        <w:t xml:space="preserve">投标函</w:t>
      </w:r>
      <w:r/>
    </w:p>
    <w:p>
      <w:pPr>
        <w:pStyle w:val="921"/>
        <w:ind w:firstLine="420"/>
        <w:spacing w:before="0" w:after="0"/>
        <w:rPr>
          <w:rFonts w:ascii="宋体" w:hAnsi="宋体"/>
          <w:sz w:val="21"/>
          <w:szCs w:val="21"/>
        </w:rPr>
      </w:pPr>
      <w:r>
        <w:rPr>
          <w:rFonts w:hint="eastAsia" w:ascii="宋体" w:hAnsi="宋体"/>
          <w:sz w:val="21"/>
          <w:szCs w:val="21"/>
        </w:rPr>
        <w:t xml:space="preserve">致：</w:t>
      </w:r>
      <w:r>
        <w:rPr>
          <w:rFonts w:hint="eastAsia" w:ascii="宋体" w:hAnsi="宋体"/>
          <w:sz w:val="21"/>
          <w:szCs w:val="21"/>
          <w:lang w:eastAsia="zh-CN"/>
        </w:rPr>
        <w:t xml:space="preserve">江苏渝祺项目管理有限公司</w:t>
      </w:r>
      <w:r>
        <w:rPr>
          <w:rFonts w:hint="eastAsia" w:ascii="宋体" w:hAnsi="宋体"/>
          <w:sz w:val="21"/>
          <w:szCs w:val="21"/>
        </w:rPr>
        <w:t xml:space="preserve">根据贵方的________________ 号招标文件，正式授权下述签字人_________________(姓名)代表我方______________（投标人的名称），全权处理本次项目投标的有关事宜。</w:t>
      </w:r>
      <w:r/>
    </w:p>
    <w:p>
      <w:pPr>
        <w:pStyle w:val="921"/>
        <w:ind w:firstLine="420"/>
        <w:spacing w:before="0" w:after="0"/>
        <w:rPr>
          <w:rFonts w:ascii="宋体" w:hAnsi="宋体"/>
          <w:sz w:val="21"/>
          <w:szCs w:val="21"/>
        </w:rPr>
      </w:pPr>
      <w:r>
        <w:rPr>
          <w:rFonts w:hint="eastAsia" w:ascii="宋体" w:hAnsi="宋体"/>
          <w:sz w:val="21"/>
          <w:szCs w:val="21"/>
        </w:rPr>
        <w:t xml:space="preserve">据此函，__________签字人兹宣布同意如下：</w:t>
      </w:r>
      <w:r/>
    </w:p>
    <w:p>
      <w:pPr>
        <w:pStyle w:val="921"/>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21"/>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21"/>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21"/>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21"/>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21"/>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21"/>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21"/>
        <w:ind w:firstLine="478"/>
        <w:spacing w:before="0" w:after="0"/>
        <w:rPr>
          <w:rFonts w:ascii="宋体" w:hAnsi="宋体"/>
          <w:sz w:val="21"/>
          <w:szCs w:val="21"/>
        </w:rPr>
      </w:pPr>
      <w:r>
        <w:rPr>
          <w:rFonts w:hint="eastAsia" w:ascii="宋体" w:hAnsi="宋体"/>
          <w:sz w:val="21"/>
          <w:szCs w:val="21"/>
        </w:rPr>
        <w:t xml:space="preserve">地 址：</w:t>
      </w:r>
      <w:r/>
    </w:p>
    <w:p>
      <w:pPr>
        <w:pStyle w:val="921"/>
        <w:ind w:firstLine="478"/>
        <w:spacing w:before="0" w:after="0"/>
        <w:rPr>
          <w:rFonts w:ascii="宋体" w:hAnsi="宋体"/>
          <w:sz w:val="21"/>
          <w:szCs w:val="21"/>
        </w:rPr>
      </w:pPr>
      <w:r>
        <w:rPr>
          <w:rFonts w:hint="eastAsia" w:ascii="宋体" w:hAnsi="宋体"/>
          <w:sz w:val="21"/>
          <w:szCs w:val="21"/>
        </w:rPr>
        <w:t xml:space="preserve">邮 编：</w:t>
      </w:r>
      <w:r/>
    </w:p>
    <w:p>
      <w:pPr>
        <w:pStyle w:val="921"/>
        <w:ind w:firstLine="478"/>
        <w:spacing w:before="0" w:after="0"/>
        <w:rPr>
          <w:rFonts w:ascii="宋体" w:hAnsi="宋体"/>
          <w:sz w:val="21"/>
          <w:szCs w:val="21"/>
        </w:rPr>
      </w:pPr>
      <w:r>
        <w:rPr>
          <w:rFonts w:hint="eastAsia" w:ascii="宋体" w:hAnsi="宋体"/>
          <w:sz w:val="21"/>
          <w:szCs w:val="21"/>
        </w:rPr>
        <w:t xml:space="preserve">电 话： </w:t>
      </w:r>
      <w:r/>
    </w:p>
    <w:p>
      <w:pPr>
        <w:pStyle w:val="921"/>
        <w:ind w:firstLine="478"/>
        <w:spacing w:before="0" w:after="0"/>
        <w:rPr>
          <w:rFonts w:ascii="宋体" w:hAnsi="宋体"/>
          <w:sz w:val="21"/>
          <w:szCs w:val="21"/>
        </w:rPr>
      </w:pPr>
      <w:r>
        <w:rPr>
          <w:rFonts w:hint="eastAsia" w:ascii="宋体" w:hAnsi="宋体"/>
          <w:sz w:val="21"/>
          <w:szCs w:val="21"/>
        </w:rPr>
        <w:t xml:space="preserve">传 真： </w:t>
      </w:r>
      <w:r/>
    </w:p>
    <w:p>
      <w:pPr>
        <w:pStyle w:val="921"/>
        <w:ind w:firstLine="478"/>
        <w:spacing w:before="0" w:after="0"/>
        <w:rPr>
          <w:rFonts w:ascii="宋体" w:hAnsi="宋体"/>
          <w:sz w:val="21"/>
          <w:szCs w:val="21"/>
        </w:rPr>
      </w:pPr>
      <w:r>
        <w:rPr>
          <w:rFonts w:hint="eastAsia" w:ascii="宋体" w:hAnsi="宋体"/>
          <w:sz w:val="21"/>
          <w:szCs w:val="21"/>
        </w:rPr>
        <w:t xml:space="preserve">投标人开户行：</w:t>
      </w:r>
      <w:r/>
    </w:p>
    <w:p>
      <w:pPr>
        <w:pStyle w:val="921"/>
        <w:ind w:firstLine="478"/>
        <w:spacing w:before="0" w:after="0"/>
        <w:rPr>
          <w:rFonts w:ascii="宋体" w:hAnsi="宋体"/>
          <w:sz w:val="21"/>
          <w:szCs w:val="21"/>
        </w:rPr>
      </w:pPr>
      <w:r>
        <w:rPr>
          <w:rFonts w:hint="eastAsia" w:ascii="宋体" w:hAnsi="宋体"/>
          <w:sz w:val="21"/>
          <w:szCs w:val="21"/>
        </w:rPr>
        <w:t xml:space="preserve">账 户： </w:t>
      </w:r>
      <w:r/>
    </w:p>
    <w:p>
      <w:pPr>
        <w:pStyle w:val="921"/>
        <w:ind w:firstLine="478"/>
        <w:spacing w:before="0" w:after="0"/>
        <w:rPr>
          <w:rFonts w:ascii="宋体" w:hAnsi="宋体"/>
          <w:sz w:val="21"/>
          <w:szCs w:val="21"/>
        </w:rPr>
      </w:pPr>
      <w:r>
        <w:rPr>
          <w:rFonts w:hint="eastAsia" w:ascii="宋体" w:hAnsi="宋体"/>
          <w:sz w:val="21"/>
          <w:szCs w:val="21"/>
        </w:rPr>
        <w:t xml:space="preserve">行 号：</w:t>
      </w:r>
      <w:r/>
    </w:p>
    <w:p>
      <w:pPr>
        <w:pStyle w:val="921"/>
        <w:ind w:firstLine="478"/>
        <w:spacing w:before="0" w:after="0"/>
        <w:rPr>
          <w:rFonts w:ascii="宋体" w:hAnsi="宋体"/>
          <w:sz w:val="21"/>
          <w:szCs w:val="21"/>
        </w:rPr>
      </w:pPr>
      <w:r>
        <w:rPr>
          <w:rFonts w:hint="eastAsia" w:ascii="宋体" w:hAnsi="宋体"/>
          <w:sz w:val="21"/>
          <w:szCs w:val="21"/>
        </w:rPr>
        <w:t xml:space="preserve">法定代表人或授权代表（签字）： </w:t>
      </w:r>
      <w:r/>
    </w:p>
    <w:p>
      <w:pPr>
        <w:pStyle w:val="921"/>
        <w:ind w:firstLine="478"/>
        <w:spacing w:before="0" w:after="0"/>
        <w:rPr>
          <w:rFonts w:ascii="宋体" w:hAnsi="宋体"/>
          <w:sz w:val="21"/>
          <w:szCs w:val="21"/>
        </w:rPr>
      </w:pPr>
      <w:r>
        <w:rPr>
          <w:rFonts w:hint="eastAsia" w:ascii="宋体" w:hAnsi="宋体"/>
          <w:sz w:val="21"/>
          <w:szCs w:val="21"/>
        </w:rPr>
        <w:t xml:space="preserve">投标人名称（公章）： </w:t>
      </w:r>
      <w:r/>
    </w:p>
    <w:p>
      <w:pPr>
        <w:pStyle w:val="921"/>
        <w:ind w:firstLine="478"/>
        <w:spacing w:before="0" w:after="0"/>
        <w:rPr>
          <w:rFonts w:ascii="宋体" w:hAnsi="宋体"/>
          <w:sz w:val="21"/>
          <w:szCs w:val="21"/>
        </w:rPr>
      </w:pPr>
      <w:r>
        <w:rPr>
          <w:rFonts w:hint="eastAsia" w:ascii="宋体" w:hAnsi="宋体"/>
          <w:sz w:val="21"/>
          <w:szCs w:val="21"/>
        </w:rPr>
        <w:t xml:space="preserve">日 期：________年____月____日</w:t>
      </w:r>
      <w:r/>
    </w:p>
    <w:p>
      <w:pPr>
        <w:pStyle w:val="921"/>
        <w:ind w:firstLine="478"/>
        <w:spacing w:before="0" w:after="0"/>
        <w:rPr>
          <w:rFonts w:ascii="宋体" w:hAnsi="宋体"/>
          <w:sz w:val="21"/>
          <w:szCs w:val="21"/>
        </w:rPr>
      </w:pPr>
      <w:r>
        <w:rPr>
          <w:rFonts w:ascii="宋体" w:hAnsi="宋体"/>
          <w:sz w:val="21"/>
          <w:szCs w:val="21"/>
        </w:rPr>
      </w:r>
      <w:r/>
    </w:p>
    <w:p>
      <w:pPr>
        <w:rPr>
          <w:rFonts w:ascii="宋体" w:hAnsi="宋体"/>
          <w:b/>
          <w:sz w:val="32"/>
          <w:szCs w:val="32"/>
        </w:rPr>
      </w:pPr>
      <w:r>
        <w:rPr>
          <w:rFonts w:hint="eastAsia" w:ascii="宋体" w:hAnsi="宋体"/>
          <w:b/>
          <w:sz w:val="32"/>
          <w:szCs w:val="32"/>
        </w:rPr>
        <w:br w:type="page" w:clear="all"/>
      </w:r>
      <w:r/>
    </w:p>
    <w:p>
      <w:pPr>
        <w:pStyle w:val="922"/>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22"/>
        <w:ind w:firstLine="420"/>
        <w:spacing w:line="360" w:lineRule="auto"/>
        <w:rPr>
          <w:rFonts w:ascii="宋体" w:hAnsi="宋体"/>
          <w:sz w:val="21"/>
          <w:szCs w:val="21"/>
        </w:rPr>
      </w:pPr>
      <w:r>
        <w:rPr>
          <w:rFonts w:hint="eastAsia" w:ascii="宋体" w:hAnsi="宋体"/>
          <w:sz w:val="21"/>
          <w:szCs w:val="21"/>
        </w:rPr>
        <w:t xml:space="preserve">本授权书声明：________________（投标人名称）授权________________（被授权人的姓名）为我方就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922"/>
        <w:ind w:firstLine="420"/>
        <w:spacing w:line="360" w:lineRule="auto"/>
        <w:rPr>
          <w:rFonts w:ascii="宋体" w:hAnsi="宋体"/>
          <w:sz w:val="21"/>
          <w:szCs w:val="21"/>
        </w:rPr>
      </w:pPr>
      <w:r>
        <w:rPr>
          <w:rFonts w:hint="eastAsia" w:ascii="宋体" w:hAnsi="宋体"/>
          <w:sz w:val="21"/>
          <w:szCs w:val="21"/>
        </w:rPr>
        <w:t xml:space="preserve">本授权书于______年____月____日起生效，特此声明。</w:t>
      </w:r>
      <w:r/>
    </w:p>
    <w:p>
      <w:pPr>
        <w:pStyle w:val="922"/>
        <w:ind w:firstLine="0"/>
        <w:spacing w:line="360" w:lineRule="auto"/>
        <w:rPr>
          <w:rFonts w:ascii="宋体" w:hAnsi="宋体"/>
          <w:sz w:val="21"/>
          <w:szCs w:val="21"/>
        </w:rPr>
      </w:pPr>
      <w:r>
        <w:rPr>
          <w:rFonts w:hint="eastAsia" w:ascii="宋体" w:hAnsi="宋体"/>
          <w:sz w:val="21"/>
          <w:szCs w:val="21"/>
        </w:rPr>
        <w:t xml:space="preserve">    </w:t>
      </w:r>
      <w:r/>
    </w:p>
    <w:p>
      <w:pPr>
        <w:pStyle w:val="922"/>
        <w:ind w:firstLine="420"/>
        <w:spacing w:line="360" w:lineRule="auto"/>
        <w:rPr>
          <w:rFonts w:ascii="宋体" w:hAnsi="宋体"/>
          <w:sz w:val="21"/>
          <w:szCs w:val="21"/>
        </w:rPr>
      </w:pPr>
      <w:r>
        <w:rPr>
          <w:rFonts w:hint="eastAsia" w:ascii="宋体" w:hAnsi="宋体"/>
          <w:sz w:val="21"/>
          <w:szCs w:val="21"/>
        </w:rPr>
        <w:t xml:space="preserve">被授权人姓名：_____________________</w:t>
      </w:r>
      <w:r>
        <w:rPr>
          <w:rFonts w:hint="eastAsia" w:ascii="宋体" w:hAnsi="宋体"/>
          <w:sz w:val="21"/>
          <w:szCs w:val="21"/>
          <w:u w:val="single"/>
        </w:rPr>
        <w:t xml:space="preserve">         </w:t>
      </w:r>
      <w:r>
        <w:rPr>
          <w:rFonts w:hint="eastAsia" w:ascii="宋体" w:hAnsi="宋体"/>
          <w:sz w:val="21"/>
          <w:szCs w:val="21"/>
        </w:rPr>
        <w:t xml:space="preserve">___</w:t>
      </w:r>
      <w:r/>
    </w:p>
    <w:p>
      <w:pPr>
        <w:pStyle w:val="922"/>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22"/>
        <w:ind w:firstLine="0"/>
        <w:spacing w:line="360" w:lineRule="auto"/>
        <w:rPr>
          <w:rFonts w:ascii="宋体" w:hAnsi="宋体"/>
          <w:sz w:val="21"/>
          <w:szCs w:val="21"/>
        </w:rPr>
      </w:pPr>
      <w:r>
        <w:rPr>
          <w:rFonts w:hint="eastAsia" w:ascii="宋体" w:hAnsi="宋体"/>
          <w:sz w:val="21"/>
          <w:szCs w:val="21"/>
        </w:rPr>
        <w:t xml:space="preserve">    单 位 名 称：__________________________________</w:t>
      </w:r>
      <w:r/>
    </w:p>
    <w:p>
      <w:pPr>
        <w:pStyle w:val="922"/>
        <w:ind w:firstLine="420"/>
        <w:spacing w:line="360" w:lineRule="auto"/>
        <w:rPr>
          <w:sz w:val="21"/>
          <w:szCs w:val="21"/>
          <w:u w:val="single"/>
        </w:rPr>
      </w:pPr>
      <w:r>
        <w:rPr>
          <w:rFonts w:hint="eastAsia"/>
          <w:sz w:val="21"/>
          <w:szCs w:val="21"/>
        </w:rPr>
        <w:t xml:space="preserve">单 位 地 址：</w:t>
      </w:r>
      <w:r>
        <w:rPr>
          <w:sz w:val="21"/>
          <w:szCs w:val="21"/>
          <w:u w:val="single"/>
        </w:rPr>
        <w:t xml:space="preserve">                                  </w:t>
      </w:r>
      <w:r/>
    </w:p>
    <w:p>
      <w:pPr>
        <w:pStyle w:val="922"/>
        <w:ind w:firstLine="420"/>
        <w:spacing w:line="360" w:lineRule="auto"/>
        <w:rPr>
          <w:sz w:val="21"/>
          <w:szCs w:val="21"/>
        </w:rPr>
      </w:pPr>
      <w:r>
        <w:rPr>
          <w:rFonts w:hint="eastAsia"/>
          <w:sz w:val="21"/>
          <w:szCs w:val="21"/>
        </w:rPr>
        <w:t xml:space="preserve">日       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pPr>
      <w:r>
        <w:rPr>
          <w:rFonts w:hint="eastAsia" w:ascii="宋体" w:hAnsi="宋体"/>
          <w:bCs/>
        </w:rPr>
        <w:t xml:space="preserve">被授权人身份证复印件</w:t>
      </w:r>
      <w:r/>
    </w:p>
    <w:p>
      <w:pPr>
        <w:jc w:val="left"/>
        <w:widowControl/>
        <w:rPr>
          <w:rFonts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rPr>
      </w:r>
      <w:r/>
    </w:p>
    <w:p>
      <w:pPr>
        <w:pStyle w:val="864"/>
        <w:rPr>
          <w:rFonts w:ascii="宋体" w:hAnsi="宋体" w:eastAsia="宋体"/>
          <w:sz w:val="32"/>
        </w:rPr>
      </w:pPr>
      <w:r>
        <w:rPr>
          <w:rFonts w:hint="eastAsia" w:ascii="宋体" w:hAnsi="宋体" w:eastAsia="宋体"/>
          <w:sz w:val="32"/>
        </w:rPr>
        <w:t xml:space="preserve">二、符合性审查响应对照表</w:t>
      </w:r>
      <w:r/>
    </w:p>
    <w:p>
      <w:pPr>
        <w:rPr>
          <w:rFonts w:ascii="宋体" w:hAnsi="宋体"/>
          <w:b/>
          <w:sz w:val="32"/>
          <w:szCs w:val="32"/>
        </w:rPr>
      </w:pPr>
      <w:r>
        <w:rPr>
          <w:rFonts w:ascii="宋体" w:hAnsi="宋体"/>
          <w:b/>
          <w:sz w:val="32"/>
          <w:szCs w:val="32"/>
        </w:rPr>
      </w:r>
      <w:r/>
    </w:p>
    <w:tbl>
      <w:tblPr>
        <w:tblStyle w:val="87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829"/>
        <w:gridCol w:w="1159"/>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829"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59"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829" w:type="dxa"/>
            <w:vAlign w:val="center"/>
            <w:textDirection w:val="lrTb"/>
            <w:noWrap w:val="false"/>
          </w:tcPr>
          <w:p>
            <w:pPr>
              <w:rPr>
                <w:rFonts w:ascii="宋体" w:hAnsi="宋体"/>
                <w:b/>
                <w:szCs w:val="21"/>
              </w:rPr>
            </w:pPr>
            <w:r>
              <w:rPr>
                <w:rFonts w:ascii="宋体" w:hAnsi="宋体"/>
                <w:b/>
                <w:szCs w:val="21"/>
              </w:rPr>
            </w:r>
            <w:r/>
          </w:p>
        </w:tc>
        <w:tc>
          <w:tcPr>
            <w:tcW w:w="1159"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829" w:type="dxa"/>
            <w:vAlign w:val="center"/>
            <w:textDirection w:val="lrTb"/>
            <w:noWrap w:val="false"/>
          </w:tcPr>
          <w:p>
            <w:pPr>
              <w:rPr>
                <w:rFonts w:ascii="宋体" w:hAnsi="宋体"/>
                <w:szCs w:val="21"/>
              </w:rPr>
            </w:pPr>
            <w:r>
              <w:rPr>
                <w:rFonts w:ascii="宋体" w:hAnsi="宋体"/>
                <w:szCs w:val="21"/>
              </w:rPr>
            </w:r>
            <w:r/>
          </w:p>
        </w:tc>
        <w:tc>
          <w:tcPr>
            <w:tcW w:w="1159"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829" w:type="dxa"/>
            <w:vAlign w:val="center"/>
            <w:textDirection w:val="lrTb"/>
            <w:noWrap w:val="false"/>
          </w:tcPr>
          <w:p>
            <w:pPr>
              <w:rPr>
                <w:rFonts w:ascii="宋体" w:hAnsi="宋体"/>
                <w:szCs w:val="21"/>
              </w:rPr>
            </w:pPr>
            <w:r>
              <w:rPr>
                <w:rFonts w:ascii="宋体" w:hAnsi="宋体"/>
                <w:szCs w:val="21"/>
              </w:rPr>
            </w:r>
            <w:r/>
          </w:p>
        </w:tc>
        <w:tc>
          <w:tcPr>
            <w:tcW w:w="1159"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829" w:type="dxa"/>
            <w:vAlign w:val="center"/>
            <w:textDirection w:val="lrTb"/>
            <w:noWrap w:val="false"/>
          </w:tcPr>
          <w:p>
            <w:pPr>
              <w:rPr>
                <w:rFonts w:ascii="宋体" w:hAnsi="宋体"/>
                <w:szCs w:val="21"/>
              </w:rPr>
            </w:pPr>
            <w:r>
              <w:rPr>
                <w:rFonts w:ascii="宋体" w:hAnsi="宋体"/>
                <w:szCs w:val="21"/>
              </w:rPr>
            </w:r>
            <w:r/>
          </w:p>
        </w:tc>
        <w:tc>
          <w:tcPr>
            <w:tcW w:w="1159"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829" w:type="dxa"/>
            <w:vAlign w:val="center"/>
            <w:textDirection w:val="lrTb"/>
            <w:noWrap w:val="false"/>
          </w:tcPr>
          <w:p>
            <w:pPr>
              <w:rPr>
                <w:rFonts w:ascii="宋体" w:hAnsi="宋体"/>
                <w:szCs w:val="21"/>
              </w:rPr>
            </w:pPr>
            <w:r>
              <w:rPr>
                <w:rFonts w:ascii="宋体" w:hAnsi="宋体"/>
                <w:szCs w:val="21"/>
              </w:rPr>
            </w:r>
            <w:r/>
          </w:p>
        </w:tc>
        <w:tc>
          <w:tcPr>
            <w:tcW w:w="1159" w:type="dxa"/>
            <w:vAlign w:val="center"/>
            <w:textDirection w:val="lrTb"/>
            <w:noWrap w:val="false"/>
          </w:tcPr>
          <w:p>
            <w:pPr>
              <w:rPr>
                <w:rFonts w:ascii="宋体" w:hAnsi="宋体"/>
                <w:szCs w:val="21"/>
              </w:rPr>
            </w:pPr>
            <w:r>
              <w:rPr>
                <w:rFonts w:ascii="宋体" w:hAnsi="宋体"/>
                <w:szCs w:val="21"/>
              </w:rPr>
            </w:r>
            <w:r/>
          </w:p>
        </w:tc>
      </w:tr>
    </w:tbl>
    <w:p>
      <w:pPr>
        <w:spacing w:line="600" w:lineRule="exact"/>
        <w:rPr>
          <w:rFonts w:ascii="宋体" w:hAnsi="宋体"/>
          <w:b/>
          <w:bCs/>
          <w:sz w:val="28"/>
          <w:szCs w:val="28"/>
        </w:rPr>
      </w:pPr>
      <w:r>
        <w:rPr>
          <w:rFonts w:hint="eastAsia" w:ascii="宋体" w:hAnsi="宋体"/>
          <w:b/>
          <w:bCs/>
          <w:sz w:val="28"/>
          <w:szCs w:val="28"/>
        </w:rPr>
        <w:t xml:space="preserve">注：符合性审查需要提供的相关证明文件在制作标书时随此表一起上传。</w:t>
      </w:r>
      <w:r/>
    </w:p>
    <w:p>
      <w:pPr>
        <w:contextualSpacing/>
        <w:jc w:val="left"/>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pPr>
        <w:contextualSpacing/>
        <w:jc w:val="center"/>
        <w:spacing w:line="600" w:lineRule="exact"/>
        <w:rPr>
          <w:rFonts w:ascii="宋体" w:hAnsi="宋体"/>
          <w:b/>
          <w:bCs/>
          <w:sz w:val="32"/>
          <w:szCs w:val="32"/>
        </w:rPr>
      </w:pPr>
      <w:r>
        <w:rPr>
          <w:rFonts w:ascii="宋体" w:hAnsi="宋体"/>
          <w:b/>
          <w:bCs/>
          <w:sz w:val="32"/>
          <w:szCs w:val="32"/>
        </w:rPr>
      </w:r>
      <w:r/>
    </w:p>
    <w:p>
      <w:r/>
      <w:r/>
    </w:p>
    <w:p>
      <w:r/>
      <w:r/>
    </w:p>
    <w:p>
      <w:r/>
      <w:r/>
    </w:p>
    <w:p>
      <w:r/>
      <w:r/>
    </w:p>
    <w:p>
      <w:r/>
      <w:r/>
    </w:p>
    <w:p>
      <w:r/>
      <w:r/>
    </w:p>
    <w:p>
      <w:r/>
      <w:r/>
    </w:p>
    <w:p>
      <w:r/>
      <w:r/>
    </w:p>
    <w:p>
      <w:r/>
      <w:r/>
    </w:p>
    <w:p>
      <w:r/>
      <w:r/>
    </w:p>
    <w:p>
      <w:r/>
      <w:r/>
    </w:p>
    <w:p>
      <w:r/>
      <w:r/>
    </w:p>
    <w:p>
      <w:r/>
      <w:r/>
    </w:p>
    <w:p>
      <w:r/>
      <w:r/>
    </w:p>
    <w:p>
      <w:r/>
      <w:r/>
    </w:p>
    <w:p>
      <w:r/>
      <w:r/>
    </w:p>
    <w:p>
      <w:r/>
      <w:r/>
    </w:p>
    <w:p>
      <w:r/>
      <w:r/>
    </w:p>
    <w:p>
      <w:pPr>
        <w:pStyle w:val="864"/>
        <w:rPr>
          <w:rFonts w:ascii="宋体" w:hAnsi="宋体" w:eastAsia="宋体"/>
          <w:sz w:val="32"/>
        </w:rPr>
      </w:pPr>
      <w:r>
        <w:rPr>
          <w:rFonts w:hint="eastAsia" w:ascii="宋体" w:hAnsi="宋体" w:eastAsia="宋体"/>
          <w:sz w:val="32"/>
        </w:rPr>
        <w:t xml:space="preserve">三、非实质性响应对照表</w:t>
      </w:r>
      <w:r/>
    </w:p>
    <w:p>
      <w:pPr>
        <w:rPr>
          <w:rFonts w:ascii="宋体" w:hAnsi="宋体"/>
          <w:b/>
          <w:sz w:val="32"/>
          <w:szCs w:val="32"/>
        </w:rPr>
      </w:pPr>
      <w:r>
        <w:rPr>
          <w:rFonts w:ascii="宋体" w:hAnsi="宋体"/>
          <w:b/>
          <w:sz w:val="32"/>
          <w:szCs w:val="32"/>
        </w:rPr>
      </w:r>
      <w:r/>
    </w:p>
    <w:tbl>
      <w:tblPr>
        <w:tblStyle w:val="87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136"/>
        <w:gridCol w:w="1991"/>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13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991"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Cs/>
                <w:szCs w:val="21"/>
              </w:rPr>
              <w:t xml:space="preserve">1</w:t>
            </w:r>
            <w:r/>
          </w:p>
        </w:tc>
        <w:tc>
          <w:tcPr>
            <w:tcW w:w="5136" w:type="dxa"/>
            <w:vAlign w:val="center"/>
            <w:textDirection w:val="lrTb"/>
            <w:noWrap w:val="false"/>
          </w:tcPr>
          <w:p>
            <w:pPr>
              <w:jc w:val="center"/>
              <w:spacing w:line="0" w:lineRule="atLeast"/>
              <w:rPr>
                <w:rFonts w:ascii="宋体" w:hAnsi="宋体"/>
                <w:iCs/>
                <w:szCs w:val="21"/>
              </w:rPr>
            </w:pPr>
            <w:r>
              <w:rPr>
                <w:rFonts w:hint="eastAsia" w:ascii="宋体" w:hAnsi="宋体"/>
                <w:b/>
                <w:bCs/>
              </w:rPr>
              <w:t xml:space="preserve">中小企业声明函</w:t>
            </w:r>
            <w:r/>
          </w:p>
        </w:tc>
        <w:tc>
          <w:tcPr>
            <w:tcW w:w="1991"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136" w:type="dxa"/>
            <w:vAlign w:val="center"/>
            <w:textDirection w:val="lrTb"/>
            <w:noWrap w:val="false"/>
          </w:tcPr>
          <w:p>
            <w:pPr>
              <w:jc w:val="center"/>
              <w:spacing w:line="0" w:lineRule="atLeast"/>
              <w:rPr>
                <w:rFonts w:ascii="宋体" w:hAnsi="宋体"/>
                <w:iCs/>
                <w:szCs w:val="21"/>
              </w:rPr>
            </w:pPr>
            <w:r>
              <w:rPr>
                <w:rFonts w:hint="eastAsia" w:ascii="宋体" w:hAnsi="宋体"/>
                <w:b/>
                <w:bCs/>
              </w:rPr>
              <w:t xml:space="preserve">残疾人福利性单位声明函</w:t>
            </w:r>
            <w:r/>
          </w:p>
        </w:tc>
        <w:tc>
          <w:tcPr>
            <w:tcW w:w="1991"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136"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991"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宋体" w:hAnsi="宋体"/>
          <w:b/>
          <w:sz w:val="32"/>
          <w:szCs w:val="32"/>
        </w:rPr>
      </w:pPr>
      <w:r>
        <w:rPr>
          <w:rFonts w:ascii="宋体" w:hAnsi="宋体"/>
          <w:b/>
          <w:sz w:val="32"/>
          <w:szCs w:val="32"/>
        </w:rPr>
      </w:r>
      <w:r/>
    </w:p>
    <w:p>
      <w:pPr>
        <w:pStyle w:val="864"/>
        <w:rPr>
          <w:rFonts w:ascii="宋体" w:hAnsi="宋体"/>
          <w:szCs w:val="32"/>
        </w:rPr>
      </w:pPr>
      <w:r>
        <w:rPr>
          <w:rFonts w:hint="eastAsia" w:ascii="宋体" w:hAnsi="宋体" w:eastAsia="宋体" w:cs="宋体"/>
        </w:rPr>
        <w:t xml:space="preserve">四、开标一览表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87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78"/>
              <w:spacing w:line="30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78"/>
              <w:spacing w:line="30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921"/>
              <w:ind w:firstLine="0"/>
              <w:spacing w:before="0" w:after="0" w:line="500" w:lineRule="exact"/>
              <w:rPr>
                <w:rFonts w:ascii="宋体" w:hAnsi="宋体"/>
                <w:sz w:val="21"/>
                <w:szCs w:val="21"/>
              </w:rPr>
            </w:pPr>
            <w:r>
              <w:rPr>
                <w:rFonts w:hint="eastAsia" w:ascii="宋体" w:hAnsi="宋体" w:cs="宋体"/>
                <w:sz w:val="21"/>
                <w:szCs w:val="21"/>
              </w:rPr>
              <w:t xml:space="preserve">小写：                             （人民币：元）</w:t>
            </w:r>
            <w:r/>
          </w:p>
        </w:tc>
      </w:tr>
    </w:tbl>
    <w:p>
      <w:pPr>
        <w:rPr>
          <w:rFonts w:ascii="宋体" w:hAnsi="宋体"/>
          <w:szCs w:val="21"/>
        </w:rPr>
      </w:pPr>
      <w:r>
        <w:rPr>
          <w:rFonts w:ascii="宋体" w:hAnsi="宋体"/>
          <w:szCs w:val="21"/>
        </w:rPr>
      </w:r>
      <w:r/>
    </w:p>
    <w:p>
      <w:pPr>
        <w:ind w:firstLine="480"/>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64"/>
        <w:rPr>
          <w:rFonts w:ascii="宋体" w:hAnsi="宋体" w:eastAsia="宋体" w:cs="宋体"/>
        </w:rPr>
      </w:pPr>
      <w:r>
        <w:rPr>
          <w:rFonts w:hint="eastAsia" w:ascii="宋体" w:hAnsi="宋体" w:eastAsia="宋体" w:cs="宋体"/>
        </w:rPr>
        <w:t xml:space="preserve">五、投标产品配置及分项报价表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cs="Arial"/>
          <w:b/>
          <w:sz w:val="32"/>
          <w:szCs w:val="32"/>
        </w:rPr>
      </w:pPr>
      <w:r>
        <w:rPr>
          <w:rFonts w:hint="eastAsia" w:ascii="宋体" w:hAnsi="宋体"/>
          <w:szCs w:val="21"/>
        </w:rPr>
        <w:t xml:space="preserve">分包号(如有)：</w:t>
      </w:r>
      <w:r/>
    </w:p>
    <w:tbl>
      <w:tblPr>
        <w:tblStyle w:val="873"/>
        <w:tblW w:w="91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781"/>
        <w:gridCol w:w="1881"/>
        <w:gridCol w:w="896"/>
        <w:gridCol w:w="1510"/>
        <w:gridCol w:w="1379"/>
      </w:tblGrid>
      <w:tr>
        <w:trPr>
          <w:cantSplit/>
          <w:trHeight w:val="316"/>
        </w:trPr>
        <w:tc>
          <w:tcPr>
            <w:tcW w:w="669"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781" w:type="dxa"/>
            <w:vAlign w:val="center"/>
            <w:textDirection w:val="lrTb"/>
            <w:noWrap w:val="false"/>
          </w:tcPr>
          <w:p>
            <w:pPr>
              <w:jc w:val="center"/>
              <w:rPr>
                <w:rFonts w:ascii="宋体" w:hAnsi="宋体"/>
                <w:szCs w:val="21"/>
              </w:rPr>
            </w:pPr>
            <w:r>
              <w:rPr>
                <w:rFonts w:hint="eastAsia" w:ascii="宋体" w:hAnsi="宋体"/>
                <w:szCs w:val="21"/>
              </w:rPr>
              <w:t xml:space="preserve">名称</w:t>
            </w:r>
            <w:r/>
          </w:p>
        </w:tc>
        <w:tc>
          <w:tcPr>
            <w:tcW w:w="1881" w:type="dxa"/>
            <w:vAlign w:val="center"/>
            <w:textDirection w:val="lrTb"/>
            <w:noWrap w:val="false"/>
          </w:tcPr>
          <w:p>
            <w:pPr>
              <w:jc w:val="center"/>
              <w:rPr>
                <w:rFonts w:ascii="宋体" w:hAnsi="宋体"/>
                <w:szCs w:val="21"/>
              </w:rPr>
            </w:pPr>
            <w:r>
              <w:rPr>
                <w:rFonts w:hint="eastAsia" w:ascii="宋体" w:hAnsi="宋体"/>
                <w:szCs w:val="21"/>
              </w:rPr>
              <w:t xml:space="preserve">品牌</w:t>
            </w:r>
            <w:r>
              <w:rPr>
                <w:rFonts w:hint="eastAsia" w:ascii="宋体" w:hAnsi="宋体"/>
                <w:sz w:val="24"/>
              </w:rPr>
              <w:t xml:space="preserve">、</w:t>
            </w:r>
            <w:r>
              <w:rPr>
                <w:rFonts w:hint="eastAsia" w:ascii="宋体" w:hAnsi="宋体"/>
                <w:szCs w:val="21"/>
              </w:rPr>
              <w:t xml:space="preserve">规格型号</w:t>
            </w:r>
            <w:r/>
          </w:p>
        </w:tc>
        <w:tc>
          <w:tcPr>
            <w:tcW w:w="896"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1510" w:type="dxa"/>
            <w:vAlign w:val="center"/>
            <w:textDirection w:val="lrTb"/>
            <w:noWrap w:val="false"/>
          </w:tcPr>
          <w:p>
            <w:pPr>
              <w:jc w:val="center"/>
              <w:rPr>
                <w:rFonts w:ascii="宋体" w:hAnsi="宋体"/>
                <w:szCs w:val="21"/>
              </w:rPr>
            </w:pPr>
            <w:r>
              <w:rPr>
                <w:rFonts w:hint="eastAsia" w:ascii="宋体" w:hAnsi="宋体"/>
                <w:szCs w:val="21"/>
              </w:rPr>
              <w:t xml:space="preserve">单价（元）</w:t>
            </w:r>
            <w:r/>
          </w:p>
        </w:tc>
        <w:tc>
          <w:tcPr>
            <w:tcW w:w="1379" w:type="dxa"/>
            <w:vAlign w:val="center"/>
            <w:textDirection w:val="lrTb"/>
            <w:noWrap w:val="false"/>
          </w:tcPr>
          <w:p>
            <w:pPr>
              <w:jc w:val="center"/>
              <w:rPr>
                <w:rFonts w:ascii="宋体" w:hAnsi="宋体"/>
                <w:szCs w:val="21"/>
              </w:rPr>
            </w:pPr>
            <w:r>
              <w:rPr>
                <w:rFonts w:hint="eastAsia" w:ascii="宋体" w:hAnsi="宋体"/>
                <w:szCs w:val="21"/>
              </w:rPr>
              <w:t xml:space="preserve">总价（元）</w:t>
            </w:r>
            <w:r/>
          </w:p>
        </w:tc>
      </w:tr>
      <w:tr>
        <w:trPr>
          <w:cantSplit/>
          <w:trHeight w:val="919"/>
        </w:trPr>
        <w:tc>
          <w:tcPr>
            <w:tcW w:w="669" w:type="dxa"/>
            <w:vAlign w:val="center"/>
            <w:textDirection w:val="lrTb"/>
            <w:noWrap w:val="false"/>
          </w:tcPr>
          <w:p>
            <w:pPr>
              <w:rPr>
                <w:szCs w:val="24"/>
              </w:rPr>
            </w:pPr>
            <w:r>
              <w:rPr>
                <w:szCs w:val="24"/>
              </w:rPr>
            </w:r>
            <w:r/>
          </w:p>
        </w:tc>
        <w:tc>
          <w:tcPr>
            <w:tcW w:w="2781" w:type="dxa"/>
            <w:vAlign w:val="center"/>
            <w:textDirection w:val="lrTb"/>
            <w:noWrap w:val="false"/>
          </w:tcPr>
          <w:p>
            <w:pPr>
              <w:rPr>
                <w:szCs w:val="24"/>
              </w:rPr>
            </w:pPr>
            <w:r>
              <w:rPr>
                <w:szCs w:val="24"/>
              </w:rPr>
            </w:r>
            <w:r/>
          </w:p>
        </w:tc>
        <w:tc>
          <w:tcPr>
            <w:tcW w:w="1881" w:type="dxa"/>
            <w:vAlign w:val="center"/>
            <w:textDirection w:val="lrTb"/>
            <w:noWrap w:val="false"/>
          </w:tcPr>
          <w:p>
            <w:pPr>
              <w:rPr>
                <w:szCs w:val="24"/>
              </w:rPr>
            </w:pPr>
            <w:r>
              <w:rPr>
                <w:szCs w:val="24"/>
              </w:rPr>
            </w:r>
            <w:r/>
          </w:p>
        </w:tc>
        <w:tc>
          <w:tcPr>
            <w:tcW w:w="896" w:type="dxa"/>
            <w:vAlign w:val="center"/>
            <w:textDirection w:val="lrTb"/>
            <w:noWrap w:val="false"/>
          </w:tcPr>
          <w:p>
            <w:pPr>
              <w:jc w:val="center"/>
              <w:rPr>
                <w:szCs w:val="24"/>
              </w:rPr>
            </w:pPr>
            <w:r>
              <w:rPr>
                <w:szCs w:val="24"/>
              </w:rPr>
            </w:r>
            <w:r/>
          </w:p>
        </w:tc>
        <w:tc>
          <w:tcPr>
            <w:tcW w:w="1510" w:type="dxa"/>
            <w:vAlign w:val="center"/>
            <w:textDirection w:val="lrTb"/>
            <w:noWrap w:val="false"/>
          </w:tcPr>
          <w:p>
            <w:pPr>
              <w:rPr>
                <w:szCs w:val="24"/>
              </w:rPr>
            </w:pPr>
            <w:r>
              <w:rPr>
                <w:szCs w:val="24"/>
              </w:rPr>
            </w:r>
            <w:r/>
          </w:p>
        </w:tc>
        <w:tc>
          <w:tcPr>
            <w:tcW w:w="1379" w:type="dxa"/>
            <w:vAlign w:val="center"/>
            <w:textDirection w:val="lrTb"/>
            <w:noWrap w:val="false"/>
          </w:tcPr>
          <w:p>
            <w:pPr>
              <w:rPr>
                <w:szCs w:val="24"/>
              </w:rPr>
            </w:pPr>
            <w:r>
              <w:rPr>
                <w:szCs w:val="24"/>
              </w:rPr>
            </w:r>
            <w:r/>
          </w:p>
        </w:tc>
      </w:tr>
      <w:tr>
        <w:trPr>
          <w:cantSplit/>
          <w:trHeight w:val="919"/>
        </w:trPr>
        <w:tc>
          <w:tcPr>
            <w:tcW w:w="669" w:type="dxa"/>
            <w:vAlign w:val="center"/>
            <w:textDirection w:val="lrTb"/>
            <w:noWrap w:val="false"/>
          </w:tcPr>
          <w:p>
            <w:pPr>
              <w:rPr>
                <w:szCs w:val="24"/>
              </w:rPr>
            </w:pPr>
            <w:r>
              <w:rPr>
                <w:szCs w:val="24"/>
              </w:rPr>
            </w:r>
            <w:r/>
          </w:p>
        </w:tc>
        <w:tc>
          <w:tcPr>
            <w:tcW w:w="2781" w:type="dxa"/>
            <w:vAlign w:val="center"/>
            <w:textDirection w:val="lrTb"/>
            <w:noWrap w:val="false"/>
          </w:tcPr>
          <w:p>
            <w:pPr>
              <w:rPr>
                <w:szCs w:val="24"/>
              </w:rPr>
            </w:pPr>
            <w:r>
              <w:rPr>
                <w:szCs w:val="24"/>
              </w:rPr>
            </w:r>
            <w:r/>
          </w:p>
        </w:tc>
        <w:tc>
          <w:tcPr>
            <w:tcW w:w="1881" w:type="dxa"/>
            <w:vAlign w:val="center"/>
            <w:textDirection w:val="lrTb"/>
            <w:noWrap w:val="false"/>
          </w:tcPr>
          <w:p>
            <w:pPr>
              <w:rPr>
                <w:szCs w:val="24"/>
              </w:rPr>
            </w:pPr>
            <w:r>
              <w:rPr>
                <w:szCs w:val="24"/>
              </w:rPr>
            </w:r>
            <w:r/>
          </w:p>
        </w:tc>
        <w:tc>
          <w:tcPr>
            <w:tcW w:w="896" w:type="dxa"/>
            <w:vAlign w:val="center"/>
            <w:textDirection w:val="lrTb"/>
            <w:noWrap w:val="false"/>
          </w:tcPr>
          <w:p>
            <w:pPr>
              <w:rPr>
                <w:szCs w:val="24"/>
              </w:rPr>
            </w:pPr>
            <w:r>
              <w:rPr>
                <w:szCs w:val="24"/>
              </w:rPr>
            </w:r>
            <w:r/>
          </w:p>
        </w:tc>
        <w:tc>
          <w:tcPr>
            <w:tcW w:w="1510" w:type="dxa"/>
            <w:vAlign w:val="center"/>
            <w:textDirection w:val="lrTb"/>
            <w:noWrap w:val="false"/>
          </w:tcPr>
          <w:p>
            <w:pPr>
              <w:rPr>
                <w:szCs w:val="24"/>
              </w:rPr>
            </w:pPr>
            <w:r>
              <w:rPr>
                <w:szCs w:val="24"/>
              </w:rPr>
            </w:r>
            <w:r/>
          </w:p>
        </w:tc>
        <w:tc>
          <w:tcPr>
            <w:tcW w:w="1379" w:type="dxa"/>
            <w:vAlign w:val="center"/>
            <w:textDirection w:val="lrTb"/>
            <w:noWrap w:val="false"/>
          </w:tcPr>
          <w:p>
            <w:pPr>
              <w:rPr>
                <w:szCs w:val="24"/>
              </w:rPr>
            </w:pPr>
            <w:r>
              <w:rPr>
                <w:szCs w:val="24"/>
              </w:rPr>
            </w:r>
            <w:r/>
          </w:p>
        </w:tc>
      </w:tr>
      <w:tr>
        <w:trPr>
          <w:cantSplit/>
          <w:trHeight w:val="919"/>
        </w:trPr>
        <w:tc>
          <w:tcPr>
            <w:tcW w:w="669" w:type="dxa"/>
            <w:vAlign w:val="center"/>
            <w:textDirection w:val="lrTb"/>
            <w:noWrap w:val="false"/>
          </w:tcPr>
          <w:p>
            <w:pPr>
              <w:rPr>
                <w:szCs w:val="24"/>
              </w:rPr>
            </w:pPr>
            <w:r>
              <w:rPr>
                <w:szCs w:val="24"/>
              </w:rPr>
            </w:r>
            <w:r/>
          </w:p>
        </w:tc>
        <w:tc>
          <w:tcPr>
            <w:tcW w:w="2781" w:type="dxa"/>
            <w:vAlign w:val="center"/>
            <w:textDirection w:val="lrTb"/>
            <w:noWrap w:val="false"/>
          </w:tcPr>
          <w:p>
            <w:pPr>
              <w:rPr>
                <w:szCs w:val="24"/>
              </w:rPr>
            </w:pPr>
            <w:r>
              <w:rPr>
                <w:szCs w:val="24"/>
              </w:rPr>
            </w:r>
            <w:r/>
          </w:p>
        </w:tc>
        <w:tc>
          <w:tcPr>
            <w:tcW w:w="1881" w:type="dxa"/>
            <w:vAlign w:val="center"/>
            <w:textDirection w:val="lrTb"/>
            <w:noWrap w:val="false"/>
          </w:tcPr>
          <w:p>
            <w:pPr>
              <w:rPr>
                <w:szCs w:val="24"/>
              </w:rPr>
            </w:pPr>
            <w:r>
              <w:rPr>
                <w:szCs w:val="24"/>
              </w:rPr>
            </w:r>
            <w:r/>
          </w:p>
        </w:tc>
        <w:tc>
          <w:tcPr>
            <w:tcW w:w="896" w:type="dxa"/>
            <w:vAlign w:val="center"/>
            <w:textDirection w:val="lrTb"/>
            <w:noWrap w:val="false"/>
          </w:tcPr>
          <w:p>
            <w:pPr>
              <w:rPr>
                <w:szCs w:val="24"/>
              </w:rPr>
            </w:pPr>
            <w:r>
              <w:rPr>
                <w:szCs w:val="24"/>
              </w:rPr>
            </w:r>
            <w:r/>
          </w:p>
        </w:tc>
        <w:tc>
          <w:tcPr>
            <w:tcW w:w="1510" w:type="dxa"/>
            <w:vAlign w:val="center"/>
            <w:textDirection w:val="lrTb"/>
            <w:noWrap w:val="false"/>
          </w:tcPr>
          <w:p>
            <w:pPr>
              <w:rPr>
                <w:szCs w:val="24"/>
              </w:rPr>
            </w:pPr>
            <w:r>
              <w:rPr>
                <w:szCs w:val="24"/>
              </w:rPr>
            </w:r>
            <w:r/>
          </w:p>
        </w:tc>
        <w:tc>
          <w:tcPr>
            <w:tcW w:w="1379" w:type="dxa"/>
            <w:vAlign w:val="center"/>
            <w:textDirection w:val="lrTb"/>
            <w:noWrap w:val="false"/>
          </w:tcPr>
          <w:p>
            <w:pPr>
              <w:rPr>
                <w:szCs w:val="24"/>
              </w:rPr>
            </w:pPr>
            <w:r>
              <w:rPr>
                <w:szCs w:val="24"/>
              </w:rPr>
            </w:r>
            <w:r/>
          </w:p>
        </w:tc>
      </w:tr>
      <w:tr>
        <w:trPr>
          <w:cantSplit/>
          <w:trHeight w:val="590"/>
        </w:trPr>
        <w:tc>
          <w:tcPr>
            <w:gridSpan w:val="5"/>
            <w:tcW w:w="7737" w:type="dxa"/>
            <w:vAlign w:val="center"/>
            <w:textDirection w:val="lrTb"/>
            <w:noWrap w:val="false"/>
          </w:tcPr>
          <w:p>
            <w:pPr>
              <w:jc w:val="center"/>
              <w:rPr>
                <w:rFonts w:ascii="宋体" w:hAnsi="宋体"/>
                <w:szCs w:val="21"/>
              </w:rPr>
            </w:pPr>
            <w:r>
              <w:rPr>
                <w:rFonts w:hint="eastAsia" w:ascii="宋体" w:hAnsi="宋体"/>
                <w:szCs w:val="21"/>
              </w:rPr>
              <w:t xml:space="preserve">合计</w:t>
            </w:r>
            <w:r/>
          </w:p>
        </w:tc>
        <w:tc>
          <w:tcPr>
            <w:tcW w:w="1379" w:type="dxa"/>
            <w:vAlign w:val="center"/>
            <w:textDirection w:val="lrTb"/>
            <w:noWrap w:val="false"/>
          </w:tcPr>
          <w:p>
            <w:pPr>
              <w:rPr>
                <w:rFonts w:ascii="宋体" w:hAnsi="宋体"/>
                <w:szCs w:val="21"/>
              </w:rPr>
            </w:pPr>
            <w:r>
              <w:rPr>
                <w:rFonts w:ascii="宋体" w:hAnsi="宋体"/>
                <w:szCs w:val="21"/>
              </w:rPr>
            </w:r>
            <w:r/>
          </w:p>
        </w:tc>
      </w:tr>
    </w:tbl>
    <w:p>
      <w:pPr>
        <w:jc w:val="left"/>
        <w:widowControl/>
        <w:rPr>
          <w:rFonts w:ascii="宋体" w:hAnsi="宋体" w:cs="Arial"/>
          <w:b/>
          <w:bCs/>
          <w:szCs w:val="24"/>
        </w:rPr>
      </w:pPr>
      <w:r>
        <w:rPr>
          <w:rFonts w:ascii="宋体" w:hAnsi="宋体" w:cs="Arial"/>
          <w:b/>
          <w:bCs/>
          <w:szCs w:val="24"/>
        </w:rPr>
      </w:r>
      <w:r/>
    </w:p>
    <w:p>
      <w:pPr>
        <w:jc w:val="left"/>
        <w:widowControl/>
        <w:rPr>
          <w:rFonts w:ascii="宋体" w:hAnsi="宋体" w:cs="Arial"/>
          <w:b/>
          <w:bCs/>
          <w:szCs w:val="24"/>
        </w:rPr>
      </w:pPr>
      <w:r>
        <w:rPr>
          <w:rFonts w:ascii="宋体" w:hAnsi="宋体" w:cs="Arial"/>
          <w:b/>
          <w:bCs/>
          <w:szCs w:val="24"/>
        </w:rPr>
      </w:r>
      <w:r/>
    </w:p>
    <w:p>
      <w:pPr>
        <w:jc w:val="left"/>
        <w:widowControl/>
        <w:rPr>
          <w:rFonts w:ascii="宋体" w:hAnsi="宋体" w:cs="Arial"/>
          <w:b/>
          <w:bCs/>
          <w:szCs w:val="24"/>
        </w:rPr>
      </w:pPr>
      <w:r>
        <w:rPr>
          <w:rFonts w:ascii="宋体" w:hAnsi="宋体" w:cs="Arial"/>
          <w:b/>
          <w:bCs/>
          <w:szCs w:val="24"/>
        </w:rPr>
      </w:r>
      <w:r/>
    </w:p>
    <w:p>
      <w:pPr>
        <w:jc w:val="left"/>
        <w:widowControl/>
        <w:rPr>
          <w:rFonts w:ascii="宋体" w:hAnsi="宋体" w:cs="Arial"/>
          <w:b/>
          <w:bCs/>
          <w:szCs w:val="24"/>
        </w:rPr>
      </w:pPr>
      <w:r>
        <w:rPr>
          <w:rFonts w:ascii="宋体" w:hAnsi="宋体" w:cs="Arial"/>
          <w:b/>
          <w:bCs/>
          <w:szCs w:val="24"/>
        </w:rPr>
      </w:r>
      <w:r/>
    </w:p>
    <w:p>
      <w:pPr>
        <w:jc w:val="left"/>
        <w:widowControl/>
        <w:rPr>
          <w:rFonts w:ascii="宋体" w:hAnsi="宋体" w:cs="Arial"/>
          <w:b/>
          <w:bCs/>
          <w:szCs w:val="24"/>
        </w:rPr>
      </w:pPr>
      <w:r>
        <w:rPr>
          <w:rFonts w:ascii="宋体" w:hAnsi="宋体" w:cs="Arial"/>
          <w:b/>
          <w:bCs/>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采用总承包方式，“投标总报价”应包括所投设备（包含与设备相关的服务）费用、安装调试费、测试验收费、培训费、运行维护费用、税金、国际（如果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r/>
      <w:r/>
    </w:p>
    <w:p>
      <w:r/>
      <w:r/>
    </w:p>
    <w:p>
      <w:r/>
      <w:r/>
    </w:p>
    <w:p>
      <w:r/>
      <w:r/>
    </w:p>
    <w:p>
      <w:r/>
      <w:r/>
    </w:p>
    <w:p>
      <w:r/>
      <w:r/>
    </w:p>
    <w:p>
      <w:r/>
      <w:r/>
    </w:p>
    <w:p>
      <w:r/>
      <w:r/>
    </w:p>
    <w:p>
      <w:r/>
      <w:r/>
    </w:p>
    <w:p>
      <w:r/>
      <w:r/>
    </w:p>
    <w:p>
      <w:r/>
      <w:r/>
    </w:p>
    <w:p>
      <w:r/>
      <w:r/>
    </w:p>
    <w:p>
      <w:r/>
      <w:r/>
    </w:p>
    <w:p>
      <w:pPr>
        <w:pStyle w:val="864"/>
        <w:rPr>
          <w:rFonts w:ascii="宋体" w:hAnsi="宋体"/>
          <w:szCs w:val="32"/>
        </w:rPr>
      </w:pPr>
      <w:r>
        <w:rPr>
          <w:rFonts w:hint="eastAsia" w:ascii="宋体" w:hAnsi="宋体" w:eastAsia="宋体" w:cs="宋体"/>
        </w:rPr>
        <w:t xml:space="preserve">六、商务条款响应及偏离表</w:t>
      </w:r>
      <w:r/>
    </w:p>
    <w:tbl>
      <w:tblPr>
        <w:tblStyle w:val="87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59" w:name="_Hlt24879081"/>
            <w:r/>
            <w:bookmarkEnd w:id="59"/>
            <w:r/>
            <w:bookmarkStart w:id="60" w:name="_Hlt26955056"/>
            <w:r/>
            <w:bookmarkEnd w:id="60"/>
            <w:r/>
            <w:bookmarkStart w:id="61" w:name="_Hlt26955064"/>
            <w:r/>
            <w:bookmarkEnd w:id="61"/>
            <w:r/>
            <w:bookmarkStart w:id="62" w:name="_Hlt26782999"/>
            <w:r/>
            <w:bookmarkEnd w:id="62"/>
            <w:r/>
            <w:bookmarkStart w:id="63" w:name="_Hlt26671343"/>
            <w:r/>
            <w:bookmarkEnd w:id="63"/>
            <w:r/>
            <w:bookmarkStart w:id="64" w:name="_Hlt26580838"/>
            <w:r/>
            <w:bookmarkEnd w:id="64"/>
            <w:r/>
            <w:bookmarkStart w:id="65" w:name="_Hlt26609391"/>
            <w:r/>
            <w:bookmarkEnd w:id="65"/>
            <w:r/>
            <w:bookmarkStart w:id="66" w:name="_Hlt26671372"/>
            <w:r/>
            <w:bookmarkEnd w:id="66"/>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vAlign w:val="top"/>
            <w:textDirection w:val="lrTb"/>
            <w:noWrap w:val="false"/>
          </w:tcPr>
          <w:p>
            <w:pPr>
              <w:jc w:val="center"/>
              <w:rPr>
                <w:rFonts w:ascii="宋体" w:hAnsi="宋体"/>
                <w:sz w:val="24"/>
                <w:szCs w:val="24"/>
              </w:rPr>
            </w:pPr>
            <w:r>
              <w:rPr>
                <w:rFonts w:ascii="宋体" w:hAnsi="宋体"/>
                <w:sz w:val="24"/>
                <w:szCs w:val="24"/>
              </w:rPr>
            </w:r>
            <w:r/>
          </w:p>
        </w:tc>
        <w:tc>
          <w:tcPr>
            <w:tcW w:w="2688" w:type="dxa"/>
            <w:vAlign w:val="top"/>
            <w:textDirection w:val="lrTb"/>
            <w:noWrap w:val="false"/>
          </w:tcPr>
          <w:p>
            <w:pPr>
              <w:jc w:val="center"/>
              <w:rPr>
                <w:rFonts w:ascii="宋体" w:hAnsi="宋体"/>
                <w:sz w:val="24"/>
                <w:szCs w:val="24"/>
              </w:rPr>
            </w:pPr>
            <w:r>
              <w:rPr>
                <w:rFonts w:ascii="宋体" w:hAnsi="宋体"/>
                <w:sz w:val="24"/>
                <w:szCs w:val="24"/>
              </w:rPr>
            </w:r>
            <w:r/>
          </w:p>
        </w:tc>
        <w:tc>
          <w:tcPr>
            <w:tcW w:w="2883" w:type="dxa"/>
            <w:vAlign w:val="top"/>
            <w:textDirection w:val="lrTb"/>
            <w:noWrap w:val="false"/>
          </w:tcPr>
          <w:p>
            <w:pPr>
              <w:jc w:val="center"/>
              <w:rPr>
                <w:rFonts w:ascii="宋体" w:hAnsi="宋体"/>
                <w:sz w:val="24"/>
                <w:szCs w:val="24"/>
              </w:rPr>
            </w:pPr>
            <w:r>
              <w:rPr>
                <w:rFonts w:ascii="宋体" w:hAnsi="宋体"/>
                <w:sz w:val="24"/>
                <w:szCs w:val="24"/>
              </w:rPr>
            </w:r>
            <w:r/>
          </w:p>
        </w:tc>
        <w:tc>
          <w:tcPr>
            <w:tcW w:w="1302" w:type="dxa"/>
            <w:vAlign w:val="top"/>
            <w:textDirection w:val="lrTb"/>
            <w:noWrap w:val="false"/>
          </w:tcPr>
          <w:p>
            <w:pPr>
              <w:jc w:val="center"/>
              <w:rPr>
                <w:rFonts w:ascii="宋体" w:hAnsi="宋体"/>
                <w:sz w:val="24"/>
                <w:szCs w:val="24"/>
              </w:rPr>
            </w:pPr>
            <w:r>
              <w:rPr>
                <w:rFonts w:ascii="宋体" w:hAnsi="宋体"/>
                <w:sz w:val="24"/>
                <w:szCs w:val="24"/>
              </w:rPr>
            </w:r>
            <w:r/>
          </w:p>
        </w:tc>
        <w:tc>
          <w:tcPr>
            <w:tcW w:w="1614" w:type="dxa"/>
            <w:vAlign w:val="top"/>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jc w:val="center"/>
              <w:rPr>
                <w:rFonts w:ascii="宋体" w:hAnsi="宋体"/>
                <w:sz w:val="24"/>
                <w:szCs w:val="24"/>
              </w:rPr>
            </w:pPr>
            <w:r>
              <w:rPr>
                <w:rFonts w:ascii="宋体" w:hAnsi="宋体"/>
                <w:sz w:val="24"/>
                <w:szCs w:val="24"/>
              </w:rPr>
            </w:r>
            <w:r/>
          </w:p>
        </w:tc>
        <w:tc>
          <w:tcPr>
            <w:tcW w:w="2688" w:type="dxa"/>
            <w:vAlign w:val="top"/>
            <w:textDirection w:val="lrTb"/>
            <w:noWrap w:val="false"/>
          </w:tcPr>
          <w:p>
            <w:pPr>
              <w:jc w:val="center"/>
              <w:rPr>
                <w:rFonts w:ascii="宋体" w:hAnsi="宋体"/>
                <w:sz w:val="24"/>
                <w:szCs w:val="24"/>
              </w:rPr>
            </w:pPr>
            <w:r>
              <w:rPr>
                <w:rFonts w:ascii="宋体" w:hAnsi="宋体"/>
                <w:sz w:val="24"/>
                <w:szCs w:val="24"/>
              </w:rPr>
            </w:r>
            <w:r/>
          </w:p>
        </w:tc>
        <w:tc>
          <w:tcPr>
            <w:tcW w:w="2883" w:type="dxa"/>
            <w:vAlign w:val="top"/>
            <w:textDirection w:val="lrTb"/>
            <w:noWrap w:val="false"/>
          </w:tcPr>
          <w:p>
            <w:pPr>
              <w:jc w:val="center"/>
              <w:rPr>
                <w:rFonts w:ascii="宋体" w:hAnsi="宋体"/>
                <w:sz w:val="24"/>
                <w:szCs w:val="24"/>
              </w:rPr>
            </w:pPr>
            <w:r>
              <w:rPr>
                <w:rFonts w:ascii="宋体" w:hAnsi="宋体"/>
                <w:sz w:val="24"/>
                <w:szCs w:val="24"/>
              </w:rPr>
            </w:r>
            <w:r/>
          </w:p>
        </w:tc>
        <w:tc>
          <w:tcPr>
            <w:tcW w:w="1302" w:type="dxa"/>
            <w:vAlign w:val="top"/>
            <w:textDirection w:val="lrTb"/>
            <w:noWrap w:val="false"/>
          </w:tcPr>
          <w:p>
            <w:pPr>
              <w:jc w:val="center"/>
              <w:rPr>
                <w:rFonts w:ascii="宋体" w:hAnsi="宋体"/>
                <w:sz w:val="24"/>
                <w:szCs w:val="24"/>
              </w:rPr>
            </w:pPr>
            <w:r>
              <w:rPr>
                <w:rFonts w:ascii="宋体" w:hAnsi="宋体"/>
                <w:sz w:val="24"/>
                <w:szCs w:val="24"/>
              </w:rPr>
            </w:r>
            <w:r/>
          </w:p>
        </w:tc>
        <w:tc>
          <w:tcPr>
            <w:tcW w:w="1614" w:type="dxa"/>
            <w:vAlign w:val="top"/>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jc w:val="center"/>
              <w:rPr>
                <w:rFonts w:ascii="宋体" w:hAnsi="宋体"/>
                <w:sz w:val="24"/>
                <w:szCs w:val="24"/>
              </w:rPr>
            </w:pPr>
            <w:r>
              <w:rPr>
                <w:rFonts w:ascii="宋体" w:hAnsi="宋体"/>
                <w:sz w:val="24"/>
                <w:szCs w:val="24"/>
              </w:rPr>
            </w:r>
            <w:r/>
          </w:p>
        </w:tc>
        <w:tc>
          <w:tcPr>
            <w:tcW w:w="2688" w:type="dxa"/>
            <w:vAlign w:val="top"/>
            <w:textDirection w:val="lrTb"/>
            <w:noWrap w:val="false"/>
          </w:tcPr>
          <w:p>
            <w:pPr>
              <w:jc w:val="center"/>
              <w:rPr>
                <w:rFonts w:ascii="宋体" w:hAnsi="宋体"/>
                <w:sz w:val="24"/>
                <w:szCs w:val="24"/>
              </w:rPr>
            </w:pPr>
            <w:r>
              <w:rPr>
                <w:rFonts w:ascii="宋体" w:hAnsi="宋体"/>
                <w:sz w:val="24"/>
                <w:szCs w:val="24"/>
              </w:rPr>
            </w:r>
            <w:r/>
          </w:p>
        </w:tc>
        <w:tc>
          <w:tcPr>
            <w:tcW w:w="2883" w:type="dxa"/>
            <w:vAlign w:val="top"/>
            <w:textDirection w:val="lrTb"/>
            <w:noWrap w:val="false"/>
          </w:tcPr>
          <w:p>
            <w:pPr>
              <w:jc w:val="center"/>
              <w:rPr>
                <w:rFonts w:ascii="宋体" w:hAnsi="宋体"/>
                <w:sz w:val="24"/>
                <w:szCs w:val="24"/>
              </w:rPr>
            </w:pPr>
            <w:r>
              <w:rPr>
                <w:rFonts w:ascii="宋体" w:hAnsi="宋体"/>
                <w:sz w:val="24"/>
                <w:szCs w:val="24"/>
              </w:rPr>
            </w:r>
            <w:r/>
          </w:p>
        </w:tc>
        <w:tc>
          <w:tcPr>
            <w:tcW w:w="1302" w:type="dxa"/>
            <w:vAlign w:val="top"/>
            <w:textDirection w:val="lrTb"/>
            <w:noWrap w:val="false"/>
          </w:tcPr>
          <w:p>
            <w:pPr>
              <w:jc w:val="center"/>
              <w:rPr>
                <w:rFonts w:ascii="宋体" w:hAnsi="宋体"/>
                <w:sz w:val="24"/>
                <w:szCs w:val="24"/>
              </w:rPr>
            </w:pPr>
            <w:r>
              <w:rPr>
                <w:rFonts w:ascii="宋体" w:hAnsi="宋体"/>
                <w:sz w:val="24"/>
                <w:szCs w:val="24"/>
              </w:rPr>
            </w:r>
            <w:r/>
          </w:p>
        </w:tc>
        <w:tc>
          <w:tcPr>
            <w:tcW w:w="1614" w:type="dxa"/>
            <w:vAlign w:val="top"/>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jc w:val="center"/>
              <w:rPr>
                <w:rFonts w:ascii="宋体" w:hAnsi="宋体"/>
                <w:sz w:val="24"/>
                <w:szCs w:val="24"/>
              </w:rPr>
            </w:pPr>
            <w:r>
              <w:rPr>
                <w:rFonts w:ascii="宋体" w:hAnsi="宋体"/>
                <w:sz w:val="24"/>
                <w:szCs w:val="24"/>
              </w:rPr>
            </w:r>
            <w:r/>
          </w:p>
        </w:tc>
        <w:tc>
          <w:tcPr>
            <w:tcW w:w="2688" w:type="dxa"/>
            <w:vAlign w:val="top"/>
            <w:textDirection w:val="lrTb"/>
            <w:noWrap w:val="false"/>
          </w:tcPr>
          <w:p>
            <w:pPr>
              <w:jc w:val="center"/>
              <w:rPr>
                <w:rFonts w:ascii="宋体" w:hAnsi="宋体"/>
                <w:sz w:val="24"/>
                <w:szCs w:val="24"/>
              </w:rPr>
            </w:pPr>
            <w:r>
              <w:rPr>
                <w:rFonts w:ascii="宋体" w:hAnsi="宋体"/>
                <w:sz w:val="24"/>
                <w:szCs w:val="24"/>
              </w:rPr>
            </w:r>
            <w:r/>
          </w:p>
        </w:tc>
        <w:tc>
          <w:tcPr>
            <w:tcW w:w="2883" w:type="dxa"/>
            <w:vAlign w:val="top"/>
            <w:textDirection w:val="lrTb"/>
            <w:noWrap w:val="false"/>
          </w:tcPr>
          <w:p>
            <w:pPr>
              <w:jc w:val="center"/>
              <w:rPr>
                <w:rFonts w:ascii="宋体" w:hAnsi="宋体"/>
                <w:sz w:val="24"/>
                <w:szCs w:val="24"/>
              </w:rPr>
            </w:pPr>
            <w:r>
              <w:rPr>
                <w:rFonts w:ascii="宋体" w:hAnsi="宋体"/>
                <w:sz w:val="24"/>
                <w:szCs w:val="24"/>
              </w:rPr>
            </w:r>
            <w:r/>
          </w:p>
        </w:tc>
        <w:tc>
          <w:tcPr>
            <w:tcW w:w="1302" w:type="dxa"/>
            <w:vAlign w:val="top"/>
            <w:textDirection w:val="lrTb"/>
            <w:noWrap w:val="false"/>
          </w:tcPr>
          <w:p>
            <w:pPr>
              <w:jc w:val="center"/>
              <w:rPr>
                <w:rFonts w:ascii="宋体" w:hAnsi="宋体"/>
                <w:sz w:val="24"/>
                <w:szCs w:val="24"/>
              </w:rPr>
            </w:pPr>
            <w:r>
              <w:rPr>
                <w:rFonts w:ascii="宋体" w:hAnsi="宋体"/>
                <w:sz w:val="24"/>
                <w:szCs w:val="24"/>
              </w:rPr>
            </w:r>
            <w:r/>
          </w:p>
        </w:tc>
        <w:tc>
          <w:tcPr>
            <w:tcW w:w="1614" w:type="dxa"/>
            <w:vAlign w:val="top"/>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jc w:val="center"/>
              <w:rPr>
                <w:rFonts w:ascii="宋体" w:hAnsi="宋体"/>
                <w:sz w:val="24"/>
                <w:szCs w:val="24"/>
              </w:rPr>
            </w:pPr>
            <w:r>
              <w:rPr>
                <w:rFonts w:ascii="宋体" w:hAnsi="宋体"/>
                <w:sz w:val="24"/>
                <w:szCs w:val="24"/>
              </w:rPr>
            </w:r>
            <w:r/>
          </w:p>
        </w:tc>
        <w:tc>
          <w:tcPr>
            <w:tcW w:w="2688" w:type="dxa"/>
            <w:vAlign w:val="top"/>
            <w:textDirection w:val="lrTb"/>
            <w:noWrap w:val="false"/>
          </w:tcPr>
          <w:p>
            <w:pPr>
              <w:jc w:val="center"/>
              <w:rPr>
                <w:rFonts w:ascii="宋体" w:hAnsi="宋体"/>
                <w:sz w:val="24"/>
                <w:szCs w:val="24"/>
              </w:rPr>
            </w:pPr>
            <w:r>
              <w:rPr>
                <w:rFonts w:ascii="宋体" w:hAnsi="宋体"/>
                <w:sz w:val="24"/>
                <w:szCs w:val="24"/>
              </w:rPr>
            </w:r>
            <w:r/>
          </w:p>
        </w:tc>
        <w:tc>
          <w:tcPr>
            <w:tcW w:w="2883" w:type="dxa"/>
            <w:vAlign w:val="top"/>
            <w:textDirection w:val="lrTb"/>
            <w:noWrap w:val="false"/>
          </w:tcPr>
          <w:p>
            <w:pPr>
              <w:jc w:val="center"/>
              <w:rPr>
                <w:rFonts w:ascii="宋体" w:hAnsi="宋体"/>
                <w:sz w:val="24"/>
                <w:szCs w:val="24"/>
              </w:rPr>
            </w:pPr>
            <w:r>
              <w:rPr>
                <w:rFonts w:ascii="宋体" w:hAnsi="宋体"/>
                <w:sz w:val="24"/>
                <w:szCs w:val="24"/>
              </w:rPr>
            </w:r>
            <w:r/>
          </w:p>
        </w:tc>
        <w:tc>
          <w:tcPr>
            <w:tcW w:w="1302" w:type="dxa"/>
            <w:vAlign w:val="top"/>
            <w:textDirection w:val="lrTb"/>
            <w:noWrap w:val="false"/>
          </w:tcPr>
          <w:p>
            <w:pPr>
              <w:jc w:val="center"/>
              <w:rPr>
                <w:rFonts w:ascii="宋体" w:hAnsi="宋体"/>
                <w:sz w:val="24"/>
                <w:szCs w:val="24"/>
              </w:rPr>
            </w:pPr>
            <w:r>
              <w:rPr>
                <w:rFonts w:ascii="宋体" w:hAnsi="宋体"/>
                <w:sz w:val="24"/>
                <w:szCs w:val="24"/>
              </w:rPr>
            </w:r>
            <w:r/>
          </w:p>
        </w:tc>
        <w:tc>
          <w:tcPr>
            <w:tcW w:w="1614" w:type="dxa"/>
            <w:vAlign w:val="top"/>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jc w:val="center"/>
              <w:rPr>
                <w:rFonts w:ascii="宋体" w:hAnsi="宋体"/>
                <w:sz w:val="24"/>
                <w:szCs w:val="24"/>
              </w:rPr>
            </w:pPr>
            <w:r>
              <w:rPr>
                <w:rFonts w:ascii="宋体" w:hAnsi="宋体"/>
                <w:sz w:val="24"/>
                <w:szCs w:val="24"/>
              </w:rPr>
            </w:r>
            <w:r/>
          </w:p>
        </w:tc>
        <w:tc>
          <w:tcPr>
            <w:tcW w:w="2688" w:type="dxa"/>
            <w:vAlign w:val="top"/>
            <w:textDirection w:val="lrTb"/>
            <w:noWrap w:val="false"/>
          </w:tcPr>
          <w:p>
            <w:pPr>
              <w:jc w:val="center"/>
              <w:rPr>
                <w:rFonts w:ascii="宋体" w:hAnsi="宋体"/>
                <w:sz w:val="24"/>
                <w:szCs w:val="24"/>
              </w:rPr>
            </w:pPr>
            <w:r>
              <w:rPr>
                <w:rFonts w:ascii="宋体" w:hAnsi="宋体"/>
                <w:sz w:val="24"/>
                <w:szCs w:val="24"/>
              </w:rPr>
            </w:r>
            <w:r/>
          </w:p>
        </w:tc>
        <w:tc>
          <w:tcPr>
            <w:tcW w:w="2883" w:type="dxa"/>
            <w:vAlign w:val="top"/>
            <w:textDirection w:val="lrTb"/>
            <w:noWrap w:val="false"/>
          </w:tcPr>
          <w:p>
            <w:pPr>
              <w:jc w:val="center"/>
              <w:rPr>
                <w:rFonts w:ascii="宋体" w:hAnsi="宋体"/>
                <w:sz w:val="24"/>
                <w:szCs w:val="24"/>
              </w:rPr>
            </w:pPr>
            <w:r>
              <w:rPr>
                <w:rFonts w:ascii="宋体" w:hAnsi="宋体"/>
                <w:sz w:val="24"/>
                <w:szCs w:val="24"/>
              </w:rPr>
            </w:r>
            <w:r/>
          </w:p>
        </w:tc>
        <w:tc>
          <w:tcPr>
            <w:tcW w:w="1302" w:type="dxa"/>
            <w:vAlign w:val="top"/>
            <w:textDirection w:val="lrTb"/>
            <w:noWrap w:val="false"/>
          </w:tcPr>
          <w:p>
            <w:pPr>
              <w:jc w:val="center"/>
              <w:rPr>
                <w:rFonts w:ascii="宋体" w:hAnsi="宋体"/>
                <w:sz w:val="24"/>
                <w:szCs w:val="24"/>
              </w:rPr>
            </w:pPr>
            <w:r>
              <w:rPr>
                <w:rFonts w:ascii="宋体" w:hAnsi="宋体"/>
                <w:sz w:val="24"/>
                <w:szCs w:val="24"/>
              </w:rPr>
            </w:r>
            <w:r/>
          </w:p>
        </w:tc>
        <w:tc>
          <w:tcPr>
            <w:tcW w:w="1614" w:type="dxa"/>
            <w:vAlign w:val="top"/>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宋体" w:hAnsi="宋体"/>
          <w:sz w:val="24"/>
        </w:rPr>
      </w:pPr>
      <w:r>
        <w:rPr>
          <w:rFonts w:ascii="宋体" w:hAnsi="宋体"/>
          <w:sz w:val="24"/>
        </w:rPr>
      </w:r>
      <w:r/>
    </w:p>
    <w:p>
      <w:pPr>
        <w:spacing w:line="480" w:lineRule="auto"/>
        <w:rPr>
          <w:rFonts w:ascii="宋体" w:hAnsi="宋体"/>
          <w:sz w:val="24"/>
        </w:rPr>
      </w:pPr>
      <w:r>
        <w:rPr>
          <w:rFonts w:ascii="宋体" w:hAnsi="宋体"/>
          <w:sz w:val="24"/>
        </w:rPr>
      </w:r>
      <w:r/>
    </w:p>
    <w:p>
      <w:pPr>
        <w:spacing w:line="480" w:lineRule="auto"/>
        <w:rPr>
          <w:rFonts w:ascii="宋体" w:hAnsi="宋体"/>
          <w:sz w:val="24"/>
        </w:rPr>
      </w:pPr>
      <w:r>
        <w:rPr>
          <w:rFonts w:ascii="宋体" w:hAnsi="宋体"/>
          <w:sz w:val="24"/>
        </w:rPr>
      </w:r>
      <w:r/>
    </w:p>
    <w:p>
      <w:pPr>
        <w:spacing w:line="480" w:lineRule="auto"/>
        <w:rPr>
          <w:rFonts w:ascii="宋体" w:hAnsi="宋体"/>
          <w:sz w:val="24"/>
        </w:rPr>
      </w:pPr>
      <w:r>
        <w:rPr>
          <w:rFonts w:ascii="宋体" w:hAnsi="宋体"/>
          <w:sz w:val="24"/>
        </w:rPr>
      </w:r>
      <w:r/>
    </w:p>
    <w:p>
      <w:pPr>
        <w:spacing w:line="480" w:lineRule="auto"/>
        <w:rPr>
          <w:rFonts w:ascii="宋体" w:hAnsi="宋体"/>
          <w:sz w:val="24"/>
        </w:rPr>
      </w:pPr>
      <w:r>
        <w:rPr>
          <w:rFonts w:ascii="宋体" w:hAnsi="宋体"/>
          <w:sz w:val="24"/>
        </w:rPr>
      </w:r>
      <w:r/>
    </w:p>
    <w:p>
      <w:pPr>
        <w:spacing w:line="480" w:lineRule="auto"/>
        <w:rPr>
          <w:rFonts w:ascii="宋体" w:hAnsi="宋体"/>
          <w:sz w:val="24"/>
        </w:rPr>
      </w:pPr>
      <w:r>
        <w:rPr>
          <w:rFonts w:ascii="宋体" w:hAnsi="宋体"/>
          <w:sz w:val="24"/>
        </w:rPr>
      </w:r>
      <w:r/>
    </w:p>
    <w:p>
      <w:pPr>
        <w:spacing w:line="480" w:lineRule="auto"/>
        <w:rPr>
          <w:rFonts w:ascii="宋体" w:hAnsi="宋体"/>
          <w:sz w:val="24"/>
        </w:rPr>
      </w:pPr>
      <w:r>
        <w:rPr>
          <w:rFonts w:ascii="宋体" w:hAnsi="宋体"/>
          <w:sz w:val="24"/>
        </w:rPr>
      </w:r>
      <w:r/>
    </w:p>
    <w:p>
      <w:pPr>
        <w:spacing w:line="480" w:lineRule="auto"/>
        <w:rPr>
          <w:rFonts w:ascii="宋体" w:hAnsi="宋体"/>
          <w:sz w:val="24"/>
        </w:rPr>
      </w:pPr>
      <w:r>
        <w:rPr>
          <w:rFonts w:ascii="宋体" w:hAnsi="宋体"/>
          <w:sz w:val="24"/>
        </w:rPr>
      </w:r>
      <w:r/>
    </w:p>
    <w:p>
      <w:pPr>
        <w:pStyle w:val="864"/>
        <w:rPr>
          <w:rFonts w:ascii="宋体" w:hAnsi="宋体" w:eastAsia="宋体" w:cs="宋体"/>
        </w:rPr>
      </w:pPr>
      <w:r>
        <w:rPr>
          <w:rFonts w:hint="eastAsia" w:ascii="宋体" w:hAnsi="宋体" w:eastAsia="宋体" w:cs="宋体"/>
        </w:rPr>
        <w:t xml:space="preserve">七、技术条款响应及偏离表</w:t>
      </w:r>
      <w:r/>
    </w:p>
    <w:tbl>
      <w:tblPr>
        <w:tblStyle w:val="87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ascii="宋体" w:hAnsi="宋体"/>
                <w:sz w:val="24"/>
                <w:szCs w:val="24"/>
              </w:rPr>
            </w:pPr>
            <w:r>
              <w:rPr>
                <w:rFonts w:ascii="宋体" w:hAnsi="宋体"/>
                <w:sz w:val="24"/>
                <w:szCs w:val="24"/>
              </w:rPr>
            </w:r>
            <w:r/>
          </w:p>
        </w:tc>
        <w:tc>
          <w:tcPr>
            <w:tcW w:w="3291" w:type="dxa"/>
            <w:vAlign w:val="top"/>
            <w:textDirection w:val="lrTb"/>
            <w:noWrap w:val="false"/>
          </w:tcPr>
          <w:p>
            <w:pPr>
              <w:jc w:val="center"/>
              <w:rPr>
                <w:rFonts w:ascii="宋体" w:hAnsi="宋体"/>
                <w:sz w:val="24"/>
                <w:szCs w:val="24"/>
              </w:rPr>
            </w:pPr>
            <w:r>
              <w:rPr>
                <w:rFonts w:ascii="宋体" w:hAnsi="宋体"/>
                <w:sz w:val="24"/>
                <w:szCs w:val="24"/>
              </w:rPr>
            </w:r>
            <w:r/>
          </w:p>
        </w:tc>
        <w:tc>
          <w:tcPr>
            <w:tcW w:w="2852" w:type="dxa"/>
            <w:vAlign w:val="top"/>
            <w:textDirection w:val="lrTb"/>
            <w:noWrap w:val="false"/>
          </w:tcPr>
          <w:p>
            <w:pPr>
              <w:jc w:val="center"/>
              <w:rPr>
                <w:rFonts w:ascii="宋体" w:hAnsi="宋体"/>
                <w:sz w:val="24"/>
                <w:szCs w:val="24"/>
              </w:rPr>
            </w:pPr>
            <w:r>
              <w:rPr>
                <w:rFonts w:ascii="宋体" w:hAnsi="宋体"/>
                <w:sz w:val="24"/>
                <w:szCs w:val="24"/>
              </w:rPr>
            </w:r>
            <w:r/>
          </w:p>
        </w:tc>
        <w:tc>
          <w:tcPr>
            <w:tcW w:w="1308" w:type="dxa"/>
            <w:vAlign w:val="top"/>
            <w:textDirection w:val="lrTb"/>
            <w:noWrap w:val="false"/>
          </w:tcPr>
          <w:p>
            <w:pPr>
              <w:jc w:val="center"/>
              <w:rPr>
                <w:rFonts w:ascii="宋体" w:hAnsi="宋体"/>
                <w:sz w:val="24"/>
                <w:szCs w:val="24"/>
              </w:rPr>
            </w:pPr>
            <w:r>
              <w:rPr>
                <w:rFonts w:ascii="宋体" w:hAnsi="宋体"/>
                <w:sz w:val="24"/>
                <w:szCs w:val="24"/>
              </w:rPr>
            </w:r>
            <w:r/>
          </w:p>
        </w:tc>
        <w:tc>
          <w:tcPr>
            <w:tcW w:w="1173" w:type="dxa"/>
            <w:vAlign w:val="top"/>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rPr>
                <w:rFonts w:ascii="宋体" w:hAnsi="宋体"/>
                <w:sz w:val="24"/>
                <w:szCs w:val="24"/>
              </w:rPr>
            </w:pPr>
            <w:r>
              <w:rPr>
                <w:rFonts w:ascii="宋体" w:hAnsi="宋体"/>
                <w:sz w:val="24"/>
                <w:szCs w:val="24"/>
              </w:rPr>
            </w:r>
            <w:r/>
          </w:p>
        </w:tc>
        <w:tc>
          <w:tcPr>
            <w:tcW w:w="3291" w:type="dxa"/>
            <w:vAlign w:val="top"/>
            <w:textDirection w:val="lrTb"/>
            <w:noWrap w:val="false"/>
          </w:tcPr>
          <w:p>
            <w:pPr>
              <w:jc w:val="center"/>
              <w:rPr>
                <w:rFonts w:ascii="宋体" w:hAnsi="宋体"/>
                <w:sz w:val="24"/>
                <w:szCs w:val="24"/>
              </w:rPr>
            </w:pPr>
            <w:r>
              <w:rPr>
                <w:rFonts w:ascii="宋体" w:hAnsi="宋体"/>
                <w:sz w:val="24"/>
                <w:szCs w:val="24"/>
              </w:rPr>
            </w:r>
            <w:r/>
          </w:p>
        </w:tc>
        <w:tc>
          <w:tcPr>
            <w:tcW w:w="2852" w:type="dxa"/>
            <w:vAlign w:val="top"/>
            <w:textDirection w:val="lrTb"/>
            <w:noWrap w:val="false"/>
          </w:tcPr>
          <w:p>
            <w:pPr>
              <w:jc w:val="center"/>
              <w:rPr>
                <w:rFonts w:ascii="宋体" w:hAnsi="宋体"/>
                <w:sz w:val="24"/>
                <w:szCs w:val="24"/>
              </w:rPr>
            </w:pPr>
            <w:r>
              <w:rPr>
                <w:rFonts w:ascii="宋体" w:hAnsi="宋体"/>
                <w:sz w:val="24"/>
                <w:szCs w:val="24"/>
              </w:rPr>
            </w:r>
            <w:r/>
          </w:p>
        </w:tc>
        <w:tc>
          <w:tcPr>
            <w:tcW w:w="1308" w:type="dxa"/>
            <w:vAlign w:val="top"/>
            <w:textDirection w:val="lrTb"/>
            <w:noWrap w:val="false"/>
          </w:tcPr>
          <w:p>
            <w:pPr>
              <w:jc w:val="center"/>
              <w:rPr>
                <w:rFonts w:ascii="宋体" w:hAnsi="宋体"/>
                <w:sz w:val="24"/>
                <w:szCs w:val="24"/>
              </w:rPr>
            </w:pPr>
            <w:r>
              <w:rPr>
                <w:rFonts w:ascii="宋体" w:hAnsi="宋体"/>
                <w:sz w:val="24"/>
                <w:szCs w:val="24"/>
              </w:rPr>
            </w:r>
            <w:r/>
          </w:p>
        </w:tc>
        <w:tc>
          <w:tcPr>
            <w:tcW w:w="1173" w:type="dxa"/>
            <w:vAlign w:val="top"/>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rPr>
                <w:rFonts w:ascii="宋体" w:hAnsi="宋体"/>
                <w:sz w:val="24"/>
                <w:szCs w:val="24"/>
              </w:rPr>
            </w:pPr>
            <w:r>
              <w:rPr>
                <w:rFonts w:ascii="宋体" w:hAnsi="宋体"/>
                <w:sz w:val="24"/>
                <w:szCs w:val="24"/>
              </w:rPr>
            </w:r>
            <w:r/>
          </w:p>
        </w:tc>
        <w:tc>
          <w:tcPr>
            <w:tcW w:w="3291" w:type="dxa"/>
            <w:vAlign w:val="top"/>
            <w:textDirection w:val="lrTb"/>
            <w:noWrap w:val="false"/>
          </w:tcPr>
          <w:p>
            <w:pPr>
              <w:jc w:val="center"/>
              <w:rPr>
                <w:rFonts w:ascii="宋体" w:hAnsi="宋体"/>
                <w:sz w:val="24"/>
                <w:szCs w:val="24"/>
              </w:rPr>
            </w:pPr>
            <w:r>
              <w:rPr>
                <w:rFonts w:ascii="宋体" w:hAnsi="宋体"/>
                <w:sz w:val="24"/>
                <w:szCs w:val="24"/>
              </w:rPr>
            </w:r>
            <w:r/>
          </w:p>
        </w:tc>
        <w:tc>
          <w:tcPr>
            <w:tcW w:w="2852" w:type="dxa"/>
            <w:vAlign w:val="top"/>
            <w:textDirection w:val="lrTb"/>
            <w:noWrap w:val="false"/>
          </w:tcPr>
          <w:p>
            <w:pPr>
              <w:jc w:val="center"/>
              <w:rPr>
                <w:rFonts w:ascii="宋体" w:hAnsi="宋体"/>
                <w:sz w:val="24"/>
                <w:szCs w:val="24"/>
              </w:rPr>
            </w:pPr>
            <w:r>
              <w:rPr>
                <w:rFonts w:ascii="宋体" w:hAnsi="宋体"/>
                <w:sz w:val="24"/>
                <w:szCs w:val="24"/>
              </w:rPr>
            </w:r>
            <w:r/>
          </w:p>
        </w:tc>
        <w:tc>
          <w:tcPr>
            <w:tcW w:w="1308" w:type="dxa"/>
            <w:vAlign w:val="top"/>
            <w:textDirection w:val="lrTb"/>
            <w:noWrap w:val="false"/>
          </w:tcPr>
          <w:p>
            <w:pPr>
              <w:jc w:val="center"/>
              <w:rPr>
                <w:rFonts w:ascii="宋体" w:hAnsi="宋体"/>
                <w:sz w:val="24"/>
                <w:szCs w:val="24"/>
              </w:rPr>
            </w:pPr>
            <w:r>
              <w:rPr>
                <w:rFonts w:ascii="宋体" w:hAnsi="宋体"/>
                <w:sz w:val="24"/>
                <w:szCs w:val="24"/>
              </w:rPr>
            </w:r>
            <w:r/>
          </w:p>
        </w:tc>
        <w:tc>
          <w:tcPr>
            <w:tcW w:w="1173" w:type="dxa"/>
            <w:vAlign w:val="top"/>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rPr>
                <w:rFonts w:ascii="宋体" w:hAnsi="宋体"/>
                <w:sz w:val="24"/>
                <w:szCs w:val="24"/>
              </w:rPr>
            </w:pPr>
            <w:r>
              <w:rPr>
                <w:rFonts w:ascii="宋体" w:hAnsi="宋体"/>
                <w:sz w:val="24"/>
                <w:szCs w:val="24"/>
              </w:rPr>
            </w:r>
            <w:r/>
          </w:p>
        </w:tc>
        <w:tc>
          <w:tcPr>
            <w:tcW w:w="3291" w:type="dxa"/>
            <w:vAlign w:val="top"/>
            <w:textDirection w:val="lrTb"/>
            <w:noWrap w:val="false"/>
          </w:tcPr>
          <w:p>
            <w:pPr>
              <w:jc w:val="center"/>
              <w:rPr>
                <w:rFonts w:ascii="宋体" w:hAnsi="宋体"/>
                <w:sz w:val="24"/>
                <w:szCs w:val="24"/>
              </w:rPr>
            </w:pPr>
            <w:r>
              <w:rPr>
                <w:rFonts w:ascii="宋体" w:hAnsi="宋体"/>
                <w:sz w:val="24"/>
                <w:szCs w:val="24"/>
              </w:rPr>
            </w:r>
            <w:r/>
          </w:p>
        </w:tc>
        <w:tc>
          <w:tcPr>
            <w:tcW w:w="2852" w:type="dxa"/>
            <w:vAlign w:val="top"/>
            <w:textDirection w:val="lrTb"/>
            <w:noWrap w:val="false"/>
          </w:tcPr>
          <w:p>
            <w:pPr>
              <w:jc w:val="center"/>
              <w:rPr>
                <w:rFonts w:ascii="宋体" w:hAnsi="宋体"/>
                <w:sz w:val="24"/>
                <w:szCs w:val="24"/>
              </w:rPr>
            </w:pPr>
            <w:r>
              <w:rPr>
                <w:rFonts w:ascii="宋体" w:hAnsi="宋体"/>
                <w:sz w:val="24"/>
                <w:szCs w:val="24"/>
              </w:rPr>
            </w:r>
            <w:r/>
          </w:p>
        </w:tc>
        <w:tc>
          <w:tcPr>
            <w:tcW w:w="1308" w:type="dxa"/>
            <w:vAlign w:val="top"/>
            <w:textDirection w:val="lrTb"/>
            <w:noWrap w:val="false"/>
          </w:tcPr>
          <w:p>
            <w:pPr>
              <w:jc w:val="center"/>
              <w:rPr>
                <w:rFonts w:ascii="宋体" w:hAnsi="宋体"/>
                <w:sz w:val="24"/>
                <w:szCs w:val="24"/>
              </w:rPr>
            </w:pPr>
            <w:r>
              <w:rPr>
                <w:rFonts w:ascii="宋体" w:hAnsi="宋体"/>
                <w:sz w:val="24"/>
                <w:szCs w:val="24"/>
              </w:rPr>
            </w:r>
            <w:r/>
          </w:p>
        </w:tc>
        <w:tc>
          <w:tcPr>
            <w:tcW w:w="1173" w:type="dxa"/>
            <w:vAlign w:val="top"/>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rPr>
                <w:rFonts w:ascii="宋体" w:hAnsi="宋体"/>
                <w:sz w:val="24"/>
                <w:szCs w:val="24"/>
              </w:rPr>
            </w:pPr>
            <w:r>
              <w:rPr>
                <w:rFonts w:ascii="宋体" w:hAnsi="宋体"/>
                <w:sz w:val="24"/>
                <w:szCs w:val="24"/>
              </w:rPr>
            </w:r>
            <w:r/>
          </w:p>
        </w:tc>
        <w:tc>
          <w:tcPr>
            <w:tcW w:w="3291" w:type="dxa"/>
            <w:vAlign w:val="top"/>
            <w:textDirection w:val="lrTb"/>
            <w:noWrap w:val="false"/>
          </w:tcPr>
          <w:p>
            <w:pPr>
              <w:jc w:val="center"/>
              <w:rPr>
                <w:rFonts w:ascii="宋体" w:hAnsi="宋体"/>
                <w:sz w:val="24"/>
                <w:szCs w:val="24"/>
              </w:rPr>
            </w:pPr>
            <w:r>
              <w:rPr>
                <w:rFonts w:ascii="宋体" w:hAnsi="宋体"/>
                <w:sz w:val="24"/>
                <w:szCs w:val="24"/>
              </w:rPr>
            </w:r>
            <w:r/>
          </w:p>
        </w:tc>
        <w:tc>
          <w:tcPr>
            <w:tcW w:w="2852" w:type="dxa"/>
            <w:vAlign w:val="top"/>
            <w:textDirection w:val="lrTb"/>
            <w:noWrap w:val="false"/>
          </w:tcPr>
          <w:p>
            <w:pPr>
              <w:jc w:val="center"/>
              <w:rPr>
                <w:rFonts w:ascii="宋体" w:hAnsi="宋体"/>
                <w:sz w:val="24"/>
                <w:szCs w:val="24"/>
              </w:rPr>
            </w:pPr>
            <w:r>
              <w:rPr>
                <w:rFonts w:ascii="宋体" w:hAnsi="宋体"/>
                <w:sz w:val="24"/>
                <w:szCs w:val="24"/>
              </w:rPr>
            </w:r>
            <w:r/>
          </w:p>
        </w:tc>
        <w:tc>
          <w:tcPr>
            <w:tcW w:w="1308" w:type="dxa"/>
            <w:vAlign w:val="top"/>
            <w:textDirection w:val="lrTb"/>
            <w:noWrap w:val="false"/>
          </w:tcPr>
          <w:p>
            <w:pPr>
              <w:jc w:val="center"/>
              <w:rPr>
                <w:rFonts w:ascii="宋体" w:hAnsi="宋体"/>
                <w:sz w:val="24"/>
                <w:szCs w:val="24"/>
              </w:rPr>
            </w:pPr>
            <w:r>
              <w:rPr>
                <w:rFonts w:ascii="宋体" w:hAnsi="宋体"/>
                <w:sz w:val="24"/>
                <w:szCs w:val="24"/>
              </w:rPr>
            </w:r>
            <w:r/>
          </w:p>
        </w:tc>
        <w:tc>
          <w:tcPr>
            <w:tcW w:w="1173" w:type="dxa"/>
            <w:vAlign w:val="top"/>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rPr>
                <w:rFonts w:ascii="宋体" w:hAnsi="宋体"/>
                <w:sz w:val="24"/>
                <w:szCs w:val="24"/>
              </w:rPr>
            </w:pPr>
            <w:r>
              <w:rPr>
                <w:rFonts w:ascii="宋体" w:hAnsi="宋体"/>
                <w:sz w:val="24"/>
                <w:szCs w:val="24"/>
              </w:rPr>
            </w:r>
            <w:r/>
          </w:p>
        </w:tc>
        <w:tc>
          <w:tcPr>
            <w:tcW w:w="3291" w:type="dxa"/>
            <w:vAlign w:val="top"/>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ascii="宋体" w:hAnsi="宋体"/>
                <w:sz w:val="24"/>
                <w:szCs w:val="24"/>
              </w:rPr>
            </w:pPr>
            <w:r>
              <w:rPr>
                <w:rFonts w:ascii="宋体" w:hAnsi="宋体"/>
                <w:sz w:val="24"/>
                <w:szCs w:val="24"/>
              </w:rPr>
            </w:r>
            <w:r/>
          </w:p>
        </w:tc>
        <w:tc>
          <w:tcPr>
            <w:tcW w:w="1308" w:type="dxa"/>
            <w:vAlign w:val="top"/>
            <w:textDirection w:val="lrTb"/>
            <w:noWrap w:val="false"/>
          </w:tcPr>
          <w:p>
            <w:pPr>
              <w:jc w:val="center"/>
              <w:rPr>
                <w:rFonts w:ascii="宋体" w:hAnsi="宋体"/>
                <w:sz w:val="24"/>
                <w:szCs w:val="24"/>
              </w:rPr>
            </w:pPr>
            <w:r>
              <w:rPr>
                <w:rFonts w:ascii="宋体" w:hAnsi="宋体"/>
                <w:sz w:val="24"/>
                <w:szCs w:val="24"/>
              </w:rPr>
            </w:r>
            <w:r/>
          </w:p>
        </w:tc>
        <w:tc>
          <w:tcPr>
            <w:tcW w:w="1173" w:type="dxa"/>
            <w:vAlign w:val="top"/>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b/>
          <w:bCs/>
          <w:sz w:val="32"/>
          <w:szCs w:val="32"/>
        </w:rPr>
      </w:pPr>
      <w:r>
        <w:rPr>
          <w:rFonts w:hint="eastAsia" w:ascii="宋体" w:hAnsi="宋体"/>
          <w:sz w:val="24"/>
          <w:szCs w:val="24"/>
        </w:rPr>
        <w:t xml:space="preserve">注： 行数不够，可自行添加。</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873"/>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rPr>
            </w:pPr>
            <w:r>
              <w:rPr>
                <w:rFonts w:hint="eastAsia" w:ascii="宋体" w:hAnsi="宋体" w:cs="宋体"/>
              </w:rPr>
              <w:t xml:space="preserve">货物类</w:t>
            </w:r>
            <w:r/>
          </w:p>
        </w:tc>
        <w:tc>
          <w:tcPr>
            <w:tcW w:w="3780" w:type="dxa"/>
            <w:vAlign w:val="top"/>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spacing w:line="560" w:lineRule="exact"/>
        <w:rPr>
          <w:rFonts w:ascii="黑体" w:hAnsi="黑体" w:eastAsia="黑体"/>
          <w:b/>
          <w:sz w:val="32"/>
          <w:szCs w:val="32"/>
        </w:rPr>
      </w:pPr>
      <w:r/>
      <w:bookmarkStart w:id="67" w:name="_Hlt26955054"/>
      <w:r/>
      <w:bookmarkEnd w:id="67"/>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both"/>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联合体协议（参考格式）</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eastAsia="zh-CN"/>
        </w:rPr>
        <w:t xml:space="preserve">江苏渝祺项目管理有限公司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p>
    <w:p>
      <w:pPr>
        <w:ind w:firstLine="645"/>
        <w:jc w:val="right"/>
        <w:spacing w:line="560" w:lineRule="exact"/>
        <w:rPr>
          <w:rFonts w:ascii="宋体" w:hAnsi="宋体"/>
          <w:sz w:val="24"/>
          <w:szCs w:val="21"/>
        </w:rPr>
      </w:pPr>
      <w:r>
        <w:rPr>
          <w:rFonts w:hint="eastAsia" w:ascii="宋体" w:hAnsi="宋体"/>
          <w:sz w:val="24"/>
          <w:szCs w:val="21"/>
        </w:rPr>
        <w:t xml:space="preserve">日期：</w:t>
      </w:r>
      <w:r/>
    </w:p>
    <w:p>
      <w:pPr>
        <w:ind w:firstLine="645"/>
        <w:spacing w:line="560" w:lineRule="exact"/>
        <w:rPr>
          <w:rFonts w:ascii="宋体" w:hAnsi="宋体"/>
          <w:sz w:val="24"/>
          <w:szCs w:val="21"/>
        </w:rPr>
      </w:pPr>
      <w:r>
        <w:rPr>
          <w:rFonts w:ascii="宋体" w:hAnsi="宋体"/>
          <w:sz w:val="24"/>
          <w:szCs w:val="21"/>
        </w:rPr>
      </w:r>
      <w:r/>
    </w:p>
    <w:p>
      <w:pPr>
        <w:jc w:val="left"/>
        <w:widowControl/>
        <w:rPr>
          <w:rFonts w:ascii="宋体" w:hAnsi="宋体" w:cs="Arial"/>
          <w:b/>
          <w:bCs/>
        </w:rPr>
      </w:pPr>
      <w:r>
        <w:rPr>
          <w:rFonts w:ascii="宋体" w:hAnsi="宋体" w:cs="Arial"/>
          <w:b/>
          <w:bCs/>
        </w:rPr>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方正仿宋_GBK">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87"/>
                          </w:pPr>
                          <w:r>
                            <w:fldChar w:fldCharType="begin"/>
                          </w:r>
                          <w:r>
                            <w:instrText xml:space="preserve"> PAGE  \* MERGEFORMAT </w:instrText>
                          </w:r>
                          <w:r>
                            <w:fldChar w:fldCharType="separate"/>
                          </w:r>
                          <w:r>
                            <w:t xml:space="preserve">76</w:t>
                          </w:r>
                          <w: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87"/>
                            <w:jc w:val="center"/>
                          </w:pPr>
                          <w:r>
                            <w:fldChar w:fldCharType="begin"/>
                          </w:r>
                          <w:r>
                            <w:instrText xml:space="preserve">PAGE   \* MERGEFORMAT</w:instrText>
                          </w:r>
                          <w:r>
                            <w:fldChar w:fldCharType="separate"/>
                          </w:r>
                          <w:r>
                            <w:rPr>
                              <w:lang w:val="zh-CN"/>
                            </w:rPr>
                            <w:t xml:space="preserve">114</w:t>
                          </w:r>
                          <w:r>
                            <w:rPr>
                              <w:lang w:val="zh-CN"/>
                            </w:rP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jc w:val="center"/>
                    </w:pPr>
                    <w:r>
                      <w:fldChar w:fldCharType="begin"/>
                    </w:r>
                    <w:r>
                      <w:instrText xml:space="preserve">PAGE   \* MERGEFORMAT</w:instrText>
                    </w:r>
                    <w:r>
                      <w:fldChar w:fldCharType="separate"/>
                    </w:r>
                    <w:r>
                      <w:rPr>
                        <w:lang w:val="zh-CN"/>
                      </w:rPr>
                      <w:t xml:space="preserve">114</w:t>
                    </w:r>
                    <w:r>
                      <w:rPr>
                        <w:lang w:val="zh-CN"/>
                      </w:rPr>
                      <w:fldChar w:fldCharType="end"/>
                    </w:r>
                    <w:r/>
                  </w:p>
                </w:txbxContent>
              </v:textbox>
            </v:shape>
          </w:pict>
        </mc:Fallback>
      </mc:AlternateContent>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4"/>
      <w:isLgl/>
      <w:suff w:val="space"/>
      <w:lvlText w:val="%1"/>
      <w:lvlJc w:val="left"/>
      <w:pPr>
        <w:ind w:left="0" w:firstLine="0"/>
      </w:pPr>
      <w:rPr>
        <w:rFonts w:hint="eastAsia"/>
      </w:rPr>
    </w:lvl>
    <w:lvl w:ilvl="1">
      <w:start w:val="1"/>
      <w:numFmt w:val="decimal"/>
      <w:pStyle w:val="925"/>
      <w:isLgl/>
      <w:suff w:val="space"/>
      <w:lvlText w:val="%1.%2"/>
      <w:lvlJc w:val="left"/>
      <w:pPr>
        <w:ind w:left="0" w:firstLine="0"/>
      </w:pPr>
      <w:rPr>
        <w:rFonts w:hint="eastAsia"/>
      </w:rPr>
    </w:lvl>
    <w:lvl w:ilvl="2">
      <w:start w:val="1"/>
      <w:numFmt w:val="decimal"/>
      <w:pStyle w:val="926"/>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isLgl/>
      <w:suff w:val="nothing"/>
      <w:lvlText w:val="%1.%2.%3.%4.%5"/>
      <w:lvlJc w:val="left"/>
      <w:pPr>
        <w:ind w:left="0" w:firstLine="0"/>
      </w:pPr>
      <w:rPr>
        <w:rFonts w:hint="eastAsia"/>
      </w:rPr>
    </w:lvl>
    <w:lvl w:ilvl="5">
      <w:start w:val="1"/>
      <w:numFmt w:val="decimal"/>
      <w:lvlRestart w:val="2"/>
      <w:isLgl w:val="false"/>
      <w:suff w:val="space"/>
      <w:lvlText w:val="表%1.%2-%6"/>
      <w:lvlJc w:val="left"/>
      <w:pPr>
        <w:ind w:left="0" w:firstLine="0"/>
      </w:pPr>
      <w:rPr>
        <w:rFonts w:hint="eastAsia"/>
      </w:rPr>
    </w:lvl>
    <w:lvl w:ilvl="6">
      <w:start w:val="1"/>
      <w:numFmt w:val="decimal"/>
      <w:lvlRestart w:val="2"/>
      <w:isLgl w:val="false"/>
      <w:suff w:val="space"/>
      <w:lvlText w:val="图%1.%2-%7"/>
      <w:lvlJc w:val="left"/>
      <w:pPr>
        <w:ind w:left="0" w:firstLine="0"/>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8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6">
    <w:name w:val="Table Grid"/>
    <w:basedOn w:val="87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63">
    <w:name w:val="Heading 1"/>
    <w:basedOn w:val="862"/>
    <w:next w:val="862"/>
    <w:link w:val="947"/>
    <w:uiPriority w:val="9"/>
    <w:qFormat/>
    <w:pPr>
      <w:keepLines/>
      <w:keepNext/>
      <w:spacing w:before="340" w:after="330" w:line="578" w:lineRule="auto"/>
      <w:outlineLvl w:val="0"/>
    </w:pPr>
    <w:rPr>
      <w:b/>
      <w:bCs/>
      <w:sz w:val="44"/>
      <w:szCs w:val="44"/>
    </w:rPr>
  </w:style>
  <w:style w:type="paragraph" w:styleId="864">
    <w:name w:val="Heading 2"/>
    <w:basedOn w:val="862"/>
    <w:next w:val="862"/>
    <w:link w:val="94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5">
    <w:name w:val="Heading 3"/>
    <w:basedOn w:val="862"/>
    <w:next w:val="862"/>
    <w:link w:val="949"/>
    <w:uiPriority w:val="0"/>
    <w:qFormat/>
    <w:pPr>
      <w:keepLines/>
      <w:keepNext/>
      <w:spacing w:before="260" w:after="260" w:line="416" w:lineRule="auto"/>
      <w:outlineLvl w:val="2"/>
    </w:pPr>
    <w:rPr>
      <w:b/>
      <w:bCs/>
      <w:sz w:val="32"/>
      <w:szCs w:val="32"/>
    </w:rPr>
  </w:style>
  <w:style w:type="paragraph" w:styleId="866">
    <w:name w:val="Heading 4"/>
    <w:basedOn w:val="862"/>
    <w:next w:val="862"/>
    <w:link w:val="950"/>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51"/>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link w:val="952"/>
    <w:uiPriority w:val="9"/>
    <w:unhideWhenUsed/>
    <w:qFormat/>
    <w:pPr>
      <w:keepLines/>
      <w:keepNext/>
      <w:spacing w:before="320" w:after="200"/>
      <w:outlineLvl w:val="5"/>
    </w:pPr>
    <w:rPr>
      <w:rFonts w:ascii="Arial" w:hAnsi="Arial" w:eastAsia="Arial" w:cs="Arial"/>
      <w:b/>
      <w:bCs/>
      <w:sz w:val="22"/>
    </w:rPr>
  </w:style>
  <w:style w:type="paragraph" w:styleId="869">
    <w:name w:val="Heading 7"/>
    <w:basedOn w:val="862"/>
    <w:next w:val="862"/>
    <w:link w:val="953"/>
    <w:uiPriority w:val="9"/>
    <w:unhideWhenUsed/>
    <w:qFormat/>
    <w:pPr>
      <w:keepLines/>
      <w:keepNext/>
      <w:spacing w:before="320" w:after="200"/>
      <w:outlineLvl w:val="6"/>
    </w:pPr>
    <w:rPr>
      <w:rFonts w:ascii="Arial" w:hAnsi="Arial" w:eastAsia="Arial" w:cs="Arial"/>
      <w:b/>
      <w:bCs/>
      <w:i/>
      <w:iCs/>
      <w:sz w:val="22"/>
    </w:rPr>
  </w:style>
  <w:style w:type="paragraph" w:styleId="870">
    <w:name w:val="Heading 8"/>
    <w:basedOn w:val="862"/>
    <w:next w:val="862"/>
    <w:link w:val="954"/>
    <w:uiPriority w:val="9"/>
    <w:unhideWhenUsed/>
    <w:qFormat/>
    <w:pPr>
      <w:keepLines/>
      <w:keepNext/>
      <w:spacing w:before="320" w:after="200"/>
      <w:outlineLvl w:val="7"/>
    </w:pPr>
    <w:rPr>
      <w:rFonts w:ascii="Arial" w:hAnsi="Arial" w:eastAsia="Arial" w:cs="Arial"/>
      <w:i/>
      <w:iCs/>
      <w:sz w:val="22"/>
    </w:rPr>
  </w:style>
  <w:style w:type="paragraph" w:styleId="871">
    <w:name w:val="Heading 9"/>
    <w:basedOn w:val="862"/>
    <w:next w:val="862"/>
    <w:link w:val="955"/>
    <w:uiPriority w:val="9"/>
    <w:unhideWhenUsed/>
    <w:qFormat/>
    <w:pPr>
      <w:keepLines/>
      <w:keepNext/>
      <w:spacing w:before="320" w:after="200"/>
      <w:outlineLvl w:val="8"/>
    </w:pPr>
    <w:rPr>
      <w:rFonts w:ascii="Arial" w:hAnsi="Arial" w:eastAsia="Arial" w:cs="Arial"/>
      <w:i/>
      <w:iCs/>
      <w:szCs w:val="21"/>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spacing w:after="57"/>
    </w:pPr>
  </w:style>
  <w:style w:type="paragraph" w:styleId="875">
    <w:name w:val="Normal Indent"/>
    <w:basedOn w:val="862"/>
    <w:uiPriority w:val="0"/>
    <w:unhideWhenUsed/>
    <w:qFormat/>
    <w:pPr>
      <w:ind w:firstLine="420"/>
    </w:pPr>
  </w:style>
  <w:style w:type="paragraph" w:styleId="876">
    <w:name w:val="Caption"/>
    <w:basedOn w:val="862"/>
    <w:next w:val="862"/>
    <w:uiPriority w:val="35"/>
    <w:semiHidden/>
    <w:unhideWhenUsed/>
    <w:qFormat/>
    <w:pPr>
      <w:spacing w:line="276" w:lineRule="auto"/>
    </w:pPr>
    <w:rPr>
      <w:b/>
      <w:bCs/>
      <w:color w:val="5b9bd5"/>
      <w:sz w:val="18"/>
      <w:szCs w:val="18"/>
    </w:rPr>
  </w:style>
  <w:style w:type="paragraph" w:styleId="877">
    <w:name w:val="annotation text"/>
    <w:basedOn w:val="862"/>
    <w:uiPriority w:val="0"/>
    <w:qFormat/>
    <w:pPr>
      <w:jc w:val="left"/>
    </w:pPr>
  </w:style>
  <w:style w:type="paragraph" w:styleId="878">
    <w:name w:val="Body Text"/>
    <w:basedOn w:val="862"/>
    <w:uiPriority w:val="0"/>
    <w:qFormat/>
    <w:rPr>
      <w:rFonts w:ascii="楷体_GB2312" w:hAnsi="Arial" w:eastAsia="楷体_GB2312"/>
      <w:sz w:val="28"/>
      <w:szCs w:val="28"/>
    </w:rPr>
  </w:style>
  <w:style w:type="paragraph" w:styleId="879">
    <w:name w:val="Body Text Indent"/>
    <w:basedOn w:val="862"/>
    <w:uiPriority w:val="99"/>
    <w:unhideWhenUsed/>
    <w:qFormat/>
    <w:pPr>
      <w:ind w:left="420"/>
      <w:spacing w:after="120"/>
    </w:pPr>
    <w:rPr>
      <w:rFonts w:ascii="Times New Roman" w:hAnsi="Times New Roman"/>
      <w:szCs w:val="24"/>
    </w:rPr>
  </w:style>
  <w:style w:type="paragraph" w:styleId="880">
    <w:name w:val="List Bullet 2"/>
    <w:basedOn w:val="862"/>
    <w:uiPriority w:val="99"/>
    <w:semiHidden/>
    <w:unhideWhenUsed/>
    <w:qFormat/>
    <w:pPr>
      <w:numPr>
        <w:ilvl w:val="0"/>
        <w:numId w:val="1"/>
      </w:numPr>
    </w:pPr>
  </w:style>
  <w:style w:type="paragraph" w:styleId="881">
    <w:name w:val="toc 5"/>
    <w:basedOn w:val="862"/>
    <w:next w:val="862"/>
    <w:uiPriority w:val="39"/>
    <w:unhideWhenUsed/>
    <w:qFormat/>
    <w:pPr>
      <w:ind w:left="1134"/>
      <w:spacing w:after="57"/>
    </w:pPr>
  </w:style>
  <w:style w:type="paragraph" w:styleId="882">
    <w:name w:val="toc 3"/>
    <w:basedOn w:val="862"/>
    <w:next w:val="862"/>
    <w:uiPriority w:val="39"/>
    <w:unhideWhenUsed/>
    <w:qFormat/>
    <w:pPr>
      <w:ind w:left="567"/>
      <w:spacing w:after="57"/>
    </w:pPr>
  </w:style>
  <w:style w:type="paragraph" w:styleId="883">
    <w:name w:val="Plain Text"/>
    <w:basedOn w:val="862"/>
    <w:uiPriority w:val="99"/>
    <w:qFormat/>
    <w:rPr>
      <w:rFonts w:ascii="宋体" w:hAnsi="Courier New"/>
      <w:sz w:val="20"/>
      <w:szCs w:val="21"/>
    </w:rPr>
  </w:style>
  <w:style w:type="paragraph" w:styleId="884">
    <w:name w:val="toc 8"/>
    <w:basedOn w:val="862"/>
    <w:next w:val="862"/>
    <w:uiPriority w:val="39"/>
    <w:unhideWhenUsed/>
    <w:qFormat/>
    <w:pPr>
      <w:ind w:left="1984"/>
      <w:spacing w:after="57"/>
    </w:pPr>
  </w:style>
  <w:style w:type="paragraph" w:styleId="885">
    <w:name w:val="endnote text"/>
    <w:basedOn w:val="862"/>
    <w:link w:val="964"/>
    <w:uiPriority w:val="99"/>
    <w:semiHidden/>
    <w:unhideWhenUsed/>
    <w:qFormat/>
    <w:rPr>
      <w:sz w:val="20"/>
    </w:rPr>
  </w:style>
  <w:style w:type="paragraph" w:styleId="886">
    <w:name w:val="Balloon Text"/>
    <w:basedOn w:val="862"/>
    <w:link w:val="965"/>
    <w:uiPriority w:val="0"/>
    <w:qFormat/>
    <w:rPr>
      <w:sz w:val="18"/>
      <w:szCs w:val="18"/>
    </w:rPr>
  </w:style>
  <w:style w:type="paragraph" w:styleId="887">
    <w:name w:val="Footer"/>
    <w:basedOn w:val="862"/>
    <w:link w:val="962"/>
    <w:uiPriority w:val="99"/>
    <w:unhideWhenUsed/>
    <w:qFormat/>
    <w:pPr>
      <w:jc w:val="left"/>
      <w:tabs>
        <w:tab w:val="center" w:pos="4153" w:leader="none"/>
        <w:tab w:val="right" w:pos="8306" w:leader="none"/>
      </w:tabs>
    </w:pPr>
    <w:rPr>
      <w:sz w:val="18"/>
      <w:szCs w:val="18"/>
    </w:rPr>
  </w:style>
  <w:style w:type="paragraph" w:styleId="888">
    <w:name w:val="Header"/>
    <w:basedOn w:val="862"/>
    <w:link w:val="96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62"/>
    <w:next w:val="862"/>
    <w:uiPriority w:val="39"/>
    <w:unhideWhenUsed/>
    <w:qFormat/>
  </w:style>
  <w:style w:type="paragraph" w:styleId="890">
    <w:name w:val="toc 4"/>
    <w:basedOn w:val="862"/>
    <w:next w:val="862"/>
    <w:uiPriority w:val="39"/>
    <w:unhideWhenUsed/>
    <w:qFormat/>
    <w:pPr>
      <w:ind w:left="850"/>
      <w:spacing w:after="57"/>
    </w:pPr>
  </w:style>
  <w:style w:type="paragraph" w:styleId="891">
    <w:name w:val="Subtitle"/>
    <w:basedOn w:val="862"/>
    <w:next w:val="862"/>
    <w:link w:val="957"/>
    <w:uiPriority w:val="11"/>
    <w:qFormat/>
    <w:pPr>
      <w:spacing w:before="200" w:after="200"/>
    </w:pPr>
    <w:rPr>
      <w:sz w:val="24"/>
      <w:szCs w:val="24"/>
    </w:rPr>
  </w:style>
  <w:style w:type="paragraph" w:styleId="892">
    <w:name w:val="footnote text"/>
    <w:basedOn w:val="862"/>
    <w:link w:val="963"/>
    <w:uiPriority w:val="99"/>
    <w:semiHidden/>
    <w:unhideWhenUsed/>
    <w:qFormat/>
    <w:pPr>
      <w:spacing w:after="40"/>
    </w:pPr>
    <w:rPr>
      <w:sz w:val="18"/>
    </w:rPr>
  </w:style>
  <w:style w:type="paragraph" w:styleId="893">
    <w:name w:val="toc 6"/>
    <w:basedOn w:val="862"/>
    <w:next w:val="862"/>
    <w:uiPriority w:val="39"/>
    <w:unhideWhenUsed/>
    <w:qFormat/>
    <w:pPr>
      <w:ind w:left="1417"/>
      <w:spacing w:after="57"/>
    </w:pPr>
  </w:style>
  <w:style w:type="paragraph" w:styleId="894">
    <w:name w:val="table of figures"/>
    <w:basedOn w:val="862"/>
    <w:next w:val="862"/>
    <w:uiPriority w:val="99"/>
    <w:unhideWhenUsed/>
    <w:qFormat/>
  </w:style>
  <w:style w:type="paragraph" w:styleId="895">
    <w:name w:val="toc 2"/>
    <w:basedOn w:val="862"/>
    <w:next w:val="862"/>
    <w:uiPriority w:val="39"/>
    <w:unhideWhenUsed/>
    <w:qFormat/>
    <w:pPr>
      <w:ind w:left="283"/>
      <w:spacing w:after="57"/>
    </w:pPr>
  </w:style>
  <w:style w:type="paragraph" w:styleId="896">
    <w:name w:val="toc 9"/>
    <w:basedOn w:val="862"/>
    <w:next w:val="862"/>
    <w:uiPriority w:val="39"/>
    <w:unhideWhenUsed/>
    <w:qFormat/>
    <w:pPr>
      <w:ind w:left="2268"/>
      <w:spacing w:after="57"/>
    </w:pPr>
  </w:style>
  <w:style w:type="paragraph" w:styleId="897">
    <w:name w:val="Normal (Web)"/>
    <w:basedOn w:val="862"/>
    <w:uiPriority w:val="0"/>
    <w:qFormat/>
    <w:rPr>
      <w:rFonts w:ascii="Times New Roman" w:hAnsi="Times New Roman"/>
      <w:sz w:val="24"/>
    </w:rPr>
  </w:style>
  <w:style w:type="paragraph" w:styleId="898">
    <w:name w:val="Title"/>
    <w:basedOn w:val="862"/>
    <w:next w:val="862"/>
    <w:link w:val="956"/>
    <w:uiPriority w:val="10"/>
    <w:qFormat/>
    <w:pPr>
      <w:contextualSpacing/>
      <w:spacing w:before="300" w:after="200"/>
    </w:pPr>
    <w:rPr>
      <w:sz w:val="48"/>
      <w:szCs w:val="48"/>
    </w:rPr>
  </w:style>
  <w:style w:type="paragraph" w:styleId="899">
    <w:name w:val="Body Text First Indent 2"/>
    <w:basedOn w:val="879"/>
    <w:uiPriority w:val="99"/>
    <w:semiHidden/>
    <w:unhideWhenUsed/>
    <w:qFormat/>
    <w:pPr>
      <w:ind w:firstLine="420"/>
    </w:pPr>
    <w:rPr>
      <w:szCs w:val="22"/>
    </w:rPr>
  </w:style>
  <w:style w:type="character" w:styleId="900">
    <w:name w:val="Strong"/>
    <w:uiPriority w:val="0"/>
    <w:qFormat/>
    <w:rPr>
      <w:b/>
    </w:rPr>
  </w:style>
  <w:style w:type="character" w:styleId="901">
    <w:name w:val="endnote reference"/>
    <w:basedOn w:val="872"/>
    <w:uiPriority w:val="99"/>
    <w:semiHidden/>
    <w:unhideWhenUsed/>
    <w:qFormat/>
    <w:rPr>
      <w:vertAlign w:val="superscript"/>
    </w:rPr>
  </w:style>
  <w:style w:type="character" w:styleId="902">
    <w:name w:val="Emphasis"/>
    <w:basedOn w:val="872"/>
    <w:uiPriority w:val="20"/>
    <w:qFormat/>
    <w:rPr>
      <w:i/>
    </w:rPr>
  </w:style>
  <w:style w:type="character" w:styleId="903">
    <w:name w:val="Hyperlink"/>
    <w:basedOn w:val="872"/>
    <w:uiPriority w:val="0"/>
    <w:qFormat/>
    <w:rPr>
      <w:color w:val="0000ff"/>
      <w:u w:val="single"/>
    </w:rPr>
  </w:style>
  <w:style w:type="character" w:styleId="904">
    <w:name w:val="annotation reference"/>
    <w:basedOn w:val="872"/>
    <w:uiPriority w:val="0"/>
    <w:qFormat/>
    <w:rPr>
      <w:sz w:val="21"/>
      <w:szCs w:val="21"/>
    </w:rPr>
  </w:style>
  <w:style w:type="character" w:styleId="905">
    <w:name w:val="footnote reference"/>
    <w:basedOn w:val="872"/>
    <w:uiPriority w:val="99"/>
    <w:unhideWhenUsed/>
    <w:qFormat/>
    <w:rPr>
      <w:vertAlign w:val="superscript"/>
    </w:rPr>
  </w:style>
  <w:style w:type="paragraph" w:styleId="906" w:customStyle="1">
    <w:name w:val="TOC Heading"/>
    <w:uiPriority w:val="39"/>
    <w:unhideWhenUsed/>
    <w:qFormat/>
    <w:rPr>
      <w:rFonts w:hint="default" w:ascii="Times New Roman" w:hAnsi="Times New Roman" w:eastAsia="宋体" w:cs="Times New Roman"/>
      <w:lang w:val="en-US" w:eastAsia="zh-CN" w:bidi="ar-SA"/>
    </w:rPr>
  </w:style>
  <w:style w:type="paragraph" w:styleId="907" w:customStyle="1">
    <w:name w:val="正文首行缩进 21"/>
    <w:basedOn w:val="908"/>
    <w:next w:val="862"/>
    <w:uiPriority w:val="99"/>
    <w:unhideWhenUsed/>
    <w:qFormat/>
    <w:pPr>
      <w:ind w:firstLine="420"/>
      <w:jc w:val="left"/>
      <w:widowControl/>
    </w:pPr>
    <w:rPr>
      <w:rFonts w:ascii="宋体" w:hAnsi="Courier New" w:cs="宋体"/>
      <w:spacing w:val="-4"/>
      <w:szCs w:val="21"/>
    </w:rPr>
  </w:style>
  <w:style w:type="paragraph" w:styleId="908" w:customStyle="1">
    <w:name w:val="正文文本缩进1"/>
    <w:basedOn w:val="862"/>
    <w:uiPriority w:val="99"/>
    <w:unhideWhenUsed/>
    <w:qFormat/>
    <w:pPr>
      <w:ind w:left="420"/>
      <w:spacing w:after="120"/>
    </w:pPr>
  </w:style>
  <w:style w:type="paragraph" w:styleId="909" w:customStyle="1">
    <w:name w:val="正文（缩进）"/>
    <w:basedOn w:val="862"/>
    <w:uiPriority w:val="0"/>
    <w:qFormat/>
    <w:pPr>
      <w:ind w:firstLine="480"/>
      <w:spacing w:before="156" w:after="156"/>
    </w:pPr>
  </w:style>
  <w:style w:type="paragraph" w:styleId="910" w:customStyle="1">
    <w:name w:val="List Paragraph"/>
    <w:basedOn w:val="862"/>
    <w:uiPriority w:val="34"/>
    <w:qFormat/>
    <w:pPr>
      <w:contextualSpacing/>
      <w:ind w:left="720"/>
    </w:pPr>
  </w:style>
  <w:style w:type="paragraph" w:styleId="911" w:customStyle="1">
    <w:name w:val="No Spacing"/>
    <w:uiPriority w:val="1"/>
    <w:qFormat/>
    <w:rPr>
      <w:rFonts w:hint="default" w:ascii="Times New Roman" w:hAnsi="Times New Roman" w:eastAsia="宋体" w:cs="Times New Roman"/>
      <w:lang w:val="en-US" w:eastAsia="zh-CN" w:bidi="ar-SA"/>
    </w:rPr>
  </w:style>
  <w:style w:type="paragraph" w:styleId="912" w:customStyle="1">
    <w:name w:val="Quote"/>
    <w:basedOn w:val="862"/>
    <w:next w:val="862"/>
    <w:link w:val="958"/>
    <w:uiPriority w:val="29"/>
    <w:qFormat/>
    <w:pPr>
      <w:ind w:left="720" w:right="720"/>
    </w:pPr>
    <w:rPr>
      <w:i/>
    </w:rPr>
  </w:style>
  <w:style w:type="paragraph" w:styleId="913" w:customStyle="1">
    <w:name w:val="Intense Quote"/>
    <w:basedOn w:val="862"/>
    <w:next w:val="862"/>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4" w:customStyle="1">
    <w:name w:val="TOC 标题1"/>
    <w:uiPriority w:val="39"/>
    <w:unhideWhenUsed/>
    <w:qFormat/>
    <w:rPr>
      <w:rFonts w:hint="default" w:ascii="Times New Roman" w:hAnsi="Times New Roman" w:eastAsia="宋体" w:cs="Times New Roman"/>
      <w:lang w:val="en-US" w:eastAsia="zh-CN" w:bidi="ar-SA"/>
    </w:rPr>
  </w:style>
  <w:style w:type="paragraph" w:styleId="915" w:customStyle="1">
    <w:name w:val="首行缩进"/>
    <w:basedOn w:val="862"/>
    <w:uiPriority w:val="0"/>
    <w:qFormat/>
    <w:pPr>
      <w:ind w:firstLine="420"/>
      <w:spacing w:line="360" w:lineRule="auto"/>
    </w:pPr>
  </w:style>
  <w:style w:type="paragraph" w:styleId="916" w:customStyle="1">
    <w:name w:val="正文1"/>
    <w:basedOn w:val="862"/>
    <w:next w:val="917"/>
    <w:uiPriority w:val="0"/>
    <w:qFormat/>
    <w:pPr>
      <w:jc w:val="left"/>
      <w:spacing w:line="360" w:lineRule="atLeast"/>
    </w:pPr>
    <w:rPr>
      <w:rFonts w:ascii="宋体" w:hAnsi="Calibri" w:eastAsia="宋体" w:cs="Arial"/>
      <w:sz w:val="24"/>
      <w:szCs w:val="20"/>
    </w:rPr>
  </w:style>
  <w:style w:type="paragraph" w:styleId="917" w:customStyle="1">
    <w:name w:val="正文文本1"/>
    <w:basedOn w:val="916"/>
    <w:next w:val="918"/>
    <w:uiPriority w:val="0"/>
    <w:qFormat/>
    <w:pPr>
      <w:spacing w:after="120"/>
    </w:pPr>
    <w:rPr>
      <w:lang w:eastAsia="en-US"/>
    </w:rPr>
  </w:style>
  <w:style w:type="paragraph" w:styleId="918" w:customStyle="1">
    <w:name w:val="一级条标题"/>
    <w:basedOn w:val="919"/>
    <w:next w:val="9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9" w:customStyle="1">
    <w:name w:val="章标题"/>
    <w:next w:val="86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0" w:customStyle="1">
    <w:name w:val="段"/>
    <w:basedOn w:val="916"/>
    <w:next w:val="862"/>
    <w:uiPriority w:val="0"/>
    <w:qFormat/>
    <w:pPr>
      <w:ind w:firstLine="200"/>
      <w:widowControl/>
    </w:pPr>
    <w:rPr>
      <w:sz w:val="20"/>
    </w:rPr>
  </w:style>
  <w:style w:type="paragraph" w:styleId="921" w:customStyle="1">
    <w:name w:val="普通正文"/>
    <w:basedOn w:val="862"/>
    <w:uiPriority w:val="0"/>
    <w:qFormat/>
    <w:pPr>
      <w:ind w:firstLine="480"/>
      <w:jc w:val="left"/>
      <w:spacing w:before="120" w:after="120" w:line="360" w:lineRule="auto"/>
    </w:pPr>
    <w:rPr>
      <w:rFonts w:ascii="Arial" w:hAnsi="Arial"/>
      <w:sz w:val="24"/>
      <w:szCs w:val="24"/>
    </w:rPr>
  </w:style>
  <w:style w:type="paragraph" w:styleId="922" w:customStyle="1">
    <w:name w:val="Char"/>
    <w:basedOn w:val="862"/>
    <w:uiPriority w:val="0"/>
    <w:qFormat/>
    <w:pPr>
      <w:ind w:firstLine="200"/>
      <w:tabs>
        <w:tab w:val="left" w:pos="360" w:leader="none"/>
      </w:tabs>
    </w:pPr>
    <w:rPr>
      <w:rFonts w:ascii="Times New Roman" w:hAnsi="Times New Roman"/>
      <w:sz w:val="28"/>
      <w:szCs w:val="30"/>
    </w:rPr>
  </w:style>
  <w:style w:type="paragraph" w:styleId="923" w:customStyle="1">
    <w:name w:val="00正文内容"/>
    <w:uiPriority w:val="0"/>
    <w:qFormat/>
    <w:pPr>
      <w:ind w:firstLine="640"/>
      <w:jc w:val="both"/>
      <w:spacing w:line="560" w:lineRule="exact"/>
    </w:pPr>
    <w:rPr>
      <w:rFonts w:hint="default" w:ascii="Times New Roman" w:hAnsi="Times New Roman" w:eastAsia="方正仿宋_GBK" w:cs="Times New Roman"/>
      <w:color w:val="000000"/>
      <w:sz w:val="32"/>
      <w:szCs w:val="32"/>
      <w:lang w:val="en-US" w:eastAsia="zh-CN" w:bidi="ar-SA"/>
    </w:rPr>
  </w:style>
  <w:style w:type="paragraph" w:styleId="924" w:customStyle="1">
    <w:name w:val="01一级标题"/>
    <w:basedOn w:val="863"/>
    <w:next w:val="862"/>
    <w:uiPriority w:val="0"/>
    <w:qFormat/>
    <w:pPr>
      <w:numPr>
        <w:ilvl w:val="0"/>
        <w:numId w:val="2"/>
      </w:numPr>
      <w:ind w:firstLine="723"/>
      <w:jc w:val="left"/>
      <w:spacing w:before="0" w:after="0" w:line="500" w:lineRule="exact"/>
    </w:pPr>
    <w:rPr>
      <w:rFonts w:ascii="Times New Roman" w:hAnsi="Times New Roman" w:eastAsia="仿宋_GB2312"/>
      <w:bCs w:val="0"/>
      <w:sz w:val="36"/>
      <w:szCs w:val="28"/>
      <w:lang w:val="zh-CN"/>
    </w:rPr>
  </w:style>
  <w:style w:type="paragraph" w:styleId="925" w:customStyle="1">
    <w:name w:val="02二级标题"/>
    <w:basedOn w:val="864"/>
    <w:next w:val="862"/>
    <w:uiPriority w:val="0"/>
    <w:qFormat/>
    <w:pPr>
      <w:numPr>
        <w:ilvl w:val="1"/>
        <w:numId w:val="2"/>
      </w:numPr>
      <w:ind w:firstLine="643"/>
      <w:jc w:val="left"/>
      <w:spacing w:before="0" w:after="0" w:line="500" w:lineRule="exact"/>
    </w:pPr>
    <w:rPr>
      <w:rFonts w:ascii="Times New Roman" w:hAnsi="Times New Roman" w:eastAsia="仿宋_GB2312" w:cs="Times New Roman"/>
      <w:bCs w:val="0"/>
      <w:lang w:val="zh-CN"/>
    </w:rPr>
  </w:style>
  <w:style w:type="paragraph" w:styleId="926" w:customStyle="1">
    <w:name w:val="03三级标题"/>
    <w:basedOn w:val="865"/>
    <w:next w:val="862"/>
    <w:uiPriority w:val="0"/>
    <w:qFormat/>
    <w:pPr>
      <w:numPr>
        <w:ilvl w:val="2"/>
        <w:numId w:val="2"/>
      </w:numPr>
      <w:spacing w:before="0" w:after="0" w:line="500" w:lineRule="exact"/>
    </w:pPr>
    <w:rPr>
      <w:rFonts w:ascii="Times New Roman" w:hAnsi="Times New Roman" w:eastAsia="仿宋_GB2312"/>
      <w:sz w:val="28"/>
      <w:lang w:val="zh-CN"/>
    </w:rPr>
  </w:style>
  <w:style w:type="paragraph" w:styleId="927" w:customStyle="1">
    <w:name w:val="reader-word-layer"/>
    <w:basedOn w:val="862"/>
    <w:uiPriority w:val="99"/>
    <w:qFormat/>
    <w:pPr>
      <w:spacing w:before="100" w:beforeAutospacing="1" w:after="100" w:afterAutospacing="1"/>
    </w:pPr>
    <w:rPr>
      <w:rFonts w:ascii="宋体" w:hAnsi="宋体" w:cs="宋体"/>
      <w:sz w:val="24"/>
      <w:szCs w:val="24"/>
    </w:rPr>
  </w:style>
  <w:style w:type="paragraph" w:styleId="928" w:customStyle="1">
    <w:name w:val="Table Paragraph"/>
    <w:basedOn w:val="862"/>
    <w:uiPriority w:val="1"/>
    <w:qFormat/>
    <w:rPr>
      <w:rFonts w:ascii="宋体" w:hAnsi="宋体" w:cs="宋体"/>
    </w:rPr>
  </w:style>
  <w:style w:type="paragraph" w:styleId="929" w:customStyle="1">
    <w:name w:val="样式 首行缩进:  0 字符"/>
    <w:basedOn w:val="862"/>
    <w:uiPriority w:val="0"/>
    <w:qFormat/>
    <w:pPr>
      <w:ind w:firstLine="200"/>
      <w:spacing w:line="360" w:lineRule="auto"/>
    </w:pPr>
    <w:rPr>
      <w:sz w:val="24"/>
      <w:szCs w:val="24"/>
    </w:rPr>
  </w:style>
  <w:style w:type="character" w:styleId="930" w:customStyle="1">
    <w:name w:val="Heading 1 Char"/>
    <w:basedOn w:val="872"/>
    <w:uiPriority w:val="9"/>
    <w:qFormat/>
    <w:rPr>
      <w:rFonts w:ascii="Arial" w:hAnsi="Arial" w:eastAsia="Arial" w:cs="Arial"/>
      <w:sz w:val="40"/>
      <w:szCs w:val="40"/>
    </w:rPr>
  </w:style>
  <w:style w:type="character" w:styleId="931" w:customStyle="1">
    <w:name w:val="Heading 2 Char"/>
    <w:basedOn w:val="872"/>
    <w:uiPriority w:val="9"/>
    <w:qFormat/>
    <w:rPr>
      <w:rFonts w:ascii="Arial" w:hAnsi="Arial" w:eastAsia="Arial" w:cs="Arial"/>
      <w:sz w:val="34"/>
    </w:rPr>
  </w:style>
  <w:style w:type="character" w:styleId="932" w:customStyle="1">
    <w:name w:val="Heading 3 Char"/>
    <w:basedOn w:val="872"/>
    <w:uiPriority w:val="9"/>
    <w:qFormat/>
    <w:rPr>
      <w:rFonts w:ascii="Arial" w:hAnsi="Arial" w:eastAsia="Arial" w:cs="Arial"/>
      <w:sz w:val="30"/>
      <w:szCs w:val="30"/>
    </w:rPr>
  </w:style>
  <w:style w:type="character" w:styleId="933" w:customStyle="1">
    <w:name w:val="Heading 4 Char"/>
    <w:basedOn w:val="872"/>
    <w:uiPriority w:val="9"/>
    <w:qFormat/>
    <w:rPr>
      <w:rFonts w:ascii="Arial" w:hAnsi="Arial" w:eastAsia="Arial" w:cs="Arial"/>
      <w:b/>
      <w:bCs/>
      <w:sz w:val="26"/>
      <w:szCs w:val="26"/>
    </w:rPr>
  </w:style>
  <w:style w:type="character" w:styleId="934" w:customStyle="1">
    <w:name w:val="Heading 5 Char"/>
    <w:basedOn w:val="872"/>
    <w:uiPriority w:val="9"/>
    <w:qFormat/>
    <w:rPr>
      <w:rFonts w:ascii="Arial" w:hAnsi="Arial" w:eastAsia="Arial" w:cs="Arial"/>
      <w:b/>
      <w:bCs/>
      <w:sz w:val="24"/>
      <w:szCs w:val="24"/>
    </w:rPr>
  </w:style>
  <w:style w:type="character" w:styleId="935" w:customStyle="1">
    <w:name w:val="Heading 6 Char"/>
    <w:basedOn w:val="872"/>
    <w:uiPriority w:val="9"/>
    <w:qFormat/>
    <w:rPr>
      <w:rFonts w:ascii="Arial" w:hAnsi="Arial" w:eastAsia="Arial" w:cs="Arial"/>
      <w:b/>
      <w:bCs/>
      <w:sz w:val="22"/>
      <w:szCs w:val="22"/>
    </w:rPr>
  </w:style>
  <w:style w:type="character" w:styleId="936" w:customStyle="1">
    <w:name w:val="Heading 7 Char"/>
    <w:basedOn w:val="872"/>
    <w:uiPriority w:val="9"/>
    <w:qFormat/>
    <w:rPr>
      <w:rFonts w:ascii="Arial" w:hAnsi="Arial" w:eastAsia="Arial" w:cs="Arial"/>
      <w:b/>
      <w:bCs/>
      <w:i/>
      <w:iCs/>
      <w:sz w:val="22"/>
      <w:szCs w:val="22"/>
    </w:rPr>
  </w:style>
  <w:style w:type="character" w:styleId="937" w:customStyle="1">
    <w:name w:val="Heading 8 Char"/>
    <w:basedOn w:val="872"/>
    <w:uiPriority w:val="9"/>
    <w:qFormat/>
    <w:rPr>
      <w:rFonts w:ascii="Arial" w:hAnsi="Arial" w:eastAsia="Arial" w:cs="Arial"/>
      <w:i/>
      <w:iCs/>
      <w:sz w:val="22"/>
      <w:szCs w:val="22"/>
    </w:rPr>
  </w:style>
  <w:style w:type="character" w:styleId="938" w:customStyle="1">
    <w:name w:val="Heading 9 Char"/>
    <w:basedOn w:val="872"/>
    <w:uiPriority w:val="9"/>
    <w:qFormat/>
    <w:rPr>
      <w:rFonts w:ascii="Arial" w:hAnsi="Arial" w:eastAsia="Arial" w:cs="Arial"/>
      <w:i/>
      <w:iCs/>
      <w:sz w:val="21"/>
      <w:szCs w:val="21"/>
    </w:rPr>
  </w:style>
  <w:style w:type="character" w:styleId="939" w:customStyle="1">
    <w:name w:val="Title Char"/>
    <w:basedOn w:val="872"/>
    <w:uiPriority w:val="10"/>
    <w:qFormat/>
    <w:rPr>
      <w:sz w:val="48"/>
      <w:szCs w:val="48"/>
    </w:rPr>
  </w:style>
  <w:style w:type="character" w:styleId="940" w:customStyle="1">
    <w:name w:val="Subtitle Char"/>
    <w:basedOn w:val="872"/>
    <w:uiPriority w:val="11"/>
    <w:qFormat/>
    <w:rPr>
      <w:sz w:val="24"/>
      <w:szCs w:val="24"/>
    </w:rPr>
  </w:style>
  <w:style w:type="character" w:styleId="941" w:customStyle="1">
    <w:name w:val="Quote Char"/>
    <w:uiPriority w:val="29"/>
    <w:qFormat/>
    <w:rPr>
      <w:i/>
    </w:rPr>
  </w:style>
  <w:style w:type="character" w:styleId="942" w:customStyle="1">
    <w:name w:val="Intense Quote Char"/>
    <w:uiPriority w:val="30"/>
    <w:qFormat/>
    <w:rPr>
      <w:i/>
    </w:rPr>
  </w:style>
  <w:style w:type="character" w:styleId="943" w:customStyle="1">
    <w:name w:val="Header Char"/>
    <w:basedOn w:val="872"/>
    <w:uiPriority w:val="99"/>
    <w:qFormat/>
  </w:style>
  <w:style w:type="character" w:styleId="944" w:customStyle="1">
    <w:name w:val="Caption Char"/>
    <w:uiPriority w:val="99"/>
    <w:qFormat/>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character" w:styleId="947" w:customStyle="1">
    <w:name w:val="标题 1 字符"/>
    <w:basedOn w:val="872"/>
    <w:link w:val="863"/>
    <w:uiPriority w:val="9"/>
    <w:qFormat/>
    <w:rPr>
      <w:rFonts w:ascii="Arial" w:hAnsi="Arial" w:eastAsia="Arial" w:cs="Arial"/>
      <w:sz w:val="40"/>
      <w:szCs w:val="40"/>
    </w:rPr>
  </w:style>
  <w:style w:type="character" w:styleId="948" w:customStyle="1">
    <w:name w:val="标题 2 字符"/>
    <w:basedOn w:val="872"/>
    <w:link w:val="864"/>
    <w:uiPriority w:val="9"/>
    <w:qFormat/>
    <w:rPr>
      <w:rFonts w:ascii="Arial" w:hAnsi="Arial" w:eastAsia="Arial" w:cs="Arial"/>
      <w:sz w:val="34"/>
    </w:rPr>
  </w:style>
  <w:style w:type="character" w:styleId="949" w:customStyle="1">
    <w:name w:val="标题 3 字符"/>
    <w:basedOn w:val="872"/>
    <w:link w:val="865"/>
    <w:uiPriority w:val="9"/>
    <w:qFormat/>
    <w:rPr>
      <w:rFonts w:ascii="Arial" w:hAnsi="Arial" w:eastAsia="Arial" w:cs="Arial"/>
      <w:sz w:val="30"/>
      <w:szCs w:val="30"/>
    </w:rPr>
  </w:style>
  <w:style w:type="character" w:styleId="950" w:customStyle="1">
    <w:name w:val="标题 4 字符"/>
    <w:basedOn w:val="872"/>
    <w:link w:val="866"/>
    <w:uiPriority w:val="9"/>
    <w:qFormat/>
    <w:rPr>
      <w:rFonts w:ascii="Arial" w:hAnsi="Arial" w:eastAsia="Arial" w:cs="Arial"/>
      <w:b/>
      <w:bCs/>
      <w:sz w:val="26"/>
      <w:szCs w:val="26"/>
    </w:rPr>
  </w:style>
  <w:style w:type="character" w:styleId="951" w:customStyle="1">
    <w:name w:val="标题 5 字符"/>
    <w:basedOn w:val="872"/>
    <w:link w:val="867"/>
    <w:uiPriority w:val="9"/>
    <w:qFormat/>
    <w:rPr>
      <w:rFonts w:ascii="Arial" w:hAnsi="Arial" w:eastAsia="Arial" w:cs="Arial"/>
      <w:b/>
      <w:bCs/>
      <w:sz w:val="24"/>
      <w:szCs w:val="24"/>
    </w:rPr>
  </w:style>
  <w:style w:type="character" w:styleId="952" w:customStyle="1">
    <w:name w:val="标题 6 字符"/>
    <w:basedOn w:val="872"/>
    <w:link w:val="868"/>
    <w:uiPriority w:val="9"/>
    <w:qFormat/>
    <w:rPr>
      <w:rFonts w:ascii="Arial" w:hAnsi="Arial" w:eastAsia="Arial" w:cs="Arial"/>
      <w:b/>
      <w:bCs/>
      <w:sz w:val="22"/>
      <w:szCs w:val="22"/>
    </w:rPr>
  </w:style>
  <w:style w:type="character" w:styleId="953" w:customStyle="1">
    <w:name w:val="标题 7 字符"/>
    <w:basedOn w:val="872"/>
    <w:link w:val="869"/>
    <w:uiPriority w:val="9"/>
    <w:qFormat/>
    <w:rPr>
      <w:rFonts w:ascii="Arial" w:hAnsi="Arial" w:eastAsia="Arial" w:cs="Arial"/>
      <w:b/>
      <w:bCs/>
      <w:i/>
      <w:iCs/>
      <w:sz w:val="22"/>
      <w:szCs w:val="22"/>
    </w:rPr>
  </w:style>
  <w:style w:type="character" w:styleId="954" w:customStyle="1">
    <w:name w:val="标题 8 字符"/>
    <w:basedOn w:val="872"/>
    <w:link w:val="870"/>
    <w:uiPriority w:val="9"/>
    <w:qFormat/>
    <w:rPr>
      <w:rFonts w:ascii="Arial" w:hAnsi="Arial" w:eastAsia="Arial" w:cs="Arial"/>
      <w:i/>
      <w:iCs/>
      <w:sz w:val="22"/>
      <w:szCs w:val="22"/>
    </w:rPr>
  </w:style>
  <w:style w:type="character" w:styleId="955" w:customStyle="1">
    <w:name w:val="标题 9 字符"/>
    <w:basedOn w:val="872"/>
    <w:link w:val="871"/>
    <w:uiPriority w:val="9"/>
    <w:qFormat/>
    <w:rPr>
      <w:rFonts w:ascii="Arial" w:hAnsi="Arial" w:eastAsia="Arial" w:cs="Arial"/>
      <w:i/>
      <w:iCs/>
      <w:sz w:val="21"/>
      <w:szCs w:val="21"/>
    </w:rPr>
  </w:style>
  <w:style w:type="character" w:styleId="956" w:customStyle="1">
    <w:name w:val="标题 字符"/>
    <w:basedOn w:val="872"/>
    <w:link w:val="898"/>
    <w:uiPriority w:val="10"/>
    <w:qFormat/>
    <w:rPr>
      <w:sz w:val="48"/>
      <w:szCs w:val="48"/>
    </w:rPr>
  </w:style>
  <w:style w:type="character" w:styleId="957" w:customStyle="1">
    <w:name w:val="副标题 字符"/>
    <w:basedOn w:val="872"/>
    <w:link w:val="891"/>
    <w:uiPriority w:val="11"/>
    <w:qFormat/>
    <w:rPr>
      <w:sz w:val="24"/>
      <w:szCs w:val="24"/>
    </w:rPr>
  </w:style>
  <w:style w:type="character" w:styleId="958" w:customStyle="1">
    <w:name w:val="引用 字符"/>
    <w:link w:val="912"/>
    <w:uiPriority w:val="29"/>
    <w:qFormat/>
    <w:rPr>
      <w:i/>
    </w:rPr>
  </w:style>
  <w:style w:type="character" w:styleId="959" w:customStyle="1">
    <w:name w:val="明显引用 字符"/>
    <w:link w:val="913"/>
    <w:uiPriority w:val="30"/>
    <w:qFormat/>
    <w:rPr>
      <w:i/>
    </w:rPr>
  </w:style>
  <w:style w:type="character" w:styleId="960" w:customStyle="1">
    <w:name w:val="页眉 字符"/>
    <w:basedOn w:val="872"/>
    <w:link w:val="888"/>
    <w:uiPriority w:val="99"/>
    <w:qFormat/>
  </w:style>
  <w:style w:type="character" w:styleId="961" w:customStyle="1">
    <w:name w:val="Footer Char"/>
    <w:basedOn w:val="872"/>
    <w:uiPriority w:val="99"/>
    <w:qFormat/>
  </w:style>
  <w:style w:type="character" w:styleId="962" w:customStyle="1">
    <w:name w:val="页脚 字符"/>
    <w:link w:val="887"/>
    <w:uiPriority w:val="99"/>
    <w:qFormat/>
  </w:style>
  <w:style w:type="character" w:styleId="963" w:customStyle="1">
    <w:name w:val="脚注文本 字符"/>
    <w:link w:val="892"/>
    <w:uiPriority w:val="99"/>
    <w:qFormat/>
    <w:rPr>
      <w:sz w:val="18"/>
    </w:rPr>
  </w:style>
  <w:style w:type="character" w:styleId="964" w:customStyle="1">
    <w:name w:val="尾注文本 字符"/>
    <w:link w:val="885"/>
    <w:uiPriority w:val="99"/>
    <w:qFormat/>
    <w:rPr>
      <w:sz w:val="20"/>
    </w:rPr>
  </w:style>
  <w:style w:type="character" w:styleId="965" w:customStyle="1">
    <w:name w:val="批注框文本 字符"/>
    <w:basedOn w:val="872"/>
    <w:link w:val="886"/>
    <w:uiPriority w:val="0"/>
    <w:qFormat/>
    <w:rPr>
      <w:sz w:val="18"/>
      <w:szCs w:val="18"/>
    </w:rPr>
  </w:style>
  <w:style w:type="character" w:styleId="966" w:customStyle="1">
    <w:name w:val="+正文 Char3"/>
    <w:basedOn w:val="872"/>
    <w:uiPriority w:val="0"/>
    <w:qFormat/>
    <w:rPr>
      <w:rFonts w:hint="default" w:ascii="Times New Roman" w:hAnsi="Times New Roman" w:eastAsia="方正仿宋_GBK" w:cs="Times New Roman"/>
      <w:sz w:val="32"/>
      <w:szCs w:val="20"/>
    </w:rPr>
  </w:style>
  <w:style w:type="character" w:styleId="967" w:customStyle="1">
    <w:name w:val="font31"/>
    <w:basedOn w:val="872"/>
    <w:uiPriority w:val="0"/>
    <w:qFormat/>
    <w:rPr>
      <w:rFonts w:ascii="Arial" w:hAnsi="Arial" w:cs="Arial"/>
      <w:color w:val="000000"/>
      <w:sz w:val="22"/>
      <w:szCs w:val="22"/>
      <w:u w:val="none"/>
    </w:rPr>
  </w:style>
  <w:style w:type="character" w:styleId="968" w:customStyle="1">
    <w:name w:val="font21"/>
    <w:basedOn w:val="872"/>
    <w:uiPriority w:val="0"/>
    <w:qFormat/>
    <w:rPr>
      <w:rFonts w:hint="default" w:ascii="华文宋体" w:hAnsi="华文宋体" w:eastAsia="华文宋体" w:cs="华文宋体"/>
      <w:color w:val="000000"/>
      <w:sz w:val="22"/>
      <w:szCs w:val="22"/>
      <w:u w:val="none"/>
    </w:rPr>
  </w:style>
  <w:style w:type="character" w:styleId="969" w:customStyle="1">
    <w:name w:val="font41"/>
    <w:basedOn w:val="872"/>
    <w:uiPriority w:val="0"/>
    <w:qFormat/>
    <w:rPr>
      <w:rFonts w:hint="eastAsia" w:ascii="宋体" w:hAnsi="宋体" w:eastAsia="宋体" w:cs="宋体"/>
      <w:strike/>
      <w:color w:val="3366ff"/>
      <w:sz w:val="18"/>
      <w:szCs w:val="18"/>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编号：JSZC-321012-JDYQ-G2026-0001#</dc:title>
  <dc:creator>19905</dc:creator>
  <cp:lastModifiedBy>徐俭</cp:lastModifiedBy>
  <cp:revision>6</cp:revision>
  <dcterms:created xsi:type="dcterms:W3CDTF">2014-10-30T20:08:00Z</dcterms:created>
  <dcterms:modified xsi:type="dcterms:W3CDTF">2026-06-03T02:03:51Z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B31AD085CD5D41608E1DE16282CBA8AE_13</vt:lpwstr>
  </property>
  <property fmtid="{D5CDD505-2E9C-101B-9397-08002B2CF9AE}" pid="4" name="KSOTemplateDocerSaveRecord">
    <vt:lpwstr>eyJoZGlkIjoiNWFmMzYxNDc4NjVjZDAwNGY3ZDdhMzg2OWNkOTJjZTkiLCJ1c2VySWQiOiI0NjYyNzMzNzIifQ==</vt:lpwstr>
  </property>
</Properties>
</file>