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000000" w:themeColor="text1"/>
          <w:sz w:val="36"/>
          <w14:textFill>
            <w14:solidFill>
              <w14:schemeClr w14:val="tx1"/>
            </w14:solidFill>
          </w14:textFill>
        </w:rPr>
      </w:pPr>
      <w:r>
        <w:rPr>
          <w:rFonts w:hint="eastAsia" w:ascii="宋体" w:hAnsi="宋体"/>
          <w:color w:val="000000" w:themeColor="text1"/>
          <w:sz w:val="36"/>
          <w14:textFill>
            <w14:solidFill>
              <w14:schemeClr w14:val="tx1"/>
            </w14:solidFill>
          </w14:textFill>
        </w:rPr>
      </w:r>
      <w:r/>
    </w:p>
    <w:p>
      <w:pPr>
        <w:jc w:val="right"/>
        <w:rPr>
          <w:rFonts w:hint="eastAsia" w:ascii="宋体" w:hAnsi="宋体" w:eastAsia="宋体"/>
          <w:b/>
          <w:bCs/>
          <w:color w:val="000000" w:themeColor="text1"/>
          <w:sz w:val="36"/>
          <w:lang w:eastAsia="zh-CN"/>
          <w14:textFill>
            <w14:solidFill>
              <w14:schemeClr w14:val="tx1"/>
            </w14:solidFill>
          </w14:textFill>
        </w:rPr>
      </w:pPr>
      <w:r>
        <w:rPr>
          <w:rFonts w:hint="eastAsia" w:ascii="宋体" w:hAnsi="宋体"/>
          <w:b/>
          <w:bCs/>
          <w:color w:val="000000" w:themeColor="text1"/>
          <w:sz w:val="36"/>
          <w14:textFill>
            <w14:solidFill>
              <w14:schemeClr w14:val="tx1"/>
            </w14:solidFill>
          </w14:textFill>
        </w:rPr>
        <w:t xml:space="preserve">编号：</w:t>
      </w:r>
      <w:r>
        <w:rPr>
          <w:rFonts w:hint="eastAsia" w:ascii="宋体" w:hAnsi="宋体"/>
          <w:b/>
          <w:bCs/>
          <w:color w:val="000000" w:themeColor="text1"/>
          <w:sz w:val="36"/>
          <w:lang w:eastAsia="zh-CN"/>
          <w14:textFill>
            <w14:solidFill>
              <w14:schemeClr w14:val="tx1"/>
            </w14:solidFill>
          </w14:textFill>
        </w:rPr>
        <w:t xml:space="preserve">JSZC-321012-JSFH-G2026-0027</w:t>
      </w:r>
      <w:r/>
    </w:p>
    <w:p>
      <w:pPr>
        <w:jc w:val="center"/>
        <w:rPr>
          <w:rFonts w:hint="eastAsia" w:ascii="宋体" w:hAnsi="宋体"/>
          <w:b/>
          <w:bCs/>
          <w:color w:val="000000" w:themeColor="text1"/>
          <w:sz w:val="36"/>
          <w14:textFill>
            <w14:solidFill>
              <w14:schemeClr w14:val="tx1"/>
            </w14:solidFill>
          </w14:textFill>
        </w:rPr>
      </w:pPr>
      <w:r>
        <w:rPr>
          <w:rFonts w:hint="eastAsia" w:ascii="宋体" w:hAnsi="宋体"/>
          <w:b/>
          <w:bCs/>
          <w:color w:val="000000" w:themeColor="text1"/>
          <w:sz w:val="36"/>
          <w14:textFill>
            <w14:solidFill>
              <w14:schemeClr w14:val="tx1"/>
            </w14:solidFill>
          </w14:textFill>
        </w:rPr>
      </w:r>
      <w:r/>
    </w:p>
    <w:p>
      <w:pPr>
        <w:jc w:val="center"/>
        <w:spacing w:line="360" w:lineRule="auto"/>
        <w:rPr>
          <w:rFonts w:hint="eastAsia" w:ascii="宋体" w:hAnsi="宋体"/>
          <w:b/>
          <w:bCs/>
          <w:color w:val="000000" w:themeColor="text1"/>
          <w:sz w:val="36"/>
          <w14:textFill>
            <w14:solidFill>
              <w14:schemeClr w14:val="tx1"/>
            </w14:solidFill>
          </w14:textFill>
        </w:rPr>
      </w:pPr>
      <w:r>
        <w:rPr>
          <w:rFonts w:hint="eastAsia" w:ascii="宋体" w:hAnsi="宋体"/>
          <w:b/>
          <w:bCs/>
          <w:color w:val="000000" w:themeColor="text1"/>
          <w:sz w:val="36"/>
          <w14:textFill>
            <w14:solidFill>
              <w14:schemeClr w14:val="tx1"/>
            </w14:solidFill>
          </w14:textFill>
        </w:rPr>
      </w:r>
      <w:r/>
    </w:p>
    <w:p>
      <w:pPr>
        <w:jc w:val="center"/>
        <w:spacing w:line="360" w:lineRule="auto"/>
        <w:rPr>
          <w:rFonts w:hint="eastAsia" w:ascii="宋体" w:hAnsi="宋体"/>
          <w:b/>
          <w:bCs/>
          <w:color w:val="000000" w:themeColor="text1"/>
          <w:sz w:val="36"/>
          <w14:textFill>
            <w14:solidFill>
              <w14:schemeClr w14:val="tx1"/>
            </w14:solidFill>
          </w14:textFill>
        </w:rPr>
      </w:pPr>
      <w:r>
        <w:rPr>
          <w:rFonts w:hint="eastAsia" w:ascii="宋体" w:hAnsi="宋体"/>
          <w:b/>
          <w:bCs/>
          <w:color w:val="000000" w:themeColor="text1"/>
          <w:sz w:val="36"/>
          <w:lang w:eastAsia="zh-CN"/>
          <w14:textFill>
            <w14:solidFill>
              <w14:schemeClr w14:val="tx1"/>
            </w14:solidFill>
          </w14:textFill>
        </w:rPr>
        <w:t xml:space="preserve">扬州市江都区武坚镇智能高压电气小镇客厅项目家具采购及安装（第一批）</w:t>
      </w:r>
      <w:r>
        <w:rPr>
          <w:rFonts w:hint="eastAsia" w:ascii="宋体" w:hAnsi="宋体"/>
          <w:b/>
          <w:bCs/>
          <w:color w:val="000000" w:themeColor="text1"/>
          <w:sz w:val="36"/>
          <w14:textFill>
            <w14:solidFill>
              <w14:schemeClr w14:val="tx1"/>
            </w14:solidFill>
          </w14:textFill>
        </w:rPr>
        <w:t xml:space="preserve">公开招标文件</w:t>
      </w:r>
      <w:r/>
    </w:p>
    <w:p>
      <w:pPr>
        <w:pStyle w:val="966"/>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rPr>
          <w:rFonts w:hint="eastAsia" w:ascii="宋体" w:hAnsi="宋体"/>
          <w:color w:val="000000" w:themeColor="text1"/>
          <w:sz w:val="36"/>
          <w14:textFill>
            <w14:solidFill>
              <w14:schemeClr w14:val="tx1"/>
            </w14:solidFill>
          </w14:textFill>
        </w:rPr>
      </w:pPr>
      <w:r>
        <w:rPr>
          <w:rFonts w:ascii="宋体" w:hAnsi="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5238750" cy="3933825"/>
                <wp:effectExtent l="0" t="0" r="0" b="952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7"/>
                        <a:stretch/>
                      </pic:blipFill>
                      <pic:spPr bwMode="auto">
                        <a:xfrm>
                          <a:off x="0" y="0"/>
                          <a:ext cx="5238750" cy="39338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2.5pt;height:309.8pt;mso-wrap-distance-left:0.0pt;mso-wrap-distance-top:0.0pt;mso-wrap-distance-right:0.0pt;mso-wrap-distance-bottom:0.0pt;" stroked="f">
                <v:path textboxrect="0,0,0,0"/>
                <v:imagedata r:id="rId17" o:title=""/>
              </v:shape>
            </w:pict>
          </mc:Fallback>
        </mc:AlternateContent>
      </w:r>
      <w:r/>
    </w:p>
    <w:p>
      <w:pPr>
        <w:jc w:val="center"/>
        <w:rPr>
          <w:rFonts w:hint="eastAsia" w:ascii="宋体" w:hAnsi="宋体"/>
          <w:color w:val="000000" w:themeColor="text1"/>
          <w:sz w:val="36"/>
          <w14:textFill>
            <w14:solidFill>
              <w14:schemeClr w14:val="tx1"/>
            </w14:solidFill>
          </w14:textFill>
        </w:rPr>
      </w:pPr>
      <w:r>
        <w:rPr>
          <w:rFonts w:hint="eastAsia" w:ascii="宋体" w:hAnsi="宋体"/>
          <w:color w:val="000000" w:themeColor="text1"/>
          <w:sz w:val="36"/>
          <w14:textFill>
            <w14:solidFill>
              <w14:schemeClr w14:val="tx1"/>
            </w14:solidFill>
          </w14:textFill>
        </w:rPr>
      </w:r>
      <w:r/>
    </w:p>
    <w:p>
      <w:pPr>
        <w:jc w:val="center"/>
        <w:spacing w:line="360" w:lineRule="auto"/>
        <w:rPr>
          <w:rFonts w:hint="eastAsia" w:ascii="宋体" w:hAnsi="宋体"/>
          <w:b/>
          <w:bCs/>
          <w:color w:val="000000" w:themeColor="text1"/>
          <w:sz w:val="36"/>
          <w14:textFill>
            <w14:solidFill>
              <w14:schemeClr w14:val="tx1"/>
            </w14:solidFill>
          </w14:textFill>
        </w:rPr>
      </w:pPr>
      <w:r>
        <w:rPr>
          <w:rFonts w:hint="eastAsia" w:ascii="宋体" w:hAnsi="宋体"/>
          <w:b/>
          <w:bCs/>
          <w:color w:val="000000" w:themeColor="text1"/>
          <w:sz w:val="36"/>
          <w14:textFill>
            <w14:solidFill>
              <w14:schemeClr w14:val="tx1"/>
            </w14:solidFill>
          </w14:textFill>
        </w:rPr>
      </w:r>
      <w:r/>
    </w:p>
    <w:p>
      <w:pPr>
        <w:jc w:val="center"/>
        <w:spacing w:line="360" w:lineRule="auto"/>
        <w:rPr>
          <w:rFonts w:hint="eastAsia" w:ascii="宋体" w:hAnsi="宋体"/>
          <w:b/>
          <w:bCs/>
          <w:color w:val="000000" w:themeColor="text1"/>
          <w:sz w:val="36"/>
          <w14:textFill>
            <w14:solidFill>
              <w14:schemeClr w14:val="tx1"/>
            </w14:solidFill>
          </w14:textFill>
        </w:rPr>
      </w:pPr>
      <w:r>
        <w:rPr>
          <w:rFonts w:hint="eastAsia" w:ascii="宋体" w:hAnsi="宋体"/>
          <w:b/>
          <w:bCs/>
          <w:color w:val="000000" w:themeColor="text1"/>
          <w:sz w:val="36"/>
          <w14:textFill>
            <w14:solidFill>
              <w14:schemeClr w14:val="tx1"/>
            </w14:solidFill>
          </w14:textFill>
        </w:rPr>
        <w:t xml:space="preserve">江苏富华工程造价咨询有限公司</w:t>
      </w:r>
      <w:r/>
    </w:p>
    <w:p>
      <w:pPr>
        <w:jc w:val="center"/>
        <w:spacing w:line="360" w:lineRule="auto"/>
        <w:rPr>
          <w:rFonts w:hint="eastAsia" w:ascii="宋体" w:hAnsi="宋体"/>
          <w:color w:val="000000" w:themeColor="text1"/>
          <w:sz w:val="36"/>
          <w14:textFill>
            <w14:solidFill>
              <w14:schemeClr w14:val="tx1"/>
            </w14:solidFill>
          </w14:textFill>
        </w:rPr>
      </w:pPr>
      <w:r/>
      <w:bookmarkStart w:id="0" w:name="OLE_LINK15"/>
      <w:r>
        <w:rPr>
          <w:rFonts w:hint="eastAsia" w:ascii="宋体" w:hAnsi="宋体"/>
          <w:b/>
          <w:bCs/>
          <w:color w:val="000000" w:themeColor="text1"/>
          <w:sz w:val="36"/>
          <w14:textFill>
            <w14:solidFill>
              <w14:schemeClr w14:val="tx1"/>
            </w14:solidFill>
          </w14:textFill>
        </w:rPr>
        <w:t xml:space="preserve">2026年</w:t>
      </w:r>
      <w:r>
        <w:rPr>
          <w:rFonts w:hint="eastAsia" w:ascii="宋体" w:hAnsi="宋体"/>
          <w:b/>
          <w:bCs/>
          <w:color w:val="000000" w:themeColor="text1"/>
          <w:sz w:val="36"/>
          <w:lang w:val="en-US" w:eastAsia="zh-CN"/>
          <w14:textFill>
            <w14:solidFill>
              <w14:schemeClr w14:val="tx1"/>
            </w14:solidFill>
          </w14:textFill>
        </w:rPr>
        <w:t xml:space="preserve">5</w:t>
      </w:r>
      <w:r>
        <w:rPr>
          <w:rFonts w:hint="eastAsia" w:ascii="宋体" w:hAnsi="宋体"/>
          <w:b/>
          <w:bCs/>
          <w:color w:val="000000" w:themeColor="text1"/>
          <w:sz w:val="36"/>
          <w14:textFill>
            <w14:solidFill>
              <w14:schemeClr w14:val="tx1"/>
            </w14:solidFill>
          </w14:textFill>
        </w:rPr>
        <w:t xml:space="preserve">月</w:t>
      </w:r>
      <w:bookmarkEnd w:id="0"/>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rPr>
          <w:rFonts w:hint="eastAsia" w:ascii="宋体" w:hAnsi="宋体"/>
          <w:color w:val="000000" w:themeColor="text1"/>
          <w:sz w:val="32"/>
          <w14:textFill>
            <w14:solidFill>
              <w14:schemeClr w14:val="tx1"/>
            </w14:solidFill>
          </w14:textFill>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themeColor="text1"/>
          <w:sz w:val="32"/>
          <w14:textFill>
            <w14:solidFill>
              <w14:schemeClr w14:val="tx1"/>
            </w14:solidFill>
          </w14:textFill>
        </w:rPr>
      </w:r>
      <w:r/>
    </w:p>
    <w:p>
      <w:pPr>
        <w:jc w:val="center"/>
        <w:spacing w:line="480" w:lineRule="auto"/>
        <w:rPr>
          <w:rFonts w:hint="eastAsia"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t xml:space="preserve">目 录</w:t>
      </w:r>
      <w:r/>
    </w:p>
    <w:p>
      <w:pPr>
        <w:pStyle w:val="761"/>
        <w:spacing w:after="0" w:line="360" w:lineRule="auto"/>
        <w:tabs>
          <w:tab w:val="right" w:pos="8296" w:leader="dot"/>
        </w:tabs>
        <w:rPr>
          <w:rFonts w:hint="eastAsia" w:ascii="宋体" w:hAnsi="宋体" w:cstheme="minorBidi"/>
          <w:color w:val="000000" w:themeColor="text1"/>
          <w:sz w:val="28"/>
          <w:szCs w:val="32"/>
          <w14:textFill>
            <w14:solidFill>
              <w14:schemeClr w14:val="tx1"/>
            </w14:solidFill>
          </w14:textFill>
          <w14:ligatures w14:val="standardContextual"/>
        </w:rPr>
      </w:pPr>
      <w:r>
        <w:rPr>
          <w:rFonts w:hint="eastAsia" w:ascii="宋体" w:hAnsi="宋体"/>
          <w:color w:val="000000" w:themeColor="text1"/>
          <w:sz w:val="36"/>
          <w:szCs w:val="28"/>
          <w14:textFill>
            <w14:solidFill>
              <w14:schemeClr w14:val="tx1"/>
            </w14:solidFill>
          </w14:textFill>
        </w:rPr>
        <w:fldChar w:fldCharType="begin"/>
      </w:r>
      <w:r>
        <w:rPr>
          <w:rFonts w:hint="eastAsia" w:ascii="宋体" w:hAnsi="宋体"/>
          <w:color w:val="000000" w:themeColor="text1"/>
          <w:sz w:val="36"/>
          <w:szCs w:val="28"/>
          <w14:textFill>
            <w14:solidFill>
              <w14:schemeClr w14:val="tx1"/>
            </w14:solidFill>
          </w14:textFill>
        </w:rPr>
        <w:instrText xml:space="preserve"> TOC \o "1-3" \f </w:instrText>
      </w:r>
      <w:r>
        <w:rPr>
          <w:rFonts w:hint="eastAsia" w:ascii="宋体" w:hAnsi="宋体"/>
          <w:color w:val="000000" w:themeColor="text1"/>
          <w:sz w:val="36"/>
          <w:szCs w:val="28"/>
          <w14:textFill>
            <w14:solidFill>
              <w14:schemeClr w14:val="tx1"/>
            </w14:solidFill>
          </w14:textFill>
        </w:rPr>
        <w:fldChar w:fldCharType="separate"/>
      </w:r>
      <w:r>
        <w:rPr>
          <w:rFonts w:hint="eastAsia" w:ascii="宋体" w:hAnsi="宋体"/>
          <w:color w:val="000000" w:themeColor="text1"/>
          <w:sz w:val="24"/>
          <w:szCs w:val="28"/>
          <w14:textFill>
            <w14:solidFill>
              <w14:schemeClr w14:val="tx1"/>
            </w14:solidFill>
          </w14:textFill>
        </w:rPr>
        <w:t xml:space="preserve">第一章 招标公告</w:t>
      </w:r>
      <w:r>
        <w:rPr>
          <w:rFonts w:hint="eastAsia" w:ascii="宋体" w:hAnsi="宋体"/>
          <w:color w:val="000000" w:themeColor="text1"/>
          <w:sz w:val="24"/>
          <w:szCs w:val="28"/>
          <w14:textFill>
            <w14:solidFill>
              <w14:schemeClr w14:val="tx1"/>
            </w14:solidFill>
          </w14:textFill>
        </w:rPr>
        <w:tab/>
      </w:r>
      <w:r>
        <w:rPr>
          <w:rFonts w:hint="eastAsia" w:ascii="宋体" w:hAnsi="宋体"/>
          <w:color w:val="000000" w:themeColor="text1"/>
          <w:sz w:val="24"/>
          <w:szCs w:val="28"/>
          <w14:textFill>
            <w14:solidFill>
              <w14:schemeClr w14:val="tx1"/>
            </w14:solidFill>
          </w14:textFill>
        </w:rPr>
        <w:t xml:space="preserve">2</w:t>
      </w:r>
      <w:r>
        <w:rPr>
          <w:rFonts w:hint="eastAsia" w:ascii="宋体" w:hAnsi="宋体"/>
          <w:color w:val="000000" w:themeColor="text1"/>
          <w:sz w:val="24"/>
          <w:szCs w:val="28"/>
          <w14:textFill>
            <w14:solidFill>
              <w14:schemeClr w14:val="tx1"/>
            </w14:solidFill>
          </w14:textFill>
        </w:rPr>
      </w:r>
      <w:r/>
    </w:p>
    <w:p>
      <w:pPr>
        <w:pStyle w:val="761"/>
        <w:spacing w:after="0" w:line="360" w:lineRule="auto"/>
        <w:tabs>
          <w:tab w:val="right" w:pos="8296" w:leader="dot"/>
        </w:tabs>
        <w:rPr>
          <w:rFonts w:hint="eastAsia" w:ascii="宋体" w:hAnsi="宋体" w:cstheme="minorBidi"/>
          <w:color w:val="000000" w:themeColor="text1"/>
          <w:sz w:val="28"/>
          <w:szCs w:val="32"/>
          <w14:textFill>
            <w14:solidFill>
              <w14:schemeClr w14:val="tx1"/>
            </w14:solidFill>
          </w14:textFill>
          <w14:ligatures w14:val="standardContextual"/>
        </w:rPr>
      </w:pPr>
      <w:r>
        <w:rPr>
          <w:rFonts w:hint="eastAsia" w:ascii="宋体" w:hAnsi="宋体"/>
          <w:color w:val="000000" w:themeColor="text1"/>
          <w:sz w:val="24"/>
          <w:szCs w:val="28"/>
          <w14:textFill>
            <w14:solidFill>
              <w14:schemeClr w14:val="tx1"/>
            </w14:solidFill>
          </w14:textFill>
        </w:rPr>
        <w:t xml:space="preserve">第二章 投标人须知</w:t>
      </w:r>
      <w:r>
        <w:rPr>
          <w:rFonts w:hint="eastAsia" w:ascii="宋体" w:hAnsi="宋体"/>
          <w:color w:val="000000" w:themeColor="text1"/>
          <w:sz w:val="24"/>
          <w:szCs w:val="28"/>
          <w14:textFill>
            <w14:solidFill>
              <w14:schemeClr w14:val="tx1"/>
            </w14:solidFill>
          </w14:textFill>
        </w:rPr>
        <w:tab/>
      </w:r>
      <w:r>
        <w:rPr>
          <w:rFonts w:hint="eastAsia" w:ascii="宋体" w:hAnsi="宋体"/>
          <w:color w:val="000000" w:themeColor="text1"/>
          <w:sz w:val="24"/>
          <w:szCs w:val="28"/>
          <w14:textFill>
            <w14:solidFill>
              <w14:schemeClr w14:val="tx1"/>
            </w14:solidFill>
          </w14:textFill>
        </w:rPr>
        <w:t xml:space="preserve">6</w:t>
      </w:r>
      <w:r>
        <w:rPr>
          <w:rFonts w:hint="eastAsia" w:ascii="宋体" w:hAnsi="宋体"/>
          <w:color w:val="000000" w:themeColor="text1"/>
          <w:sz w:val="24"/>
          <w:szCs w:val="28"/>
          <w14:textFill>
            <w14:solidFill>
              <w14:schemeClr w14:val="tx1"/>
            </w14:solidFill>
          </w14:textFill>
        </w:rPr>
      </w:r>
      <w:r/>
    </w:p>
    <w:p>
      <w:pPr>
        <w:pStyle w:val="761"/>
        <w:spacing w:after="0" w:line="360" w:lineRule="auto"/>
        <w:tabs>
          <w:tab w:val="right" w:pos="8296" w:leader="dot"/>
        </w:tabs>
        <w:rPr>
          <w:rFonts w:hint="eastAsia" w:ascii="宋体" w:hAnsi="宋体" w:cstheme="minorBidi"/>
          <w:color w:val="000000" w:themeColor="text1"/>
          <w:sz w:val="28"/>
          <w:szCs w:val="32"/>
          <w14:textFill>
            <w14:solidFill>
              <w14:schemeClr w14:val="tx1"/>
            </w14:solidFill>
          </w14:textFill>
          <w14:ligatures w14:val="standardContextual"/>
        </w:rPr>
      </w:pPr>
      <w:r>
        <w:rPr>
          <w:rFonts w:hint="eastAsia" w:ascii="宋体" w:hAnsi="宋体"/>
          <w:color w:val="000000" w:themeColor="text1"/>
          <w:sz w:val="24"/>
          <w:szCs w:val="28"/>
          <w14:textFill>
            <w14:solidFill>
              <w14:schemeClr w14:val="tx1"/>
            </w14:solidFill>
          </w14:textFill>
        </w:rPr>
        <w:t xml:space="preserve">第三章 合同条款及格式</w:t>
      </w:r>
      <w:r>
        <w:rPr>
          <w:rFonts w:hint="eastAsia" w:ascii="宋体" w:hAnsi="宋体"/>
          <w:color w:val="000000" w:themeColor="text1"/>
          <w:sz w:val="24"/>
          <w:szCs w:val="28"/>
          <w14:textFill>
            <w14:solidFill>
              <w14:schemeClr w14:val="tx1"/>
            </w14:solidFill>
          </w14:textFill>
        </w:rPr>
        <w:tab/>
      </w:r>
      <w:r>
        <w:rPr>
          <w:rFonts w:hint="eastAsia" w:ascii="宋体" w:hAnsi="宋体"/>
          <w:color w:val="000000" w:themeColor="text1"/>
          <w:sz w:val="24"/>
          <w:szCs w:val="28"/>
          <w14:textFill>
            <w14:solidFill>
              <w14:schemeClr w14:val="tx1"/>
            </w14:solidFill>
          </w14:textFill>
        </w:rPr>
        <w:t xml:space="preserve">7</w:t>
      </w:r>
      <w:r/>
    </w:p>
    <w:p>
      <w:pPr>
        <w:pStyle w:val="761"/>
        <w:spacing w:after="0" w:line="360" w:lineRule="auto"/>
        <w:tabs>
          <w:tab w:val="right" w:pos="8296" w:leader="dot"/>
        </w:tabs>
        <w:rPr>
          <w:rFonts w:hint="eastAsia" w:ascii="宋体" w:hAnsi="宋体" w:cstheme="minorBidi"/>
          <w:color w:val="000000" w:themeColor="text1"/>
          <w:sz w:val="28"/>
          <w:szCs w:val="32"/>
          <w14:textFill>
            <w14:solidFill>
              <w14:schemeClr w14:val="tx1"/>
            </w14:solidFill>
          </w14:textFill>
          <w14:ligatures w14:val="standardContextual"/>
        </w:rPr>
      </w:pPr>
      <w:r>
        <w:rPr>
          <w:rFonts w:hint="eastAsia" w:ascii="宋体" w:hAnsi="宋体"/>
          <w:color w:val="000000" w:themeColor="text1"/>
          <w:sz w:val="24"/>
          <w:szCs w:val="28"/>
          <w14:textFill>
            <w14:solidFill>
              <w14:schemeClr w14:val="tx1"/>
            </w14:solidFill>
          </w14:textFill>
        </w:rPr>
        <w:t xml:space="preserve">第四章 项目需求</w:t>
      </w:r>
      <w:r>
        <w:rPr>
          <w:rFonts w:hint="eastAsia" w:ascii="宋体" w:hAnsi="宋体"/>
          <w:color w:val="000000" w:themeColor="text1"/>
          <w:sz w:val="24"/>
          <w:szCs w:val="28"/>
          <w14:textFill>
            <w14:solidFill>
              <w14:schemeClr w14:val="tx1"/>
            </w14:solidFill>
          </w14:textFill>
        </w:rPr>
        <w:tab/>
      </w:r>
      <w:r>
        <w:rPr>
          <w:rFonts w:hint="eastAsia" w:ascii="宋体" w:hAnsi="宋体"/>
          <w:color w:val="000000" w:themeColor="text1"/>
          <w:sz w:val="24"/>
          <w:szCs w:val="28"/>
          <w14:textFill>
            <w14:solidFill>
              <w14:schemeClr w14:val="tx1"/>
            </w14:solidFill>
          </w14:textFill>
        </w:rPr>
        <w:t xml:space="preserve">33</w:t>
      </w:r>
      <w:r/>
    </w:p>
    <w:p>
      <w:pPr>
        <w:pStyle w:val="761"/>
        <w:spacing w:after="0" w:line="360" w:lineRule="auto"/>
        <w:tabs>
          <w:tab w:val="right" w:pos="8296" w:leader="dot"/>
        </w:tabs>
        <w:rPr>
          <w:rFonts w:hint="eastAsia" w:ascii="宋体" w:hAnsi="宋体" w:cstheme="minorBidi"/>
          <w:color w:val="000000" w:themeColor="text1"/>
          <w:sz w:val="28"/>
          <w:szCs w:val="32"/>
          <w14:textFill>
            <w14:solidFill>
              <w14:schemeClr w14:val="tx1"/>
            </w14:solidFill>
          </w14:textFill>
          <w14:ligatures w14:val="standardContextual"/>
        </w:rPr>
      </w:pPr>
      <w:r>
        <w:rPr>
          <w:rFonts w:hint="eastAsia" w:ascii="宋体" w:hAnsi="宋体"/>
          <w:color w:val="000000" w:themeColor="text1"/>
          <w:sz w:val="24"/>
          <w:szCs w:val="28"/>
          <w14:textFill>
            <w14:solidFill>
              <w14:schemeClr w14:val="tx1"/>
            </w14:solidFill>
          </w14:textFill>
        </w:rPr>
        <w:t xml:space="preserve">第五章 评标方法及评标标准</w:t>
      </w:r>
      <w:r>
        <w:rPr>
          <w:rFonts w:hint="eastAsia" w:ascii="宋体" w:hAnsi="宋体"/>
          <w:color w:val="000000" w:themeColor="text1"/>
          <w:sz w:val="24"/>
          <w:szCs w:val="28"/>
          <w14:textFill>
            <w14:solidFill>
              <w14:schemeClr w14:val="tx1"/>
            </w14:solidFill>
          </w14:textFill>
        </w:rPr>
        <w:tab/>
      </w:r>
      <w:r>
        <w:rPr>
          <w:rFonts w:hint="eastAsia" w:ascii="宋体" w:hAnsi="宋体"/>
          <w:color w:val="000000" w:themeColor="text1"/>
          <w:sz w:val="24"/>
          <w:szCs w:val="28"/>
          <w14:textFill>
            <w14:solidFill>
              <w14:schemeClr w14:val="tx1"/>
            </w14:solidFill>
          </w14:textFill>
        </w:rPr>
        <w:t xml:space="preserve">56</w:t>
      </w:r>
      <w:r>
        <w:rPr>
          <w:rFonts w:hint="eastAsia" w:ascii="宋体" w:hAnsi="宋体"/>
          <w:color w:val="000000" w:themeColor="text1"/>
          <w:sz w:val="24"/>
          <w:szCs w:val="28"/>
          <w14:textFill>
            <w14:solidFill>
              <w14:schemeClr w14:val="tx1"/>
            </w14:solidFill>
          </w14:textFill>
        </w:rPr>
      </w:r>
      <w:r/>
    </w:p>
    <w:p>
      <w:pPr>
        <w:pStyle w:val="761"/>
        <w:spacing w:after="0" w:line="360" w:lineRule="auto"/>
        <w:tabs>
          <w:tab w:val="right" w:pos="8296" w:leader="dot"/>
        </w:tabs>
        <w:rPr>
          <w:rFonts w:hint="eastAsia" w:ascii="宋体" w:hAnsi="宋体" w:cstheme="minorBidi"/>
          <w:color w:val="000000" w:themeColor="text1"/>
          <w:sz w:val="28"/>
          <w:szCs w:val="32"/>
          <w14:textFill>
            <w14:solidFill>
              <w14:schemeClr w14:val="tx1"/>
            </w14:solidFill>
          </w14:textFill>
          <w14:ligatures w14:val="standardContextual"/>
        </w:rPr>
      </w:pPr>
      <w:r>
        <w:rPr>
          <w:rFonts w:hint="eastAsia" w:ascii="宋体" w:hAnsi="宋体"/>
          <w:color w:val="000000" w:themeColor="text1"/>
          <w:sz w:val="24"/>
          <w:szCs w:val="28"/>
          <w14:textFill>
            <w14:solidFill>
              <w14:schemeClr w14:val="tx1"/>
            </w14:solidFill>
          </w14:textFill>
        </w:rPr>
        <w:t xml:space="preserve">第六章 投标文件格式</w:t>
      </w:r>
      <w:r>
        <w:rPr>
          <w:rFonts w:hint="eastAsia" w:ascii="宋体" w:hAnsi="宋体"/>
          <w:color w:val="000000" w:themeColor="text1"/>
          <w:sz w:val="24"/>
          <w:szCs w:val="28"/>
          <w14:textFill>
            <w14:solidFill>
              <w14:schemeClr w14:val="tx1"/>
            </w14:solidFill>
          </w14:textFill>
        </w:rPr>
        <w:tab/>
      </w:r>
      <w:r>
        <w:rPr>
          <w:rFonts w:hint="eastAsia" w:ascii="宋体" w:hAnsi="宋体"/>
          <w:color w:val="000000" w:themeColor="text1"/>
          <w:sz w:val="24"/>
          <w:szCs w:val="28"/>
          <w14:textFill>
            <w14:solidFill>
              <w14:schemeClr w14:val="tx1"/>
            </w14:solidFill>
          </w14:textFill>
        </w:rPr>
        <w:t xml:space="preserve">61</w:t>
      </w:r>
      <w:r/>
    </w:p>
    <w:p>
      <w:pPr>
        <w:spacing w:line="360" w:lineRule="auto"/>
        <w:rPr>
          <w:rFonts w:hint="eastAsia" w:ascii="宋体" w:hAnsi="宋体"/>
          <w:color w:val="000000" w:themeColor="text1"/>
          <w:sz w:val="28"/>
          <w14:textFill>
            <w14:solidFill>
              <w14:schemeClr w14:val="tx1"/>
            </w14:solidFill>
          </w14:textFill>
        </w:rPr>
      </w:pPr>
      <w:r>
        <w:rPr>
          <w:rFonts w:hint="eastAsia" w:ascii="宋体" w:hAnsi="宋体"/>
          <w:color w:val="000000" w:themeColor="text1"/>
          <w:sz w:val="36"/>
          <w:szCs w:val="28"/>
          <w14:textFill>
            <w14:solidFill>
              <w14:schemeClr w14:val="tx1"/>
            </w14:solidFill>
          </w14:textFill>
        </w:rPr>
        <w:fldChar w:fldCharType="end"/>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sz w:val="28"/>
          <w14:textFill>
            <w14:solidFill>
              <w14:schemeClr w14:val="tx1"/>
            </w14:solidFill>
          </w14:textFill>
        </w:rPr>
        <w:br w:type="page" w:clear="all"/>
      </w:r>
      <w:r/>
    </w:p>
    <w:p>
      <w:pPr>
        <w:pStyle w:val="734"/>
        <w:jc w:val="center"/>
        <w:spacing w:line="360" w:lineRule="auto"/>
        <w:rPr>
          <w:rFonts w:hint="eastAsia" w:ascii="宋体" w:hAnsi="宋体"/>
          <w:color w:val="000000" w:themeColor="text1"/>
          <w:szCs w:val="36"/>
          <w14:textFill>
            <w14:solidFill>
              <w14:schemeClr w14:val="tx1"/>
            </w14:solidFill>
          </w14:textFill>
        </w:rPr>
      </w:pPr>
      <w:r/>
      <w:bookmarkStart w:id="1" w:name="_Toc190211624"/>
      <w:r/>
      <w:bookmarkStart w:id="2" w:name="_Toc55204177"/>
      <w:r>
        <w:rPr>
          <w:rFonts w:hint="eastAsia" w:ascii="宋体" w:hAnsi="宋体"/>
          <w:color w:val="000000" w:themeColor="text1"/>
          <w:szCs w:val="36"/>
          <w14:textFill>
            <w14:solidFill>
              <w14:schemeClr w14:val="tx1"/>
            </w14:solidFill>
          </w14:textFill>
        </w:rPr>
        <w:t xml:space="preserve">第一章 </w:t>
      </w:r>
      <w:r>
        <w:rPr>
          <w:rFonts w:hint="eastAsia" w:ascii="宋体" w:hAnsi="宋体"/>
          <w:color w:val="000000" w:themeColor="text1"/>
          <w:szCs w:val="36"/>
          <w:lang w:eastAsia="zh-CN"/>
          <w14:textFill>
            <w14:solidFill>
              <w14:schemeClr w14:val="tx1"/>
            </w14:solidFill>
          </w14:textFill>
        </w:rPr>
        <w:t xml:space="preserve">扬州市江都区武坚镇智能高压电气小镇客厅项目家具采购及安装（第一批）</w:t>
      </w:r>
      <w:r>
        <w:rPr>
          <w:rFonts w:hint="eastAsia" w:ascii="宋体" w:hAnsi="宋体"/>
          <w:color w:val="000000" w:themeColor="text1"/>
          <w:szCs w:val="36"/>
          <w14:textFill>
            <w14:solidFill>
              <w14:schemeClr w14:val="tx1"/>
            </w14:solidFill>
          </w14:textFill>
        </w:rPr>
        <w:t xml:space="preserve">招标公告</w:t>
      </w:r>
      <w:bookmarkEnd w:id="1"/>
      <w:r/>
      <w:bookmarkEnd w:id="2"/>
      <w:r/>
      <w:r/>
    </w:p>
    <w:p>
      <w:pPr>
        <w:ind w:firstLine="420"/>
        <w:spacing w:line="360" w:lineRule="auto"/>
        <w:tabs>
          <w:tab w:val="left" w:pos="26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受</w:t>
      </w:r>
      <w:r>
        <w:rPr>
          <w:rFonts w:hint="eastAsia" w:ascii="宋体" w:hAnsi="宋体" w:cs="宋体"/>
          <w:color w:val="000000" w:themeColor="text1"/>
          <w:lang w:eastAsia="zh-CN"/>
          <w14:textFill>
            <w14:solidFill>
              <w14:schemeClr w14:val="tx1"/>
            </w14:solidFill>
          </w14:textFill>
        </w:rPr>
        <w:t xml:space="preserve">扬州市江都区武坚镇人民政府</w:t>
      </w:r>
      <w:r>
        <w:rPr>
          <w:rFonts w:hint="eastAsia" w:ascii="宋体" w:hAnsi="宋体" w:cs="宋体"/>
          <w:color w:val="000000" w:themeColor="text1"/>
          <w14:textFill>
            <w14:solidFill>
              <w14:schemeClr w14:val="tx1"/>
            </w14:solidFill>
          </w14:textFill>
        </w:rPr>
        <w:t xml:space="preserve">的委托，江苏富华工程造价咨询有限公司就</w:t>
      </w:r>
      <w:r>
        <w:rPr>
          <w:rFonts w:hint="eastAsia" w:ascii="宋体" w:hAnsi="宋体" w:cs="宋体"/>
          <w:color w:val="000000" w:themeColor="text1"/>
          <w:lang w:eastAsia="zh-CN"/>
          <w14:textFill>
            <w14:solidFill>
              <w14:schemeClr w14:val="tx1"/>
            </w14:solidFill>
          </w14:textFill>
        </w:rPr>
        <w:t xml:space="preserve">扬州市江都区武坚镇智能高压电气小镇客厅项目家具采购及安装（第一批）</w:t>
      </w:r>
      <w:r>
        <w:rPr>
          <w:rFonts w:hint="eastAsia" w:ascii="宋体" w:hAnsi="宋体" w:cs="宋体"/>
          <w:color w:val="000000" w:themeColor="text1"/>
          <w14:textFill>
            <w14:solidFill>
              <w14:schemeClr w14:val="tx1"/>
            </w14:solidFill>
          </w14:textFill>
        </w:rPr>
        <w:t xml:space="preserve">进行公开招标采购，欢迎符合条件的</w:t>
      </w:r>
      <w:r>
        <w:rPr>
          <w:rFonts w:hint="eastAsia" w:ascii="宋体" w:hAnsi="宋体" w:cs="宋体"/>
          <w:color w:val="000000" w:themeColor="text1"/>
          <w:lang w:val="en-US" w:eastAsia="zh-CN"/>
          <w14:textFill>
            <w14:solidFill>
              <w14:schemeClr w14:val="tx1"/>
            </w14:solidFill>
          </w14:textFill>
        </w:rPr>
        <w:t xml:space="preserve">投标人</w:t>
      </w:r>
      <w:r>
        <w:rPr>
          <w:rFonts w:hint="eastAsia" w:ascii="宋体" w:hAnsi="宋体" w:cs="宋体"/>
          <w:color w:val="000000" w:themeColor="text1"/>
          <w14:textFill>
            <w14:solidFill>
              <w14:schemeClr w14:val="tx1"/>
            </w14:solidFill>
          </w14:textFill>
        </w:rPr>
        <w:t xml:space="preserve">投标。</w:t>
      </w:r>
      <w:r/>
    </w:p>
    <w:p>
      <w:pPr>
        <w:ind w:firstLine="422"/>
        <w:spacing w:line="360" w:lineRule="auto"/>
        <w:rPr>
          <w:rFonts w:hint="eastAsia" w:ascii="宋体" w:hAnsi="宋体" w:cs="宋体"/>
          <w:b/>
          <w:bCs/>
          <w:color w:val="000000" w:themeColor="text1"/>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themeColor="text1"/>
          <w14:textFill>
            <w14:solidFill>
              <w14:schemeClr w14:val="tx1"/>
            </w14:solidFill>
          </w14:textFill>
        </w:rPr>
        <w:t xml:space="preserve">项目概况</w:t>
      </w:r>
      <w:r/>
    </w:p>
    <w:p>
      <w:pPr>
        <w:ind w:firstLine="420"/>
        <w:spacing w:line="360" w:lineRule="auto"/>
        <w:rPr>
          <w:rFonts w:hint="eastAsia" w:ascii="宋体" w:hAnsi="宋体" w:cs="宋体"/>
          <w:color w:val="000000" w:themeColor="text1"/>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u w:val="single"/>
          <w:lang w:eastAsia="zh-CN"/>
          <w14:textFill>
            <w14:solidFill>
              <w14:schemeClr w14:val="tx1"/>
            </w14:solidFill>
          </w14:textFill>
        </w:rPr>
        <w:t xml:space="preserve">扬州市江都区武坚镇智能高压电气小镇客厅项目家具采购及安装（第一批）</w:t>
      </w:r>
      <w:r>
        <w:rPr>
          <w:rFonts w:hint="eastAsia" w:ascii="宋体" w:hAnsi="宋体" w:cs="宋体"/>
          <w:color w:val="000000" w:themeColor="text1"/>
          <w14:textFill>
            <w14:solidFill>
              <w14:schemeClr w14:val="tx1"/>
            </w14:solidFill>
          </w14:textFill>
        </w:rPr>
        <w:t xml:space="preserve">的潜在投标人可在</w:t>
      </w:r>
      <w:r>
        <w:rPr>
          <w:rFonts w:hint="eastAsia" w:ascii="宋体" w:hAnsi="宋体" w:cs="宋体"/>
          <w:color w:val="000000" w:themeColor="text1"/>
          <w:u w:val="single"/>
          <w14:textFill>
            <w14:solidFill>
              <w14:schemeClr w14:val="tx1"/>
            </w14:solidFill>
          </w14:textFill>
        </w:rPr>
        <w:t xml:space="preserve">“扬州市政府采购网”、“江苏政府采购网”、“中国政府采购网”自行免费下载</w:t>
      </w:r>
      <w:r>
        <w:rPr>
          <w:rFonts w:hint="eastAsia" w:ascii="宋体" w:hAnsi="宋体" w:cs="宋体"/>
          <w:color w:val="000000" w:themeColor="text1"/>
          <w14:textFill>
            <w14:solidFill>
              <w14:schemeClr w14:val="tx1"/>
            </w14:solidFill>
          </w14:textFill>
        </w:rPr>
        <w:t xml:space="preserve">招标文件，并于</w:t>
      </w:r>
      <w:r>
        <w:rPr>
          <w:rFonts w:hint="eastAsia" w:ascii="宋体" w:hAnsi="宋体" w:cs="宋体"/>
          <w:bCs/>
          <w:color w:val="000000" w:themeColor="text1"/>
          <w:u w:val="single"/>
          <w14:textFill>
            <w14:solidFill>
              <w14:schemeClr w14:val="tx1"/>
            </w14:solidFill>
          </w14:textFill>
        </w:rPr>
        <w:t xml:space="preserve">2026年</w:t>
      </w:r>
      <w:r>
        <w:rPr>
          <w:rFonts w:hint="eastAsia" w:ascii="宋体" w:hAnsi="宋体" w:cs="宋体"/>
          <w:bCs/>
          <w:color w:val="000000" w:themeColor="text1"/>
          <w:u w:val="single"/>
          <w:lang w:val="en-US" w:eastAsia="zh-CN"/>
          <w14:textFill>
            <w14:solidFill>
              <w14:schemeClr w14:val="tx1"/>
            </w14:solidFill>
          </w14:textFill>
        </w:rPr>
        <w:t xml:space="preserve">6</w:t>
      </w:r>
      <w:r>
        <w:rPr>
          <w:rFonts w:hint="eastAsia" w:ascii="宋体" w:hAnsi="宋体" w:cs="宋体"/>
          <w:bCs/>
          <w:color w:val="000000" w:themeColor="text1"/>
          <w:u w:val="single"/>
          <w14:textFill>
            <w14:solidFill>
              <w14:schemeClr w14:val="tx1"/>
            </w14:solidFill>
          </w14:textFill>
        </w:rPr>
        <w:t xml:space="preserve">月</w:t>
      </w:r>
      <w:r>
        <w:rPr>
          <w:rFonts w:hint="eastAsia" w:ascii="宋体" w:hAnsi="宋体" w:cs="宋体"/>
          <w:bCs/>
          <w:color w:val="000000" w:themeColor="text1"/>
          <w:u w:val="single"/>
          <w:lang w:val="en-US" w:eastAsia="zh-CN"/>
          <w14:textFill>
            <w14:solidFill>
              <w14:schemeClr w14:val="tx1"/>
            </w14:solidFill>
          </w14:textFill>
        </w:rPr>
        <w:t xml:space="preserve">15</w:t>
      </w:r>
      <w:r>
        <w:rPr>
          <w:rFonts w:hint="eastAsia" w:ascii="宋体" w:hAnsi="宋体" w:cs="宋体"/>
          <w:bCs/>
          <w:color w:val="000000" w:themeColor="text1"/>
          <w:u w:val="single"/>
          <w14:textFill>
            <w14:solidFill>
              <w14:schemeClr w14:val="tx1"/>
            </w14:solidFill>
          </w14:textFill>
        </w:rPr>
        <w:t xml:space="preserve">日 上午 09:30</w:t>
      </w:r>
      <w:r>
        <w:rPr>
          <w:rFonts w:hint="eastAsia" w:ascii="宋体" w:hAnsi="宋体" w:cs="宋体"/>
          <w:bCs/>
          <w:color w:val="000000" w:themeColor="text1"/>
          <w14:textFill>
            <w14:solidFill>
              <w14:schemeClr w14:val="tx1"/>
            </w14:solidFill>
          </w14:textFill>
        </w:rPr>
        <w:t xml:space="preserve">（北京时间）前递交投标文件</w:t>
      </w:r>
      <w:r>
        <w:rPr>
          <w:rFonts w:hint="eastAsia" w:ascii="宋体" w:hAnsi="宋体" w:cs="宋体"/>
          <w:color w:val="000000" w:themeColor="text1"/>
          <w14:textFill>
            <w14:solidFill>
              <w14:schemeClr w14:val="tx1"/>
            </w14:solidFill>
          </w14:textFill>
        </w:rPr>
        <w:t xml:space="preserve">。</w:t>
      </w:r>
      <w:r/>
    </w:p>
    <w:p>
      <w:pPr>
        <w:spacing w:line="360" w:lineRule="auto"/>
        <w:tabs>
          <w:tab w:val="left" w:pos="266" w:leader="none"/>
        </w:tabs>
        <w:rPr>
          <w:rFonts w:hint="eastAsia" w:ascii="宋体" w:hAnsi="宋体" w:cs="宋体"/>
          <w:b/>
          <w:bCs/>
          <w:color w:val="000000" w:themeColor="text1"/>
          <w14:textFill>
            <w14:solidFill>
              <w14:schemeClr w14:val="tx1"/>
            </w14:solidFill>
          </w14:textFill>
        </w:rPr>
      </w:pPr>
      <w:r/>
      <w:bookmarkStart w:id="3" w:name="_Toc28359079"/>
      <w:r/>
      <w:bookmarkStart w:id="4" w:name="_Toc35393790"/>
      <w:r/>
      <w:bookmarkStart w:id="5" w:name="_Toc28359002"/>
      <w:r/>
      <w:bookmarkStart w:id="6" w:name="_Toc35393621"/>
      <w:r/>
      <w:bookmarkStart w:id="7" w:name="_Toc38985263"/>
      <w:r/>
      <w:bookmarkStart w:id="8" w:name="_Hlk24379207"/>
      <w:r/>
      <w:bookmarkStart w:id="9" w:name="_Hlk153388184"/>
      <w:r>
        <w:rPr>
          <w:rFonts w:hint="eastAsia" w:ascii="宋体" w:hAnsi="宋体" w:cs="宋体"/>
          <w:b/>
          <w:bCs/>
          <w:color w:val="000000" w:themeColor="text1"/>
          <w14:textFill>
            <w14:solidFill>
              <w14:schemeClr w14:val="tx1"/>
            </w14:solidFill>
          </w14:textFill>
        </w:rPr>
        <w:t xml:space="preserve">一、项目基本情况</w:t>
      </w:r>
      <w:bookmarkEnd w:id="3"/>
      <w:r/>
      <w:bookmarkEnd w:id="4"/>
      <w:r/>
      <w:bookmarkEnd w:id="5"/>
      <w:r/>
      <w:bookmarkEnd w:id="6"/>
      <w:r/>
      <w:bookmarkEnd w:id="7"/>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1.项目编号：</w:t>
      </w:r>
      <w:r>
        <w:rPr>
          <w:rFonts w:hint="eastAsia" w:ascii="宋体" w:hAnsi="宋体" w:cs="宋体"/>
          <w:color w:val="000000" w:themeColor="text1"/>
          <w:lang w:eastAsia="zh-CN"/>
          <w14:textFill>
            <w14:solidFill>
              <w14:schemeClr w14:val="tx1"/>
            </w14:solidFill>
          </w14:textFill>
        </w:rPr>
        <w:t xml:space="preserve">JSZC-321012-JSFH-G2026-0027</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2.项目名称：</w:t>
      </w:r>
      <w:r>
        <w:rPr>
          <w:rFonts w:hint="eastAsia" w:ascii="宋体" w:hAnsi="宋体" w:cs="宋体"/>
          <w:color w:val="000000" w:themeColor="text1"/>
          <w:lang w:eastAsia="zh-CN"/>
          <w14:textFill>
            <w14:solidFill>
              <w14:schemeClr w14:val="tx1"/>
            </w14:solidFill>
          </w14:textFill>
        </w:rPr>
        <w:t xml:space="preserve">扬州市江都区武坚镇智能高压电气小镇客厅项目家具采购及安装（第一批）</w:t>
      </w:r>
      <w:bookmarkEnd w:id="8"/>
      <w:r/>
      <w:r/>
    </w:p>
    <w:p>
      <w:pPr>
        <w:ind w:firstLine="420"/>
        <w:spacing w:line="360" w:lineRule="auto"/>
        <w:rPr>
          <w:rFonts w:hint="eastAsia" w:ascii="宋体" w:hAnsi="宋体" w:eastAsia="宋体" w:cs="宋体"/>
          <w:color w:val="000000" w:themeColor="text1"/>
          <w:lang w:eastAsia="zh-CN"/>
          <w14:textFill>
            <w14:solidFill>
              <w14:schemeClr w14:val="tx1"/>
            </w14:solidFill>
          </w14:textFill>
        </w:rPr>
      </w:pPr>
      <w:r/>
      <w:bookmarkStart w:id="10" w:name="OLE_LINK1"/>
      <w:r>
        <w:rPr>
          <w:rFonts w:hint="eastAsia" w:ascii="宋体" w:hAnsi="宋体" w:cs="宋体"/>
          <w:color w:val="000000" w:themeColor="text1"/>
          <w14:textFill>
            <w14:solidFill>
              <w14:schemeClr w14:val="tx1"/>
            </w14:solidFill>
          </w14:textFill>
        </w:rPr>
        <w:t xml:space="preserve">3.预算金额：</w:t>
      </w:r>
      <w:r>
        <w:rPr>
          <w:rFonts w:ascii="SimSun" w:hAnsi="SimSun" w:eastAsia="SimSun" w:cs="SimSun"/>
          <w:color w:val="000000"/>
          <w:sz w:val="21"/>
        </w:rPr>
        <w:t xml:space="preserve">160万元（本项目总预算金额为160万元，分两批招标，本次为第一批，第一批预算金额为90万元）</w:t>
      </w:r>
      <w:r>
        <w:rPr>
          <w:rFonts w:hint="eastAsia" w:ascii="宋体" w:hAnsi="宋体" w:cs="宋体"/>
          <w:color w:val="000000" w:themeColor="text1"/>
          <w:lang w:eastAsia="zh-CN"/>
          <w14:textFill>
            <w14:solidFill>
              <w14:schemeClr w14:val="tx1"/>
            </w14:solidFill>
          </w14:textFill>
        </w:rPr>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4.最高限价：</w:t>
      </w:r>
      <w:bookmarkEnd w:id="10"/>
      <w:r>
        <w:rPr>
          <w:rFonts w:hint="eastAsia" w:ascii="宋体" w:hAnsi="宋体" w:cs="宋体"/>
          <w:highlight w:val="none"/>
          <w:lang w:val="en-US" w:eastAsia="zh-CN"/>
        </w:rPr>
        <w:t xml:space="preserve">90万元 </w:t>
      </w:r>
      <w:r>
        <w:rPr>
          <w:rFonts w:hint="eastAsia" w:ascii="宋体" w:hAnsi="宋体" w:cs="宋体"/>
          <w:highlight w:val="none"/>
        </w:rPr>
        <w:t xml:space="preserve">,报</w:t>
      </w:r>
      <w:r>
        <w:rPr>
          <w:rFonts w:hint="eastAsia" w:ascii="宋体" w:hAnsi="宋体" w:cs="宋体"/>
        </w:rPr>
        <w:t xml:space="preserve">价高于最高限价的为无效标，按照无效响应处理。</w:t>
      </w:r>
      <w:r/>
    </w:p>
    <w:p>
      <w:pPr>
        <w:ind w:firstLine="420"/>
        <w:spacing w:line="360" w:lineRule="auto"/>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5.采购需求：</w:t>
      </w:r>
      <w:bookmarkStart w:id="11" w:name="OLE_LINK4"/>
      <w:r>
        <w:rPr>
          <w:rFonts w:hint="eastAsia" w:ascii="宋体" w:hAnsi="宋体" w:cs="宋体"/>
          <w:color w:val="000000" w:themeColor="text1"/>
          <w14:textFill>
            <w14:solidFill>
              <w14:schemeClr w14:val="tx1"/>
            </w14:solidFill>
          </w14:textFill>
        </w:rPr>
        <w:t xml:space="preserve">见招标文件第四章</w:t>
      </w:r>
      <w:bookmarkEnd w:id="11"/>
      <w:r/>
      <w:r/>
    </w:p>
    <w:p>
      <w:pPr>
        <w:ind w:firstLine="420"/>
        <w:spacing w:line="360" w:lineRule="auto"/>
        <w:rPr>
          <w:rFonts w:hint="default" w:ascii="宋体" w:hAnsi="宋体" w:cs="宋体"/>
          <w:color w:val="000000" w:themeColor="text1"/>
          <w:highlight w:val="none"/>
          <w:lang w:val="en-US"/>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6.合同履行期限：</w:t>
      </w:r>
      <w:r>
        <w:rPr>
          <w:rFonts w:hint="eastAsia" w:ascii="宋体" w:hAnsi="宋体" w:cs="宋体"/>
          <w:color w:val="000000" w:themeColor="text1"/>
          <w:highlight w:val="none"/>
          <w:lang w:val="en-US" w:eastAsia="zh-CN"/>
          <w14:textFill>
            <w14:solidFill>
              <w14:schemeClr w14:val="tx1"/>
            </w14:solidFill>
          </w14:textFill>
        </w:rPr>
        <w:t xml:space="preserve">合同签订之日起40日历天内按要求批次完成供货并在指定区域安装到位。</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7.本项目</w:t>
      </w:r>
      <w:r>
        <w:rPr>
          <w:rFonts w:hint="eastAsia" w:ascii="宋体" w:hAnsi="宋体" w:cs="宋体"/>
          <w:color w:val="000000" w:themeColor="text1"/>
          <w:u w:val="single"/>
          <w14:textFill>
            <w14:solidFill>
              <w14:schemeClr w14:val="tx1"/>
            </w14:solidFill>
          </w14:textFill>
        </w:rPr>
        <w:t xml:space="preserve">不接受</w:t>
      </w:r>
      <w:r>
        <w:rPr>
          <w:rFonts w:hint="eastAsia" w:ascii="宋体" w:hAnsi="宋体" w:cs="宋体"/>
          <w:color w:val="000000" w:themeColor="text1"/>
          <w14:textFill>
            <w14:solidFill>
              <w14:schemeClr w14:val="tx1"/>
            </w14:solidFill>
          </w14:textFill>
        </w:rPr>
        <w:t xml:space="preserve">联合体投标</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8.本项目</w:t>
      </w:r>
      <w:r>
        <w:rPr>
          <w:rFonts w:hint="eastAsia" w:ascii="宋体" w:hAnsi="宋体" w:cs="宋体"/>
          <w:color w:val="000000" w:themeColor="text1"/>
          <w:u w:val="single"/>
          <w14:textFill>
            <w14:solidFill>
              <w14:schemeClr w14:val="tx1"/>
            </w14:solidFill>
          </w14:textFill>
        </w:rPr>
        <w:t xml:space="preserve">不接受</w:t>
      </w:r>
      <w:r>
        <w:rPr>
          <w:rFonts w:hint="eastAsia" w:ascii="宋体" w:hAnsi="宋体" w:cs="宋体"/>
          <w:color w:val="000000" w:themeColor="text1"/>
          <w14:textFill>
            <w14:solidFill>
              <w14:schemeClr w14:val="tx1"/>
            </w14:solidFill>
          </w14:textFill>
        </w:rPr>
        <w:t xml:space="preserve">进口产品投标</w:t>
      </w:r>
      <w:bookmarkEnd w:id="9"/>
      <w:r/>
      <w:r/>
    </w:p>
    <w:p>
      <w:pPr>
        <w:spacing w:line="360" w:lineRule="auto"/>
        <w:tabs>
          <w:tab w:val="left" w:pos="266" w:leader="none"/>
        </w:tabs>
        <w:rPr>
          <w:rFonts w:hint="eastAsia" w:ascii="宋体" w:hAnsi="宋体" w:cs="宋体"/>
          <w:b/>
          <w:bCs/>
          <w:color w:val="000000" w:themeColor="text1"/>
          <w14:textFill>
            <w14:solidFill>
              <w14:schemeClr w14:val="tx1"/>
            </w14:solidFill>
          </w14:textFill>
        </w:rPr>
      </w:pPr>
      <w:r/>
      <w:bookmarkStart w:id="12" w:name="_Toc38985264"/>
      <w:r/>
      <w:bookmarkStart w:id="13" w:name="_Toc35393791"/>
      <w:r/>
      <w:bookmarkStart w:id="14" w:name="_Toc35393622"/>
      <w:r/>
      <w:bookmarkStart w:id="15" w:name="_Toc28359080"/>
      <w:r/>
      <w:bookmarkStart w:id="16" w:name="_Toc28359003"/>
      <w:r>
        <w:rPr>
          <w:rFonts w:hint="eastAsia" w:ascii="宋体" w:hAnsi="宋体" w:cs="宋体"/>
          <w:b/>
          <w:bCs/>
          <w:color w:val="000000" w:themeColor="text1"/>
          <w14:textFill>
            <w14:solidFill>
              <w14:schemeClr w14:val="tx1"/>
            </w14:solidFill>
          </w14:textFill>
        </w:rPr>
        <w:t xml:space="preserve">二、申请人的资格要求：</w:t>
      </w:r>
      <w:bookmarkEnd w:id="12"/>
      <w:r/>
      <w:bookmarkEnd w:id="13"/>
      <w:r/>
      <w:bookmarkEnd w:id="14"/>
      <w:r/>
      <w:bookmarkEnd w:id="15"/>
      <w:r/>
      <w:bookmarkEnd w:id="16"/>
      <w:r/>
      <w:r/>
    </w:p>
    <w:p>
      <w:pPr>
        <w:ind w:firstLine="420"/>
        <w:spacing w:line="360" w:lineRule="auto"/>
        <w:rPr>
          <w:rFonts w:hint="eastAsia" w:ascii="宋体" w:hAnsi="宋体" w:cs="宋体"/>
          <w:color w:val="000000" w:themeColor="text1"/>
          <w:szCs w:val="21"/>
          <w14:textFill>
            <w14:solidFill>
              <w14:schemeClr w14:val="tx1"/>
            </w14:solidFill>
          </w14:textFill>
        </w:rPr>
      </w:pPr>
      <w:r/>
      <w:bookmarkStart w:id="17" w:name="_Toc35393623"/>
      <w:r/>
      <w:bookmarkStart w:id="18" w:name="_Toc35393792"/>
      <w:r/>
      <w:bookmarkStart w:id="19" w:name="_Toc38985265"/>
      <w:r/>
      <w:bookmarkStart w:id="20" w:name="_Toc28359004"/>
      <w:r/>
      <w:bookmarkStart w:id="21" w:name="_Toc28359081"/>
      <w:r>
        <w:rPr>
          <w:rFonts w:hint="eastAsia" w:ascii="宋体" w:hAnsi="宋体" w:cs="宋体"/>
          <w:color w:val="000000" w:themeColor="text1"/>
          <w:szCs w:val="21"/>
          <w14:textFill>
            <w14:solidFill>
              <w14:schemeClr w14:val="tx1"/>
            </w14:solidFill>
          </w14:textFill>
        </w:rPr>
        <w:t xml:space="preserve">1.满足《中华人民共和国政府采购法》第二十二条规定，并提供下列材料： </w:t>
      </w:r>
      <w:r/>
    </w:p>
    <w:p>
      <w:pPr>
        <w:ind w:firstLine="420"/>
        <w:spacing w:line="360" w:lineRule="auto"/>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1.1法人或者其他组织的营业执照等证明文件，自然人的身份证明（身份证为正、反面）</w:t>
      </w:r>
      <w:r/>
    </w:p>
    <w:p>
      <w:pPr>
        <w:ind w:firstLine="420"/>
        <w:spacing w:line="360" w:lineRule="auto"/>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1.2 依法缴纳职工社会保障资金的证明材料（可提供“基本资格条件承诺函”）</w:t>
      </w:r>
      <w:r/>
    </w:p>
    <w:p>
      <w:pPr>
        <w:ind w:firstLine="420"/>
        <w:spacing w:line="360" w:lineRule="auto"/>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1.3依法纳税的缴款凭证（可提供“基本资格条件承诺函”）</w:t>
      </w:r>
      <w:r/>
    </w:p>
    <w:p>
      <w:pPr>
        <w:ind w:firstLine="420"/>
        <w:spacing w:line="360" w:lineRule="auto"/>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1.4具有良好的商业信誉和健全的财务会计制度（可提供“基本资格条件承诺函”）</w:t>
      </w:r>
      <w:r/>
    </w:p>
    <w:p>
      <w:pPr>
        <w:ind w:firstLine="420"/>
        <w:spacing w:line="360" w:lineRule="auto"/>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1.5具备履行合同所必需的设备和专业技术能力的证明材料（可提供“基本资格条件承诺函”）</w:t>
      </w:r>
      <w:r/>
    </w:p>
    <w:p>
      <w:pPr>
        <w:ind w:firstLine="420"/>
        <w:spacing w:line="360" w:lineRule="auto"/>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1.6参加本次政府采购活动前3年内在经营活动中没有重大违法记录的书面声明（可提供“基本资格条件承诺函”）</w:t>
      </w:r>
      <w:r/>
    </w:p>
    <w:p>
      <w:pPr>
        <w:ind w:firstLine="420"/>
        <w:spacing w:line="360" w:lineRule="auto"/>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w:t>
      </w:r>
      <w:r>
        <w:rPr>
          <w:rFonts w:ascii="宋体" w:hAnsi="宋体" w:cs="宋体"/>
          <w:i/>
          <w:iCs/>
          <w:color w:val="000000" w:themeColor="text1"/>
          <w:szCs w:val="21"/>
          <w:u w:val="single"/>
          <w14:textFill>
            <w14:solidFill>
              <w14:schemeClr w14:val="tx1"/>
            </w14:solidFill>
          </w14:textFill>
        </w:rPr>
        <w:t xml:space="preserve">7</w:t>
      </w:r>
      <w:r>
        <w:rPr>
          <w:rFonts w:hint="eastAsia" w:ascii="宋体" w:hAnsi="宋体" w:cs="宋体"/>
          <w:i/>
          <w:iCs/>
          <w:color w:val="000000" w:themeColor="text1"/>
          <w:szCs w:val="21"/>
          <w:u w:val="singl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未被“信用中国”网站（www.creditchina.gov.cn）、“中国政府采购网"(www.ccgp.gov.cn)列入失信被执行人、重大税收违法案件当事人名单、政府采购严重违法失信行为记录名单（可提供“基本资格条件承诺函”）</w:t>
      </w:r>
      <w:r/>
    </w:p>
    <w:p>
      <w:pPr>
        <w:ind w:firstLine="420"/>
        <w:spacing w:line="360" w:lineRule="auto"/>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1.8供应商信用承诺函</w:t>
      </w:r>
      <w:r/>
    </w:p>
    <w:p>
      <w:pPr>
        <w:ind w:firstLine="420"/>
        <w:spacing w:line="360" w:lineRule="auto"/>
        <w:rPr>
          <w:rFonts w:hint="eastAsia" w:ascii="宋体" w:hAnsi="宋体" w:cs="宋体"/>
          <w:i/>
          <w:iCs/>
          <w:color w:val="000000" w:themeColor="text1"/>
          <w:szCs w:val="21"/>
          <w:u w:val="single"/>
          <w:lang w:val="en-US" w:eastAsia="zh-CN"/>
          <w14:textFill>
            <w14:solidFill>
              <w14:schemeClr w14:val="tx1"/>
            </w14:solidFill>
          </w14:textFill>
        </w:rPr>
      </w:pPr>
      <w:r>
        <w:rPr>
          <w:rFonts w:hint="eastAsia" w:ascii="宋体" w:hAnsi="宋体" w:cs="宋体"/>
          <w:i/>
          <w:iCs/>
          <w:color w:val="000000" w:themeColor="text1"/>
          <w:szCs w:val="21"/>
          <w:u w:val="single"/>
          <w:lang w:val="en-US" w:eastAsia="zh-CN"/>
          <w14:textFill>
            <w14:solidFill>
              <w14:schemeClr w14:val="tx1"/>
            </w14:solidFill>
          </w14:textFill>
        </w:rPr>
        <w:t xml:space="preserve">1.9投标函</w:t>
      </w:r>
      <w:r/>
    </w:p>
    <w:p>
      <w:pPr>
        <w:ind w:firstLine="420"/>
        <w:spacing w:line="360" w:lineRule="auto"/>
        <w:rPr>
          <w:rFonts w:hint="default" w:ascii="宋体" w:hAnsi="宋体" w:cs="宋体"/>
          <w:i/>
          <w:iCs/>
          <w:color w:val="000000" w:themeColor="text1"/>
          <w:szCs w:val="21"/>
          <w:highlight w:val="none"/>
          <w:u w:val="single"/>
          <w:lang w:val="en-US" w:eastAsia="zh-CN"/>
          <w14:textFill>
            <w14:solidFill>
              <w14:schemeClr w14:val="tx1"/>
            </w14:solidFill>
          </w14:textFill>
        </w:rPr>
      </w:pPr>
      <w:r>
        <w:rPr>
          <w:rFonts w:hint="eastAsia" w:ascii="宋体" w:hAnsi="宋体" w:cs="宋体"/>
          <w:i/>
          <w:iCs/>
          <w:color w:val="000000" w:themeColor="text1"/>
          <w:szCs w:val="21"/>
          <w:u w:val="single"/>
          <w:lang w:val="en-US" w:eastAsia="zh-CN"/>
          <w14:textFill>
            <w14:solidFill>
              <w14:schemeClr w14:val="tx1"/>
            </w14:solidFill>
          </w14:textFill>
        </w:rPr>
        <w:t xml:space="preserve">1.10法人授权书</w:t>
      </w:r>
      <w:r/>
    </w:p>
    <w:p>
      <w:pPr>
        <w:ind w:firstLine="420"/>
        <w:spacing w:line="360" w:lineRule="auto"/>
        <w:rPr>
          <w:rFonts w:hint="eastAsia" w:ascii="宋体" w:hAnsi="宋体" w:cs="宋体"/>
          <w:i/>
          <w:i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2.落实政府采购政策需满足的资格要求：</w:t>
      </w:r>
      <w:bookmarkStart w:id="22" w:name="OLE_LINK6"/>
      <w:r>
        <w:rPr>
          <w:rFonts w:hint="eastAsia" w:ascii="宋体" w:hAnsi="宋体" w:cs="宋体"/>
          <w:i/>
          <w:iCs/>
          <w:color w:val="000000" w:themeColor="text1"/>
          <w:szCs w:val="21"/>
          <w:highlight w:val="none"/>
          <w:u w:val="single"/>
          <w14:textFill>
            <w14:solidFill>
              <w14:schemeClr w14:val="tx1"/>
            </w14:solidFill>
          </w14:textFill>
        </w:rPr>
        <w:t xml:space="preserve">根据《政府采购促进中小企业发展管理办法》的规定，本项目专门面向中小企业采购，投标人投标时须提供《中小企业声明函》，《中小企业声明函》不符合要求或未提供的，投标文件无效。</w:t>
      </w:r>
      <w:bookmarkEnd w:id="2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3.本项目的特定资格要求：</w:t>
      </w:r>
      <w:r>
        <w:rPr>
          <w:rFonts w:hint="eastAsia" w:ascii="宋体" w:hAnsi="宋体" w:cs="宋体"/>
          <w:i/>
          <w:iCs/>
          <w:color w:val="000000" w:themeColor="text1"/>
          <w:szCs w:val="21"/>
          <w:highlight w:val="none"/>
          <w:u w:val="single"/>
          <w14:textFill>
            <w14:solidFill>
              <w14:schemeClr w14:val="tx1"/>
            </w14:solidFill>
          </w14:textFill>
        </w:rPr>
        <w:t xml:space="preserve"> </w:t>
      </w:r>
      <w:r>
        <w:rPr>
          <w:rFonts w:hint="eastAsia" w:ascii="宋体" w:hAnsi="宋体" w:cs="宋体"/>
          <w:i/>
          <w:iCs/>
          <w:color w:val="000000" w:themeColor="text1"/>
          <w:szCs w:val="21"/>
          <w:highlight w:val="none"/>
          <w:u w:val="single"/>
          <w:lang w:val="en"/>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三、获取招标文件</w:t>
      </w:r>
      <w:bookmarkEnd w:id="17"/>
      <w:r/>
      <w:bookmarkEnd w:id="18"/>
      <w:r/>
      <w:bookmarkEnd w:id="19"/>
      <w:r/>
      <w:bookmarkEnd w:id="20"/>
      <w:r/>
      <w:bookmarkEnd w:id="21"/>
      <w:r/>
      <w:r/>
    </w:p>
    <w:p>
      <w:pPr>
        <w:ind w:firstLine="420"/>
        <w:spacing w:line="360" w:lineRule="auto"/>
        <w:rPr>
          <w:rFonts w:hint="eastAsia" w:ascii="宋体" w:hAnsi="宋体" w:cs="宋体"/>
          <w:color w:val="000000" w:themeColor="text1"/>
          <w14:textFill>
            <w14:solidFill>
              <w14:schemeClr w14:val="tx1"/>
            </w14:solidFill>
          </w14:textFill>
        </w:rPr>
      </w:pPr>
      <w:r/>
      <w:bookmarkStart w:id="23" w:name="_Toc28359005"/>
      <w:r/>
      <w:bookmarkStart w:id="24" w:name="_Toc28359082"/>
      <w:r/>
      <w:bookmarkStart w:id="25" w:name="_Toc35393793"/>
      <w:r/>
      <w:bookmarkStart w:id="26" w:name="_Toc38985266"/>
      <w:r/>
      <w:bookmarkStart w:id="27" w:name="_Toc35393624"/>
      <w:r/>
      <w:bookmarkStart w:id="28" w:name="_Toc35393794"/>
      <w:r/>
      <w:bookmarkStart w:id="29" w:name="_Toc28359084"/>
      <w:r/>
      <w:bookmarkStart w:id="30" w:name="_Toc35393625"/>
      <w:r/>
      <w:bookmarkStart w:id="31" w:name="_Toc38985267"/>
      <w:r/>
      <w:bookmarkStart w:id="32" w:name="_Toc28359007"/>
      <w:r>
        <w:rPr>
          <w:rFonts w:hint="eastAsia" w:ascii="宋体" w:hAnsi="宋体" w:cs="宋体"/>
          <w:color w:val="000000" w:themeColor="text1"/>
          <w14:textFill>
            <w14:solidFill>
              <w14:schemeClr w14:val="tx1"/>
            </w14:solidFill>
          </w14:textFill>
        </w:rPr>
        <w:t xml:space="preserve">时间：自招标文件公告发布之日起5个工作日。5个工作日后仍可下载招标文件，但不作为供应商权益受到损害的证明材料和依据。</w:t>
      </w:r>
      <w:bookmarkEnd w:id="23"/>
      <w:r/>
      <w:bookmarkEnd w:id="24"/>
      <w:r/>
      <w:bookmarkEnd w:id="25"/>
      <w:r/>
      <w:bookmarkEnd w:id="26"/>
      <w:r/>
      <w:bookmarkEnd w:id="27"/>
      <w:r/>
      <w:r/>
    </w:p>
    <w:p>
      <w:pPr>
        <w:ind w:firstLine="420"/>
        <w:spacing w:line="360" w:lineRule="auto"/>
        <w:rPr>
          <w:rFonts w:hint="eastAsia" w:ascii="宋体" w:hAnsi="宋体" w:cs="宋体"/>
          <w:szCs w:val="21"/>
        </w:rPr>
      </w:pPr>
      <w:r>
        <w:rPr>
          <w:rFonts w:hint="eastAsia" w:ascii="宋体" w:hAnsi="宋体" w:cs="宋体"/>
          <w:szCs w:val="21"/>
        </w:rPr>
        <w:t xml:space="preserve">地点：“扬州市政府采购网”、“江苏政府采购网”、“中国政府采购网”</w:t>
      </w:r>
      <w:r/>
    </w:p>
    <w:p>
      <w:pPr>
        <w:ind w:firstLine="420"/>
        <w:spacing w:line="360" w:lineRule="auto"/>
        <w:rPr>
          <w:rFonts w:hint="eastAsia" w:ascii="宋体" w:hAnsi="宋体" w:cs="宋体"/>
          <w:szCs w:val="21"/>
        </w:rPr>
      </w:pPr>
      <w:r>
        <w:rPr>
          <w:rFonts w:hint="eastAsia" w:ascii="宋体" w:hAnsi="宋体" w:cs="宋体"/>
          <w:szCs w:val="21"/>
        </w:rPr>
        <w:t xml:space="preserve">方式：本项目采用网上注册登记方式 </w:t>
      </w:r>
      <w:r/>
    </w:p>
    <w:p>
      <w:pPr>
        <w:ind w:firstLine="420"/>
        <w:spacing w:line="360" w:lineRule="auto"/>
        <w:rPr>
          <w:rFonts w:hint="eastAsia" w:ascii="宋体" w:hAnsi="宋体" w:cs="宋体"/>
          <w:szCs w:val="21"/>
        </w:rPr>
      </w:pPr>
      <w:r>
        <w:rPr>
          <w:rFonts w:hint="eastAsia" w:ascii="宋体" w:hAnsi="宋体" w:cs="宋体"/>
          <w:szCs w:val="21"/>
        </w:rPr>
        <w:t xml:space="preserve">售价：0.00元 </w:t>
      </w:r>
      <w:r/>
    </w:p>
    <w:p>
      <w:pPr>
        <w:spacing w:line="360" w:lineRule="auto"/>
        <w:tabs>
          <w:tab w:val="left" w:pos="266" w:leader="none"/>
        </w:tabs>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四、提交投标文件截止时间、开标时间和地点</w:t>
      </w:r>
      <w:r/>
    </w:p>
    <w:p>
      <w:pPr>
        <w:ind w:firstLine="420"/>
        <w:spacing w:line="360" w:lineRule="auto"/>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1.时间：</w:t>
      </w:r>
      <w:r>
        <w:rPr>
          <w:rFonts w:hint="eastAsia" w:ascii="宋体" w:hAnsi="宋体" w:cs="宋体"/>
          <w:bCs/>
          <w:color w:val="000000" w:themeColor="text1"/>
          <w:u w:val="single"/>
          <w14:textFill>
            <w14:solidFill>
              <w14:schemeClr w14:val="tx1"/>
            </w14:solidFill>
          </w14:textFill>
        </w:rPr>
        <w:t xml:space="preserve">2026年</w:t>
      </w:r>
      <w:r>
        <w:rPr>
          <w:rFonts w:hint="eastAsia" w:ascii="宋体" w:hAnsi="宋体" w:cs="宋体"/>
          <w:bCs/>
          <w:color w:val="000000" w:themeColor="text1"/>
          <w:u w:val="single"/>
          <w:lang w:val="en-US" w:eastAsia="zh-CN"/>
          <w14:textFill>
            <w14:solidFill>
              <w14:schemeClr w14:val="tx1"/>
            </w14:solidFill>
          </w14:textFill>
        </w:rPr>
        <w:t xml:space="preserve">6</w:t>
      </w:r>
      <w:r>
        <w:rPr>
          <w:rFonts w:hint="eastAsia" w:ascii="宋体" w:hAnsi="宋体" w:cs="宋体"/>
          <w:bCs/>
          <w:color w:val="000000" w:themeColor="text1"/>
          <w:u w:val="single"/>
          <w14:textFill>
            <w14:solidFill>
              <w14:schemeClr w14:val="tx1"/>
            </w14:solidFill>
          </w14:textFill>
        </w:rPr>
        <w:t xml:space="preserve">月</w:t>
      </w:r>
      <w:r>
        <w:rPr>
          <w:rFonts w:hint="eastAsia" w:ascii="宋体" w:hAnsi="宋体" w:cs="宋体"/>
          <w:bCs/>
          <w:color w:val="000000" w:themeColor="text1"/>
          <w:u w:val="single"/>
          <w:lang w:val="en-US" w:eastAsia="zh-CN"/>
          <w14:textFill>
            <w14:solidFill>
              <w14:schemeClr w14:val="tx1"/>
            </w14:solidFill>
          </w14:textFill>
        </w:rPr>
        <w:t xml:space="preserve">15</w:t>
      </w:r>
      <w:r>
        <w:rPr>
          <w:rFonts w:hint="eastAsia" w:ascii="宋体" w:hAnsi="宋体" w:cs="宋体"/>
          <w:bCs/>
          <w:color w:val="000000" w:themeColor="text1"/>
          <w:u w:val="single"/>
          <w14:textFill>
            <w14:solidFill>
              <w14:schemeClr w14:val="tx1"/>
            </w14:solidFill>
          </w14:textFill>
        </w:rPr>
        <w:t xml:space="preserve">日 上午 09:30</w:t>
      </w:r>
      <w:r>
        <w:rPr>
          <w:rFonts w:hint="eastAsia" w:ascii="宋体" w:hAnsi="宋体" w:cs="宋体"/>
          <w:bCs/>
          <w:color w:val="000000" w:themeColor="text1"/>
          <w14:textFill>
            <w14:solidFill>
              <w14:schemeClr w14:val="tx1"/>
            </w14:solidFill>
          </w14:textFill>
        </w:rPr>
        <w:t xml:space="preserve">（北京时间）</w:t>
      </w:r>
      <w:r/>
    </w:p>
    <w:p>
      <w:pPr>
        <w:ind w:firstLine="420"/>
        <w:spacing w:line="360" w:lineRule="auto"/>
        <w:rPr>
          <w:rFonts w:hint="eastAsia" w:ascii="宋体" w:hAnsi="宋体"/>
          <w:b/>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2.开标地点：</w:t>
      </w:r>
      <w:r>
        <w:rPr>
          <w:rFonts w:hint="eastAsia" w:ascii="宋体" w:hAnsi="宋体"/>
          <w:b/>
          <w:color w:val="000000" w:themeColor="text1"/>
          <w:szCs w:val="21"/>
          <w14:textFill>
            <w14:solidFill>
              <w14:schemeClr w14:val="tx1"/>
            </w14:solidFill>
          </w14:textFill>
        </w:rPr>
        <w:t xml:space="preserve">“苏采云”系统（网址：</w:t>
      </w:r>
      <w:r>
        <w:fldChar w:fldCharType="begin"/>
      </w:r>
      <w:r>
        <w:instrText xml:space="preserve">HYPERLINK "http://jszfcg.jsczt.cn/）"</w:instrText>
      </w:r>
      <w:r>
        <w:fldChar w:fldCharType="separate"/>
      </w:r>
      <w:r>
        <w:rPr>
          <w:rFonts w:hint="eastAsia" w:ascii="宋体" w:hAnsi="宋体"/>
          <w:b/>
          <w:color w:val="000000" w:themeColor="text1"/>
          <w:szCs w:val="21"/>
          <w14:textFill>
            <w14:solidFill>
              <w14:schemeClr w14:val="tx1"/>
            </w14:solidFill>
          </w14:textFill>
        </w:rPr>
        <w:t xml:space="preserve">http://jszfcg.jsczt.cn/）“开标大厅”</w:t>
      </w:r>
      <w:r>
        <w:fldChar w:fldCharType="end"/>
      </w:r>
      <w:bookmarkEnd w:id="28"/>
      <w:r/>
      <w:bookmarkEnd w:id="29"/>
      <w:r/>
      <w:bookmarkEnd w:id="30"/>
      <w:r/>
      <w:bookmarkEnd w:id="31"/>
      <w:r/>
      <w:bookmarkEnd w:id="32"/>
      <w:r/>
      <w:r/>
    </w:p>
    <w:p>
      <w:pPr>
        <w:spacing w:line="360" w:lineRule="auto"/>
        <w:tabs>
          <w:tab w:val="left" w:pos="266" w:leader="none"/>
        </w:tabs>
        <w:rPr>
          <w:rFonts w:hint="eastAsia" w:ascii="宋体" w:hAnsi="宋体" w:cs="宋体"/>
          <w:b/>
          <w:bCs/>
          <w:color w:val="000000" w:themeColor="text1"/>
          <w14:textFill>
            <w14:solidFill>
              <w14:schemeClr w14:val="tx1"/>
            </w14:solidFill>
          </w14:textFill>
        </w:rPr>
      </w:pPr>
      <w:r/>
      <w:bookmarkStart w:id="33" w:name="_Toc35393795"/>
      <w:r/>
      <w:bookmarkStart w:id="34" w:name="_Toc35393626"/>
      <w:r/>
      <w:bookmarkStart w:id="35" w:name="_Toc38985268"/>
      <w:r>
        <w:rPr>
          <w:rFonts w:hint="eastAsia" w:ascii="宋体" w:hAnsi="宋体" w:cs="宋体"/>
          <w:b/>
          <w:bCs/>
          <w:color w:val="000000" w:themeColor="text1"/>
          <w14:textFill>
            <w14:solidFill>
              <w14:schemeClr w14:val="tx1"/>
            </w14:solidFill>
          </w14:textFill>
        </w:rPr>
        <w:t xml:space="preserve">五、公告期限</w:t>
      </w:r>
      <w:r/>
    </w:p>
    <w:p>
      <w:pPr>
        <w:ind w:firstLine="420"/>
        <w:spacing w:line="360" w:lineRule="auto"/>
        <w:tabs>
          <w:tab w:val="left" w:pos="266" w:leader="none"/>
        </w:tabs>
        <w:rPr>
          <w:rFonts w:hint="eastAsia"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自本公告发布之日起5个工作日。</w:t>
      </w:r>
      <w:r/>
    </w:p>
    <w:p>
      <w:pPr>
        <w:spacing w:line="360" w:lineRule="auto"/>
        <w:tabs>
          <w:tab w:val="left" w:pos="266" w:leader="none"/>
        </w:tabs>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六、其他补充事宜</w:t>
      </w:r>
      <w:bookmarkEnd w:id="33"/>
      <w:r/>
      <w:bookmarkEnd w:id="34"/>
      <w:r/>
      <w:bookmarkEnd w:id="35"/>
      <w:r/>
      <w:r/>
    </w:p>
    <w:p>
      <w:pPr>
        <w:ind w:firstLine="422"/>
        <w:spacing w:line="360" w:lineRule="auto"/>
        <w:rPr>
          <w:rFonts w:hint="eastAsia" w:ascii="宋体" w:hAnsi="宋体" w:cs="宋体"/>
          <w:b/>
          <w:szCs w:val="21"/>
        </w:rPr>
      </w:pPr>
      <w:r/>
      <w:bookmarkStart w:id="36" w:name="_Toc35393627"/>
      <w:r/>
      <w:bookmarkStart w:id="37" w:name="_Toc38985269"/>
      <w:r/>
      <w:bookmarkStart w:id="38" w:name="_Toc35393796"/>
      <w:r/>
      <w:bookmarkStart w:id="39" w:name="_Toc28359008"/>
      <w:r/>
      <w:bookmarkStart w:id="40" w:name="_Toc28359085"/>
      <w:r>
        <w:rPr>
          <w:rFonts w:hint="eastAsia" w:ascii="宋体" w:hAnsi="宋体" w:cs="宋体"/>
          <w:b/>
          <w:szCs w:val="21"/>
        </w:rPr>
        <w:t xml:space="preserve">（一）获取采购文件</w:t>
      </w:r>
      <w:r/>
    </w:p>
    <w:p>
      <w:pPr>
        <w:ind w:firstLine="422"/>
        <w:spacing w:line="360" w:lineRule="auto"/>
        <w:rPr>
          <w:rFonts w:hint="eastAsia" w:ascii="宋体" w:hAnsi="宋体" w:cs="宋体"/>
          <w:b/>
          <w:szCs w:val="21"/>
        </w:rPr>
      </w:pPr>
      <w:r>
        <w:rPr>
          <w:rFonts w:hint="eastAsia" w:ascii="宋体" w:hAnsi="宋体" w:cs="宋体"/>
          <w:b/>
          <w:szCs w:val="21"/>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cs="宋体"/>
          <w:b/>
          <w:szCs w:val="21"/>
        </w:rPr>
      </w:pPr>
      <w:r>
        <w:rPr>
          <w:rFonts w:hint="eastAsia" w:ascii="宋体" w:hAnsi="宋体" w:cs="宋体"/>
          <w:b/>
          <w:szCs w:val="21"/>
        </w:rPr>
        <w:t xml:space="preserve">2.获取方式：本项目采用网上注册登记方式。</w:t>
      </w:r>
      <w:r/>
    </w:p>
    <w:p>
      <w:pPr>
        <w:ind w:firstLine="422"/>
        <w:spacing w:line="360" w:lineRule="auto"/>
        <w:rPr>
          <w:rFonts w:hint="eastAsia" w:ascii="宋体" w:hAnsi="宋体" w:cs="宋体"/>
          <w:b/>
          <w:szCs w:val="21"/>
        </w:rPr>
      </w:pPr>
      <w:r>
        <w:rPr>
          <w:rFonts w:hint="eastAsia" w:ascii="宋体" w:hAnsi="宋体" w:cs="宋体"/>
          <w:b/>
          <w:szCs w:val="21"/>
        </w:rPr>
        <w:t xml:space="preserve">3.潜在供应商访问政府采购管理交易系统（苏采云）的网络地址和方法：</w:t>
      </w:r>
      <w:r/>
    </w:p>
    <w:p>
      <w:pPr>
        <w:ind w:firstLine="422"/>
        <w:spacing w:line="360" w:lineRule="auto"/>
        <w:rPr>
          <w:rFonts w:hint="eastAsia" w:ascii="宋体" w:hAnsi="宋体" w:cs="宋体"/>
          <w:b/>
          <w:szCs w:val="21"/>
        </w:rPr>
      </w:pPr>
      <w:r>
        <w:rPr>
          <w:rFonts w:hint="eastAsia" w:ascii="宋体" w:hAnsi="宋体" w:cs="宋体"/>
          <w:b/>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szCs w:val="21"/>
        </w:rPr>
      </w:pPr>
      <w:r>
        <w:rPr>
          <w:rFonts w:hint="eastAsia" w:ascii="宋体" w:hAnsi="宋体" w:cs="宋体"/>
          <w:b/>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szCs w:val="21"/>
        </w:rPr>
      </w:pPr>
      <w:r>
        <w:rPr>
          <w:rFonts w:hint="eastAsia" w:ascii="宋体" w:hAnsi="宋体" w:cs="宋体"/>
          <w:b/>
          <w:szCs w:val="21"/>
        </w:rPr>
        <w:t xml:space="preserve">（3）“CA数字证书”的办理材料以及供应商操作手册详见：</w:t>
      </w:r>
      <w:r/>
    </w:p>
    <w:p>
      <w:pPr>
        <w:ind w:firstLine="422"/>
        <w:spacing w:line="360" w:lineRule="auto"/>
        <w:rPr>
          <w:rFonts w:hint="eastAsia" w:ascii="宋体" w:hAnsi="宋体" w:cs="宋体"/>
          <w:b/>
          <w:szCs w:val="21"/>
        </w:rPr>
      </w:pPr>
      <w:r>
        <w:rPr>
          <w:rFonts w:hint="eastAsia" w:ascii="宋体" w:hAnsi="宋体" w:cs="宋体"/>
          <w:b/>
          <w:szCs w:val="21"/>
        </w:rPr>
        <w:t xml:space="preserve">http://zfcg.yangzhou.gov.cn/zfcg/xzzx/202309/4d7de1f7865f4a2894fc22bc452f94d8.shtml。</w:t>
      </w:r>
      <w:r/>
    </w:p>
    <w:p>
      <w:pPr>
        <w:ind w:firstLine="422"/>
        <w:spacing w:line="360" w:lineRule="auto"/>
        <w:rPr>
          <w:rFonts w:hint="eastAsia" w:ascii="宋体" w:hAnsi="宋体" w:cs="宋体"/>
          <w:b/>
          <w:szCs w:val="21"/>
        </w:rPr>
      </w:pPr>
      <w:r>
        <w:rPr>
          <w:rFonts w:hint="eastAsia" w:ascii="宋体" w:hAnsi="宋体" w:cs="宋体"/>
          <w:b/>
          <w:szCs w:val="21"/>
        </w:rPr>
        <w:t xml:space="preserve">（4）潜在供应商访问“苏采云”系统的网络地址和方法：“苏采云”系统的网址：http://jszfcg.jsczt.cn/。</w:t>
      </w:r>
      <w:r/>
    </w:p>
    <w:p>
      <w:pPr>
        <w:ind w:firstLine="422"/>
        <w:spacing w:line="360" w:lineRule="auto"/>
        <w:rPr>
          <w:rFonts w:hint="eastAsia" w:ascii="宋体" w:hAnsi="宋体" w:cs="宋体"/>
          <w:b/>
          <w:szCs w:val="21"/>
        </w:rPr>
      </w:pPr>
      <w:r>
        <w:rPr>
          <w:rFonts w:hint="eastAsia" w:ascii="宋体" w:hAnsi="宋体" w:cs="宋体"/>
          <w:b/>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szCs w:val="21"/>
        </w:rPr>
      </w:pPr>
      <w:r>
        <w:rPr>
          <w:rFonts w:hint="eastAsia" w:ascii="宋体" w:hAnsi="宋体" w:cs="宋体"/>
          <w:b/>
          <w:szCs w:val="21"/>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b/>
          <w:szCs w:val="21"/>
        </w:rPr>
      </w:pPr>
      <w:r>
        <w:rPr>
          <w:rFonts w:hint="eastAsia" w:ascii="宋体" w:hAnsi="宋体" w:cs="宋体"/>
          <w:b/>
          <w:szCs w:val="21"/>
        </w:rPr>
        <w:t xml:space="preserve">（7）苏采云系统使用谷歌浏览器参与不见面开标。</w:t>
      </w:r>
      <w:r/>
    </w:p>
    <w:p>
      <w:pPr>
        <w:ind w:firstLine="422"/>
        <w:spacing w:line="360" w:lineRule="auto"/>
        <w:rPr>
          <w:rFonts w:hint="eastAsia" w:ascii="宋体" w:hAnsi="宋体" w:cs="宋体"/>
          <w:szCs w:val="21"/>
        </w:rPr>
      </w:pPr>
      <w:r>
        <w:rPr>
          <w:rFonts w:hint="eastAsia" w:ascii="宋体" w:hAnsi="宋体" w:cs="宋体"/>
          <w:b/>
          <w:bCs/>
          <w:szCs w:val="21"/>
        </w:rPr>
        <w:t xml:space="preserve">（二）</w:t>
      </w:r>
      <w:bookmarkStart w:id="41" w:name="OLE_LINK18"/>
      <w:r>
        <w:rPr>
          <w:rFonts w:hint="eastAsia" w:ascii="宋体" w:hAnsi="宋体" w:cs="宋体"/>
          <w:b/>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41"/>
      <w:r/>
      <w:r/>
    </w:p>
    <w:p>
      <w:pPr>
        <w:ind w:firstLine="422"/>
        <w:jc w:val="left"/>
        <w:spacing w:line="360" w:lineRule="auto"/>
        <w:widowControl/>
        <w:rPr>
          <w:rFonts w:hint="eastAsia" w:ascii="宋体" w:hAnsi="宋体" w:cs="宋体"/>
          <w:b/>
        </w:rPr>
      </w:pPr>
      <w:r>
        <w:rPr>
          <w:rFonts w:hint="eastAsia" w:ascii="宋体" w:hAnsi="宋体" w:cs="宋体"/>
          <w:b/>
        </w:rPr>
        <w:t xml:space="preserve">（三）其他</w:t>
      </w:r>
      <w:r/>
    </w:p>
    <w:p>
      <w:pPr>
        <w:ind w:firstLine="422"/>
        <w:jc w:val="left"/>
        <w:spacing w:line="360" w:lineRule="auto"/>
        <w:widowControl/>
        <w:rPr>
          <w:rFonts w:hint="eastAsia"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cs="宋体"/>
          <w:b/>
        </w:rPr>
      </w:pPr>
      <w:r>
        <w:rPr>
          <w:rFonts w:hint="eastAsia" w:ascii="宋体" w:hAnsi="宋体" w:cs="宋体"/>
          <w:b/>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rPr>
      </w:pPr>
      <w:r>
        <w:rPr>
          <w:rFonts w:hint="eastAsia" w:ascii="宋体" w:hAnsi="宋体" w:cs="宋体"/>
          <w:b/>
        </w:rPr>
        <w:t xml:space="preserve">3</w:t>
      </w:r>
      <w:r>
        <w:rPr>
          <w:rFonts w:ascii="宋体" w:hAnsi="宋体" w:cs="宋体"/>
          <w:b/>
        </w:rPr>
        <w:t xml:space="preserve">.</w:t>
      </w:r>
      <w:r>
        <w:rPr>
          <w:rFonts w:hint="eastAsia" w:ascii="宋体" w:hAnsi="宋体" w:cs="宋体"/>
          <w:b/>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rPr>
      </w:pPr>
      <w:r>
        <w:rPr>
          <w:rFonts w:hint="eastAsia" w:ascii="宋体" w:hAnsi="宋体" w:cs="宋体"/>
          <w:b/>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cs="宋体"/>
          <w:b/>
        </w:rPr>
      </w:pPr>
      <w:r>
        <w:rPr>
          <w:rFonts w:hint="eastAsia" w:ascii="宋体" w:hAnsi="宋体" w:cs="宋体"/>
          <w:b/>
        </w:rPr>
        <w:t xml:space="preserve">5.严格执行政府采购关于支持</w:t>
      </w:r>
      <w:r>
        <w:rPr>
          <w:rFonts w:hint="eastAsia" w:ascii="宋体" w:hAnsi="宋体" w:cs="宋体"/>
          <w:b/>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rPr>
      </w:pPr>
      <w:r>
        <w:rPr>
          <w:rFonts w:hint="eastAsia" w:ascii="宋体" w:hAnsi="宋体" w:cs="宋体"/>
          <w:b/>
        </w:rPr>
        <w:t xml:space="preserve">6.潜在供应商对采购文件项目需求部分的询问、质疑请向采购人提出，由采购人负责答复。</w:t>
      </w:r>
      <w:r/>
    </w:p>
    <w:p>
      <w:pPr>
        <w:ind w:firstLine="420"/>
        <w:spacing w:line="360" w:lineRule="auto"/>
        <w:rPr>
          <w:rFonts w:hint="eastAsia" w:ascii="宋体" w:hAnsi="宋体" w:cs="宋体"/>
          <w:bCs/>
        </w:rPr>
      </w:pPr>
      <w:r>
        <w:rPr>
          <w:rFonts w:hint="eastAsia" w:ascii="宋体" w:hAnsi="宋体" w:cs="宋体"/>
          <w:bCs/>
          <w:szCs w:val="21"/>
        </w:rPr>
        <w:t xml:space="preserve">7.</w:t>
      </w:r>
      <w:r>
        <w:rPr>
          <w:rFonts w:hint="eastAsia" w:ascii="宋体" w:hAnsi="宋体"/>
        </w:rPr>
        <w:t xml:space="preserve">本次采购不收</w:t>
      </w:r>
      <w:r>
        <w:rPr>
          <w:rFonts w:hint="eastAsia" w:ascii="宋体" w:hAnsi="宋体"/>
          <w:highlight w:val="none"/>
        </w:rPr>
        <w:t xml:space="preserve">取</w:t>
      </w:r>
      <w:r>
        <w:rPr>
          <w:rFonts w:hint="eastAsia" w:ascii="宋体" w:hAnsi="宋体"/>
          <w:highlight w:val="none"/>
          <w:lang w:val="en-US" w:eastAsia="zh-CN"/>
        </w:rPr>
        <w:t xml:space="preserve">投标</w:t>
      </w:r>
      <w:r>
        <w:rPr>
          <w:rFonts w:hint="eastAsia" w:ascii="宋体" w:hAnsi="宋体"/>
          <w:highlight w:val="none"/>
        </w:rPr>
        <w:t xml:space="preserve">保证金</w:t>
      </w:r>
      <w:r>
        <w:rPr>
          <w:rFonts w:hint="eastAsia" w:ascii="宋体" w:hAnsi="宋体"/>
        </w:rPr>
        <w:t xml:space="preserve">。</w:t>
      </w:r>
      <w:r/>
    </w:p>
    <w:p>
      <w:pPr>
        <w:ind w:firstLine="420"/>
        <w:spacing w:line="360" w:lineRule="auto"/>
        <w:rPr>
          <w:rFonts w:hint="eastAsia" w:ascii="宋体" w:hAnsi="宋体" w:cs="宋体"/>
          <w:bCs/>
        </w:rPr>
      </w:pPr>
      <w:r>
        <w:rPr>
          <w:rFonts w:hint="eastAsia" w:ascii="宋体" w:hAnsi="宋体"/>
          <w:szCs w:val="21"/>
        </w:rPr>
        <w:t xml:space="preserve">8.</w:t>
      </w:r>
      <w:r>
        <w:rPr>
          <w:rFonts w:hint="eastAsia" w:ascii="宋体" w:hAnsi="宋体" w:cs="宋体"/>
          <w:bCs/>
        </w:rPr>
        <w:t xml:space="preserve">有关本次采购的事项若存在变动或修改，敬请及时关注“扬州市政府采购网”、“江苏政府采购网”、“中国政府采购网”发布的信息。</w:t>
      </w:r>
      <w:r/>
    </w:p>
    <w:p>
      <w:pPr>
        <w:ind w:firstLine="422"/>
        <w:spacing w:line="360" w:lineRule="auto"/>
        <w:rPr>
          <w:rFonts w:hint="eastAsia" w:ascii="宋体" w:hAnsi="宋体" w:cs="宋体"/>
          <w:b/>
          <w:i/>
          <w:iCs/>
          <w:u w:val="single"/>
        </w:rPr>
      </w:pPr>
      <w:r>
        <w:rPr>
          <w:rFonts w:hint="eastAsia" w:ascii="宋体" w:hAnsi="宋体" w:cs="宋体"/>
          <w:b/>
          <w:i/>
          <w:iCs/>
          <w:u w:val="single"/>
        </w:rPr>
        <w:t xml:space="preserve">9.本项目采购文件中所有斜体下划线部分为实质性条款，如不满足，则为无效响应。</w:t>
      </w:r>
      <w:r/>
    </w:p>
    <w:p>
      <w:pPr>
        <w:spacing w:line="360" w:lineRule="auto"/>
        <w:tabs>
          <w:tab w:val="left" w:pos="266" w:leader="none"/>
        </w:tabs>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七、本次招标联系方式</w:t>
      </w:r>
      <w:bookmarkEnd w:id="36"/>
      <w:r/>
      <w:bookmarkEnd w:id="37"/>
      <w:r/>
      <w:bookmarkEnd w:id="38"/>
      <w:r/>
      <w:bookmarkEnd w:id="39"/>
      <w:r/>
      <w:bookmarkEnd w:id="40"/>
      <w:r/>
      <w:r/>
    </w:p>
    <w:p>
      <w:pPr>
        <w:ind w:firstLine="420"/>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1.采购人信息</w:t>
      </w:r>
      <w:r/>
    </w:p>
    <w:p>
      <w:pPr>
        <w:ind w:firstLine="420"/>
        <w:jc w:val="left"/>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 称：</w:t>
      </w:r>
      <w:r>
        <w:rPr>
          <w:rFonts w:hint="eastAsia" w:ascii="宋体" w:hAnsi="宋体"/>
          <w:color w:val="000000" w:themeColor="text1"/>
          <w:szCs w:val="21"/>
          <w:lang w:eastAsia="zh-CN"/>
          <w14:textFill>
            <w14:solidFill>
              <w14:schemeClr w14:val="tx1"/>
            </w14:solidFill>
          </w14:textFill>
        </w:rPr>
        <w:t xml:space="preserve">扬州市江都区武坚镇人民政府</w:t>
      </w:r>
      <w:r/>
    </w:p>
    <w:p>
      <w:pPr>
        <w:ind w:firstLine="420"/>
        <w:jc w:val="left"/>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地 址：</w:t>
      </w:r>
      <w:r>
        <w:rPr>
          <w:rFonts w:hint="eastAsia" w:ascii="宋体" w:hAnsi="宋体"/>
          <w:color w:val="000000" w:themeColor="text1"/>
          <w:szCs w:val="21"/>
          <w:lang w:eastAsia="zh-CN"/>
          <w14:textFill>
            <w14:solidFill>
              <w14:schemeClr w14:val="tx1"/>
            </w14:solidFill>
          </w14:textFill>
        </w:rPr>
        <w:t xml:space="preserve">扬州市江都区武坚镇振兴路1号</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2.代理机构信息</w:t>
      </w:r>
      <w:r/>
    </w:p>
    <w:p>
      <w:pPr>
        <w:ind w:firstLine="420"/>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 称：</w:t>
      </w:r>
      <w:r>
        <w:rPr>
          <w:rFonts w:hint="eastAsia" w:ascii="宋体" w:hAnsi="宋体"/>
          <w:color w:val="000000" w:themeColor="text1"/>
          <w:szCs w:val="21"/>
          <w14:textFill>
            <w14:solidFill>
              <w14:schemeClr w14:val="tx1"/>
            </w14:solidFill>
          </w14:textFill>
        </w:rPr>
        <w:t xml:space="preserve">江苏富华工程造价咨询有限公司</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地　址：扬州市江都区龙城路41号3楼</w:t>
      </w:r>
      <w:r/>
    </w:p>
    <w:p>
      <w:pPr>
        <w:ind w:firstLine="420"/>
        <w:spacing w:line="360" w:lineRule="auto"/>
        <w:rPr>
          <w:rFonts w:hint="eastAsia" w:ascii="宋体" w:hAnsi="宋体" w:cs="宋体"/>
          <w:color w:val="000000" w:themeColor="text1"/>
          <w14:textFill>
            <w14:solidFill>
              <w14:schemeClr w14:val="tx1"/>
            </w14:solidFill>
          </w14:textFill>
        </w:rPr>
      </w:pPr>
      <w:r/>
      <w:bookmarkStart w:id="42" w:name="_Toc28359010"/>
      <w:r/>
      <w:bookmarkStart w:id="43" w:name="_Toc28359087"/>
      <w:r>
        <w:rPr>
          <w:rFonts w:hint="eastAsia" w:ascii="宋体" w:hAnsi="宋体" w:cs="宋体"/>
          <w:color w:val="000000" w:themeColor="text1"/>
          <w14:textFill>
            <w14:solidFill>
              <w14:schemeClr w14:val="tx1"/>
            </w14:solidFill>
          </w14:textFill>
        </w:rPr>
        <w:t xml:space="preserve">联系人：</w:t>
      </w:r>
      <w:r>
        <w:rPr>
          <w:rFonts w:hint="eastAsia" w:ascii="宋体" w:hAnsi="宋体"/>
          <w:color w:val="000000" w:themeColor="text1"/>
          <w:szCs w:val="21"/>
          <w:lang w:eastAsia="zh-CN"/>
          <w14:textFill>
            <w14:solidFill>
              <w14:schemeClr w14:val="tx1"/>
            </w14:solidFill>
          </w14:textFill>
        </w:rPr>
        <w:t xml:space="preserve">张</w:t>
      </w:r>
      <w:r>
        <w:rPr>
          <w:rFonts w:hint="eastAsia" w:ascii="宋体" w:hAnsi="宋体"/>
          <w:color w:val="000000" w:themeColor="text1"/>
          <w:szCs w:val="21"/>
          <w14:textFill>
            <w14:solidFill>
              <w14:schemeClr w14:val="tx1"/>
            </w14:solidFill>
          </w14:textFill>
        </w:rPr>
        <w:t xml:space="preserve">先生</w:t>
      </w:r>
      <w:r/>
    </w:p>
    <w:p>
      <w:pPr>
        <w:ind w:firstLine="420"/>
        <w:spacing w:line="360" w:lineRule="auto"/>
        <w:rPr>
          <w:rFonts w:hint="default" w:ascii="宋体" w:hAnsi="宋体" w:eastAsia="宋体" w:cs="宋体"/>
          <w:color w:val="000000" w:themeColor="text1"/>
          <w:u w:val="single"/>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联系方式：</w:t>
      </w:r>
      <w:bookmarkEnd w:id="42"/>
      <w:r/>
      <w:bookmarkEnd w:id="43"/>
      <w:r>
        <w:rPr>
          <w:rFonts w:hint="eastAsia" w:ascii="宋体" w:hAnsi="宋体"/>
          <w:color w:val="000000" w:themeColor="text1"/>
          <w:szCs w:val="21"/>
          <w:lang w:val="en-US" w:eastAsia="zh-CN"/>
          <w14:textFill>
            <w14:solidFill>
              <w14:schemeClr w14:val="tx1"/>
            </w14:solidFill>
          </w14:textFill>
        </w:rPr>
        <w:t xml:space="preserve">13390657988</w:t>
      </w:r>
      <w:r/>
    </w:p>
    <w:p>
      <w:pPr>
        <w:jc w:val="left"/>
        <w:widowControl/>
        <w:rPr>
          <w:rFonts w:hint="eastAsia" w:ascii="宋体" w:hAnsi="宋体"/>
          <w:b/>
          <w:bCs/>
          <w:color w:val="000000" w:themeColor="text1"/>
          <w:sz w:val="44"/>
          <w:szCs w:val="36"/>
          <w14:textFill>
            <w14:solidFill>
              <w14:schemeClr w14:val="tx1"/>
            </w14:solidFill>
          </w14:textFill>
        </w:rPr>
      </w:pPr>
      <w:r/>
      <w:bookmarkStart w:id="44" w:name="_Toc55204178"/>
      <w:r>
        <w:rPr>
          <w:rFonts w:ascii="宋体" w:hAnsi="宋体"/>
          <w:color w:val="000000" w:themeColor="text1"/>
          <w:szCs w:val="36"/>
          <w14:textFill>
            <w14:solidFill>
              <w14:schemeClr w14:val="tx1"/>
            </w14:solidFill>
          </w14:textFill>
        </w:rPr>
        <w:br w:type="page" w:clear="all"/>
      </w:r>
      <w:r/>
    </w:p>
    <w:p>
      <w:pPr>
        <w:pStyle w:val="734"/>
        <w:jc w:val="center"/>
        <w:rPr>
          <w:rFonts w:hint="eastAsia" w:ascii="宋体" w:hAnsi="宋体"/>
          <w:color w:val="000000" w:themeColor="text1"/>
          <w:szCs w:val="36"/>
          <w14:textFill>
            <w14:solidFill>
              <w14:schemeClr w14:val="tx1"/>
            </w14:solidFill>
          </w14:textFill>
        </w:rPr>
      </w:pPr>
      <w:r/>
      <w:bookmarkStart w:id="45" w:name="_Toc190211625"/>
      <w:r>
        <w:rPr>
          <w:rFonts w:hint="eastAsia" w:ascii="宋体" w:hAnsi="宋体"/>
          <w:color w:val="000000" w:themeColor="text1"/>
          <w:szCs w:val="36"/>
          <w14:textFill>
            <w14:solidFill>
              <w14:schemeClr w14:val="tx1"/>
            </w14:solidFill>
          </w14:textFill>
        </w:rPr>
        <w:t xml:space="preserve">第二章 投标人须知</w:t>
      </w:r>
      <w:bookmarkEnd w:id="44"/>
      <w:r/>
      <w:bookmarkEnd w:id="45"/>
      <w:r/>
      <w:r/>
    </w:p>
    <w:p>
      <w:pPr>
        <w:ind w:firstLine="422"/>
        <w:spacing w:line="44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1、招标方式</w:t>
      </w:r>
      <w:r/>
    </w:p>
    <w:p>
      <w:pPr>
        <w:ind w:firstLine="420"/>
        <w:spacing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1.1本次招标采取公开招标方式，本招标文件仅适用于</w:t>
      </w:r>
      <w:r>
        <w:rPr>
          <w:rFonts w:hint="eastAsia" w:ascii="宋体" w:hAnsi="宋体"/>
          <w:bCs/>
          <w:color w:val="000000" w:themeColor="text1"/>
          <w:szCs w:val="21"/>
          <w:lang w:eastAsia="zh-CN"/>
          <w14:textFill>
            <w14:solidFill>
              <w14:schemeClr w14:val="tx1"/>
            </w14:solidFill>
          </w14:textFill>
        </w:rPr>
        <w:t xml:space="preserve">JSZC-321012-JSFH-G2026-0027</w:t>
      </w:r>
      <w:r>
        <w:rPr>
          <w:rFonts w:hint="eastAsia" w:ascii="宋体" w:hAnsi="宋体"/>
          <w:bCs/>
          <w:color w:val="000000" w:themeColor="text1"/>
          <w:szCs w:val="21"/>
          <w14:textFill>
            <w14:solidFill>
              <w14:schemeClr w14:val="tx1"/>
            </w14:solidFill>
          </w14:textFill>
        </w:rPr>
        <w:t xml:space="preserve">项目。</w:t>
      </w:r>
      <w:r/>
    </w:p>
    <w:p>
      <w:pPr>
        <w:ind w:firstLine="422"/>
        <w:spacing w:line="44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2、投标人</w:t>
      </w:r>
      <w:r/>
    </w:p>
    <w:p>
      <w:pPr>
        <w:ind w:firstLine="420"/>
        <w:spacing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2.2合格的投标人</w:t>
      </w:r>
      <w:r/>
    </w:p>
    <w:p>
      <w:pPr>
        <w:ind w:firstLine="420"/>
        <w:spacing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2.2.1 满足招标公告中供应商的资格条件要求的规定。</w:t>
      </w:r>
      <w:r/>
    </w:p>
    <w:p>
      <w:pPr>
        <w:ind w:firstLine="420"/>
        <w:spacing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2.2.2 满足本文件实质性条款的规定。</w:t>
      </w:r>
      <w:r/>
    </w:p>
    <w:p>
      <w:pPr>
        <w:ind w:firstLine="422"/>
        <w:spacing w:line="44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3、适用法律</w:t>
      </w:r>
      <w:r/>
    </w:p>
    <w:p>
      <w:pPr>
        <w:ind w:firstLine="420"/>
        <w:spacing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3.1 本次招标及由此产生的合同受中华人民共和国有关的法律法规制约和保护。</w:t>
      </w:r>
      <w:r/>
    </w:p>
    <w:p>
      <w:pPr>
        <w:ind w:firstLine="422"/>
        <w:spacing w:line="44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4、投标费用</w:t>
      </w:r>
      <w:r/>
    </w:p>
    <w:p>
      <w:pPr>
        <w:ind w:firstLine="420"/>
        <w:spacing w:line="440" w:lineRule="exact"/>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4.1 投标人应自行承担所有与参加投标有关的费用，无论投标过程中的做法和结果如 何，代理机构在任何情况下均无义务和责任承担这些费用。 </w:t>
      </w:r>
      <w:r/>
    </w:p>
    <w:p>
      <w:pPr>
        <w:ind w:firstLine="422"/>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4.2</w:t>
      </w:r>
      <w:r>
        <w:rPr>
          <w:rFonts w:hint="eastAsia" w:ascii="宋体" w:hAnsi="宋体" w:cs="宋体"/>
          <w:b/>
          <w:bCs/>
          <w:color w:val="000000" w:themeColor="text1"/>
          <w:szCs w:val="21"/>
          <w14:textFill>
            <w14:solidFill>
              <w14:schemeClr w14:val="tx1"/>
            </w14:solidFill>
          </w14:textFill>
        </w:rPr>
        <w:t xml:space="preserve">本招标文件约定由中标单位支付招标代理服务费，计取金额按照苏建价协（2022）7号文规定标准计算，该费用由中标单位在领取中标通知书前，向招标代理机构付清。</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（1）代理服务费以人民币支付；</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）招标代理服务费不在投标报价中单列，包含在投标总价中，由中标单位支付给代理机构。</w:t>
      </w:r>
      <w:r/>
    </w:p>
    <w:p>
      <w:pPr>
        <w:ind w:firstLine="422"/>
        <w:spacing w:line="440" w:lineRule="exact"/>
        <w:rPr>
          <w:rFonts w:hint="eastAsia" w:ascii="宋体" w:hAnsi="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4.3专家评审费按《扬州市财政局关于进一步规范扬州市政府采购专家评审费标准的通知》（扬财购〔2020〕40号）执行。</w:t>
      </w:r>
      <w:r/>
    </w:p>
    <w:p>
      <w:pPr>
        <w:ind w:firstLine="422"/>
        <w:spacing w:line="44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5、招标文件的约束力</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 投标人一旦参加本项目采购活动，即被认为接受了本招标文件的规定和约束。</w:t>
      </w:r>
      <w:r/>
    </w:p>
    <w:p>
      <w:pPr>
        <w:ind w:firstLine="422"/>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6、招标文件构成</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6.1 招标文件有以下部分组成：</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（1）招标公告</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（2）投标人须知</w:t>
      </w:r>
      <w:r>
        <w:rPr>
          <w:rFonts w:hint="eastAsia" w:ascii="宋体" w:hAnsi="宋体" w:cs="宋体"/>
          <w:color w:val="000000" w:themeColor="text1"/>
          <w:szCs w:val="21"/>
          <w14:textFill>
            <w14:solidFill>
              <w14:schemeClr w14:val="tx1"/>
            </w14:solidFill>
          </w14:textFill>
        </w:rPr>
        <w:tab/>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（3）合同条款及格式</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（4）项目需求</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（5）评标方法与评标标准</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（6）投标文件格式</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请仔细检查招标文件是否齐全，如有缺漏请立即与代理机构联系解决。</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6.3 招标文件如果要求供应商提交备选投标方案的，供应商可以提交备选方案；否则，备选方案将被拒绝。</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7、招标文件的澄清</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8、招标文件的修改</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8.1 在投标截止时间前，代理机构可以对招标文件进行修改。</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8.3招标文件的修改将在“扬州市政府采购网”、“江苏政府采购网”、“中国政府采购网”公布，补充文件将作为招标文件的组成部分，并对投标人具有约束力。</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9、投标文件的语言、度量衡单位、货币</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9.2 除技术性能另有规定外，投标文件所使用的度量衡单位，均须采用国家法定计量单位。</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9.3投标人应使用人民币报价。</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10、投标文件构成</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10.1投标文件由以下部分组成</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（1）资格审查响应对照表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（2）符合性审查响应对照表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（3）非实质性响应对照表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（4）开标一览表 </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（5）分项报价表 </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（6）技术参数响应及偏离表 </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（7）商务条款响应及偏离表 </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（8）其他 （投标人认为有必要提供的声明和文件，如有自拟并自行添加）</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11、证明投标人资格及符合招标文件规定的文件</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11.1投标人应按要求提交资格证明文件及符合招标文件规定的文件。</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11.2投标人应提交证明其有资格参加投标和中标后有能力独立履行合同的文件。</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11.3投标人除必须具有履行合同所需提供的产品或服务的能力外，还必须具备相应的财务、技术方面的能力。</w:t>
      </w:r>
      <w:r/>
    </w:p>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11.4投标人应提交根据合同要求提供的证明服务质量合格以及符合招标文件规定的证明文件。</w:t>
      </w:r>
      <w:r/>
    </w:p>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11.5证明投标人所提供服务与招标文件的要求相一致的文件可以是手册、图纸、文字资料和数据。</w:t>
      </w:r>
      <w:r/>
    </w:p>
    <w:p>
      <w:pPr>
        <w:ind w:left="420"/>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12、</w:t>
      </w:r>
      <w:r>
        <w:rPr>
          <w:rFonts w:hint="eastAsia" w:ascii="宋体" w:hAnsi="宋体"/>
          <w:b/>
          <w:bCs/>
          <w:color w:val="000000" w:themeColor="text1"/>
          <w14:textFill>
            <w14:solidFill>
              <w14:schemeClr w14:val="tx1"/>
            </w14:solidFill>
          </w14:textFill>
        </w:rPr>
        <w:t xml:space="preserve">分项报价表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12.2 标的物</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采购人需求的服务供应、安装，调试及有关技术服务等。</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12.3其它费用处理</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招标文件未列明，而投标人认为必需的费用也需列入报价。</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12.4投标货币</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13、技术参数响应及偏离表、商务条款响应及偏离表及投标货物说明</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13.1 对招标文件中的技术与商务条款要求逐项作出响应或偏离，并说明原因；</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13.2 提供参加本项目类似案例简介；</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13.3 培训计划；</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13.4 投标人认为需要的其他技术文件或说明。</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14、服务承诺及售后服务机构、人员的情况介绍</w:t>
      </w:r>
      <w:r/>
    </w:p>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14.1投标人的服务承诺应按不低于招标文件中商务要求的标准。</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15、投标函和开标一览表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15.1 投标人应按照招标文件中提供的格式完整、正确填写投标函、开标一览表。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16、投标有效期</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16.1 投标有效期为开标之日起六十（60）天。投标有效期比规定短的将被视为非响应性投标而予以拒绝。</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color w:val="000000" w:themeColor="text1"/>
          <w:szCs w:val="21"/>
          <w14:textFill>
            <w14:solidFill>
              <w14:schemeClr w14:val="tx1"/>
            </w14:solidFill>
          </w14:textFill>
        </w:rPr>
      </w:pPr>
      <w:r/>
      <w:bookmarkStart w:id="46" w:name="_Toc462564084"/>
      <w:r/>
      <w:bookmarkStart w:id="47" w:name="_Toc20823297"/>
      <w:r/>
      <w:bookmarkStart w:id="48" w:name="_Toc16938541"/>
      <w:r/>
      <w:bookmarkStart w:id="49" w:name="_Toc513029225"/>
      <w:r>
        <w:rPr>
          <w:rFonts w:hint="eastAsia" w:ascii="宋体" w:hAnsi="宋体"/>
          <w:b/>
          <w:color w:val="000000" w:themeColor="text1"/>
          <w:szCs w:val="21"/>
          <w14:textFill>
            <w14:solidFill>
              <w14:schemeClr w14:val="tx1"/>
            </w14:solidFill>
          </w14:textFill>
        </w:rPr>
        <w:t xml:space="preserve">17、投标文件</w:t>
      </w:r>
      <w:bookmarkEnd w:id="46"/>
      <w:r/>
      <w:bookmarkEnd w:id="47"/>
      <w:r/>
      <w:bookmarkEnd w:id="48"/>
      <w:r/>
      <w:bookmarkEnd w:id="49"/>
      <w:r>
        <w:rPr>
          <w:rFonts w:hint="eastAsia" w:ascii="宋体" w:hAnsi="宋体"/>
          <w:b/>
          <w:color w:val="000000" w:themeColor="text1"/>
          <w:szCs w:val="21"/>
          <w14:textFill>
            <w14:solidFill>
              <w14:schemeClr w14:val="tx1"/>
            </w14:solidFill>
          </w14:textFill>
        </w:rPr>
        <w:t xml:space="preserve">的递交</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17.1 电子投标文件的递交投标人应当按照《操作手册》规定，在投标截止时间前制作并上传电子投标文件。</w:t>
      </w:r>
      <w:bookmarkStart w:id="50" w:name="_Toc20823298"/>
      <w:r/>
      <w:bookmarkStart w:id="51" w:name="_Toc16938542"/>
      <w:r/>
      <w:bookmarkStart w:id="52" w:name="_Toc513029226"/>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17.2</w:t>
      </w:r>
      <w:r>
        <w:rPr>
          <w:rFonts w:hint="eastAsia" w:ascii="宋体" w:hAnsi="宋体"/>
          <w:b/>
          <w:bCs/>
          <w:color w:val="000000" w:themeColor="text1"/>
          <w:szCs w:val="21"/>
          <w14:textFill>
            <w14:solidFill>
              <w14:schemeClr w14:val="tx1"/>
            </w14:solidFill>
          </w14:textFill>
        </w:rPr>
        <w:t xml:space="preserve">政府采购管理交易系统（苏采云）</w:t>
      </w:r>
      <w:r>
        <w:rPr>
          <w:rFonts w:hint="eastAsia" w:ascii="宋体" w:hAnsi="宋体"/>
          <w:b/>
          <w:color w:val="000000" w:themeColor="text1"/>
          <w:szCs w:val="21"/>
          <w14:textFill>
            <w14:solidFill>
              <w14:schemeClr w14:val="tx1"/>
            </w14:solidFill>
          </w14:textFill>
        </w:rPr>
        <w:t xml:space="preserve">相关要求是本招标文件的组成部分。</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17.3投标人应对 CA 证书妥善保管，如被他人盗用投标，因此带来的结果均由投标人自行承担。</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17.4投标人应当对招标文件提出的要求和条件作出实质性响应，并在电子投标系统逐条应答。</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17.7各投标人应在规定时间内凭CA证书进行网上解密。</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18、投标截止日期</w:t>
      </w:r>
      <w:bookmarkEnd w:id="50"/>
      <w:r/>
      <w:bookmarkEnd w:id="51"/>
      <w:r/>
      <w:bookmarkEnd w:id="52"/>
      <w:r/>
      <w:r/>
    </w:p>
    <w:p>
      <w:pPr>
        <w:ind w:firstLine="420"/>
        <w:spacing w:line="360" w:lineRule="auto"/>
        <w:rPr>
          <w:rFonts w:hint="eastAsia" w:ascii="宋体" w:hAnsi="宋体"/>
          <w:bCs/>
          <w:i/>
          <w:iCs/>
          <w:color w:val="000000" w:themeColor="text1"/>
          <w:szCs w:val="21"/>
          <w:u w:val="single"/>
          <w14:textFill>
            <w14:solidFill>
              <w14:schemeClr w14:val="tx1"/>
            </w14:solidFill>
          </w14:textFill>
        </w:rPr>
      </w:pPr>
      <w:r>
        <w:rPr>
          <w:rFonts w:hint="eastAsia" w:ascii="宋体" w:hAnsi="宋体"/>
          <w:bCs/>
          <w:i/>
          <w:iCs/>
          <w:color w:val="000000" w:themeColor="text1"/>
          <w:szCs w:val="21"/>
          <w:u w:val="single"/>
          <w14:textFill>
            <w14:solidFill>
              <w14:schemeClr w14:val="tx1"/>
            </w14:solidFill>
          </w14:textFill>
        </w:rPr>
        <w:t xml:space="preserve">18.1 投标人上传电子投标文件的时间不得迟于招标公告中规定的投标截止时间。</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b/>
          <w:color w:val="000000" w:themeColor="text1"/>
          <w:szCs w:val="21"/>
          <w14:textFill>
            <w14:solidFill>
              <w14:schemeClr w14:val="tx1"/>
            </w14:solidFill>
          </w14:textFill>
        </w:rPr>
      </w:pPr>
      <w:r/>
      <w:bookmarkStart w:id="53" w:name="_Toc513029227"/>
      <w:r/>
      <w:bookmarkStart w:id="54" w:name="_Toc20823299"/>
      <w:r/>
      <w:bookmarkStart w:id="55" w:name="_Toc16938543"/>
      <w:r>
        <w:rPr>
          <w:rFonts w:hint="eastAsia" w:ascii="宋体" w:hAnsi="宋体"/>
          <w:b/>
          <w:color w:val="000000" w:themeColor="text1"/>
          <w:szCs w:val="21"/>
          <w14:textFill>
            <w14:solidFill>
              <w14:schemeClr w14:val="tx1"/>
            </w14:solidFill>
          </w14:textFill>
        </w:rPr>
        <w:t xml:space="preserve">19、投标文件</w:t>
      </w:r>
      <w:bookmarkEnd w:id="53"/>
      <w:r/>
      <w:bookmarkEnd w:id="54"/>
      <w:r/>
      <w:bookmarkEnd w:id="55"/>
      <w:r>
        <w:rPr>
          <w:rFonts w:hint="eastAsia" w:ascii="宋体" w:hAnsi="宋体"/>
          <w:b/>
          <w:color w:val="000000" w:themeColor="text1"/>
          <w:szCs w:val="21"/>
          <w14:textFill>
            <w14:solidFill>
              <w14:schemeClr w14:val="tx1"/>
            </w14:solidFill>
          </w14:textFill>
        </w:rPr>
        <w:t xml:space="preserve">的拒收</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19.1代理机构拒绝接收在其规定的投标截止时间后上传的任何投标文件。</w:t>
      </w:r>
      <w:r/>
    </w:p>
    <w:p>
      <w:pPr>
        <w:ind w:firstLine="422"/>
        <w:spacing w:line="360" w:lineRule="auto"/>
        <w:rPr>
          <w:rFonts w:hint="eastAsia" w:ascii="宋体" w:hAnsi="宋体"/>
          <w:b/>
          <w:color w:val="000000" w:themeColor="text1"/>
          <w:szCs w:val="21"/>
          <w14:textFill>
            <w14:solidFill>
              <w14:schemeClr w14:val="tx1"/>
            </w14:solidFill>
          </w14:textFill>
        </w:rPr>
      </w:pPr>
      <w:r/>
      <w:bookmarkStart w:id="56" w:name="_Toc16938544"/>
      <w:r/>
      <w:bookmarkStart w:id="57" w:name="_Toc513029228"/>
      <w:r/>
      <w:bookmarkStart w:id="58" w:name="_Toc20823300"/>
      <w:r>
        <w:rPr>
          <w:rFonts w:hint="eastAsia" w:ascii="宋体" w:hAnsi="宋体"/>
          <w:b/>
          <w:color w:val="000000" w:themeColor="text1"/>
          <w:szCs w:val="21"/>
          <w14:textFill>
            <w14:solidFill>
              <w14:schemeClr w14:val="tx1"/>
            </w14:solidFill>
          </w14:textFill>
        </w:rPr>
        <w:t xml:space="preserve">20、投标文件的撤回和修改</w:t>
      </w:r>
      <w:bookmarkEnd w:id="56"/>
      <w:r/>
      <w:bookmarkEnd w:id="57"/>
      <w:r/>
      <w:bookmarkEnd w:id="58"/>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20.1 投标文件的撤回</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20.1.1 电子投标文件的撤回</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投标人可在投标截止时间前，撤回其电子投标文件，具体操作方法见《操作手册》。</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20.1.2 投标人撤回电子投标文件，则认为其不再参与本项目投标活动。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20.2 投标文件的修改</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投标人可在投标截止时间前，对其电子投标文件进行修改，具体操作方法见《操作手册》。</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20.3 在投标截止时间之后，投标人不得对其电子投标文件作任何修改。</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20.4 在投标截止时间至招标文件中规定的投标有效期满之间的这段时间内，投标人不得撤回其投标。</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21、开标</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21.2投标人不足3家的，不得开标。</w:t>
      </w:r>
      <w:r/>
    </w:p>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21.4投标人在开标过程中涉及到的投标文件解密、开标结果确认等工作，应按照《操作手册》规定执行。</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22、评标委员会</w:t>
      </w:r>
      <w:r/>
    </w:p>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22.1 开标后，代理机构将立即组织评标委员会（以下简称评委会）进行评标。</w:t>
      </w:r>
      <w:r/>
    </w:p>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22.2 评委会由采购人代表和有关技术、经济等方面的专家组成，且人员构成符合政府采购有关规定。</w:t>
      </w:r>
      <w:r/>
    </w:p>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22.3评委会独立工作，负责评审所有投标文件并确定中标候选人。</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23、评标过程的保密与公正</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23.2在评标过程中，投标人不得以任何行为影响评标过程，否则其投标文件将被作为无效投标文件。</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23.3 在评标期间，代理机构将设专门工作人员与投标人联系。</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23.4 代理机构和评委会不向未中标的投标人解释未中标原因，也不公布评标过程中的相关细节。</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24、投标的澄清</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24.3 接到评委会澄清要求的投标人如未按规定做出澄清，其风险由投标人自行承担。</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25、对投标文件的初审</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25.1投标文件初审分为资格审查和符合性审查。</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（1）投标文件中开标一览表内容与投标文件中相应内容不一致的，以开标一览表为准。</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（2）大写金额与小写金额不一致的，以大写金额为准。</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（3）单价金额小数点或者百分比有明显错位的，以开标一览表的总价为准，并修改单价。</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（4）总价金额与按单价汇总金额不一致的，以单价金额计算结果为准。</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同时出现两种以上错误的，按照前款规定的顺序修正。</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25.6评委会将允许修正投标文件中不构成重大偏离的、微小的、非正规的、不一致的或不规则的地方，但这些修改不能影响任何投标人相应的名次排列。</w:t>
      </w:r>
      <w:r/>
    </w:p>
    <w:p>
      <w:pPr>
        <w:ind w:firstLine="422"/>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2"/>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2"/>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22"/>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25.8 投标人在开、评标全过程中应保持通讯畅通，并安排专人与代理机构及评委会联系。</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26、无效投标、废标及投标人不足三家的处理</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26.1无效投标条款</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26.1.1 投标人未成功解密电子投标文件的。</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26.1.2 投标人未按照招标文件要求上传电子投标文件的。</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26.1.3投标人在报价时采用选择性报价的。</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26.1.4投标人不具备招标文件中规定资格要求的。</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26.1.5投标人的报价超过了采购预算或最高限价的。</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26.1.6未通过符合性审查的。</w:t>
      </w:r>
      <w:r/>
    </w:p>
    <w:p>
      <w:pPr>
        <w:ind w:firstLine="420"/>
        <w:spacing w:line="360" w:lineRule="auto"/>
        <w:rPr>
          <w:rFonts w:hint="eastAsia" w:ascii="宋体" w:hAnsi="宋体"/>
          <w:b/>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26.1.7不符合招标文件中规定的其他实质性要求和条件的</w:t>
      </w:r>
      <w:r>
        <w:rPr>
          <w:rFonts w:hint="eastAsia" w:ascii="宋体" w:hAnsi="宋体"/>
          <w:b/>
          <w:color w:val="000000" w:themeColor="text1"/>
          <w:szCs w:val="21"/>
          <w14:textFill>
            <w14:solidFill>
              <w14:schemeClr w14:val="tx1"/>
            </w14:solidFill>
          </w14:textFill>
        </w:rPr>
        <w:t xml:space="preserve">（</w:t>
      </w:r>
      <w:r>
        <w:rPr>
          <w:rFonts w:hint="eastAsia" w:ascii="宋体" w:hAnsi="宋体"/>
          <w:b/>
          <w:i/>
          <w:iCs/>
          <w:color w:val="000000" w:themeColor="text1"/>
          <w:szCs w:val="21"/>
          <w:u w:val="single"/>
          <w14:textFill>
            <w14:solidFill>
              <w14:schemeClr w14:val="tx1"/>
            </w14:solidFill>
          </w14:textFill>
        </w:rPr>
        <w:t xml:space="preserve">本招标文件中斜体且有下划线部分为实质性要求和条件</w:t>
      </w:r>
      <w:r>
        <w:rPr>
          <w:rFonts w:hint="eastAsia" w:ascii="宋体" w:hAnsi="宋体"/>
          <w:b/>
          <w:color w:val="000000" w:themeColor="text1"/>
          <w:szCs w:val="21"/>
          <w14:textFill>
            <w14:solidFill>
              <w14:schemeClr w14:val="tx1"/>
            </w14:solidFill>
          </w14:textFill>
        </w:rPr>
        <w:t xml:space="preserve">）。</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26.1.9  投标文件含有采购人不能接受的附加条件的。</w:t>
      </w:r>
      <w:r/>
    </w:p>
    <w:p>
      <w:pPr>
        <w:ind w:firstLine="420"/>
        <w:jc w:val="left"/>
        <w:spacing w:line="300" w:lineRule="auto"/>
        <w:rPr>
          <w:rFonts w:hint="eastAsia" w:ascii="宋体" w:hAnsi="宋体"/>
          <w:b/>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26.1.10 </w:t>
      </w:r>
      <w:r>
        <w:rPr>
          <w:rFonts w:hint="eastAsia" w:ascii="宋体" w:hAnsi="宋体" w:cs="宋体"/>
          <w:b/>
          <w:bCs/>
          <w:color w:val="000000"/>
          <w:szCs w:val="21"/>
        </w:rPr>
        <w:t xml:space="preserve">评</w:t>
      </w:r>
      <w:r>
        <w:rPr>
          <w:rFonts w:hint="eastAsia" w:ascii="宋体" w:hAnsi="宋体"/>
          <w:b/>
          <w:bCs/>
          <w:color w:val="000000" w:themeColor="text1"/>
          <w:szCs w:val="21"/>
          <w14:textFill>
            <w14:solidFill>
              <w14:schemeClr w14:val="tx1"/>
            </w14:solidFill>
          </w14:textFill>
        </w:rPr>
        <w:t xml:space="preserve">审小组启动异常低价投标（响应）审查的情形和具体要求如下：</w:t>
      </w:r>
      <w:r/>
    </w:p>
    <w:p>
      <w:pPr>
        <w:ind w:firstLine="422"/>
        <w:jc w:val="left"/>
        <w:spacing w:line="30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（一）评审中出现下列情形之一的，评审委员会应当启动异常低价投标（响应）审查程序： </w:t>
      </w:r>
      <w:r/>
    </w:p>
    <w:p>
      <w:pPr>
        <w:ind w:firstLine="422"/>
        <w:jc w:val="left"/>
        <w:spacing w:line="30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ind w:firstLine="422"/>
        <w:jc w:val="left"/>
        <w:spacing w:line="30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22"/>
        <w:jc w:val="left"/>
        <w:spacing w:line="30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3.投标（响应）报价低于采购项目最高限价45%的，即投标（响应）报价&lt;采购项目最高限价×45%； </w:t>
      </w:r>
      <w:r/>
    </w:p>
    <w:p>
      <w:pPr>
        <w:ind w:firstLine="422"/>
        <w:jc w:val="left"/>
        <w:spacing w:line="30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4.评审委员会基于专业判断，认为供应商报价过低，有可能影响产品质量或者不能诚信履约的其他情形。 </w:t>
      </w:r>
      <w:r/>
    </w:p>
    <w:p>
      <w:pPr>
        <w:ind w:firstLine="422"/>
        <w:jc w:val="left"/>
        <w:spacing w:line="30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相关法律法规对供应商报价有规定的，从其规定。 </w:t>
      </w:r>
      <w:r/>
    </w:p>
    <w:p>
      <w:pPr>
        <w:ind w:firstLine="422"/>
        <w:jc w:val="left"/>
        <w:spacing w:line="30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0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0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26.1.11本项目采购产品被财政部、国家发改委、生态环境部等列入“节能产品品目清单”、“环境标志产品品目清单”强制采购范围，而投标人所投标产品不在强制采购范围内的。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26.1.12 投标文件未按照招标文件要求加盖电子签章。</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26.1.13其他法律、法规及本招标文件规定的属无效投标的情形。</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26.2废标条款：</w:t>
      </w:r>
      <w:r/>
    </w:p>
    <w:p>
      <w:pPr>
        <w:ind w:left="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26.2.3因重大变故，采购任务取消的。</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26.2.4评委会认定招标文件存在歧义、重大缺陷导致评审工作无法进行。</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26.3 投标截止时间结束后参加投标的供应商不足三家的处理：</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27、确定中标单位</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27.1评委会根据本招标文件规定评标方法与评标标准向采购人推荐出中标候选人。</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27.2 采购人应根据评委会推荐的中标候选人确定中标人。</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27.3代理机构将在“扬州市政府采购网”、“江苏政府采购网”、“中国政府采购网”发布中标公告，公告期限为1个工作日。</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27.4若有充分证据证明，中标人出现下列情况之一的，一经查实，将被取消中标资格：</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27.4.1提供虚假材料谋取中标的；</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27.4.2向采购人、代理机构行贿或者提供其他不正当利益的；</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27.4.3恶意竞争，投标总报价明显低于其自身合理成本且又无法提供证明的；</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27.4.4属于本文件规定的无效条件，但在评标过程中又未被评委会发现的；</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27.4.5与采购人或者其他投标人恶意串通的；</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27.4.6采取不正当手段诋毁、排挤其他供应商的；</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27.4.7不符合法律、法规的规定的。</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27.5. 有下列情形之一的，视为投标人串通投标，投标无效：</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27.5.1不同投标人的投标文件由同一单位或者个人编制。</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27.5.2不同投标人委托同一单位或者个人办理投标事宜。</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27.5.3 不同投标人的投标文件载明的项目管理成员或者联系人员为同一人。</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27.5.4不同投标人的投标文件异常一致或者投标报价呈规律性差异。</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27.5.5不同投标人的投标文件相互混装。</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28、质疑处理</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对项目需求部分的质疑，潜在供应商应向采购人提出，由采购人负责答复。</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28.2.1对采购文件提出质疑的，应当在获取采购文件之日或者采购文件公告期限届满之日起7个工作日内提出。</w:t>
      </w:r>
      <w:r>
        <w:rPr>
          <w:rFonts w:hint="eastAsia" w:ascii="宋体" w:hAnsi="宋体"/>
          <w:bCs/>
          <w:color w:val="000000" w:themeColor="text1"/>
          <w:szCs w:val="21"/>
          <w14:textFill>
            <w14:solidFill>
              <w14:schemeClr w14:val="tx1"/>
            </w14:solidFill>
          </w14:textFill>
        </w:rPr>
        <w:br w:type="textWrapping" w:clear="all"/>
      </w:r>
      <w:r>
        <w:rPr>
          <w:rFonts w:hint="eastAsia" w:ascii="宋体" w:hAnsi="宋体"/>
          <w:bCs/>
          <w:color w:val="000000" w:themeColor="text1"/>
          <w:szCs w:val="21"/>
          <w14:textFill>
            <w14:solidFill>
              <w14:schemeClr w14:val="tx1"/>
            </w14:solidFill>
          </w14:textFill>
        </w:rPr>
        <w:t xml:space="preserve">    28.2.2对采购过程提出质疑的，为各采购程序环节结束之日起7个工作日内提出。</w:t>
      </w:r>
      <w:r>
        <w:rPr>
          <w:rFonts w:hint="eastAsia" w:ascii="宋体" w:hAnsi="宋体"/>
          <w:bCs/>
          <w:color w:val="000000" w:themeColor="text1"/>
          <w:szCs w:val="21"/>
          <w14:textFill>
            <w14:solidFill>
              <w14:schemeClr w14:val="tx1"/>
            </w14:solidFill>
          </w14:textFill>
        </w:rPr>
        <w:br w:type="textWrapping" w:clear="all"/>
      </w:r>
      <w:r>
        <w:rPr>
          <w:rFonts w:hint="eastAsia" w:ascii="宋体" w:hAnsi="宋体"/>
          <w:bCs/>
          <w:color w:val="000000" w:themeColor="text1"/>
          <w:szCs w:val="21"/>
          <w14:textFill>
            <w14:solidFill>
              <w14:schemeClr w14:val="tx1"/>
            </w14:solidFill>
          </w14:textFill>
        </w:rPr>
        <w:t xml:space="preserve">    28.2.3对中标结果提出质疑的，为中标结果公告期限届满之日起7个工作日内提出。</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28.5 代理机构及采购人只接收以纸质原件形式送达的质疑。</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采购人质疑接收人及联系方式见招标文件第一章。</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28.7质疑人应当在法定质疑期限内进行补正并重新提交质疑函。</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28.8 以下情形的质疑不予受理</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28.8.1 内容不符合《政府采购质疑和投诉办法》第十二条规定的质疑。</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28.8.2 超出政府采购法定期限的质疑。</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28.8.3 以传真、电子邮件等方式递交的非原件形式的质疑。</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28.8.4 未参加投标活动的供应商或在投标活动中自身权益未受到损害的供应商所提出的质疑。</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28.8.5供应商组成联合体参加投标，联合体中任何一方或多方未按要求签字、盖章、加盖公章的质疑。</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29、中标通知书</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29.l 中标结果确定后，代理机构将向中标人发出中标通知书。</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29.2 中标人可在“政府采购管理交易系统（苏采云）”中标通知书下载模块中自行下载中标通知书。</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30、签订合同</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30.l中标人应在中标通知书发出之日起十五日内，按照招标文件确定的事项与采购人签订政府采购合同。</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30.2 招标文件、中标人的投标文件及招标过程中有关澄清、承诺文件均应作为合同附件。</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30.3 合同在“政府采购管理交易系统（苏采云）”中签订，签订合同后，</w:t>
      </w:r>
      <w:r>
        <w:rPr>
          <w:rFonts w:hint="eastAsia" w:ascii="宋体" w:hAnsi="宋体"/>
          <w:bCs/>
          <w:i/>
          <w:iCs/>
          <w:color w:val="000000" w:themeColor="text1"/>
          <w:szCs w:val="21"/>
          <w:u w:val="single"/>
          <w14:textFill>
            <w14:solidFill>
              <w14:schemeClr w14:val="tx1"/>
            </w14:solidFill>
          </w14:textFill>
        </w:rPr>
        <w:t xml:space="preserve">中标人不得将货物或服务及其他服务进行转包</w:t>
      </w:r>
      <w:r>
        <w:rPr>
          <w:rFonts w:hint="eastAsia" w:ascii="宋体" w:hAnsi="宋体"/>
          <w:bCs/>
          <w:color w:val="000000" w:themeColor="text1"/>
          <w:szCs w:val="21"/>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jc w:val="left"/>
        <w:spacing w:line="360" w:lineRule="auto"/>
        <w:rPr>
          <w:rFonts w:hint="eastAsia" w:ascii="宋体" w:hAnsi="宋体"/>
          <w:bCs/>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3</w:t>
      </w:r>
      <w:r>
        <w:rPr>
          <w:rFonts w:hint="eastAsia" w:ascii="宋体" w:hAnsi="宋体"/>
          <w:b/>
          <w:color w:val="000000" w:themeColor="text1"/>
          <w:szCs w:val="21"/>
          <w14:textFill>
            <w14:solidFill>
              <w14:schemeClr w14:val="tx1"/>
            </w14:solidFill>
          </w14:textFill>
        </w:rPr>
        <w:t xml:space="preserve">1、其他</w:t>
      </w:r>
      <w:r>
        <w:rPr>
          <w:rFonts w:ascii="宋体" w:hAnsi="宋体"/>
          <w:color w:val="000000" w:themeColor="text1"/>
          <w14:textFill>
            <w14:solidFill>
              <w14:schemeClr w14:val="tx1"/>
            </w14:solidFill>
          </w14:textFill>
        </w:rPr>
        <w:br w:type="textWrapping" w:clear="all"/>
      </w:r>
      <w:r>
        <w:rPr>
          <w:rFonts w:ascii="宋体" w:hAnsi="宋体"/>
          <w:color w:val="000000" w:themeColor="text1"/>
          <w14:textFill>
            <w14:solidFill>
              <w14:schemeClr w14:val="tx1"/>
            </w14:solidFill>
          </w14:textFill>
        </w:rPr>
        <w:t xml:space="preserve">    3</w:t>
      </w:r>
      <w:r>
        <w:rPr>
          <w:rFonts w:hint="eastAsia" w:ascii="宋体" w:hAnsi="宋体"/>
          <w:color w:val="000000" w:themeColor="text1"/>
          <w14:textFill>
            <w14:solidFill>
              <w14:schemeClr w14:val="tx1"/>
            </w14:solidFill>
          </w14:textFill>
        </w:rPr>
        <w:t xml:space="preserve">1</w:t>
      </w:r>
      <w:r>
        <w:rPr>
          <w:rFonts w:ascii="宋体" w:hAnsi="宋体"/>
          <w:color w:val="000000" w:themeColor="text1"/>
          <w14:textFill>
            <w14:solidFill>
              <w14:schemeClr w14:val="tx1"/>
            </w14:solidFill>
          </w14:textFill>
        </w:rPr>
        <w:t xml:space="preserve">.1 </w:t>
      </w:r>
      <w:r>
        <w:rPr>
          <w:rFonts w:hint="eastAsia" w:ascii="宋体" w:hAnsi="宋体"/>
          <w:color w:val="000000" w:themeColor="text1"/>
          <w14:textFill>
            <w14:solidFill>
              <w14:schemeClr w14:val="tx1"/>
            </w14:solidFill>
          </w14:textFill>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hint="eastAsia" w:ascii="宋体" w:hAnsi="宋体"/>
          <w:color w:val="000000" w:themeColor="text1"/>
          <w14:textFill>
            <w14:solidFill>
              <w14:schemeClr w14:val="tx1"/>
            </w14:solidFill>
          </w14:textFill>
        </w:rPr>
      </w:pPr>
      <w:r>
        <w:rPr>
          <w:rFonts w:hint="eastAsia" w:ascii="宋体" w:hAnsi="宋体"/>
          <w:bCs/>
          <w:color w:val="000000" w:themeColor="text1"/>
          <w:szCs w:val="21"/>
          <w14:textFill>
            <w14:solidFill>
              <w14:schemeClr w14:val="tx1"/>
            </w14:solidFill>
          </w14:textFill>
        </w:rPr>
        <w:br w:type="page" w:clear="all"/>
      </w:r>
      <w:r/>
    </w:p>
    <w:p>
      <w:pPr>
        <w:pStyle w:val="734"/>
        <w:jc w:val="center"/>
        <w:rPr>
          <w:rFonts w:hint="eastAsia" w:ascii="宋体" w:hAnsi="宋体"/>
          <w:color w:val="000000" w:themeColor="text1"/>
          <w:szCs w:val="36"/>
          <w14:textFill>
            <w14:solidFill>
              <w14:schemeClr w14:val="tx1"/>
            </w14:solidFill>
          </w14:textFill>
        </w:rPr>
      </w:pPr>
      <w:r/>
      <w:bookmarkStart w:id="59" w:name="_Toc190211626"/>
      <w:r/>
      <w:bookmarkStart w:id="60" w:name="_Toc55204179"/>
      <w:r/>
      <w:bookmarkStart w:id="61" w:name="_Hlk69392822"/>
      <w:r>
        <w:rPr>
          <w:rFonts w:hint="eastAsia" w:ascii="宋体" w:hAnsi="宋体"/>
          <w:color w:val="000000" w:themeColor="text1"/>
          <w:szCs w:val="36"/>
          <w14:textFill>
            <w14:solidFill>
              <w14:schemeClr w14:val="tx1"/>
            </w14:solidFill>
          </w14:textFill>
        </w:rPr>
        <w:t xml:space="preserve">第三章 合同条款及格式</w:t>
      </w:r>
      <w:bookmarkEnd w:id="59"/>
      <w:r/>
      <w:bookmarkEnd w:id="60"/>
      <w:r/>
      <w:r/>
    </w:p>
    <w:p>
      <w:pPr>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749"/>
        <w:jc w:val="center"/>
        <w:rPr>
          <w:rFonts w:ascii="宋体" w:hAnsi="宋体" w:eastAsia="宋体" w:cs="宋体"/>
          <w:b/>
          <w:bCs/>
          <w:color w:val="auto"/>
          <w:spacing w:val="-20"/>
          <w:sz w:val="32"/>
          <w:szCs w:val="32"/>
          <w:highlight w:val="none"/>
        </w:rPr>
      </w:pPr>
      <w:r>
        <w:rPr>
          <w:rFonts w:ascii="宋体" w:hAnsi="宋体" w:eastAsia="宋体" w:cs="宋体"/>
          <w:b/>
          <w:bCs/>
          <w:color w:val="auto"/>
          <w:spacing w:val="-20"/>
          <w:sz w:val="32"/>
          <w:szCs w:val="32"/>
          <w:highlight w:val="none"/>
        </w:rPr>
      </w:r>
      <w:r/>
    </w:p>
    <w:p>
      <w:pPr>
        <w:pStyle w:val="749"/>
        <w:jc w:val="center"/>
        <w:rPr>
          <w:rFonts w:ascii="宋体" w:hAnsi="宋体" w:eastAsia="宋体" w:cs="宋体"/>
          <w:b/>
          <w:bCs/>
          <w:color w:val="auto"/>
          <w:spacing w:val="-20"/>
          <w:sz w:val="32"/>
          <w:szCs w:val="32"/>
          <w:highlight w:val="none"/>
        </w:rPr>
      </w:pPr>
      <w:r>
        <w:rPr>
          <w:rFonts w:ascii="宋体" w:hAnsi="宋体" w:eastAsia="宋体" w:cs="宋体"/>
          <w:b/>
          <w:bCs/>
          <w:color w:val="auto"/>
          <w:spacing w:val="-20"/>
          <w:sz w:val="32"/>
          <w:szCs w:val="32"/>
          <w:highlight w:val="none"/>
        </w:rPr>
      </w:r>
      <w:r/>
    </w:p>
    <w:p>
      <w:pPr>
        <w:pStyle w:val="749"/>
        <w:jc w:val="center"/>
        <w:rPr>
          <w:rFonts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t xml:space="preserve">财政部 政府采购货物买卖合同（试行）</w:t>
      </w:r>
      <w:r/>
    </w:p>
    <w:p>
      <w:pPr>
        <w:pStyle w:val="749"/>
        <w:jc w:val="center"/>
        <w:rPr>
          <w:rFonts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t xml:space="preserve">范    本</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28"/>
          <w:szCs w:val="28"/>
          <w:highlight w:val="none"/>
        </w:rPr>
      </w:pPr>
      <w:r>
        <w:rPr>
          <w:rFonts w:hint="eastAsia" w:ascii="宋体" w:hAnsi="宋体" w:cs="宋体"/>
          <w:color w:val="auto"/>
          <w:sz w:val="28"/>
          <w:szCs w:val="28"/>
          <w:highlight w:val="none"/>
        </w:rPr>
        <w:t xml:space="preserve">项目名称：</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甲    方：</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乙    方：</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jc w:val="center"/>
        <w:rPr>
          <w:rFonts w:ascii="宋体" w:hAnsi="宋体"/>
          <w:color w:val="auto"/>
          <w:sz w:val="32"/>
          <w:szCs w:val="32"/>
          <w:highlight w:val="none"/>
        </w:rPr>
      </w:pPr>
      <w:r>
        <w:rPr>
          <w:rFonts w:hint="eastAsia" w:ascii="宋体" w:hAnsi="宋体"/>
          <w:color w:val="auto"/>
          <w:sz w:val="32"/>
          <w:szCs w:val="32"/>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560"/>
        <w:rPr>
          <w:rFonts w:ascii="宋体" w:hAnsi="宋体" w:cs="仿宋_GB2312"/>
          <w:color w:val="auto"/>
          <w:sz w:val="28"/>
          <w:szCs w:val="28"/>
          <w:highlight w:val="none"/>
        </w:rPr>
      </w:pPr>
      <w:r>
        <w:rPr>
          <w:rFonts w:hint="eastAsia" w:ascii="宋体" w:hAnsi="宋体" w:cs="仿宋_GB2312"/>
          <w:color w:val="auto"/>
          <w:sz w:val="28"/>
          <w:szCs w:val="28"/>
          <w:highlight w:val="none"/>
        </w:rPr>
        <w:t xml:space="preserve">1.本合同标准文本适用于购买现成货物的采购项目，不包括需要供应商定制开发、创新研发的货物采购项目。</w:t>
      </w:r>
      <w:r/>
    </w:p>
    <w:p>
      <w:pPr>
        <w:rPr>
          <w:rFonts w:ascii="宋体" w:hAnsi="宋体"/>
          <w:color w:val="auto"/>
          <w:sz w:val="28"/>
          <w:szCs w:val="28"/>
          <w:highlight w:val="none"/>
        </w:rPr>
      </w:pPr>
      <w:r>
        <w:rPr>
          <w:rFonts w:hint="eastAsia" w:ascii="宋体" w:hAnsi="宋体"/>
          <w:color w:val="auto"/>
          <w:sz w:val="28"/>
          <w:szCs w:val="28"/>
          <w:highlight w:val="none"/>
        </w:rPr>
        <w:t xml:space="preserve">   </w:t>
      </w:r>
      <w:r>
        <w:rPr>
          <w:rFonts w:ascii="宋体" w:hAnsi="宋体"/>
          <w:color w:val="auto"/>
          <w:sz w:val="28"/>
          <w:szCs w:val="28"/>
          <w:highlight w:val="none"/>
        </w:rPr>
        <w:t xml:space="preserve"> </w:t>
      </w:r>
      <w:r>
        <w:rPr>
          <w:rFonts w:hint="eastAsia" w:ascii="宋体" w:hAnsi="宋体" w:cs="仿宋_GB2312"/>
          <w:color w:val="auto"/>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auto"/>
          <w:sz w:val="28"/>
          <w:szCs w:val="28"/>
          <w:highlight w:val="none"/>
        </w:rPr>
      </w:pPr>
      <w:r>
        <w:rPr>
          <w:rFonts w:hint="eastAsia" w:ascii="宋体" w:hAnsi="宋体" w:cs="仿宋_GB2312"/>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rPr>
        <w:sectPr>
          <w:footerReference w:type="default" r:id="rId13"/>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color w:val="auto"/>
          <w:sz w:val="44"/>
          <w:szCs w:val="44"/>
          <w:highlight w:val="none"/>
        </w:rPr>
      </w:r>
      <w:r/>
    </w:p>
    <w:p>
      <w:pPr>
        <w:pStyle w:val="735"/>
        <w:spacing w:line="400" w:lineRule="exact"/>
        <w:rPr>
          <w:rFonts w:ascii="黑体" w:hAnsi="华文中宋" w:eastAsia="黑体"/>
          <w:b w:val="0"/>
          <w:bCs w:val="0"/>
          <w:color w:val="auto"/>
          <w:sz w:val="28"/>
          <w:szCs w:val="28"/>
          <w:highlight w:val="none"/>
        </w:rPr>
      </w:pPr>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 xml:space="preserve">政府采购合同协议书</w:t>
      </w:r>
      <w:r/>
    </w:p>
    <w:p>
      <w:pPr>
        <w:pStyle w:val="735"/>
        <w:spacing w:line="400" w:lineRule="exact"/>
        <w:rPr>
          <w:rFonts w:ascii="黑体" w:hAnsi="华文中宋" w:eastAsia="黑体"/>
          <w:b w:val="0"/>
          <w:bCs w:val="0"/>
          <w:color w:val="auto"/>
          <w:sz w:val="28"/>
          <w:szCs w:val="28"/>
          <w:highlight w:val="none"/>
        </w:rPr>
      </w:pPr>
      <w:r>
        <w:rPr>
          <w:rFonts w:ascii="黑体" w:hAnsi="华文中宋" w:eastAsia="黑体"/>
          <w:b w:val="0"/>
          <w:bCs w:val="0"/>
          <w:color w:val="auto"/>
          <w:sz w:val="28"/>
          <w:szCs w:val="28"/>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hAnsi="宋体" w:cs="Times New Roman"/>
          <w:color w:val="auto"/>
          <w:sz w:val="21"/>
          <w:szCs w:val="21"/>
          <w:highlight w:val="none"/>
          <w:u w:val="single"/>
        </w:rPr>
        <w:t xml:space="preserve">扬州市江都区</w:t>
      </w:r>
      <w:r>
        <w:rPr>
          <w:rFonts w:hint="eastAsia" w:hAnsi="宋体" w:cs="Times New Roman"/>
          <w:color w:val="auto"/>
          <w:sz w:val="21"/>
          <w:szCs w:val="21"/>
          <w:highlight w:val="none"/>
          <w:u w:val="single"/>
          <w:lang w:val="en-US" w:eastAsia="zh-CN"/>
        </w:rPr>
        <w:t xml:space="preserve">武坚镇人民政府</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（采购人、受采购人委托签订合同的单位或采购文件约定的合同甲方）</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乙方1（全称）：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乙方2（全称）：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spacing w:line="400" w:lineRule="exact"/>
        <w:rPr>
          <w:rFonts w:ascii="宋体" w:hAnsi="宋体"/>
          <w:color w:val="auto"/>
          <w:szCs w:val="21"/>
          <w:highlight w:val="none"/>
        </w:rPr>
      </w:pPr>
      <w:r>
        <w:rPr>
          <w:rFonts w:hint="eastAsia"/>
          <w:color w:val="auto"/>
          <w:highlight w:val="none"/>
        </w:rPr>
        <w:t xml:space="preserve">乙方</w:t>
      </w:r>
      <w:r>
        <w:rPr>
          <w:rFonts w:hint="eastAsia" w:ascii="宋体" w:hAnsi="宋体"/>
          <w:color w:val="auto"/>
          <w:szCs w:val="21"/>
          <w:highlight w:val="none"/>
        </w:rPr>
        <w:t xml:space="preserve">3</w:t>
      </w:r>
      <w:r>
        <w:rPr>
          <w:rFonts w:hint="eastAsia"/>
          <w:color w:val="auto"/>
          <w:highlight w:val="none"/>
        </w:rPr>
        <w:t xml:space="preserve">（全称）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pStyle w:val="750"/>
        <w:ind w:left="0" w:firstLine="420"/>
        <w:spacing w:after="0"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1"/>
        </w:numPr>
        <w:ind w:firstLine="420"/>
        <w:spacing w:line="400" w:lineRule="exact"/>
        <w:rPr>
          <w:rFonts w:ascii="宋体" w:hAnsi="宋体"/>
          <w:b/>
          <w:color w:val="auto"/>
          <w:szCs w:val="21"/>
          <w:highlight w:val="none"/>
        </w:rPr>
      </w:pPr>
      <w:r>
        <w:rPr>
          <w:rFonts w:hint="eastAsia" w:ascii="宋体" w:hAnsi="宋体"/>
          <w:b/>
          <w:color w:val="auto"/>
          <w:szCs w:val="21"/>
          <w:highlight w:val="none"/>
        </w:rPr>
        <w:t xml:space="preserve">项目信息</w:t>
      </w:r>
      <w:r/>
    </w:p>
    <w:p>
      <w:pPr>
        <w:pStyle w:val="750"/>
        <w:numPr>
          <w:ilvl w:val="0"/>
          <w:numId w:val="2"/>
        </w:numPr>
        <w:ind w:left="0" w:firstLine="420"/>
        <w:spacing w:after="0" w:line="400" w:lineRule="exact"/>
        <w:rPr>
          <w:rFonts w:ascii="宋体" w:hAnsi="宋体"/>
          <w:color w:val="auto"/>
          <w:sz w:val="21"/>
          <w:szCs w:val="21"/>
          <w:highlight w:val="none"/>
          <w:u w:val="single"/>
        </w:rPr>
      </w:pPr>
      <w:r>
        <w:rPr>
          <w:rFonts w:hint="eastAsia" w:ascii="宋体" w:hAnsi="宋体"/>
          <w:color w:val="auto"/>
          <w:sz w:val="21"/>
          <w:szCs w:val="21"/>
          <w:highlight w:val="none"/>
        </w:rPr>
        <w:t xml:space="preserve">采购项目名称：</w:t>
      </w:r>
      <w:r>
        <w:rPr>
          <w:rFonts w:hint="eastAsia" w:ascii="宋体" w:hAnsi="宋体"/>
          <w:color w:val="auto"/>
          <w:sz w:val="21"/>
          <w:szCs w:val="21"/>
          <w:highlight w:val="none"/>
          <w:u w:val="single"/>
          <w:lang w:val="en-US" w:eastAsia="zh-CN"/>
        </w:rPr>
        <w:t xml:space="preserve">                                          </w:t>
      </w:r>
      <w:r/>
    </w:p>
    <w:p>
      <w:pPr>
        <w:pStyle w:val="750"/>
        <w:ind w:left="0"/>
        <w:spacing w:after="0" w:line="400" w:lineRule="exact"/>
        <w:tabs>
          <w:tab w:val="left" w:pos="999" w:leader="none"/>
        </w:tabs>
        <w:rPr>
          <w:rFonts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p>
    <w:p>
      <w:pPr>
        <w:pStyle w:val="750"/>
        <w:ind w:left="0" w:firstLine="420"/>
        <w:spacing w:after="0" w:line="400" w:lineRule="exact"/>
        <w:rPr>
          <w:rFonts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（3）项目内容：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400" w:lineRule="exact"/>
        <w:rPr>
          <w:rFonts w:ascii="宋体" w:hAnsi="宋体" w:cs="宋体"/>
          <w:color w:val="auto"/>
          <w:szCs w:val="21"/>
          <w:highlight w:val="none"/>
          <w:lang w:val="en"/>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94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945"/>
        <w:spacing w:line="400" w:lineRule="exact"/>
        <w:rPr>
          <w:rFonts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98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8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987"/>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87"/>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987"/>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87"/>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否</w:t>
      </w:r>
      <w:r/>
    </w:p>
    <w:p>
      <w:pPr>
        <w:pStyle w:val="987"/>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98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lang w:val="en"/>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987"/>
        <w:ind w:firstLine="420"/>
        <w:rPr>
          <w:rFonts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98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987"/>
        <w:ind w:firstLine="220"/>
        <w:rPr>
          <w:rFonts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lang w:val="en"/>
        </w:rPr>
        <w:t xml:space="preserve">6</w:t>
      </w:r>
      <w:r>
        <w:rPr>
          <w:rFonts w:hint="eastAsia" w:ascii="宋体" w:hAnsi="宋体"/>
          <w:color w:val="auto"/>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þ</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ascii="宋体" w:hAnsi="宋体"/>
          <w:iCs/>
          <w:color w:val="auto"/>
          <w:szCs w:val="21"/>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ascii="宋体" w:hAnsi="宋体"/>
          <w:iCs/>
          <w:color w:val="auto"/>
          <w:szCs w:val="21"/>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  </w:t>
      </w:r>
      <w:r/>
    </w:p>
    <w:p>
      <w:pPr>
        <w:ind w:firstLine="840"/>
        <w:spacing w:line="400" w:lineRule="exact"/>
        <w:rPr>
          <w:rFonts w:eastAsia="华文楷体"/>
          <w:color w:val="auto"/>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987"/>
        <w:ind w:firstLine="420"/>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84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宋体" w:hAnsi="宋体"/>
          <w:iCs/>
          <w:color w:val="auto"/>
          <w:szCs w:val="21"/>
          <w:highlight w:val="none"/>
        </w:rPr>
        <w:t xml:space="preserve">       </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pStyle w:val="987"/>
        <w:ind w:firstLine="0"/>
        <w:rPr>
          <w:rFonts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987"/>
        <w:ind w:firstLine="420"/>
        <w:rPr>
          <w:rFonts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p>
    <w:p>
      <w:p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pStyle w:val="987"/>
        <w:ind w:firstLine="420"/>
        <w:rPr>
          <w:rFonts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numPr>
          <w:ilvl w:val="0"/>
          <w:numId w:val="1"/>
        </w:numPr>
        <w:ind w:firstLine="420"/>
        <w:spacing w:line="400" w:lineRule="exact"/>
        <w:rPr>
          <w:rFonts w:ascii="宋体" w:hAnsi="宋体"/>
          <w:b/>
          <w:color w:val="auto"/>
          <w:szCs w:val="21"/>
          <w:highlight w:val="none"/>
        </w:rPr>
      </w:pPr>
      <w:r>
        <w:rPr>
          <w:rFonts w:hint="eastAsia" w:ascii="宋体" w:hAnsi="宋体"/>
          <w:b/>
          <w:color w:val="auto"/>
          <w:szCs w:val="21"/>
          <w:highlight w:val="none"/>
        </w:rPr>
        <w:t xml:space="preserve">合同金额</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（注：固定单价合同应填写单价和最高限价）</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ind w:firstLine="420"/>
        <w:spacing w:line="400" w:lineRule="exact"/>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þ</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p>
    <w:p>
      <w:pPr>
        <w:pStyle w:val="982"/>
        <w:ind w:left="0" w:firstLine="420"/>
        <w:spacing w:line="400" w:lineRule="exact"/>
        <w:rPr>
          <w:color w:val="auto"/>
          <w:sz w:val="21"/>
          <w:szCs w:val="21"/>
          <w:highlight w:val="none"/>
          <w:lang w:eastAsia="zh-CN"/>
        </w:rPr>
      </w:pPr>
      <w:r>
        <w:rPr>
          <w:rFonts w:hint="eastAsia" w:ascii="宋体" w:hAnsi="宋体"/>
          <w:color w:val="auto"/>
          <w:sz w:val="21"/>
          <w:szCs w:val="21"/>
          <w:highlight w:val="none"/>
          <w:lang w:eastAsia="zh-CN"/>
        </w:rPr>
        <w:t xml:space="preserve">（3）付款方式（按项目实际勾选填写）：</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（应明确一次性支付合同款项的条件）                    </w:t>
      </w:r>
      <w:r/>
    </w:p>
    <w:p>
      <w:pPr>
        <w:ind w:firstLine="630"/>
        <w:spacing w:line="400" w:lineRule="exact"/>
        <w:rPr>
          <w:rFonts w:hint="eastAsia" w:ascii="宋体" w:hAnsi="宋体" w:eastAsia="宋体"/>
          <w:color w:val="auto"/>
          <w:szCs w:val="21"/>
          <w:highlight w:val="none"/>
          <w:lang w:eastAsia="zh-CN"/>
        </w:rPr>
      </w:pPr>
      <w:r>
        <w:rPr>
          <w:rFonts w:ascii="Wingdings" w:hAnsi="Wingdings" w:eastAsia="Wingdings" w:cs="Wingdings"/>
          <w:color w:val="auto"/>
          <w:szCs w:val="21"/>
          <w:highlight w:val="none"/>
        </w:rPr>
        <w:t xml:space="preserve">þ</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货物运送到采购方指定地点，且安装、调试到位，并经验收合格后，甲方自收到乙方发票之日起10日内付清</w:t>
      </w:r>
      <w:r>
        <w:rPr>
          <w:rFonts w:hint="eastAsia" w:ascii="宋体" w:hAnsi="宋体"/>
          <w:color w:val="auto"/>
          <w:szCs w:val="21"/>
          <w:highlight w:val="none"/>
          <w:u w:val="single"/>
          <w:lang w:val="en-US" w:eastAsia="zh-CN"/>
        </w:rPr>
        <w:t xml:space="preserve">结算价的90%,余款满一年无质量问题付清</w:t>
      </w:r>
      <w:r>
        <w:rPr>
          <w:rFonts w:hint="eastAsia" w:ascii="宋体" w:hAnsi="宋体"/>
          <w:color w:val="auto"/>
          <w:szCs w:val="21"/>
          <w:highlight w:val="none"/>
          <w:u w:val="single"/>
        </w:rPr>
        <w:t xml:space="preserve">。</w:t>
      </w:r>
      <w:r>
        <w:rPr>
          <w:rFonts w:hint="eastAsia" w:ascii="宋体" w:hAnsi="宋体"/>
          <w:b/>
          <w:bCs/>
          <w:color w:val="auto"/>
          <w:szCs w:val="21"/>
          <w:highlight w:val="none"/>
          <w:u w:val="single"/>
        </w:rPr>
        <w:t xml:space="preserve">本项目结算价款为采购人实际采购并验收合格的货物数量与投标单价的乘积</w:t>
      </w:r>
      <w:r>
        <w:rPr>
          <w:rFonts w:hint="eastAsia" w:ascii="宋体" w:hAnsi="宋体"/>
          <w:color w:val="auto"/>
          <w:szCs w:val="21"/>
          <w:highlight w:val="none"/>
          <w:lang w:eastAsia="zh-CN"/>
        </w:rPr>
        <w:t xml:space="preserve">。</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p>
    <w:p>
      <w:pPr>
        <w:numPr>
          <w:ilvl w:val="0"/>
          <w:numId w:val="1"/>
        </w:numPr>
        <w:ind w:firstLine="420"/>
        <w:spacing w:line="400" w:lineRule="exact"/>
        <w:rPr>
          <w:rFonts w:ascii="宋体" w:hAnsi="宋体"/>
          <w:b/>
          <w:color w:val="auto"/>
          <w:szCs w:val="21"/>
          <w:highlight w:val="none"/>
          <w:u w:val="single"/>
        </w:rPr>
      </w:pPr>
      <w:r>
        <w:rPr>
          <w:rFonts w:hint="eastAsia" w:ascii="宋体" w:hAnsi="宋体"/>
          <w:b/>
          <w:color w:val="auto"/>
          <w:szCs w:val="21"/>
          <w:highlight w:val="none"/>
        </w:rPr>
        <w:t xml:space="preserve">合同履行</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þ</w:t>
      </w:r>
      <w:r>
        <w:rPr>
          <w:rFonts w:hint="eastAsia" w:ascii="宋体" w:hAnsi="宋体" w:cs="宋体"/>
          <w:color w:val="auto"/>
          <w:szCs w:val="21"/>
          <w:highlight w:val="none"/>
        </w:rPr>
        <w:t xml:space="preserve">否</w:t>
      </w:r>
      <w:r/>
    </w:p>
    <w:p>
      <w:pPr>
        <w:pStyle w:val="987"/>
        <w:rPr>
          <w:rFonts w:hint="eastAsia" w:ascii="宋体" w:hAnsi="宋体" w:eastAsia="宋体" w:cs="宋体"/>
          <w:color w:val="auto"/>
          <w:sz w:val="21"/>
          <w:highlight w:val="none"/>
          <w:lang w:eastAsia="zh-CN"/>
        </w:rPr>
      </w:pPr>
      <w:r>
        <w:rPr>
          <w:rFonts w:hint="eastAsia" w:ascii="宋体" w:hAnsi="宋体" w:cs="宋体"/>
          <w:bCs/>
          <w:color w:val="auto"/>
          <w:highlight w:val="none"/>
        </w:rPr>
        <w:t xml:space="preserve"> </w:t>
      </w:r>
      <w:r>
        <w:rPr>
          <w:rFonts w:hint="eastAsia" w:ascii="宋体" w:hAnsi="宋体" w:eastAsia="宋体" w:cs="宋体"/>
          <w:color w:val="auto"/>
          <w:sz w:val="21"/>
          <w:highlight w:val="none"/>
        </w:rPr>
        <w:t xml:space="preserve">收取履约保证金形式：</w:t>
      </w:r>
      <w:r>
        <w:rPr>
          <w:rFonts w:hint="eastAsia" w:ascii="宋体" w:hAnsi="宋体" w:eastAsia="宋体" w:cs="宋体"/>
          <w:bCs/>
          <w:color w:val="auto"/>
          <w:sz w:val="21"/>
          <w:highlight w:val="none"/>
          <w:u w:val="single"/>
          <w:lang w:val="en-US" w:eastAsia="zh-CN"/>
        </w:rPr>
        <w:t xml:space="preserve">/</w:t>
      </w:r>
      <w:r/>
    </w:p>
    <w:p>
      <w:pPr>
        <w:pStyle w:val="987"/>
        <w:ind w:firstLine="42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lang w:val="en-US" w:eastAsia="zh-CN"/>
        </w:rPr>
        <w:t xml:space="preserve">/</w:t>
      </w:r>
      <w:r/>
    </w:p>
    <w:p>
      <w:pPr>
        <w:ind w:firstLine="420"/>
        <w:spacing w:line="400" w:lineRule="exact"/>
        <w:rPr>
          <w:rFonts w:hint="eastAsia" w:ascii="宋体" w:hAnsi="宋体" w:eastAsia="宋体" w:cs="宋体"/>
          <w:color w:val="auto"/>
          <w:highlight w:val="none"/>
          <w:lang w:eastAsia="zh-CN"/>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lang w:val="en-US" w:eastAsia="zh-CN"/>
        </w:rPr>
        <w:t xml:space="preserve">/</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420"/>
        <w:spacing w:line="400" w:lineRule="exact"/>
        <w:rPr>
          <w:rFonts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numPr>
          <w:ilvl w:val="0"/>
          <w:numId w:val="1"/>
        </w:numPr>
        <w:ind w:firstLine="420"/>
        <w:spacing w:line="400" w:lineRule="exact"/>
        <w:rPr>
          <w:rFonts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3"/>
        </w:num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p>
    <w:p>
      <w:pPr>
        <w:ind w:firstLine="525"/>
        <w:spacing w:line="400" w:lineRule="exact"/>
        <w:rPr>
          <w:rFonts w:ascii="宋体" w:hAnsi="宋体"/>
          <w:bCs/>
          <w:color w:val="auto"/>
          <w:szCs w:val="21"/>
          <w:highlight w:val="none"/>
        </w:rPr>
      </w:pP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p>
    <w:p>
      <w:pPr>
        <w:pStyle w:val="987"/>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spacing w:line="40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        </w:t>
      </w:r>
      <w:r/>
    </w:p>
    <w:p>
      <w:pPr>
        <w:numPr>
          <w:ilvl w:val="0"/>
          <w:numId w:val="1"/>
        </w:numPr>
        <w:ind w:firstLine="420"/>
        <w:spacing w:line="400" w:lineRule="exact"/>
        <w:rPr>
          <w:rFonts w:ascii="宋体" w:hAnsi="宋体"/>
          <w:b/>
          <w:color w:val="auto"/>
          <w:szCs w:val="21"/>
          <w:highlight w:val="none"/>
        </w:rPr>
      </w:pPr>
      <w:r>
        <w:rPr>
          <w:rFonts w:hint="eastAsia" w:ascii="宋体" w:hAnsi="宋体"/>
          <w:b/>
          <w:color w:val="auto"/>
          <w:szCs w:val="21"/>
          <w:highlight w:val="none"/>
        </w:rPr>
        <w:t xml:space="preserve">组成合同的文件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pStyle w:val="98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numPr>
          <w:ilvl w:val="0"/>
          <w:numId w:val="1"/>
        </w:numPr>
        <w:ind w:firstLine="420"/>
        <w:spacing w:line="400" w:lineRule="exact"/>
        <w:rPr>
          <w:rFonts w:ascii="宋体" w:hAnsi="宋体"/>
          <w:b/>
          <w:color w:val="auto"/>
          <w:szCs w:val="21"/>
          <w:highlight w:val="none"/>
        </w:rPr>
      </w:pPr>
      <w:r>
        <w:rPr>
          <w:rFonts w:hint="eastAsia" w:ascii="宋体" w:hAnsi="宋体"/>
          <w:b/>
          <w:color w:val="auto"/>
          <w:szCs w:val="21"/>
          <w:highlight w:val="none"/>
        </w:rPr>
        <w:t xml:space="preserve">合同生效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1"/>
        </w:numPr>
        <w:ind w:firstLine="420"/>
        <w:spacing w:line="400" w:lineRule="exact"/>
        <w:rPr>
          <w:rFonts w:ascii="宋体" w:hAnsi="宋体"/>
          <w:b/>
          <w:color w:val="auto"/>
          <w:szCs w:val="21"/>
          <w:highlight w:val="none"/>
        </w:rPr>
      </w:pPr>
      <w:r>
        <w:rPr>
          <w:rFonts w:hint="eastAsia" w:ascii="宋体" w:hAnsi="宋体"/>
          <w:b/>
          <w:color w:val="auto"/>
          <w:szCs w:val="21"/>
          <w:highlight w:val="none"/>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lang w:val="en-US" w:eastAsia="zh-CN"/>
        </w:rPr>
        <w:t xml:space="preserve">陆</w:t>
      </w:r>
      <w:r>
        <w:rPr>
          <w:rFonts w:hint="eastAsia" w:ascii="宋体" w:hAnsi="宋体"/>
          <w:color w:val="auto"/>
          <w:szCs w:val="21"/>
          <w:highlight w:val="none"/>
        </w:rPr>
        <w:t xml:space="preserve">份，甲方执</w:t>
      </w:r>
      <w:r>
        <w:rPr>
          <w:rFonts w:hint="eastAsia" w:ascii="宋体" w:hAnsi="宋体"/>
          <w:color w:val="auto"/>
          <w:szCs w:val="21"/>
          <w:highlight w:val="none"/>
          <w:u w:val="single"/>
          <w:lang w:val="en-US" w:eastAsia="zh-CN"/>
        </w:rPr>
        <w:t xml:space="preserve">叁</w:t>
      </w:r>
      <w:r>
        <w:rPr>
          <w:rFonts w:hint="eastAsia" w:ascii="宋体" w:hAnsi="宋体"/>
          <w:color w:val="auto"/>
          <w:szCs w:val="21"/>
          <w:highlight w:val="none"/>
        </w:rPr>
        <w:t xml:space="preserve">份，乙方执</w:t>
      </w:r>
      <w:r>
        <w:rPr>
          <w:rFonts w:hint="eastAsia" w:ascii="宋体" w:hAnsi="宋体"/>
          <w:color w:val="auto"/>
          <w:szCs w:val="21"/>
          <w:highlight w:val="none"/>
          <w:u w:val="single"/>
          <w:lang w:val="en-US" w:eastAsia="zh-CN"/>
        </w:rPr>
        <w:t xml:space="preserve">叁</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pStyle w:val="735"/>
        <w:spacing w:line="400" w:lineRule="exact"/>
        <w:rPr>
          <w:rFonts w:ascii="宋体" w:hAnsi="宋体"/>
          <w:b w:val="0"/>
          <w:bCs w:val="0"/>
          <w:color w:val="auto"/>
          <w:sz w:val="21"/>
          <w:szCs w:val="21"/>
          <w:highlight w:val="none"/>
        </w:rPr>
      </w:pPr>
      <w:r>
        <w:rPr>
          <w:color w:val="auto"/>
          <w:highlight w:val="none"/>
          <w:lang w:val="en"/>
        </w:rPr>
        <w:t xml:space="preserve">   </w:t>
      </w:r>
      <w:r/>
    </w:p>
    <w:p>
      <w:pPr>
        <w:pStyle w:val="982"/>
        <w:rPr>
          <w:color w:val="auto"/>
          <w:highlight w:val="none"/>
          <w:lang w:eastAsia="zh-CN"/>
        </w:rPr>
      </w:pPr>
      <w:r>
        <w:rPr>
          <w:color w:val="auto"/>
          <w:highlight w:val="none"/>
          <w:lang w:eastAsia="zh-CN"/>
        </w:rPr>
      </w:r>
      <w:r/>
    </w:p>
    <w:tbl>
      <w:tblPr>
        <w:tblStyle w:val="74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ind w:left="0" w:right="0"/>
              <w:jc w:val="center"/>
              <w:keepLines w:val="0"/>
              <w:keepNext w:val="0"/>
              <w:spacing w:before="0" w:beforeAutospacing="0" w:after="0" w:afterAutospacing="0" w:line="300" w:lineRule="exact"/>
              <w:rPr>
                <w:color w:val="auto"/>
                <w:highlight w:val="none"/>
              </w:rPr>
              <w:suppressLineNumbers w:val="0"/>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right="0"/>
              <w:jc w:val="center"/>
              <w:keepLines w:val="0"/>
              <w:keepNext w:val="0"/>
              <w:spacing w:before="0" w:beforeAutospacing="0" w:after="0" w:afterAutospacing="0" w:line="300" w:lineRule="exact"/>
              <w:rPr>
                <w:color w:val="auto"/>
                <w:highlight w:val="none"/>
              </w:rPr>
              <w:suppressLineNumbers w:val="0"/>
            </w:pPr>
            <w:r>
              <w:rPr>
                <w:color w:val="auto"/>
                <w:szCs w:val="21"/>
                <w:highlight w:val="none"/>
              </w:rPr>
              <w:t xml:space="preserve">乙方</w:t>
            </w:r>
            <w:r>
              <w:rPr>
                <w:rFonts w:hint="eastAsia"/>
                <w:color w:val="auto"/>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法定代表人</w:t>
            </w:r>
            <w:r/>
          </w:p>
          <w:p>
            <w:pPr>
              <w:ind w:left="0" w:right="0" w:firstLine="10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法定代表人</w:t>
            </w:r>
            <w:r/>
          </w:p>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750"/>
              <w:ind w:left="0" w:right="0"/>
              <w:jc w:val="left"/>
              <w:keepLines w:val="0"/>
              <w:keepNext w:val="0"/>
              <w:spacing w:before="156" w:beforeAutospacing="0" w:after="0" w:afterAutospacing="0" w:line="360" w:lineRule="auto"/>
              <w:rPr>
                <w:color w:val="auto"/>
                <w:spacing w:val="20"/>
                <w:szCs w:val="21"/>
                <w:highlight w:val="none"/>
              </w:rPr>
              <w:suppressLineNumbers w:val="0"/>
            </w:pPr>
            <w:r>
              <w:rPr>
                <w:rFonts w:hint="eastAsia" w:ascii="宋体" w:hAnsi="宋体"/>
                <w:color w:val="auto"/>
                <w:szCs w:val="21"/>
                <w:highlight w:val="none"/>
              </w:rPr>
              <w:t xml:space="preserve">注：涉及联合体或其他合同主体的信息应按上表格式加列。</w:t>
            </w:r>
            <w:r/>
          </w:p>
        </w:tc>
      </w:tr>
    </w:tbl>
    <w:p>
      <w:pPr>
        <w:pStyle w:val="735"/>
        <w:spacing w:before="156"/>
        <w:rPr>
          <w:rFonts w:ascii="黑体" w:hAnsi="黑体" w:eastAsia="黑体"/>
          <w:color w:val="auto"/>
          <w:sz w:val="28"/>
          <w:szCs w:val="28"/>
          <w:highlight w:val="none"/>
        </w:rPr>
      </w:pPr>
      <w:r>
        <w:rPr>
          <w:rFonts w:ascii="宋体" w:hAnsi="宋体"/>
          <w:color w:val="auto"/>
          <w:sz w:val="21"/>
          <w:szCs w:val="21"/>
          <w:highlight w:val="none"/>
          <w:u w:val="single"/>
        </w:rPr>
        <w:br w:type="page" w:clear="all"/>
      </w:r>
      <w:r>
        <w:rPr>
          <w:rFonts w:hint="eastAsia" w:ascii="黑体" w:hAnsi="黑体" w:eastAsia="黑体"/>
          <w:b w:val="0"/>
          <w:bCs w:val="0"/>
          <w:color w:val="auto"/>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4"/>
        </w:numPr>
        <w:jc w:val="left"/>
        <w:spacing w:line="400" w:lineRule="exact"/>
        <w:rPr>
          <w:rFonts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3. 履行合同的时间、地点和方式</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4. 甲方的权利和义务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 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highlight w:val="none"/>
        </w:rPr>
      </w:pPr>
      <w:r>
        <w:rPr>
          <w:rFonts w:ascii="宋体" w:hAnsi="宋体"/>
          <w:color w:val="auto"/>
          <w:szCs w:val="21"/>
          <w:highlight w:val="none"/>
        </w:rPr>
        <w:t xml:space="preserve">4.4 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 </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5. 乙方的权利和义务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5.1 </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3</w:t>
      </w:r>
      <w:r>
        <w:rPr>
          <w:rFonts w:hint="eastAsia" w:ascii="宋体" w:hAnsi="宋体"/>
          <w:color w:val="auto"/>
          <w:szCs w:val="21"/>
          <w:highlight w:val="none"/>
        </w:rPr>
        <w:t xml:space="preserve">乙方有权根据合同约定向甲方收取合同价款。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4</w:t>
      </w:r>
      <w:r>
        <w:rPr>
          <w:rFonts w:hint="eastAsia" w:ascii="宋体" w:hAnsi="宋体"/>
          <w:color w:val="auto"/>
          <w:szCs w:val="21"/>
          <w:highlight w:val="none"/>
        </w:rPr>
        <w:t xml:space="preserve">国家法律法规规定及</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约定应由乙方承担的其他义务和责任。</w:t>
      </w:r>
      <w:r/>
    </w:p>
    <w:p>
      <w:pPr>
        <w:numPr>
          <w:ilvl w:val="0"/>
          <w:numId w:val="5"/>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color w:val="auto"/>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987"/>
        <w:ind w:firstLine="420"/>
        <w:rPr>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8. 质量标准和保证</w:t>
      </w:r>
      <w:r/>
    </w:p>
    <w:p>
      <w:pPr>
        <w:pStyle w:val="753"/>
        <w:ind w:firstLine="420"/>
        <w:jc w:val="left"/>
        <w:spacing w:line="400" w:lineRule="exact"/>
        <w:rPr>
          <w:rFonts w:hAnsi="宋体"/>
          <w:b/>
          <w:color w:val="auto"/>
          <w:highlight w:val="none"/>
        </w:rPr>
      </w:pPr>
      <w:r>
        <w:rPr>
          <w:rFonts w:hint="eastAsia" w:hAnsi="宋体"/>
          <w:color w:val="auto"/>
          <w:highlight w:val="none"/>
        </w:rPr>
        <w:t xml:space="preserve">8.1 质量标准</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53"/>
        <w:ind w:firstLine="420"/>
        <w:jc w:val="left"/>
        <w:spacing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8.2 保证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 权利瑕疵担保</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10. 知识产权保护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auto"/>
          <w:szCs w:val="21"/>
          <w:highlight w:val="none"/>
        </w:rPr>
        <w:t xml:space="preserve">。</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11. 保密义务</w:t>
      </w:r>
      <w:r/>
    </w:p>
    <w:p>
      <w:pPr>
        <w:ind w:firstLine="420"/>
        <w:jc w:val="left"/>
        <w:spacing w:line="400" w:lineRule="exact"/>
        <w:rPr>
          <w:rFonts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12. 合同价款支付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】中约定。</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13. 履约保证金</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98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15. 违约责任</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 迟延交货的违约责任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15.3 迟延支付的违约责任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6"/>
        </w:numPr>
        <w:jc w:val="left"/>
        <w:spacing w:line="400" w:lineRule="exact"/>
        <w:rPr>
          <w:rFonts w:ascii="宋体" w:hAnsi="宋体"/>
          <w:b/>
          <w:color w:val="auto"/>
          <w:sz w:val="24"/>
          <w:highlight w:val="none"/>
        </w:rPr>
      </w:pPr>
      <w:r>
        <w:rPr>
          <w:rFonts w:hint="eastAsia" w:ascii="宋体" w:hAnsi="宋体"/>
          <w:b/>
          <w:color w:val="auto"/>
          <w:sz w:val="24"/>
          <w:highlight w:val="none"/>
        </w:rPr>
        <w:t xml:space="preserve">合同变更、中止与终止</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    16.1合同的变更</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87"/>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987"/>
        <w:rPr>
          <w:rFonts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987"/>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17. 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18. 不可抗力</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19. 解决争议的方法</w:t>
      </w:r>
      <w:r/>
    </w:p>
    <w:p>
      <w:pPr>
        <w:pStyle w:val="98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8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8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highlight w:val="none"/>
        </w:rPr>
      </w:pPr>
      <w:r>
        <w:rPr>
          <w:rFonts w:hint="eastAsia" w:ascii="宋体" w:hAnsi="宋体"/>
          <w:b/>
          <w:color w:val="auto"/>
          <w:sz w:val="24"/>
          <w:highlight w:val="none"/>
        </w:rPr>
        <w:t xml:space="preserve">20. 政府采购政策</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 法律适用</w:t>
      </w:r>
      <w:r/>
    </w:p>
    <w:p>
      <w:pPr>
        <w:pStyle w:val="98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98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22. 通知</w:t>
      </w:r>
      <w:r/>
    </w:p>
    <w:p>
      <w:pPr>
        <w:pStyle w:val="98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87"/>
        <w:ind w:firstLine="0"/>
        <w:jc w:val="both"/>
        <w:rPr>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7"/>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r/>
    </w:p>
    <w:p>
      <w:pPr>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735"/>
        <w:rPr>
          <w:rFonts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t xml:space="preserve">第三节 政府采购合同专用条款</w:t>
      </w:r>
      <w:r/>
    </w:p>
    <w:tbl>
      <w:tblPr>
        <w:tblStyle w:val="74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第1.2（6）项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联合体具体要求</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60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第1.2（7）项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其他术语解释</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第4.4款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第4.6款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约定甲方承担的其他义务和责任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color w:val="auto"/>
                <w:highlight w:val="none"/>
              </w:rPr>
              <w:suppressLineNumbers w:val="0"/>
            </w:pPr>
            <w:r>
              <w:rPr>
                <w:rFonts w:hint="eastAsia" w:ascii="宋体" w:hAnsi="宋体"/>
                <w:color w:val="auto"/>
                <w:szCs w:val="21"/>
                <w:highlight w:val="none"/>
              </w:rPr>
              <w:t xml:space="preserve">第5.4款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约定乙方承担的其他义务和责任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第6.1款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667"/>
        </w:trPr>
        <w:tc>
          <w:tcPr>
            <w:tcW w:w="1607" w:type="dxa"/>
            <w:vAlign w:val="center"/>
            <w:vMerge w:val="restart"/>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第7.1款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包装特殊要求</w:t>
            </w:r>
            <w:r/>
          </w:p>
        </w:tc>
        <w:tc>
          <w:tcPr>
            <w:tcW w:w="5170" w:type="dxa"/>
            <w:vAlign w:val="center"/>
            <w:textDirection w:val="lrTb"/>
            <w:noWrap w:val="false"/>
          </w:tcPr>
          <w:p>
            <w:pPr>
              <w:ind w:left="0" w:right="0"/>
              <w:keepLines w:val="0"/>
              <w:keepNext w:val="0"/>
              <w:spacing w:before="0" w:beforeAutospacing="0" w:after="0" w:afterAutospacing="0"/>
              <w:rPr>
                <w:color w:val="auto"/>
                <w:highlight w:val="none"/>
              </w:rPr>
              <w:suppressLineNumbers w:val="0"/>
            </w:pPr>
            <w:r>
              <w:rPr>
                <w:color w:val="auto"/>
                <w:highlight w:val="none"/>
              </w:rPr>
            </w:r>
            <w:r/>
          </w:p>
        </w:tc>
      </w:tr>
      <w:tr>
        <w:trPr>
          <w:trHeight w:val="667"/>
        </w:trPr>
        <w:tc>
          <w:tcPr>
            <w:tcW w:w="1607" w:type="dxa"/>
            <w:vAlign w:val="center"/>
            <w:vMerge w:val="continue"/>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指定现场</w:t>
            </w:r>
            <w:r/>
          </w:p>
        </w:tc>
        <w:tc>
          <w:tcPr>
            <w:tcW w:w="5170" w:type="dxa"/>
            <w:vAlign w:val="center"/>
            <w:textDirection w:val="lrTb"/>
            <w:noWrap w:val="false"/>
          </w:tcPr>
          <w:p>
            <w:pPr>
              <w:ind w:left="0" w:right="0"/>
              <w:keepLines w:val="0"/>
              <w:keepNext w:val="0"/>
              <w:spacing w:before="0" w:beforeAutospacing="0" w:after="0" w:afterAutospacing="0"/>
              <w:rPr>
                <w:color w:val="auto"/>
                <w:highlight w:val="none"/>
              </w:rPr>
              <w:suppressLineNumbers w:val="0"/>
            </w:pPr>
            <w:r>
              <w:rPr>
                <w:color w:val="auto"/>
                <w:highlight w:val="none"/>
              </w:rPr>
            </w:r>
            <w:r/>
          </w:p>
        </w:tc>
      </w:tr>
      <w:tr>
        <w:trPr>
          <w:trHeight w:val="772"/>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第7.2款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运输特殊要求</w:t>
            </w:r>
            <w:r/>
          </w:p>
        </w:tc>
        <w:tc>
          <w:tcPr>
            <w:tcW w:w="5170" w:type="dxa"/>
            <w:vAlign w:val="center"/>
            <w:textDirection w:val="lrTb"/>
            <w:noWrap w:val="false"/>
          </w:tcPr>
          <w:p>
            <w:pPr>
              <w:ind w:left="0" w:right="0"/>
              <w:keepLines w:val="0"/>
              <w:keepNext w:val="0"/>
              <w:spacing w:before="0" w:beforeAutospacing="0" w:after="0" w:afterAutospacing="0"/>
              <w:rPr>
                <w:color w:val="auto"/>
                <w:highlight w:val="none"/>
              </w:rPr>
              <w:suppressLineNumbers w:val="0"/>
            </w:pPr>
            <w:r>
              <w:rPr>
                <w:color w:val="auto"/>
                <w:highlight w:val="none"/>
              </w:rPr>
            </w:r>
            <w:r/>
          </w:p>
        </w:tc>
      </w:tr>
      <w:tr>
        <w:trPr>
          <w:trHeight w:val="667"/>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第7.3款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保险要求</w:t>
            </w:r>
            <w:r/>
          </w:p>
        </w:tc>
        <w:tc>
          <w:tcPr>
            <w:tcW w:w="5170" w:type="dxa"/>
            <w:vAlign w:val="center"/>
            <w:textDirection w:val="lrTb"/>
            <w:noWrap w:val="false"/>
          </w:tcPr>
          <w:p>
            <w:pPr>
              <w:ind w:left="0" w:right="0"/>
              <w:keepLines w:val="0"/>
              <w:keepNext w:val="0"/>
              <w:spacing w:before="0" w:beforeAutospacing="0" w:after="0" w:afterAutospacing="0"/>
              <w:rPr>
                <w:color w:val="auto"/>
                <w:highlight w:val="none"/>
              </w:rPr>
              <w:suppressLineNumbers w:val="0"/>
            </w:pPr>
            <w:r>
              <w:rPr>
                <w:color w:val="auto"/>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第8.2（1）项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质量保证期</w:t>
            </w:r>
            <w:r/>
          </w:p>
        </w:tc>
        <w:tc>
          <w:tcPr>
            <w:tcW w:w="5170" w:type="dxa"/>
            <w:vAlign w:val="center"/>
            <w:textDirection w:val="lrTb"/>
            <w:noWrap w:val="false"/>
          </w:tcPr>
          <w:p>
            <w:pPr>
              <w:ind w:left="0" w:right="0" w:firstLine="42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第8.2（3）项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货物质量缺陷</w:t>
            </w:r>
            <w:r/>
          </w:p>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响应时间</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1"/>
                <w:highlight w:val="none"/>
              </w:rPr>
              <w:suppressLineNumbers w:val="0"/>
            </w:pPr>
            <w:r>
              <w:rPr>
                <w:rFonts w:hint="eastAsia" w:ascii="宋体" w:hAnsi="宋体" w:cs="宋体"/>
                <w:color w:val="auto"/>
                <w:szCs w:val="21"/>
                <w:highlight w:val="none"/>
              </w:rPr>
              <w:t xml:space="preserve">第二节</w:t>
            </w:r>
            <w:r/>
          </w:p>
          <w:p>
            <w:pPr>
              <w:pStyle w:val="987"/>
              <w:ind w:left="0" w:right="0" w:firstLine="0"/>
              <w:jc w:val="center"/>
              <w:keepLines w:val="0"/>
              <w:keepNext w:val="0"/>
              <w:spacing w:before="0" w:beforeAutospacing="0" w:after="0" w:afterAutospacing="0"/>
              <w:widowControl/>
              <w:rPr>
                <w:color w:val="auto"/>
                <w:highlight w:val="none"/>
              </w:rPr>
              <w:suppressLineNumbers w:val="0"/>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其他应当保密的信息</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697"/>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第12.2款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合同价款支付时间</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697"/>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第13.2款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履约保证金不予退还的情形</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第13.3款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履约保证金退还时间及逾期退还的违约金</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第14.1（3）项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运行监督、维修期限</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第14.1（5）项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货物回收的约定</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第14.1（6）项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第15.1款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修理、重作、更换相关具体规定</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第15.2（2）项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迟延交货赔偿费</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u w:val="single"/>
              </w:rPr>
              <w:suppressLineNumbers w:val="0"/>
            </w:pPr>
            <w:r>
              <w:rPr>
                <w:rFonts w:ascii="宋体" w:hAnsi="宋体"/>
                <w:color w:val="auto"/>
                <w:szCs w:val="21"/>
                <w:highlight w:val="none"/>
                <w:u w:val="singl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第15.3款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逾期付款利息</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u w:val="single"/>
              </w:rPr>
              <w:suppressLineNumbers w:val="0"/>
            </w:pPr>
            <w:r>
              <w:rPr>
                <w:rFonts w:ascii="宋体" w:hAnsi="宋体"/>
                <w:color w:val="auto"/>
                <w:szCs w:val="21"/>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u w:val="single"/>
              </w:rPr>
              <w:suppressLineNumbers w:val="0"/>
            </w:pPr>
            <w:r>
              <w:rPr>
                <w:rFonts w:ascii="宋体" w:hAnsi="宋体"/>
                <w:color w:val="auto"/>
                <w:szCs w:val="21"/>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ind w:left="0" w:right="0"/>
              <w:jc w:val="left"/>
              <w:keepLines w:val="0"/>
              <w:keepNext w:val="0"/>
              <w:spacing w:before="0" w:beforeAutospacing="0" w:after="0" w:afterAutospacing="0" w:line="400" w:lineRule="exact"/>
              <w:rPr>
                <w:rFonts w:ascii="宋体" w:hAnsi="宋体" w:cs="宋体"/>
                <w:iCs/>
                <w:color w:val="auto"/>
                <w:szCs w:val="21"/>
                <w:highlight w:val="none"/>
              </w:rPr>
              <w:suppressLineNumbers w:val="0"/>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2</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种方式解决：</w:t>
            </w:r>
            <w:r/>
          </w:p>
          <w:p>
            <w:pPr>
              <w:ind w:left="0" w:right="0"/>
              <w:jc w:val="left"/>
              <w:keepLines w:val="0"/>
              <w:keepNext w:val="0"/>
              <w:spacing w:before="0" w:beforeAutospacing="0" w:after="0" w:afterAutospacing="0" w:line="400" w:lineRule="exact"/>
              <w:rPr>
                <w:rFonts w:ascii="宋体" w:hAnsi="宋体" w:cs="宋体"/>
                <w:iCs/>
                <w:color w:val="auto"/>
                <w:szCs w:val="21"/>
                <w:highlight w:val="none"/>
              </w:rPr>
              <w:suppressLineNumbers w:val="0"/>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w:t>
            </w:r>
            <w:r/>
          </w:p>
          <w:p>
            <w:pPr>
              <w:ind w:left="0" w:right="0"/>
              <w:jc w:val="left"/>
              <w:keepLines w:val="0"/>
              <w:keepNext w:val="0"/>
              <w:spacing w:before="0" w:beforeAutospacing="0" w:after="0" w:afterAutospacing="0"/>
              <w:rPr>
                <w:rFonts w:ascii="宋体" w:hAnsi="宋体"/>
                <w:color w:val="auto"/>
                <w:szCs w:val="21"/>
                <w:highlight w:val="none"/>
                <w:u w:val="single"/>
              </w:rPr>
              <w:suppressLineNumbers w:val="0"/>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甲方住所地</w:t>
            </w:r>
            <w:r>
              <w:rPr>
                <w:rFonts w:hint="eastAsia" w:ascii="宋体" w:hAnsi="宋体" w:cs="宋体"/>
                <w:iCs/>
                <w:color w:val="auto"/>
                <w:szCs w:val="21"/>
                <w:highlight w:val="none"/>
              </w:rPr>
              <w:t xml:space="preserve">人民法院起诉。</w:t>
            </w:r>
            <w:r/>
          </w:p>
        </w:tc>
      </w:tr>
      <w:tr>
        <w:trPr>
          <w:trHeight w:val="770"/>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第23.1款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bCs/>
                <w:color w:val="auto"/>
                <w:szCs w:val="21"/>
                <w:highlight w:val="none"/>
              </w:rPr>
              <w:t xml:space="preserve">其他专用条款</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bl>
    <w:p>
      <w:pPr>
        <w:spacing w:before="120" w:after="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p>
    <w:p>
      <w:pPr>
        <w:jc w:val="left"/>
        <w:widowControl/>
        <w:rPr>
          <w:rFonts w:hint="eastAsia" w:ascii="宋体" w:hAnsi="宋体" w:cs="Calibri"/>
          <w:color w:val="000000" w:themeColor="text1"/>
          <w:szCs w:val="21"/>
          <w14:textFill>
            <w14:solidFill>
              <w14:schemeClr w14:val="tx1"/>
            </w14:solidFill>
          </w14:textFill>
        </w:rPr>
      </w:pPr>
      <w:r>
        <w:rPr>
          <w:rFonts w:ascii="宋体" w:hAnsi="宋体" w:cs="Calibri"/>
          <w:color w:val="000000" w:themeColor="text1"/>
          <w:szCs w:val="21"/>
          <w14:textFill>
            <w14:solidFill>
              <w14:schemeClr w14:val="tx1"/>
            </w14:solidFill>
          </w14:textFill>
        </w:rPr>
        <w:br w:type="page" w:clear="all"/>
      </w:r>
      <w:bookmarkEnd w:id="61"/>
      <w:r/>
      <w:r/>
    </w:p>
    <w:p>
      <w:pPr>
        <w:pStyle w:val="734"/>
        <w:numPr>
          <w:ilvl w:val="0"/>
          <w:numId w:val="8"/>
        </w:numPr>
        <w:jc w:val="center"/>
        <w:rPr>
          <w:rFonts w:hint="eastAsia" w:ascii="宋体" w:hAnsi="宋体"/>
          <w:color w:val="000000" w:themeColor="text1"/>
          <w14:textFill>
            <w14:solidFill>
              <w14:schemeClr w14:val="tx1"/>
            </w14:solidFill>
          </w14:textFill>
        </w:rPr>
      </w:pPr>
      <w:r/>
      <w:bookmarkStart w:id="62" w:name="_Toc190211627"/>
      <w:r>
        <w:rPr>
          <w:rFonts w:hint="eastAsia" w:ascii="宋体" w:hAnsi="宋体"/>
          <w:color w:val="000000" w:themeColor="text1"/>
          <w14:textFill>
            <w14:solidFill>
              <w14:schemeClr w14:val="tx1"/>
            </w14:solidFill>
          </w14:textFill>
        </w:rPr>
        <w:t xml:space="preserve">项目需求</w:t>
      </w:r>
      <w:bookmarkEnd w:id="62"/>
      <w:r/>
      <w:r/>
    </w:p>
    <w:p>
      <w:pPr>
        <w:ind w:right="-153" w:firstLine="422"/>
        <w:spacing w:line="360" w:lineRule="auto"/>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项目属性：货物类项目</w:t>
      </w:r>
      <w:r/>
    </w:p>
    <w:p>
      <w:pPr>
        <w:ind w:right="-155" w:firstLine="422"/>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政府采购中实施本国产品标准及相关政策</w:t>
      </w:r>
      <w:r/>
    </w:p>
    <w:p>
      <w:pPr>
        <w:ind w:right="-155"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1.本项目对采购本国产品给予政策支持，具体内容见招标文件“第五章 评标方法与评标标准”。</w:t>
      </w:r>
      <w:r/>
    </w:p>
    <w:p>
      <w:pPr>
        <w:ind w:right="-155"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2.适用本国产品标准的货物具体是指《</w:t>
      </w:r>
      <w:bookmarkStart w:id="63" w:name="OLE_LINK19"/>
      <w:r>
        <w:rPr>
          <w:rFonts w:hint="eastAsia" w:ascii="宋体" w:hAnsi="宋体"/>
          <w:color w:val="000000" w:themeColor="text1"/>
          <w14:textFill>
            <w14:solidFill>
              <w14:schemeClr w14:val="tx1"/>
            </w14:solidFill>
          </w14:textFill>
        </w:rPr>
        <w:t xml:space="preserve">政府采购品目分类目录</w:t>
      </w:r>
      <w:bookmarkEnd w:id="63"/>
      <w:r>
        <w:rPr>
          <w:rFonts w:hint="eastAsia" w:ascii="宋体" w:hAnsi="宋体"/>
          <w:color w:val="000000" w:themeColor="text1"/>
          <w14:textFill>
            <w14:solidFill>
              <w14:schemeClr w14:val="tx1"/>
            </w14:solidFill>
          </w14:textFill>
        </w:rPr>
        <w:t xml:space="preserve">》中的货物类产品，但不包括其中的房屋和构筑物，文物和陈列品，图书和档案，特种动植物，农林牧渔业产品，矿与矿物，电力、城市燃气、蒸汽和热水、水，食品、饮料和烟草原料，无形资产。</w:t>
      </w:r>
      <w:r/>
    </w:p>
    <w:p>
      <w:pPr>
        <w:ind w:right="-155"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153" w:firstLine="422"/>
        <w:spacing w:line="360" w:lineRule="auto"/>
        <w:rPr>
          <w:rFonts w:hint="eastAsia"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t xml:space="preserve">其他要求</w:t>
      </w:r>
      <w:r/>
    </w:p>
    <w:p>
      <w:pPr>
        <w:ind w:right="-155"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投标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b/>
          <w:i/>
          <w:color w:val="000000" w:themeColor="text1"/>
          <w:u w:val="single"/>
          <w14:textFill>
            <w14:solidFill>
              <w14:schemeClr w14:val="tx1"/>
            </w14:solidFill>
          </w14:textFill>
        </w:rPr>
        <w:t xml:space="preserve">如属政府强制采购产品未提供认证证书的或认证证书提供不全的将视为未实质性响应采购要求</w:t>
      </w:r>
      <w:r>
        <w:rPr>
          <w:rFonts w:ascii="宋体" w:hAnsi="宋体"/>
          <w:color w:val="000000" w:themeColor="text1"/>
          <w14:textFill>
            <w14:solidFill>
              <w14:schemeClr w14:val="tx1"/>
            </w14:solidFill>
          </w14:textFill>
        </w:rPr>
        <w:t xml:space="preserve">。其他条件相同情况下，应当优先采购节能产品、环境标志产品。</w:t>
      </w:r>
      <w:r/>
    </w:p>
    <w:p>
      <w:pPr>
        <w:ind w:right="-155"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供应商对于投标产品的包装应按照“财办库〔2020〕123号《关于印发《商品包装政府采购需求标准（试行）》、《快递包装政府采购需求标准（试行）》的通知》”执行。</w:t>
      </w:r>
      <w:r/>
    </w:p>
    <w:p>
      <w:pPr>
        <w:ind w:right="-155"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注: 本章内容里斜体且有下划线部分为实质性要求和条件，投标文件不满足的，视为无效投标处理。请各供应商制作电子投标文件时，将实质性响应的内容在政府采购交易系统</w:t>
      </w:r>
      <w:r>
        <w:rPr>
          <w:rFonts w:ascii="宋体" w:hAnsi="宋体"/>
          <w:color w:val="000000" w:themeColor="text1"/>
          <w14:textFill>
            <w14:solidFill>
              <w14:schemeClr w14:val="tx1"/>
            </w14:solidFill>
          </w14:textFill>
        </w:rPr>
        <w:t xml:space="preserve">“</w:t>
      </w:r>
      <w:r>
        <w:rPr>
          <w:rFonts w:hint="eastAsia" w:ascii="宋体" w:hAnsi="宋体"/>
          <w:color w:val="000000" w:themeColor="text1"/>
          <w14:textFill>
            <w14:solidFill>
              <w14:schemeClr w14:val="tx1"/>
            </w14:solidFill>
          </w14:textFill>
        </w:rPr>
        <w:t xml:space="preserve">符合证明文件格式</w:t>
      </w:r>
      <w:r>
        <w:rPr>
          <w:rFonts w:ascii="宋体" w:hAnsi="宋体"/>
          <w:color w:val="000000" w:themeColor="text1"/>
          <w14:textFill>
            <w14:solidFill>
              <w14:schemeClr w14:val="tx1"/>
            </w14:solidFill>
          </w14:textFill>
        </w:rPr>
        <w:t xml:space="preserve">”</w:t>
      </w:r>
      <w:r>
        <w:rPr>
          <w:rFonts w:hint="eastAsia" w:ascii="宋体" w:hAnsi="宋体"/>
          <w:color w:val="000000" w:themeColor="text1"/>
          <w14:textFill>
            <w14:solidFill>
              <w14:schemeClr w14:val="tx1"/>
            </w14:solidFill>
          </w14:textFill>
        </w:rPr>
        <w:t xml:space="preserve">中准确填写或上传。</w:t>
      </w:r>
      <w:r/>
    </w:p>
    <w:p>
      <w:pPr>
        <w:ind w:firstLine="422"/>
        <w:spacing w:line="360" w:lineRule="auto"/>
        <w:rPr>
          <w:rFonts w:hint="eastAsia" w:ascii="宋体" w:hAnsi="宋体"/>
          <w:b/>
          <w:bCs/>
          <w:highlight w:val="none"/>
          <w14:textFill>
            <w14:solidFill>
              <w14:schemeClr w14:val="tx1"/>
            </w14:solidFill>
          </w14:textFill>
        </w:rPr>
      </w:pPr>
      <w:r/>
      <w:bookmarkStart w:id="64" w:name="_Hlk147916317"/>
      <w:r/>
      <w:bookmarkStart w:id="65" w:name="_Toc55204181"/>
      <w:r>
        <w:rPr>
          <w:rFonts w:hint="eastAsia" w:ascii="宋体" w:hAnsi="宋体"/>
          <w:b/>
          <w:color w:val="000000" w:themeColor="text1"/>
          <w14:textFill>
            <w14:solidFill>
              <w14:schemeClr w14:val="tx1"/>
            </w14:solidFill>
          </w14:textFill>
        </w:rPr>
        <w:t xml:space="preserve">本项目所属行业：工业</w:t>
      </w:r>
      <w:r/>
    </w:p>
    <w:p>
      <w:pPr>
        <w:ind w:firstLine="422"/>
        <w:spacing w:line="360" w:lineRule="auto"/>
        <w:rPr>
          <w:rFonts w:hint="eastAsia" w:ascii="宋体" w:hAnsi="宋体"/>
          <w:b/>
          <w:bCs/>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核心产品</w:t>
      </w:r>
      <w:r>
        <w:rPr>
          <w:rFonts w:hint="eastAsia" w:ascii="宋体" w:hAnsi="宋体"/>
          <w:b/>
          <w:color w:val="000000" w:themeColor="text1"/>
          <w:highlight w:val="none"/>
          <w14:textFill>
            <w14:solidFill>
              <w14:schemeClr w14:val="tx1"/>
            </w14:solidFill>
          </w14:textFill>
        </w:rPr>
        <w:t xml:space="preserve">：</w:t>
      </w:r>
      <w:r>
        <w:rPr>
          <w:rFonts w:hint="eastAsia" w:ascii="宋体" w:hAnsi="宋体"/>
          <w:b/>
          <w:color w:val="000000" w:themeColor="text1"/>
          <w:highlight w:val="none"/>
          <w14:textFill>
            <w14:solidFill>
              <w14:schemeClr w14:val="tx1"/>
            </w14:solidFill>
          </w14:textFill>
        </w:rPr>
        <w:t xml:space="preserve">组合工作位</w:t>
      </w:r>
      <w:r>
        <w:rPr>
          <w:rFonts w:hint="eastAsia" w:ascii="宋体" w:hAnsi="宋体"/>
          <w:b/>
          <w:color w:val="000000" w:themeColor="text1"/>
          <w:highlight w:val="none"/>
          <w14:textFill>
            <w14:solidFill>
              <w14:schemeClr w14:val="tx1"/>
            </w14:solidFill>
          </w14:textFill>
        </w:rPr>
      </w:r>
      <w:r/>
    </w:p>
    <w:p>
      <w:pPr>
        <w:ind w:firstLine="422"/>
        <w:spacing w:line="360" w:lineRule="auto"/>
        <w:tabs>
          <w:tab w:val="left" w:pos="266" w:leader="none"/>
        </w:tabs>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一、项目基本情况</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1.项目编号：</w:t>
      </w:r>
      <w:r>
        <w:rPr>
          <w:rFonts w:hint="eastAsia" w:ascii="宋体" w:hAnsi="宋体" w:cs="宋体"/>
          <w:color w:val="000000" w:themeColor="text1"/>
          <w:lang w:eastAsia="zh-CN"/>
          <w14:textFill>
            <w14:solidFill>
              <w14:schemeClr w14:val="tx1"/>
            </w14:solidFill>
          </w14:textFill>
        </w:rPr>
        <w:t xml:space="preserve">JSZC-321012-JSFH-G2026-0027</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2.项目名称：</w:t>
      </w:r>
      <w:r>
        <w:rPr>
          <w:rFonts w:hint="eastAsia" w:ascii="宋体" w:hAnsi="宋体" w:cs="宋体"/>
          <w:color w:val="000000" w:themeColor="text1"/>
          <w:lang w:eastAsia="zh-CN"/>
          <w14:textFill>
            <w14:solidFill>
              <w14:schemeClr w14:val="tx1"/>
            </w14:solidFill>
          </w14:textFill>
        </w:rPr>
        <w:t xml:space="preserve">扬州市江都区武坚镇智能高压电气小镇客厅项目家具采购及安装（第一批）</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3.预算金额：</w:t>
      </w:r>
      <w:r>
        <w:rPr>
          <w:rFonts w:ascii="SimSun" w:hAnsi="SimSun" w:eastAsia="SimSun" w:cs="SimSun"/>
          <w:color w:val="000000"/>
          <w:sz w:val="21"/>
        </w:rPr>
        <w:t xml:space="preserve">160万元（本项目总预算金额为160万元，分两批招标，本次为第一批，第一批预算金额为90万元）</w:t>
      </w:r>
      <w:r>
        <w:rPr>
          <w:rFonts w:hint="eastAsia" w:ascii="宋体" w:hAnsi="宋体" w:cs="宋体"/>
          <w:color w:val="000000" w:themeColor="text1"/>
          <w14:textFill>
            <w14:solidFill>
              <w14:schemeClr w14:val="tx1"/>
            </w14:solidFill>
          </w14:textFill>
        </w:rPr>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4.最高限价：</w:t>
      </w:r>
      <w:r>
        <w:rPr>
          <w:rFonts w:hint="eastAsia" w:ascii="宋体" w:hAnsi="宋体" w:cs="宋体"/>
          <w:color w:val="000000" w:themeColor="text1"/>
          <w:lang w:eastAsia="zh-CN"/>
          <w14:textFill>
            <w14:solidFill>
              <w14:schemeClr w14:val="tx1"/>
            </w14:solidFill>
          </w14:textFill>
        </w:rPr>
        <w:t xml:space="preserve">90万元</w:t>
      </w:r>
      <w:r>
        <w:rPr>
          <w:rFonts w:hint="eastAsia" w:ascii="宋体" w:hAnsi="宋体" w:cs="宋体"/>
          <w:color w:val="000000" w:themeColor="text1"/>
          <w14:textFill>
            <w14:solidFill>
              <w14:schemeClr w14:val="tx1"/>
            </w14:solidFill>
          </w14:textFill>
        </w:rPr>
        <w:t xml:space="preserve"> ,报价高于最高限价的为无效标，按照无效响应处理。</w:t>
      </w:r>
      <w:r/>
    </w:p>
    <w:p>
      <w:pPr>
        <w:ind w:firstLine="420"/>
        <w:spacing w:line="360" w:lineRule="auto"/>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5.采购需求：见招标文件第四章</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6.合同履行期限：</w:t>
      </w:r>
      <w:r>
        <w:rPr>
          <w:rFonts w:hint="eastAsia" w:ascii="宋体" w:hAnsi="宋体" w:cs="宋体"/>
          <w:color w:val="000000" w:themeColor="text1"/>
          <w:lang w:val="en-US" w:eastAsia="zh-CN"/>
          <w14:textFill>
            <w14:solidFill>
              <w14:schemeClr w14:val="tx1"/>
            </w14:solidFill>
          </w14:textFill>
        </w:rPr>
        <w:t xml:space="preserve">合同签订之日起40日历天内按要求批次完成供货并在指定区域安装到位。</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7.本项目</w:t>
      </w:r>
      <w:r>
        <w:rPr>
          <w:rFonts w:hint="eastAsia" w:ascii="宋体" w:hAnsi="宋体" w:cs="宋体"/>
          <w:color w:val="000000" w:themeColor="text1"/>
          <w:u w:val="single"/>
          <w14:textFill>
            <w14:solidFill>
              <w14:schemeClr w14:val="tx1"/>
            </w14:solidFill>
          </w14:textFill>
        </w:rPr>
        <w:t xml:space="preserve">不接受</w:t>
      </w:r>
      <w:r>
        <w:rPr>
          <w:rFonts w:hint="eastAsia" w:ascii="宋体" w:hAnsi="宋体" w:cs="宋体"/>
          <w:color w:val="000000" w:themeColor="text1"/>
          <w14:textFill>
            <w14:solidFill>
              <w14:schemeClr w14:val="tx1"/>
            </w14:solidFill>
          </w14:textFill>
        </w:rPr>
        <w:t xml:space="preserve">联合体投标</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8.本项目</w:t>
      </w:r>
      <w:r>
        <w:rPr>
          <w:rFonts w:hint="eastAsia" w:ascii="宋体" w:hAnsi="宋体" w:cs="宋体"/>
          <w:color w:val="000000" w:themeColor="text1"/>
          <w:u w:val="single"/>
          <w14:textFill>
            <w14:solidFill>
              <w14:schemeClr w14:val="tx1"/>
            </w14:solidFill>
          </w14:textFill>
        </w:rPr>
        <w:t xml:space="preserve">不接受</w:t>
      </w:r>
      <w:r>
        <w:rPr>
          <w:rFonts w:hint="eastAsia" w:ascii="宋体" w:hAnsi="宋体" w:cs="宋体"/>
          <w:color w:val="000000" w:themeColor="text1"/>
          <w14:textFill>
            <w14:solidFill>
              <w14:schemeClr w14:val="tx1"/>
            </w14:solidFill>
          </w14:textFill>
        </w:rPr>
        <w:t xml:space="preserve">进口产品投标</w:t>
      </w:r>
      <w:r/>
    </w:p>
    <w:p>
      <w:pPr>
        <w:ind w:firstLine="422"/>
        <w:spacing w:line="360" w:lineRule="auto"/>
        <w:rPr>
          <w:rFonts w:hint="eastAsia" w:ascii="宋体" w:hAnsi="宋体" w:eastAsia="宋体"/>
          <w:b/>
          <w:bCs/>
          <w:color w:val="000000" w:themeColor="text1"/>
          <w:szCs w:val="24"/>
          <w:lang w:eastAsia="zh-CN"/>
          <w14:textFill>
            <w14:solidFill>
              <w14:schemeClr w14:val="tx1"/>
            </w14:solidFill>
          </w14:textFill>
        </w:rPr>
      </w:pPr>
      <w:r>
        <w:rPr>
          <w:rFonts w:hint="eastAsia" w:ascii="宋体" w:hAnsi="宋体"/>
          <w:b/>
          <w:bCs/>
          <w:color w:val="000000" w:themeColor="text1"/>
          <w:szCs w:val="24"/>
          <w14:textFill>
            <w14:solidFill>
              <w14:schemeClr w14:val="tx1"/>
            </w14:solidFill>
          </w14:textFill>
        </w:rPr>
        <w:t xml:space="preserve">二、</w:t>
      </w:r>
      <w:r>
        <w:rPr>
          <w:rFonts w:hint="eastAsia" w:ascii="宋体" w:hAnsi="宋体"/>
          <w:b/>
          <w:bCs/>
          <w:color w:val="000000" w:themeColor="text1"/>
          <w:szCs w:val="24"/>
          <w:lang w:val="en-US" w:eastAsia="zh-CN"/>
          <w14:textFill>
            <w14:solidFill>
              <w14:schemeClr w14:val="tx1"/>
            </w14:solidFill>
          </w14:textFill>
        </w:rPr>
        <w:t xml:space="preserve">采购清单</w:t>
      </w:r>
      <w:bookmarkEnd w:id="64"/>
      <w:r/>
      <w:r/>
    </w:p>
    <w:tbl>
      <w:tblPr>
        <w:tblStyle w:val="744"/>
        <w:tblW w:w="10987" w:type="dxa"/>
        <w:tblInd w:w="-130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6"/>
        <w:gridCol w:w="1289"/>
        <w:gridCol w:w="3030"/>
        <w:gridCol w:w="1530"/>
        <w:gridCol w:w="682"/>
        <w:gridCol w:w="762"/>
        <w:gridCol w:w="3048"/>
      </w:tblGrid>
      <w:tr>
        <w:trPr>
          <w:trHeight w:val="760"/>
        </w:trPr>
        <w:tc>
          <w:tcPr>
            <w:shd w:val="clear" w:color="auto" w:fill="d6dce4"/>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d6dce4"/>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产品名称</w:t>
            </w:r>
            <w:r/>
          </w:p>
        </w:tc>
        <w:tc>
          <w:tcPr>
            <w:shd w:val="clear" w:color="auto" w:fill="d6dce4"/>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参考图片</w:t>
            </w:r>
            <w:r/>
          </w:p>
        </w:tc>
        <w:tc>
          <w:tcPr>
            <w:shd w:val="clear" w:color="auto" w:fill="d6dce4"/>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规格</w:t>
            </w:r>
            <w:r/>
          </w:p>
        </w:tc>
        <w:tc>
          <w:tcPr>
            <w:shd w:val="clear" w:color="auto" w:fill="d6dce4"/>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c>
          <w:tcPr>
            <w:shd w:val="clear" w:color="auto" w:fill="d6dce4"/>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d6dce4"/>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技术参数</w:t>
            </w:r>
            <w:r/>
          </w:p>
        </w:tc>
      </w:tr>
      <w:tr>
        <w:trPr>
          <w:trHeight w:val="6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区域一</w:t>
            </w:r>
            <w:r/>
          </w:p>
        </w:tc>
      </w:tr>
      <w:tr>
        <w:trPr>
          <w:trHeight w:val="2310"/>
        </w:trPr>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组合工作位</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-60325</wp:posOffset>
                      </wp:positionH>
                      <wp:positionV relativeFrom="paragraph">
                        <wp:posOffset>52705</wp:posOffset>
                      </wp:positionV>
                      <wp:extent cx="1812925" cy="1344930"/>
                      <wp:effectExtent l="0" t="0" r="15875" b="7620"/>
                      <wp:wrapNone/>
                      <wp:docPr id="2" name="图片_11"/>
                      <wp:cNvGraphicFramePr/>
                      <a:graphic xmlns:a="http://schemas.openxmlformats.org/drawingml/2006/main">
                        <a:graphicData uri="http://schemas.openxmlformats.org/drawingml/2006/picture">
                          <pic:pic xmlns:pic="http://schemas.openxmlformats.org/drawingml/2006/picture">
                            <pic:nvPicPr>
                              <pic:cNvPr id="18" name="图片_11"/>
                              <pic:cNvPicPr/>
                              <pic:nvPr/>
                            </pic:nvPicPr>
                            <pic:blipFill>
                              <a:blip r:embed="rId18"/>
                              <a:stretch/>
                            </pic:blipFill>
                            <pic:spPr bwMode="auto">
                              <a:xfrm>
                                <a:off x="0" y="0"/>
                                <a:ext cx="1812925" cy="1344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75648;o:allowoverlap:true;o:allowincell:true;mso-position-horizontal-relative:text;margin-left:-4.8pt;mso-position-horizontal:absolute;mso-position-vertical-relative:text;margin-top:4.1pt;mso-position-vertical:absolute;width:142.8pt;height:105.9pt;mso-wrap-distance-left:9.0pt;mso-wrap-distance-top:0.0pt;mso-wrap-distance-right:9.0pt;mso-wrap-distance-bottom:0.0pt;" stroked="f">
                      <v:path textboxrect="0,0,0,0"/>
                      <v:imagedata r:id="rId1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1700*1380*1050</w:t>
            </w:r>
            <w:r/>
          </w:p>
        </w:tc>
        <w:tc>
          <w:tcPr>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988"/>
                <w:rFonts w:hint="eastAsia" w:ascii="宋体" w:hAnsi="宋体" w:eastAsia="宋体" w:cs="宋体"/>
                <w:sz w:val="18"/>
                <w:szCs w:val="18"/>
                <w:lang w:val="en-US" w:eastAsia="zh-CN" w:bidi="ar"/>
              </w:rPr>
              <w:t xml:space="preserve">1.基材：国标E0级刨花板，甲醛释放量≤0.05mg/m³。</w:t>
            </w:r>
            <w:r>
              <w:rPr>
                <w:rStyle w:val="988"/>
                <w:rFonts w:hint="eastAsia" w:ascii="宋体" w:hAnsi="宋体" w:eastAsia="宋体" w:cs="宋体"/>
                <w:sz w:val="18"/>
                <w:szCs w:val="18"/>
                <w:lang w:val="en-US" w:eastAsia="zh-CN" w:bidi="ar"/>
              </w:rPr>
              <w:br/>
            </w:r>
            <w:r>
              <w:rPr>
                <w:rStyle w:val="988"/>
                <w:rFonts w:hint="eastAsia" w:ascii="宋体" w:hAnsi="宋体" w:eastAsia="宋体" w:cs="宋体"/>
                <w:sz w:val="18"/>
                <w:szCs w:val="18"/>
                <w:lang w:val="en-US" w:eastAsia="zh-CN" w:bidi="ar"/>
              </w:rPr>
              <w:t xml:space="preserve">2.面材：耐磨三聚氰胺浸渍饰面，纹理清晰，色泽自然。</w:t>
            </w:r>
            <w:r>
              <w:rPr>
                <w:rStyle w:val="988"/>
                <w:rFonts w:hint="eastAsia" w:ascii="宋体" w:hAnsi="宋体" w:eastAsia="宋体" w:cs="宋体"/>
                <w:sz w:val="18"/>
                <w:szCs w:val="18"/>
                <w:lang w:val="en-US" w:eastAsia="zh-CN" w:bidi="ar"/>
              </w:rPr>
              <w:br/>
            </w:r>
            <w:r>
              <w:rPr>
                <w:rStyle w:val="988"/>
                <w:rFonts w:hint="eastAsia" w:ascii="宋体" w:hAnsi="宋体" w:eastAsia="宋体" w:cs="宋体"/>
                <w:sz w:val="18"/>
                <w:szCs w:val="18"/>
                <w:lang w:val="en-US" w:eastAsia="zh-CN" w:bidi="ar"/>
              </w:rPr>
              <w:t xml:space="preserve">3.封边：同色PVC封边条，厚度≥1.5mm，修边圆润光滑，长久使用不脱胶</w:t>
            </w:r>
            <w:r>
              <w:rPr>
                <w:rStyle w:val="988"/>
                <w:rFonts w:hint="eastAsia" w:ascii="宋体" w:hAnsi="宋体" w:cs="宋体"/>
                <w:sz w:val="18"/>
                <w:szCs w:val="18"/>
                <w:lang w:val="en-US" w:eastAsia="zh-CN" w:bidi="ar"/>
              </w:rPr>
              <w:t xml:space="preserve">。</w:t>
            </w:r>
            <w:r>
              <w:rPr>
                <w:rStyle w:val="988"/>
                <w:rFonts w:hint="eastAsia" w:ascii="宋体" w:hAnsi="宋体" w:eastAsia="宋体" w:cs="宋体"/>
                <w:b w:val="0"/>
                <w:bCs w:val="0"/>
                <w:sz w:val="18"/>
                <w:szCs w:val="18"/>
                <w:lang w:val="en-US" w:eastAsia="zh-CN" w:bidi="ar"/>
              </w:rPr>
              <w:br/>
            </w:r>
            <w:r>
              <w:rPr>
                <w:rStyle w:val="988"/>
                <w:rFonts w:hint="eastAsia" w:ascii="宋体" w:hAnsi="宋体" w:eastAsia="宋体" w:cs="宋体"/>
                <w:sz w:val="18"/>
                <w:szCs w:val="18"/>
                <w:lang w:val="en-US" w:eastAsia="zh-CN" w:bidi="ar"/>
              </w:rPr>
              <w:t xml:space="preserve">4.五金：缓冲铰链，阻尼导轨，三位密码正面锁，开合顺畅，经久耐用不生锈。</w:t>
            </w:r>
            <w:r>
              <w:rPr>
                <w:rStyle w:val="988"/>
                <w:rFonts w:hint="eastAsia" w:ascii="宋体" w:hAnsi="宋体" w:eastAsia="宋体" w:cs="宋体"/>
                <w:sz w:val="18"/>
                <w:szCs w:val="18"/>
                <w:lang w:val="en-US" w:eastAsia="zh-CN" w:bidi="ar"/>
              </w:rPr>
              <w:br/>
            </w:r>
            <w:r>
              <w:rPr>
                <w:rStyle w:val="988"/>
                <w:rFonts w:hint="eastAsia" w:ascii="宋体" w:hAnsi="宋体" w:eastAsia="宋体" w:cs="宋体"/>
                <w:sz w:val="18"/>
                <w:szCs w:val="18"/>
                <w:lang w:val="en-US" w:eastAsia="zh-CN" w:bidi="ar"/>
              </w:rPr>
              <w:t xml:space="preserve">5.走线：预留走线孔，每个工位配3个3+2面板。</w:t>
            </w:r>
            <w:r/>
          </w:p>
        </w:tc>
      </w:tr>
      <w:tr>
        <w:trPr>
          <w:trHeight w:val="2640"/>
        </w:trPr>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57225" cy="11811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descr="IMG_256"/>
                              <pic:cNvPicPr>
                                <a:picLocks noChangeAspect="1"/>
                              </pic:cNvPicPr>
                              <pic:nvPr/>
                            </pic:nvPicPr>
                            <pic:blipFill>
                              <a:blip r:embed="rId19"/>
                              <a:stretch/>
                            </pic:blipFill>
                            <pic:spPr bwMode="auto">
                              <a:xfrm>
                                <a:off x="0" y="0"/>
                                <a:ext cx="657225" cy="11810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1.8pt;height:93.0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810*400*1939</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5.玻璃门：采用汽车玻璃钢化工艺，四边丝印处理。</w:t>
            </w:r>
            <w:r/>
          </w:p>
        </w:tc>
      </w:tr>
      <w:tr>
        <w:trPr>
          <w:trHeight w:val="2310"/>
        </w:trPr>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57275" cy="1104900"/>
                      <wp:effectExtent l="0" t="0" r="9525" b="0"/>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descr="IMG_257"/>
                              <pic:cNvPicPr>
                                <a:picLocks noChangeAspect="1"/>
                              </pic:cNvPicPr>
                              <pic:nvPr/>
                            </pic:nvPicPr>
                            <pic:blipFill>
                              <a:blip r:embed="rId20"/>
                              <a:stretch/>
                            </pic:blipFill>
                            <pic:spPr bwMode="auto">
                              <a:xfrm>
                                <a:off x="0" y="0"/>
                                <a:ext cx="1057275" cy="1104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3.2pt;height:87.0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810*400*825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p>
        </w:tc>
      </w:tr>
      <w:tr>
        <w:trPr>
          <w:trHeight w:val="2310"/>
        </w:trPr>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09650" cy="1000125"/>
                      <wp:effectExtent l="0" t="0" r="0" b="9525"/>
                      <wp:docPr id="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descr="IMG_258"/>
                              <pic:cNvPicPr>
                                <a:picLocks noChangeAspect="1"/>
                              </pic:cNvPicPr>
                              <pic:nvPr/>
                            </pic:nvPicPr>
                            <pic:blipFill>
                              <a:blip r:embed="rId21"/>
                              <a:stretch/>
                            </pic:blipFill>
                            <pic:spPr bwMode="auto">
                              <a:xfrm>
                                <a:off x="0" y="0"/>
                                <a:ext cx="100965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9.5pt;height:78.8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1.椅背：pp+30%玻纤背框，贴合腰部支撑，久坐不累，搭配环保透气网。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2.椅座：12mm座板+定型海绵+弹力布座布，软硬适中，平服饱满，不易松垮。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3.扶手：PP加纤固定扶手，舒适亲肤。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4.椅脚：∮25管1.8厚黑色烤漆弓形架，性能稳定，耐腐蚀，防氧化。</w:t>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552575" cy="1057275"/>
                      <wp:effectExtent l="0" t="0" r="9525" b="9525"/>
                      <wp:docPr id="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descr="IMG_259"/>
                              <pic:cNvPicPr>
                                <a:picLocks noChangeAspect="1"/>
                              </pic:cNvPicPr>
                              <pic:nvPr/>
                            </pic:nvPicPr>
                            <pic:blipFill>
                              <a:blip r:embed="rId22"/>
                              <a:stretch/>
                            </pic:blipFill>
                            <pic:spPr bwMode="auto">
                              <a:xfrm>
                                <a:off x="0" y="0"/>
                                <a:ext cx="1552575" cy="1057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2.2pt;height:83.2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2020*800*780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1.面料：人造皮革，厚度≥1.0mm，色牢度好，防水性强，通过拉力、弹力、耐挠、脱色、耐摩擦测试。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2.海绵：高密度高回弹发泡成型海绵，软硬适中，不易变形，达到国家阻燃B1级标准。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3.内架：四面抛光、烘干、除虫处理实木木架，锰钢蛇簧加平衡线处理。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4.底脚：钢制沙发脚，承重力强。  </w:t>
            </w:r>
            <w:r/>
          </w:p>
        </w:tc>
      </w:tr>
      <w:tr>
        <w:trPr>
          <w:trHeight w:val="6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区域二</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533525" cy="866775"/>
                      <wp:effectExtent l="0" t="0" r="9525" b="9525"/>
                      <wp:docPr id="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5" descr="IMG_260"/>
                              <pic:cNvPicPr>
                                <a:picLocks noChangeAspect="1"/>
                              </pic:cNvPicPr>
                              <pic:nvPr/>
                            </pic:nvPicPr>
                            <pic:blipFill>
                              <a:blip r:embed="rId23"/>
                              <a:stretch/>
                            </pic:blipFill>
                            <pic:spPr bwMode="auto">
                              <a:xfrm>
                                <a:off x="0" y="0"/>
                                <a:ext cx="1533525"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0.8pt;height:68.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1800*1600*750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4.五金：缓冲铰链，阻尼导轨，三位密码正面锁，开合顺畅，经久耐用不生锈。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5.走线：预留走线孔，每个工位配3个3+2面板。</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57225" cy="1181100"/>
                      <wp:effectExtent l="0" t="0" r="9525" b="0"/>
                      <wp:docPr id="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6" descr="IMG_261"/>
                              <pic:cNvPicPr>
                                <a:picLocks noChangeAspect="1"/>
                              </pic:cNvPicPr>
                              <pic:nvPr/>
                            </pic:nvPicPr>
                            <pic:blipFill>
                              <a:blip r:embed="rId19"/>
                              <a:stretch/>
                            </pic:blipFill>
                            <pic:spPr bwMode="auto">
                              <a:xfrm>
                                <a:off x="0" y="0"/>
                                <a:ext cx="657225" cy="11810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1.8pt;height:93.0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810*400*1939</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5.玻璃门：采用汽车玻璃钢化工艺，四边丝印处理。</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台前椅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09650" cy="1000125"/>
                      <wp:effectExtent l="0" t="0" r="0" b="9525"/>
                      <wp:docPr id="9"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 descr="IMG_262"/>
                              <pic:cNvPicPr>
                                <a:picLocks noChangeAspect="1"/>
                              </pic:cNvPicPr>
                              <pic:nvPr/>
                            </pic:nvPicPr>
                            <pic:blipFill>
                              <a:blip r:embed="rId21"/>
                              <a:stretch/>
                            </pic:blipFill>
                            <pic:spPr bwMode="auto">
                              <a:xfrm>
                                <a:off x="0" y="0"/>
                                <a:ext cx="100965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9.5pt;height:78.8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1.椅背：pp+30%玻纤背框，贴合腰部支撑，久坐不累，搭配环保透气网。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2.椅座：12mm座板+定型海绵+弹力布座布，软硬适中，平服饱满，不易松垮。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3.扶手：PP加纤固定扶手，舒适亲肤。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4.椅脚：∮25管1.8厚黑色烤漆弓形架，性能稳定，耐腐蚀，防氧化。</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923925" cy="971550"/>
                      <wp:effectExtent l="0" t="0" r="9525" b="0"/>
                      <wp:docPr id="10"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8" descr="IMG_263"/>
                              <pic:cNvPicPr>
                                <a:picLocks noChangeAspect="1"/>
                              </pic:cNvPicPr>
                              <pic:nvPr/>
                            </pic:nvPicPr>
                            <pic:blipFill>
                              <a:blip r:embed="rId24"/>
                              <a:stretch/>
                            </pic:blipFill>
                            <pic:spPr bwMode="auto">
                              <a:xfrm>
                                <a:off x="0" y="0"/>
                                <a:ext cx="923925"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2.8pt;height:76.5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810*400*825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552575" cy="1057275"/>
                      <wp:effectExtent l="0" t="0" r="9525" b="9525"/>
                      <wp:docPr id="11"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 descr="IMG_264"/>
                              <pic:cNvPicPr>
                                <a:picLocks noChangeAspect="1"/>
                              </pic:cNvPicPr>
                              <pic:nvPr/>
                            </pic:nvPicPr>
                            <pic:blipFill>
                              <a:blip r:embed="rId22"/>
                              <a:stretch/>
                            </pic:blipFill>
                            <pic:spPr bwMode="auto">
                              <a:xfrm>
                                <a:off x="0" y="0"/>
                                <a:ext cx="1552575" cy="1057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2.2pt;height:83.2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2020*800*780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1.面料：人造皮革，厚度≥1.0mm，色牢度好，防水性强，通过拉力、弹力、耐挠、脱色、耐摩擦测试。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2.海绵：高密度高回弹发泡成型海绵，软硬适中，不易变形，达到国家阻燃B1级标准。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3.内架：四面抛光、烘干、除虫处理实木木架，锰钢蛇簧加平衡线处理。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4.底脚：钢制沙发脚，承重力强。  </w:t>
            </w:r>
            <w:r/>
          </w:p>
        </w:tc>
      </w:tr>
      <w:tr>
        <w:trPr>
          <w:trHeight w:val="6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区域三</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638300" cy="1095375"/>
                      <wp:effectExtent l="0" t="0" r="0" b="9525"/>
                      <wp:docPr id="12"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0" descr="IMG_265"/>
                              <pic:cNvPicPr>
                                <a:picLocks noChangeAspect="1"/>
                              </pic:cNvPicPr>
                              <pic:nvPr/>
                            </pic:nvPicPr>
                            <pic:blipFill>
                              <a:blip r:embed="rId25"/>
                              <a:stretch/>
                            </pic:blipFill>
                            <pic:spPr bwMode="auto">
                              <a:xfrm>
                                <a:off x="0" y="0"/>
                                <a:ext cx="1638300"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9.0pt;height:86.2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3600*1500*760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3.封边：主台面板为50mm厚，同色PVC封边条，厚度≥1.5mm，修边圆润光滑，长久使用不脱胶。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4..台脚采用铝合金装饰条，底部拉丝不锈钢板。</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71525" cy="1009650"/>
                      <wp:effectExtent l="0" t="0" r="9525" b="0"/>
                      <wp:docPr id="13"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1" descr="IMG_266"/>
                              <pic:cNvPicPr>
                                <a:picLocks noChangeAspect="1"/>
                              </pic:cNvPicPr>
                              <pic:nvPr/>
                            </pic:nvPicPr>
                            <pic:blipFill>
                              <a:blip r:embed="rId26"/>
                              <a:stretch/>
                            </pic:blipFill>
                            <pic:spPr bwMode="auto">
                              <a:xfrm>
                                <a:off x="0" y="0"/>
                                <a:ext cx="771525" cy="1009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0.8pt;height:79.5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1.面料：人造皮革，厚度≥1.0mm，色牢度好，防水性强，通过拉力、弹力、耐挠、脱色、耐摩擦测试；椅背面料采用皮加网工艺处理。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2.海绵：高密度高回弹发泡成型海绵，软硬适中，不易变形，达到国家阻燃B1级标准。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3.椅架：黑色尼龙加玻纤背，黑色PP连体固定扶手，25管1.8厚电镀弓形架，性能稳定，耐腐蚀，防氧化。</w:t>
            </w:r>
            <w:r/>
          </w:p>
        </w:tc>
      </w:tr>
      <w:tr>
        <w:trPr>
          <w:trHeight w:val="6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区域四</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床</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685925" cy="1000125"/>
                      <wp:effectExtent l="0" t="0" r="9525" b="9525"/>
                      <wp:docPr id="14" name="图片 29"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IMG_267"/>
                              <pic:cNvPicPr>
                                <a:picLocks noChangeAspect="1"/>
                              </pic:cNvPicPr>
                              <pic:nvPr/>
                            </pic:nvPicPr>
                            <pic:blipFill>
                              <a:blip r:embed="rId27"/>
                              <a:stretch/>
                            </pic:blipFill>
                            <pic:spPr bwMode="auto">
                              <a:xfrm>
                                <a:off x="0" y="0"/>
                                <a:ext cx="1685925"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32.8pt;height:78.8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1500*2000*1100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3.封边：床屏25mm厚，其他15mm厚，同色PVC封边条，厚度≥1.5mm，修边圆润光滑，长久使用不脱胶。</w:t>
            </w:r>
            <w:r/>
          </w:p>
        </w:tc>
      </w:tr>
      <w:tr>
        <w:trPr>
          <w:trHeight w:val="391"/>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1500*2000*200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一、床垫正面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1.抗菌防螨阻燃针织面料；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2.三维无胶棉；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3.高回弹超软海绵；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4.无纺布；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二、弹簧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5.静音独袋弹簧；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三、床垫反面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6.高密度纤维毡；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7.无纺布；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8.圆泡海绵；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9.三维无胶棉；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10.抗菌防螨阻燃针织面料。</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90575" cy="1143000"/>
                      <wp:effectExtent l="0" t="0" r="9525" b="0"/>
                      <wp:docPr id="15"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3" descr="IMG_268"/>
                              <pic:cNvPicPr>
                                <a:picLocks noChangeAspect="1"/>
                              </pic:cNvPicPr>
                              <pic:nvPr/>
                            </pic:nvPicPr>
                            <pic:blipFill>
                              <a:blip r:embed="rId28"/>
                              <a:stretch/>
                            </pic:blipFill>
                            <pic:spPr bwMode="auto">
                              <a:xfrm>
                                <a:off x="0" y="0"/>
                                <a:ext cx="790575" cy="1143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2.2pt;height:90.0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500*400*510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4.五金：缓冲铰链，阻尼导轨，开合顺畅，经久耐用不生锈。</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14350" cy="1257300"/>
                      <wp:effectExtent l="0" t="0" r="0" b="0"/>
                      <wp:docPr id="16"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4" descr="IMG_269"/>
                              <pic:cNvPicPr>
                                <a:picLocks noChangeAspect="1"/>
                              </pic:cNvPicPr>
                              <pic:nvPr/>
                            </pic:nvPicPr>
                            <pic:blipFill>
                              <a:blip r:embed="rId29"/>
                              <a:stretch/>
                            </pic:blipFill>
                            <pic:spPr bwMode="auto">
                              <a:xfrm>
                                <a:off x="0" y="0"/>
                                <a:ext cx="514350" cy="1257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0.5pt;height:99.0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800*600*2000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4.五金：缓冲铰链，开合顺畅，经久耐用不生锈。</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76350" cy="933450"/>
                      <wp:effectExtent l="0" t="0" r="0" b="0"/>
                      <wp:docPr id="17"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5" descr="IMG_270"/>
                              <pic:cNvPicPr>
                                <a:picLocks noChangeAspect="1"/>
                              </pic:cNvPicPr>
                              <pic:nvPr/>
                            </pic:nvPicPr>
                            <pic:blipFill>
                              <a:blip r:embed="rId30"/>
                              <a:stretch/>
                            </pic:blipFill>
                            <pic:spPr bwMode="auto">
                              <a:xfrm>
                                <a:off x="0" y="0"/>
                                <a:ext cx="1276350"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00.5pt;height:73.5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4.台脚：35mm厚，采用铝包边设计，安全防撞耐腐蚀。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5.五金：缓冲铰链，阻尼导轨，三位密码正面锁，开合顺畅，经久耐用不生锈。</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09650" cy="1000125"/>
                      <wp:effectExtent l="0" t="0" r="0" b="9525"/>
                      <wp:docPr id="18"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6" descr="IMG_271"/>
                              <pic:cNvPicPr>
                                <a:picLocks noChangeAspect="1"/>
                              </pic:cNvPicPr>
                              <pic:nvPr/>
                            </pic:nvPicPr>
                            <pic:blipFill>
                              <a:blip r:embed="rId21"/>
                              <a:stretch/>
                            </pic:blipFill>
                            <pic:spPr bwMode="auto">
                              <a:xfrm>
                                <a:off x="0" y="0"/>
                                <a:ext cx="100965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9.5pt;height:78.8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1.椅背：pp+30%玻纤背框，贴合腰部支撑，久坐不累，搭配环保透气网。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2.椅座：12mm座板+定型海绵+弹力布座布，软硬适中，平服饱满，不易松垮。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3.扶手：PP加纤固定扶手，舒适亲肤。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4.椅脚：∮25管1.8厚黑色烤漆弓形架，性能稳定，耐腐蚀，防氧化。</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819150" cy="1476375"/>
                      <wp:effectExtent l="0" t="0" r="0" b="9525"/>
                      <wp:docPr id="19"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7" descr="IMG_272"/>
                              <pic:cNvPicPr>
                                <a:picLocks noChangeAspect="1"/>
                              </pic:cNvPicPr>
                              <pic:nvPr/>
                            </pic:nvPicPr>
                            <pic:blipFill>
                              <a:blip r:embed="rId31"/>
                              <a:stretch/>
                            </pic:blipFill>
                            <pic:spPr bwMode="auto">
                              <a:xfrm>
                                <a:off x="0" y="0"/>
                                <a:ext cx="819150" cy="1476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64.5pt;height:116.2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810*400*1939</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5.玻璃门：采用汽车玻璃钢化工艺，四边丝印处理。</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923925" cy="971550"/>
                      <wp:effectExtent l="0" t="0" r="9525" b="0"/>
                      <wp:docPr id="20"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8" descr="IMG_273"/>
                              <pic:cNvPicPr>
                                <a:picLocks noChangeAspect="1"/>
                              </pic:cNvPicPr>
                              <pic:nvPr/>
                            </pic:nvPicPr>
                            <pic:blipFill>
                              <a:blip r:embed="rId24"/>
                              <a:stretch/>
                            </pic:blipFill>
                            <pic:spPr bwMode="auto">
                              <a:xfrm>
                                <a:off x="0" y="0"/>
                                <a:ext cx="923925"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2.8pt;height:76.5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810*400*825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p>
        </w:tc>
      </w:tr>
      <w:tr>
        <w:trPr>
          <w:trHeight w:val="6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区域五</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组合工作位</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533525" cy="866775"/>
                      <wp:effectExtent l="0" t="0" r="9525" b="9525"/>
                      <wp:docPr id="21"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9" descr="IMG_274"/>
                              <pic:cNvPicPr>
                                <a:picLocks noChangeAspect="1"/>
                              </pic:cNvPicPr>
                              <pic:nvPr/>
                            </pic:nvPicPr>
                            <pic:blipFill>
                              <a:blip r:embed="rId23"/>
                              <a:stretch/>
                            </pic:blipFill>
                            <pic:spPr bwMode="auto">
                              <a:xfrm>
                                <a:off x="0" y="0"/>
                                <a:ext cx="1533525"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20.8pt;height:68.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1600*1600*750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4.五金：缓冲铰链，阻尼导轨，三位密码正面锁，开合顺畅，经久耐用不生锈。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5.走线：预留走线孔，每个工位配3个3+2面板。</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57225" cy="1181100"/>
                      <wp:effectExtent l="0" t="0" r="9525" b="0"/>
                      <wp:docPr id="22"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0" descr="IMG_275"/>
                              <pic:cNvPicPr>
                                <a:picLocks noChangeAspect="1"/>
                              </pic:cNvPicPr>
                              <pic:nvPr/>
                            </pic:nvPicPr>
                            <pic:blipFill>
                              <a:blip r:embed="rId19"/>
                              <a:stretch/>
                            </pic:blipFill>
                            <pic:spPr bwMode="auto">
                              <a:xfrm>
                                <a:off x="0" y="0"/>
                                <a:ext cx="657225" cy="11810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1.8pt;height:93.0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810*400*1939</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5.玻璃门：采用汽车玻璃钢化工艺，四边丝印处理。</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923925" cy="971550"/>
                      <wp:effectExtent l="0" t="0" r="9525" b="0"/>
                      <wp:docPr id="23"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1" descr="IMG_276"/>
                              <pic:cNvPicPr>
                                <a:picLocks noChangeAspect="1"/>
                              </pic:cNvPicPr>
                              <pic:nvPr/>
                            </pic:nvPicPr>
                            <pic:blipFill>
                              <a:blip r:embed="rId24"/>
                              <a:stretch/>
                            </pic:blipFill>
                            <pic:spPr bwMode="auto">
                              <a:xfrm>
                                <a:off x="0" y="0"/>
                                <a:ext cx="923925"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2.8pt;height:76.5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810*400*825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09650" cy="1000125"/>
                      <wp:effectExtent l="0" t="0" r="0" b="9525"/>
                      <wp:docPr id="24"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2" descr="IMG_277"/>
                              <pic:cNvPicPr>
                                <a:picLocks noChangeAspect="1"/>
                              </pic:cNvPicPr>
                              <pic:nvPr/>
                            </pic:nvPicPr>
                            <pic:blipFill>
                              <a:blip r:embed="rId21"/>
                              <a:stretch/>
                            </pic:blipFill>
                            <pic:spPr bwMode="auto">
                              <a:xfrm>
                                <a:off x="0" y="0"/>
                                <a:ext cx="100965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9.5pt;height:78.8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1.椅背：pp+30%玻纤背框，贴合腰部支撑，久坐不累，搭配环保透气网。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2.椅座：12mm座板+定型海绵+弹力布座布，软硬适中，平服饱满，不易松垮。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3.扶手：PP加纤固定扶手，舒适亲肤。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4.椅脚：∮25管1.8厚黑色烤漆弓形架，性能稳定，耐腐蚀，防氧化。</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实木沙发</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57275" cy="838200"/>
                      <wp:effectExtent l="0" t="0" r="9525" b="0"/>
                      <wp:docPr id="25"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3" descr="IMG_278"/>
                              <pic:cNvPicPr>
                                <a:picLocks noChangeAspect="1"/>
                              </pic:cNvPicPr>
                              <pic:nvPr/>
                            </pic:nvPicPr>
                            <pic:blipFill>
                              <a:blip r:embed="rId32"/>
                              <a:stretch/>
                            </pic:blipFill>
                            <pic:spPr bwMode="auto">
                              <a:xfrm>
                                <a:off x="0" y="0"/>
                                <a:ext cx="1057275"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83.2pt;height:66.0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1880*670*900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1.木材：橡胶木(实木框架+实木多层板），纹理清晰自然，产品稳定不变形。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2.涂料：净味环保油漆或水性漆，“五底三面”工艺，漆面硬度高，色泽饱满透亮。</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38250" cy="838200"/>
                      <wp:effectExtent l="0" t="0" r="0" b="0"/>
                      <wp:docPr id="26"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4" descr="IMG_279"/>
                              <pic:cNvPicPr>
                                <a:picLocks noChangeAspect="1"/>
                              </pic:cNvPicPr>
                              <pic:nvPr/>
                            </pic:nvPicPr>
                            <pic:blipFill>
                              <a:blip r:embed="rId33"/>
                              <a:stretch/>
                            </pic:blipFill>
                            <pic:spPr bwMode="auto">
                              <a:xfrm>
                                <a:off x="0" y="0"/>
                                <a:ext cx="123825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97.5pt;height:66.0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1300*700*460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1.木材：橡胶木(实木框架+实木多层板），纹理清晰自然，产品稳定不变形。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2.涂料：净味环保油漆或水性漆，“五底三面”工艺，漆面硬度高，色泽饱满透亮。</w:t>
            </w:r>
            <w:r/>
          </w:p>
        </w:tc>
      </w:tr>
      <w:tr>
        <w:trPr>
          <w:trHeight w:val="6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区域六</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组合工作位</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533525" cy="866775"/>
                      <wp:effectExtent l="0" t="0" r="9525" b="9525"/>
                      <wp:docPr id="27"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5" descr="IMG_280"/>
                              <pic:cNvPicPr>
                                <a:picLocks noChangeAspect="1"/>
                              </pic:cNvPicPr>
                              <pic:nvPr/>
                            </pic:nvPicPr>
                            <pic:blipFill>
                              <a:blip r:embed="rId23"/>
                              <a:stretch/>
                            </pic:blipFill>
                            <pic:spPr bwMode="auto">
                              <a:xfrm>
                                <a:off x="0" y="0"/>
                                <a:ext cx="1533525"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20.8pt;height:68.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1600*1600*750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4.五金：缓冲铰链，阻尼导轨，三位密码正面锁，开合顺畅，经久耐用不生锈。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5.走线：预留走线孔，每个工位配3个3+2面板。</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57225" cy="1181100"/>
                      <wp:effectExtent l="0" t="0" r="9525" b="0"/>
                      <wp:docPr id="28"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6" descr="IMG_281"/>
                              <pic:cNvPicPr>
                                <a:picLocks noChangeAspect="1"/>
                              </pic:cNvPicPr>
                              <pic:nvPr/>
                            </pic:nvPicPr>
                            <pic:blipFill>
                              <a:blip r:embed="rId19"/>
                              <a:stretch/>
                            </pic:blipFill>
                            <pic:spPr bwMode="auto">
                              <a:xfrm>
                                <a:off x="0" y="0"/>
                                <a:ext cx="657225" cy="11810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1.8pt;height:93.0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810*400*1939</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5.玻璃门：采用汽车玻璃钢化工艺，四边丝印处理。</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923925" cy="971550"/>
                      <wp:effectExtent l="0" t="0" r="9525" b="0"/>
                      <wp:docPr id="29"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7" descr="IMG_282"/>
                              <pic:cNvPicPr>
                                <a:picLocks noChangeAspect="1"/>
                              </pic:cNvPicPr>
                              <pic:nvPr/>
                            </pic:nvPicPr>
                            <pic:blipFill>
                              <a:blip r:embed="rId24"/>
                              <a:stretch/>
                            </pic:blipFill>
                            <pic:spPr bwMode="auto">
                              <a:xfrm>
                                <a:off x="0" y="0"/>
                                <a:ext cx="923925"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2.8pt;height:76.5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810*400*825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09650" cy="1000125"/>
                      <wp:effectExtent l="0" t="0" r="0" b="9525"/>
                      <wp:docPr id="30"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8" descr="IMG_283"/>
                              <pic:cNvPicPr>
                                <a:picLocks noChangeAspect="1"/>
                              </pic:cNvPicPr>
                              <pic:nvPr/>
                            </pic:nvPicPr>
                            <pic:blipFill>
                              <a:blip r:embed="rId21"/>
                              <a:stretch/>
                            </pic:blipFill>
                            <pic:spPr bwMode="auto">
                              <a:xfrm>
                                <a:off x="0" y="0"/>
                                <a:ext cx="100965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9.5pt;height:78.8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1.椅背：pp+30%玻纤背框，贴合腰部支撑，久坐不累，搭配环保透气网。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2.椅座：12mm座板+定型海绵+弹力布座布，软硬适中，平服饱满，不易松垮。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3.扶手：PP加纤固定扶手，舒适亲肤。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4.椅脚：∮25管1.8厚黑色烤漆弓形架，性能稳定，耐腐蚀，防氧化。</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552575" cy="1057275"/>
                      <wp:effectExtent l="0" t="0" r="9525" b="9525"/>
                      <wp:docPr id="31"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9" descr="IMG_284"/>
                              <pic:cNvPicPr>
                                <a:picLocks noChangeAspect="1"/>
                              </pic:cNvPicPr>
                              <pic:nvPr/>
                            </pic:nvPicPr>
                            <pic:blipFill>
                              <a:blip r:embed="rId22"/>
                              <a:stretch/>
                            </pic:blipFill>
                            <pic:spPr bwMode="auto">
                              <a:xfrm>
                                <a:off x="0" y="0"/>
                                <a:ext cx="1552575" cy="1057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22.2pt;height:83.2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2020*800*780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1.面料：人造皮革，厚度≥1.0mm，色牢度好，防水性强，通过拉力、弹力、耐挠、脱色、耐摩擦测试。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2.海绵：高密度高回弹发泡成型海绵，软硬适中，不易变形，达到国家阻燃B1级标准。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3.内架：四面抛光、烘干、除虫处理实木木架，锰钢蛇簧加平衡线处理。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4.底脚：钢制沙发脚，承重力强。  </w:t>
            </w:r>
            <w:r/>
          </w:p>
        </w:tc>
      </w:tr>
      <w:tr>
        <w:trPr>
          <w:trHeight w:val="165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81100" cy="695325"/>
                      <wp:effectExtent l="0" t="0" r="0" b="9525"/>
                      <wp:docPr id="32"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0" descr="IMG_285"/>
                              <pic:cNvPicPr>
                                <a:picLocks noChangeAspect="1"/>
                              </pic:cNvPicPr>
                              <pic:nvPr/>
                            </pic:nvPicPr>
                            <pic:blipFill>
                              <a:blip r:embed="rId34"/>
                              <a:stretch/>
                            </pic:blipFill>
                            <pic:spPr bwMode="auto">
                              <a:xfrm>
                                <a:off x="0" y="0"/>
                                <a:ext cx="1181099"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93.0pt;height:54.8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4.钢脚：采用35*15*1.2mm冷拉高频焊管数控折弯而成。</w:t>
            </w:r>
            <w:r/>
          </w:p>
        </w:tc>
      </w:tr>
      <w:tr>
        <w:trPr>
          <w:trHeight w:val="6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区域七</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组合工作位</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292100</wp:posOffset>
                      </wp:positionH>
                      <wp:positionV relativeFrom="paragraph">
                        <wp:posOffset>227965</wp:posOffset>
                      </wp:positionV>
                      <wp:extent cx="1443355" cy="1073785"/>
                      <wp:effectExtent l="0" t="0" r="4445" b="12065"/>
                      <wp:wrapNone/>
                      <wp:docPr id="33" name="图片_6"/>
                      <wp:cNvGraphicFramePr/>
                      <a:graphic xmlns:a="http://schemas.openxmlformats.org/drawingml/2006/main">
                        <a:graphicData uri="http://schemas.openxmlformats.org/drawingml/2006/picture">
                          <pic:pic xmlns:pic="http://schemas.openxmlformats.org/drawingml/2006/picture">
                            <pic:nvPicPr>
                              <pic:cNvPr id="49" name="图片_6"/>
                              <pic:cNvPicPr/>
                              <pic:nvPr/>
                            </pic:nvPicPr>
                            <pic:blipFill>
                              <a:blip r:embed="rId35"/>
                              <a:stretch/>
                            </pic:blipFill>
                            <pic:spPr bwMode="auto">
                              <a:xfrm>
                                <a:off x="0" y="0"/>
                                <a:ext cx="1443355" cy="1073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75648;o:allowoverlap:true;o:allowincell:true;mso-position-horizontal-relative:text;margin-left:23.0pt;mso-position-horizontal:absolute;mso-position-vertical-relative:text;margin-top:17.9pt;mso-position-vertical:absolute;width:113.6pt;height:84.5pt;mso-wrap-distance-left:9.0pt;mso-wrap-distance-top:0.0pt;mso-wrap-distance-right:9.0pt;mso-wrap-distance-bottom:0.0pt;" stroked="f">
                      <v:path textboxrect="0,0,0,0"/>
                      <v:imagedata r:id="rId3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1700*1380*1050</w:t>
            </w:r>
            <w:r/>
          </w:p>
        </w:tc>
        <w:tc>
          <w:tcPr>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988"/>
                <w:rFonts w:hint="eastAsia" w:ascii="宋体" w:hAnsi="宋体" w:eastAsia="宋体" w:cs="宋体"/>
                <w:sz w:val="18"/>
                <w:szCs w:val="18"/>
                <w:lang w:val="en-US" w:eastAsia="zh-CN" w:bidi="ar"/>
              </w:rPr>
              <w:t xml:space="preserve">1.基材：国标E0级刨花板，甲醛释放量≤0.05mg/m³。</w:t>
            </w:r>
            <w:r>
              <w:rPr>
                <w:rStyle w:val="988"/>
                <w:rFonts w:hint="eastAsia" w:ascii="宋体" w:hAnsi="宋体" w:eastAsia="宋体" w:cs="宋体"/>
                <w:sz w:val="18"/>
                <w:szCs w:val="18"/>
                <w:lang w:val="en-US" w:eastAsia="zh-CN" w:bidi="ar"/>
              </w:rPr>
              <w:br/>
            </w:r>
            <w:r>
              <w:rPr>
                <w:rStyle w:val="988"/>
                <w:rFonts w:hint="eastAsia" w:ascii="宋体" w:hAnsi="宋体" w:eastAsia="宋体" w:cs="宋体"/>
                <w:sz w:val="18"/>
                <w:szCs w:val="18"/>
                <w:lang w:val="en-US" w:eastAsia="zh-CN" w:bidi="ar"/>
              </w:rPr>
              <w:t xml:space="preserve">2.面材：耐磨三聚氰胺浸渍饰面，纹理清晰，色泽自然。</w:t>
            </w:r>
            <w:r>
              <w:rPr>
                <w:rStyle w:val="988"/>
                <w:rFonts w:hint="eastAsia" w:ascii="宋体" w:hAnsi="宋体" w:eastAsia="宋体" w:cs="宋体"/>
                <w:sz w:val="18"/>
                <w:szCs w:val="18"/>
                <w:lang w:val="en-US" w:eastAsia="zh-CN" w:bidi="ar"/>
              </w:rPr>
              <w:br/>
            </w:r>
            <w:r>
              <w:rPr>
                <w:rStyle w:val="988"/>
                <w:rFonts w:hint="eastAsia" w:ascii="宋体" w:hAnsi="宋体" w:eastAsia="宋体" w:cs="宋体"/>
                <w:sz w:val="18"/>
                <w:szCs w:val="18"/>
                <w:lang w:val="en-US" w:eastAsia="zh-CN" w:bidi="ar"/>
              </w:rPr>
              <w:t xml:space="preserve">3.封边：同色PVC封边条，厚度≥1.5mm，修边圆润光滑，长久使用不脱胶</w:t>
            </w:r>
            <w:r>
              <w:rPr>
                <w:rStyle w:val="988"/>
                <w:rFonts w:hint="eastAsia" w:ascii="宋体" w:hAnsi="宋体" w:cs="宋体"/>
                <w:b w:val="0"/>
                <w:bCs w:val="0"/>
                <w:sz w:val="18"/>
                <w:szCs w:val="18"/>
                <w:lang w:val="en-US" w:eastAsia="zh-CN" w:bidi="ar"/>
              </w:rPr>
              <w:t xml:space="preserve">。</w:t>
            </w:r>
            <w:r>
              <w:rPr>
                <w:rStyle w:val="988"/>
                <w:rFonts w:hint="eastAsia" w:ascii="宋体" w:hAnsi="宋体" w:eastAsia="宋体" w:cs="宋体"/>
                <w:b w:val="0"/>
                <w:bCs w:val="0"/>
                <w:sz w:val="18"/>
                <w:szCs w:val="18"/>
                <w:lang w:val="en-US" w:eastAsia="zh-CN" w:bidi="ar"/>
              </w:rPr>
              <w:br/>
            </w:r>
            <w:r>
              <w:rPr>
                <w:rStyle w:val="988"/>
                <w:rFonts w:hint="eastAsia" w:ascii="宋体" w:hAnsi="宋体" w:eastAsia="宋体" w:cs="宋体"/>
                <w:sz w:val="18"/>
                <w:szCs w:val="18"/>
                <w:lang w:val="en-US" w:eastAsia="zh-CN" w:bidi="ar"/>
              </w:rPr>
              <w:t xml:space="preserve">4.五金：缓冲铰链，阻尼导轨，三位密码正面锁，开合顺畅，经久耐用不生锈。</w:t>
            </w:r>
            <w:r>
              <w:rPr>
                <w:rStyle w:val="988"/>
                <w:rFonts w:hint="eastAsia" w:ascii="宋体" w:hAnsi="宋体" w:eastAsia="宋体" w:cs="宋体"/>
                <w:sz w:val="18"/>
                <w:szCs w:val="18"/>
                <w:lang w:val="en-US" w:eastAsia="zh-CN" w:bidi="ar"/>
              </w:rPr>
              <w:br/>
            </w:r>
            <w:r>
              <w:rPr>
                <w:rStyle w:val="988"/>
                <w:rFonts w:hint="eastAsia" w:ascii="宋体" w:hAnsi="宋体" w:eastAsia="宋体" w:cs="宋体"/>
                <w:sz w:val="18"/>
                <w:szCs w:val="18"/>
                <w:lang w:val="en-US" w:eastAsia="zh-CN" w:bidi="ar"/>
              </w:rPr>
              <w:t xml:space="preserve">5.走线：预留走线孔，每个工位配3个3+2面板。</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57225" cy="1181100"/>
                      <wp:effectExtent l="0" t="0" r="9525" b="0"/>
                      <wp:docPr id="34"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1" descr="IMG_286"/>
                              <pic:cNvPicPr>
                                <a:picLocks noChangeAspect="1"/>
                              </pic:cNvPicPr>
                              <pic:nvPr/>
                            </pic:nvPicPr>
                            <pic:blipFill>
                              <a:blip r:embed="rId19"/>
                              <a:stretch/>
                            </pic:blipFill>
                            <pic:spPr bwMode="auto">
                              <a:xfrm>
                                <a:off x="0" y="0"/>
                                <a:ext cx="657225" cy="11810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1.8pt;height:93.0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810*400*1939</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5.玻璃门：采用汽车玻璃钢化工艺，四边丝印处理。</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923925" cy="971550"/>
                      <wp:effectExtent l="0" t="0" r="9525" b="0"/>
                      <wp:docPr id="35"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2" descr="IMG_287"/>
                              <pic:cNvPicPr>
                                <a:picLocks noChangeAspect="1"/>
                              </pic:cNvPicPr>
                              <pic:nvPr/>
                            </pic:nvPicPr>
                            <pic:blipFill>
                              <a:blip r:embed="rId24"/>
                              <a:stretch/>
                            </pic:blipFill>
                            <pic:spPr bwMode="auto">
                              <a:xfrm>
                                <a:off x="0" y="0"/>
                                <a:ext cx="923925"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2.8pt;height:76.5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810*400*825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09650" cy="1000125"/>
                      <wp:effectExtent l="0" t="0" r="0" b="9525"/>
                      <wp:docPr id="36"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3" descr="IMG_288"/>
                              <pic:cNvPicPr>
                                <a:picLocks noChangeAspect="1"/>
                              </pic:cNvPicPr>
                              <pic:nvPr/>
                            </pic:nvPicPr>
                            <pic:blipFill>
                              <a:blip r:embed="rId21"/>
                              <a:stretch/>
                            </pic:blipFill>
                            <pic:spPr bwMode="auto">
                              <a:xfrm>
                                <a:off x="0" y="0"/>
                                <a:ext cx="100965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9.5pt;height:78.8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1.椅背：pp+30%玻纤背框，贴合腰部支撑，久坐不累，搭配环保透气网。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2.椅座：12mm座板+定型海绵+弹力布座布，软硬适中，平服饱满，不易松垮。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3.扶手：PP加纤固定扶手，舒适亲肤。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4.椅脚：∮25管1.8厚黑色烤漆弓形架，性能稳定，耐腐蚀，防氧化。</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552575" cy="1057275"/>
                      <wp:effectExtent l="0" t="0" r="9525" b="9525"/>
                      <wp:docPr id="37"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4" descr="IMG_289"/>
                              <pic:cNvPicPr>
                                <a:picLocks noChangeAspect="1"/>
                              </pic:cNvPicPr>
                              <pic:nvPr/>
                            </pic:nvPicPr>
                            <pic:blipFill>
                              <a:blip r:embed="rId22"/>
                              <a:stretch/>
                            </pic:blipFill>
                            <pic:spPr bwMode="auto">
                              <a:xfrm>
                                <a:off x="0" y="0"/>
                                <a:ext cx="1552575" cy="1057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22.2pt;height:83.2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2020*800*780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1.面料：人造皮革，厚度≥1.0mm，色牢度好，防水性强，通过拉力、弹力、耐挠、脱色、耐摩擦测试。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2.海绵：高密度高回弹发泡成型海绵，软硬适中，不易变形，达到国家阻燃B1级标准。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3.内架：四面抛光、烘干、除虫处理实木木架，锰钢蛇簧加平衡线处理。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4.底脚：钢制沙发脚，承重力强。  </w:t>
            </w:r>
            <w:r/>
          </w:p>
        </w:tc>
      </w:tr>
      <w:tr>
        <w:trPr>
          <w:trHeight w:val="165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81100" cy="695325"/>
                      <wp:effectExtent l="0" t="0" r="0" b="9525"/>
                      <wp:docPr id="38"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5" descr="IMG_290"/>
                              <pic:cNvPicPr>
                                <a:picLocks noChangeAspect="1"/>
                              </pic:cNvPicPr>
                              <pic:nvPr/>
                            </pic:nvPicPr>
                            <pic:blipFill>
                              <a:blip r:embed="rId34"/>
                              <a:stretch/>
                            </pic:blipFill>
                            <pic:spPr bwMode="auto">
                              <a:xfrm>
                                <a:off x="0" y="0"/>
                                <a:ext cx="1181099"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93.0pt;height:54.8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4.钢脚：采用35*15*1.2mm冷拉高频焊管数控折弯而成。</w:t>
            </w:r>
            <w:r/>
          </w:p>
        </w:tc>
      </w:tr>
      <w:tr>
        <w:trPr>
          <w:trHeight w:val="6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区域八</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714500" cy="933450"/>
                      <wp:effectExtent l="0" t="0" r="0" b="0"/>
                      <wp:docPr id="39"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6" descr="IMG_291"/>
                              <pic:cNvPicPr>
                                <a:picLocks noChangeAspect="1"/>
                              </pic:cNvPicPr>
                              <pic:nvPr/>
                            </pic:nvPicPr>
                            <pic:blipFill>
                              <a:blip r:embed="rId36"/>
                              <a:stretch/>
                            </pic:blipFill>
                            <pic:spPr bwMode="auto">
                              <a:xfrm>
                                <a:off x="0" y="0"/>
                                <a:ext cx="1714500"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35.0pt;height:73.5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3600*1500*760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3.封边：台面板25mm厚，同色PVC封边条，厚度≥1.5mm，修边圆润光滑，长久使用不脱胶。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4.钢脚：采用55*15*1.2mm冷拉高频焊管数控折弯而成，集成上线功能，配多功能线盒两个。</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81050" cy="1085850"/>
                      <wp:effectExtent l="0" t="0" r="0" b="0"/>
                      <wp:docPr id="40"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7" descr="IMG_292"/>
                              <pic:cNvPicPr>
                                <a:picLocks noChangeAspect="1"/>
                              </pic:cNvPicPr>
                              <pic:nvPr/>
                            </pic:nvPicPr>
                            <pic:blipFill>
                              <a:blip r:embed="rId37"/>
                              <a:stretch/>
                            </pic:blipFill>
                            <pic:spPr bwMode="auto">
                              <a:xfrm>
                                <a:off x="0" y="0"/>
                                <a:ext cx="781050"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61.5pt;height:85.5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1.面料：人造皮革，厚度≥1.0mm，色牢度好，防水性强，通过拉力、弹力、耐挠、脱色、耐摩擦测试；椅背面料采用皮加网工艺处理。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2.海绵：高密度高回弹发泡成型海绵，软硬适中，不易变形，达到国家阻燃B1级标准。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3.椅架：黑色尼龙加玻纤背，黑色PP连体固定扶手，25管1.8厚电镀弓形架，性能稳定，耐腐蚀，防氧化。</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09650" cy="1066800"/>
                      <wp:effectExtent l="0" t="0" r="0" b="0"/>
                      <wp:docPr id="41"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8" descr="IMG_293"/>
                              <pic:cNvPicPr>
                                <a:picLocks noChangeAspect="1"/>
                              </pic:cNvPicPr>
                              <pic:nvPr/>
                            </pic:nvPicPr>
                            <pic:blipFill>
                              <a:blip r:embed="rId38"/>
                              <a:stretch/>
                            </pic:blipFill>
                            <pic:spPr bwMode="auto">
                              <a:xfrm>
                                <a:off x="0" y="0"/>
                                <a:ext cx="1009650"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9.5pt;height:84.0pt;mso-wrap-distance-left:0.0pt;mso-wrap-distance-top:0.0pt;mso-wrap-distance-right:0.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810*400*825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p>
        </w:tc>
      </w:tr>
      <w:tr>
        <w:trPr>
          <w:trHeight w:val="7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区域九</w:t>
            </w:r>
            <w:r/>
          </w:p>
        </w:tc>
      </w:tr>
      <w:tr>
        <w:trPr>
          <w:trHeight w:val="344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谈话桌</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38250" cy="1181100"/>
                      <wp:effectExtent l="0" t="0" r="0" b="0"/>
                      <wp:docPr id="42"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39" descr="IMG_294"/>
                              <pic:cNvPicPr>
                                <a:picLocks noChangeAspect="1"/>
                              </pic:cNvPicPr>
                              <pic:nvPr/>
                            </pic:nvPicPr>
                            <pic:blipFill>
                              <a:blip r:embed="rId39"/>
                              <a:stretch/>
                            </pic:blipFill>
                            <pic:spPr bwMode="auto">
                              <a:xfrm>
                                <a:off x="0" y="0"/>
                                <a:ext cx="1238250" cy="11810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97.5pt;height:93.0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1600*800*760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1.基材：国标E0级中纤板，甲醛释放量≤0.05mg/m³。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2.面材：AAA级0.6mm厚天然胡桃木木皮贴面，经防虫防腐处理，耐磨性好。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3.封边：与贴面用材种类相同的天然木质封边条，修边圆润光滑，长久使用不脱胶。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5.五金：缓冲铰链，阻尼导轨，开合顺畅，经久耐用不生锈。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6.面料：人造皮革，厚度≥1.0mm，色牢度好，防水性强，通过拉力、弹力、耐挠、脱色、耐摩擦测试。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7.海绵：高密度高回弹发泡成型海绵，软硬适中，不易变形，达到国家阻燃B1级标准。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8.说明：全包覆软包，无硬质外露、无棱角、无突出部件，所有边角做R≥30mm圆弧过渡，软包厚度≥50mm；预留嵌入式显示器孔位、电源线孔位等。</w:t>
            </w:r>
            <w:r/>
          </w:p>
        </w:tc>
      </w:tr>
      <w:tr>
        <w:trPr>
          <w:trHeight w:val="344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谈话桌</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419225" cy="1095375"/>
                      <wp:effectExtent l="0" t="0" r="9525" b="9525"/>
                      <wp:docPr id="43"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40" descr="IMG_295"/>
                              <pic:cNvPicPr>
                                <a:picLocks noChangeAspect="1"/>
                              </pic:cNvPicPr>
                              <pic:nvPr/>
                            </pic:nvPicPr>
                            <pic:blipFill>
                              <a:blip r:embed="rId40"/>
                              <a:stretch/>
                            </pic:blipFill>
                            <pic:spPr bwMode="auto">
                              <a:xfrm>
                                <a:off x="0" y="0"/>
                                <a:ext cx="1419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11.8pt;height:86.2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1200*400*760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1.基材：国标E0级中纤板，甲醛释放量≤0.05mg/m³。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2.面材：AAA级0.6mm厚天然胡桃木木皮贴面，经防虫防腐处理，耐磨性好。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3.封边：与贴面用材种类相同的天然木质封边条，修边圆润光滑，长久使用不脱胶。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5.五金：缓冲铰链，阻尼导轨，开合顺畅，经久耐用不生锈。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6.面料：人造皮革，厚度≥1.0mm，色牢度好，防水性强，通过拉力、弹力、耐挠、脱色、耐摩擦测试。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7.海绵：高密度高回弹发泡成型海绵，软硬适中，不易变形，达到国家阻燃B1级标准。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8.说明：全包覆软包，无硬质外露、无棱角、无突出部件，所有边角做R≥30mm圆弧过渡，软包厚度≥50mm；预留嵌入式显示器位、电源线孔位等。</w:t>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谈话椅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90575" cy="1019175"/>
                      <wp:effectExtent l="0" t="0" r="9525" b="9525"/>
                      <wp:docPr id="44"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1" descr="IMG_296"/>
                              <pic:cNvPicPr>
                                <a:picLocks noChangeAspect="1"/>
                              </pic:cNvPicPr>
                              <pic:nvPr/>
                            </pic:nvPicPr>
                            <pic:blipFill>
                              <a:blip r:embed="rId41"/>
                              <a:stretch/>
                            </pic:blipFill>
                            <pic:spPr bwMode="auto">
                              <a:xfrm>
                                <a:off x="0" y="0"/>
                                <a:ext cx="790575" cy="10191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62.2pt;height:80.2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1.面料：人造皮革，厚度≥1.0mm，色牢度好，防水性强，通过拉力、弹力、耐挠、脱色、耐摩擦测试。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2.海绵：高密度高回弹发泡成型海绵，软硬适中，不易变形，达到国家阻燃B1级标准。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3.木架：橡胶木实木框架，纹理清晰自然，产品稳定不变形。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5.说明：全包覆软包，无硬质外露、无棱角、无突出部件，所有边角做R≥30mm圆弧过渡，软包厚度≥50mm。                                                                </w:t>
            </w:r>
            <w:r/>
          </w:p>
        </w:tc>
      </w:tr>
      <w:tr>
        <w:trPr>
          <w:trHeight w:val="6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区域十</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组合工作位</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169545</wp:posOffset>
                      </wp:positionH>
                      <wp:positionV relativeFrom="paragraph">
                        <wp:posOffset>282575</wp:posOffset>
                      </wp:positionV>
                      <wp:extent cx="1443355" cy="1073785"/>
                      <wp:effectExtent l="0" t="0" r="4445" b="12065"/>
                      <wp:wrapNone/>
                      <wp:docPr id="45" name="图片_30"/>
                      <wp:cNvGraphicFramePr/>
                      <a:graphic xmlns:a="http://schemas.openxmlformats.org/drawingml/2006/main">
                        <a:graphicData uri="http://schemas.openxmlformats.org/drawingml/2006/picture">
                          <pic:pic xmlns:pic="http://schemas.openxmlformats.org/drawingml/2006/picture">
                            <pic:nvPicPr>
                              <pic:cNvPr id="62" name="图片_30"/>
                              <pic:cNvPicPr/>
                              <pic:nvPr/>
                            </pic:nvPicPr>
                            <pic:blipFill>
                              <a:blip r:embed="rId35"/>
                              <a:stretch/>
                            </pic:blipFill>
                            <pic:spPr bwMode="auto">
                              <a:xfrm>
                                <a:off x="0" y="0"/>
                                <a:ext cx="1443355" cy="1073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75648;o:allowoverlap:true;o:allowincell:true;mso-position-horizontal-relative:text;margin-left:13.3pt;mso-position-horizontal:absolute;mso-position-vertical-relative:text;margin-top:22.2pt;mso-position-vertical:absolute;width:113.6pt;height:84.5pt;mso-wrap-distance-left:9.0pt;mso-wrap-distance-top:0.0pt;mso-wrap-distance-right:9.0pt;mso-wrap-distance-bottom:0.0pt;" stroked="f">
                      <v:path textboxrect="0,0,0,0"/>
                      <v:imagedata r:id="rId3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1700*1380*1050</w:t>
            </w:r>
            <w:r/>
          </w:p>
        </w:tc>
        <w:tc>
          <w:tcPr>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988"/>
                <w:rFonts w:hint="eastAsia" w:ascii="宋体" w:hAnsi="宋体" w:eastAsia="宋体" w:cs="宋体"/>
                <w:sz w:val="18"/>
                <w:szCs w:val="18"/>
                <w:lang w:val="en-US" w:eastAsia="zh-CN" w:bidi="ar"/>
              </w:rPr>
              <w:t xml:space="preserve">1.基材：国标E0级刨花板，甲醛释放量≤0.05mg/m³。</w:t>
            </w:r>
            <w:r>
              <w:rPr>
                <w:rStyle w:val="988"/>
                <w:rFonts w:hint="eastAsia" w:ascii="宋体" w:hAnsi="宋体" w:eastAsia="宋体" w:cs="宋体"/>
                <w:sz w:val="18"/>
                <w:szCs w:val="18"/>
                <w:lang w:val="en-US" w:eastAsia="zh-CN" w:bidi="ar"/>
              </w:rPr>
              <w:br/>
            </w:r>
            <w:r>
              <w:rPr>
                <w:rStyle w:val="988"/>
                <w:rFonts w:hint="eastAsia" w:ascii="宋体" w:hAnsi="宋体" w:eastAsia="宋体" w:cs="宋体"/>
                <w:sz w:val="18"/>
                <w:szCs w:val="18"/>
                <w:lang w:val="en-US" w:eastAsia="zh-CN" w:bidi="ar"/>
              </w:rPr>
              <w:t xml:space="preserve">2.面材：耐磨三聚氰胺浸渍饰面，纹理清晰，色泽自然。</w:t>
            </w:r>
            <w:r>
              <w:rPr>
                <w:rStyle w:val="988"/>
                <w:rFonts w:hint="eastAsia" w:ascii="宋体" w:hAnsi="宋体" w:eastAsia="宋体" w:cs="宋体"/>
                <w:sz w:val="18"/>
                <w:szCs w:val="18"/>
                <w:lang w:val="en-US" w:eastAsia="zh-CN" w:bidi="ar"/>
              </w:rPr>
              <w:br/>
            </w:r>
            <w:r>
              <w:rPr>
                <w:rStyle w:val="988"/>
                <w:rFonts w:hint="eastAsia" w:ascii="宋体" w:hAnsi="宋体" w:eastAsia="宋体" w:cs="宋体"/>
                <w:sz w:val="18"/>
                <w:szCs w:val="18"/>
                <w:lang w:val="en-US" w:eastAsia="zh-CN" w:bidi="ar"/>
              </w:rPr>
              <w:t xml:space="preserve">3.封边：同色PVC封边条，厚度≥1.5mm，修边圆润光滑，长久使用不脱胶</w:t>
            </w:r>
            <w:r>
              <w:rPr>
                <w:rStyle w:val="988"/>
                <w:rFonts w:hint="eastAsia" w:ascii="宋体" w:hAnsi="宋体" w:cs="宋体"/>
                <w:sz w:val="18"/>
                <w:szCs w:val="18"/>
                <w:lang w:val="en-US" w:eastAsia="zh-CN" w:bidi="ar"/>
              </w:rPr>
              <w:t xml:space="preserve">。</w:t>
            </w:r>
            <w:r>
              <w:rPr>
                <w:rStyle w:val="988"/>
                <w:rFonts w:hint="eastAsia" w:ascii="宋体" w:hAnsi="宋体" w:eastAsia="宋体" w:cs="宋体"/>
                <w:b w:val="0"/>
                <w:bCs w:val="0"/>
                <w:sz w:val="18"/>
                <w:szCs w:val="18"/>
                <w:lang w:val="en-US" w:eastAsia="zh-CN" w:bidi="ar"/>
              </w:rPr>
              <w:br/>
            </w:r>
            <w:r>
              <w:rPr>
                <w:rStyle w:val="988"/>
                <w:rFonts w:hint="eastAsia" w:ascii="宋体" w:hAnsi="宋体" w:eastAsia="宋体" w:cs="宋体"/>
                <w:sz w:val="18"/>
                <w:szCs w:val="18"/>
                <w:lang w:val="en-US" w:eastAsia="zh-CN" w:bidi="ar"/>
              </w:rPr>
              <w:t xml:space="preserve">4.五金：缓冲铰链，阻尼导轨，三位密码正面锁，开合顺畅，经久耐用不生锈。</w:t>
            </w:r>
            <w:r>
              <w:rPr>
                <w:rStyle w:val="988"/>
                <w:rFonts w:hint="eastAsia" w:ascii="宋体" w:hAnsi="宋体" w:eastAsia="宋体" w:cs="宋体"/>
                <w:sz w:val="18"/>
                <w:szCs w:val="18"/>
                <w:lang w:val="en-US" w:eastAsia="zh-CN" w:bidi="ar"/>
              </w:rPr>
              <w:br/>
            </w:r>
            <w:r>
              <w:rPr>
                <w:rStyle w:val="988"/>
                <w:rFonts w:hint="eastAsia" w:ascii="宋体" w:hAnsi="宋体" w:eastAsia="宋体" w:cs="宋体"/>
                <w:sz w:val="18"/>
                <w:szCs w:val="18"/>
                <w:lang w:val="en-US" w:eastAsia="zh-CN" w:bidi="ar"/>
              </w:rPr>
              <w:t xml:space="preserve">5.走线：预留走线孔，每个工位配3个3+2面板。</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57225" cy="1181100"/>
                      <wp:effectExtent l="0" t="0" r="9525" b="0"/>
                      <wp:docPr id="46"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42" descr="IMG_297"/>
                              <pic:cNvPicPr>
                                <a:picLocks noChangeAspect="1"/>
                              </pic:cNvPicPr>
                              <pic:nvPr/>
                            </pic:nvPicPr>
                            <pic:blipFill>
                              <a:blip r:embed="rId19"/>
                              <a:stretch/>
                            </pic:blipFill>
                            <pic:spPr bwMode="auto">
                              <a:xfrm>
                                <a:off x="0" y="0"/>
                                <a:ext cx="657225" cy="11810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1.8pt;height:93.0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810*400*1939</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5.玻璃门：采用汽车玻璃钢化工艺，四边丝印处理。</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923925" cy="971550"/>
                      <wp:effectExtent l="0" t="0" r="9525" b="0"/>
                      <wp:docPr id="47"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43" descr="IMG_298"/>
                              <pic:cNvPicPr>
                                <a:picLocks noChangeAspect="1"/>
                              </pic:cNvPicPr>
                              <pic:nvPr/>
                            </pic:nvPicPr>
                            <pic:blipFill>
                              <a:blip r:embed="rId24"/>
                              <a:stretch/>
                            </pic:blipFill>
                            <pic:spPr bwMode="auto">
                              <a:xfrm>
                                <a:off x="0" y="0"/>
                                <a:ext cx="923925"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2.8pt;height:76.5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810*400*825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09650" cy="1000125"/>
                      <wp:effectExtent l="0" t="0" r="0" b="9525"/>
                      <wp:docPr id="48"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44" descr="IMG_299"/>
                              <pic:cNvPicPr>
                                <a:picLocks noChangeAspect="1"/>
                              </pic:cNvPicPr>
                              <pic:nvPr/>
                            </pic:nvPicPr>
                            <pic:blipFill>
                              <a:blip r:embed="rId21"/>
                              <a:stretch/>
                            </pic:blipFill>
                            <pic:spPr bwMode="auto">
                              <a:xfrm>
                                <a:off x="0" y="0"/>
                                <a:ext cx="100965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9.5pt;height:78.8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1.椅背：pp+30%玻纤背框，贴合腰部支撑，久坐不累，搭配环保透气网。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2.椅座：12mm座板+定型海绵+弹力布座布，软硬适中，平服饱满，不易松垮。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3.扶手：PP加纤固定扶手，舒适亲肤。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4.椅脚：∮25管1.8厚黑色烤漆弓形架，性能稳定，耐腐蚀，防氧化。</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552575" cy="1057275"/>
                      <wp:effectExtent l="0" t="0" r="9525" b="9525"/>
                      <wp:docPr id="49"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45" descr="IMG_300"/>
                              <pic:cNvPicPr>
                                <a:picLocks noChangeAspect="1"/>
                              </pic:cNvPicPr>
                              <pic:nvPr/>
                            </pic:nvPicPr>
                            <pic:blipFill>
                              <a:blip r:embed="rId22"/>
                              <a:stretch/>
                            </pic:blipFill>
                            <pic:spPr bwMode="auto">
                              <a:xfrm>
                                <a:off x="0" y="0"/>
                                <a:ext cx="1552575" cy="1057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22.2pt;height:83.2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2020*800*780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1.面料：人造皮革，厚度≥1.0mm，色牢度好，防水性强，通过拉力、弹力、耐挠、脱色、耐摩擦测试。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2.海绵：高密度高回弹发泡成型海绵，软硬适中，不易变形，达到国家阻燃B1级标准。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3.内架：四面抛光、烘干、除虫处理实木木架，锰钢蛇簧加平衡线处理。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4.底脚：钢制沙发脚，承重力强。  </w:t>
            </w:r>
            <w:r/>
          </w:p>
        </w:tc>
      </w:tr>
      <w:tr>
        <w:trPr>
          <w:trHeight w:val="165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81100" cy="695325"/>
                      <wp:effectExtent l="0" t="0" r="0" b="9525"/>
                      <wp:docPr id="50"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46" descr="IMG_301"/>
                              <pic:cNvPicPr>
                                <a:picLocks noChangeAspect="1"/>
                              </pic:cNvPicPr>
                              <pic:nvPr/>
                            </pic:nvPicPr>
                            <pic:blipFill>
                              <a:blip r:embed="rId34"/>
                              <a:stretch/>
                            </pic:blipFill>
                            <pic:spPr bwMode="auto">
                              <a:xfrm>
                                <a:off x="0" y="0"/>
                                <a:ext cx="1181099"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93.0pt;height:54.8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4.钢脚采用35*15*1.2mm冷拉高频焊管数控折弯而成。</w:t>
            </w:r>
            <w:r/>
          </w:p>
        </w:tc>
      </w:tr>
      <w:tr>
        <w:trPr>
          <w:trHeight w:val="6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区域十一</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床</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685925" cy="1000125"/>
                      <wp:effectExtent l="0" t="0" r="9525" b="9525"/>
                      <wp:docPr id="51"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47" descr="IMG_302"/>
                              <pic:cNvPicPr>
                                <a:picLocks noChangeAspect="1"/>
                              </pic:cNvPicPr>
                              <pic:nvPr/>
                            </pic:nvPicPr>
                            <pic:blipFill>
                              <a:blip r:embed="rId27"/>
                              <a:stretch/>
                            </pic:blipFill>
                            <pic:spPr bwMode="auto">
                              <a:xfrm>
                                <a:off x="0" y="0"/>
                                <a:ext cx="1685925"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32.8pt;height:78.8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1500*2000*1100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3.封边：床屏25mm厚，其他15mm厚，同色PVC封边条，厚度≥1.5mm，修边圆润光滑，长久使用不脱胶。</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1500*2000*200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一、床垫正面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1.抗菌防螨阻燃针织面料；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2.三维无胶棉；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3.高回弹超软海绵；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4.无纺布；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二、弹簧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5.静音独袋弹簧；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三、床垫反面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6.高密度纤维毡；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7.无纺布；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8.圆泡海绵；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9.三维无胶棉；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10.抗菌防螨阻燃针织面料。</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90575" cy="1143000"/>
                      <wp:effectExtent l="0" t="0" r="9525" b="0"/>
                      <wp:docPr id="52"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48" descr="IMG_303"/>
                              <pic:cNvPicPr>
                                <a:picLocks noChangeAspect="1"/>
                              </pic:cNvPicPr>
                              <pic:nvPr/>
                            </pic:nvPicPr>
                            <pic:blipFill>
                              <a:blip r:embed="rId28"/>
                              <a:stretch/>
                            </pic:blipFill>
                            <pic:spPr bwMode="auto">
                              <a:xfrm>
                                <a:off x="0" y="0"/>
                                <a:ext cx="790575" cy="1143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62.2pt;height:90.0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500*400*510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4.五金：缓冲铰链，阻尼导轨，开合顺畅，经久耐用不生锈。</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14350" cy="1257300"/>
                      <wp:effectExtent l="0" t="0" r="0" b="0"/>
                      <wp:docPr id="53"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49" descr="IMG_304"/>
                              <pic:cNvPicPr>
                                <a:picLocks noChangeAspect="1"/>
                              </pic:cNvPicPr>
                              <pic:nvPr/>
                            </pic:nvPicPr>
                            <pic:blipFill>
                              <a:blip r:embed="rId29"/>
                              <a:stretch/>
                            </pic:blipFill>
                            <pic:spPr bwMode="auto">
                              <a:xfrm>
                                <a:off x="0" y="0"/>
                                <a:ext cx="514350" cy="1257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0.5pt;height:99.0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800*600*2000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4.五金：缓冲铰链，开合顺畅，经久耐用不生锈。</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76350" cy="933450"/>
                      <wp:effectExtent l="0" t="0" r="0" b="0"/>
                      <wp:docPr id="54"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50" descr="IMG_305"/>
                              <pic:cNvPicPr>
                                <a:picLocks noChangeAspect="1"/>
                              </pic:cNvPicPr>
                              <pic:nvPr/>
                            </pic:nvPicPr>
                            <pic:blipFill>
                              <a:blip r:embed="rId30"/>
                              <a:stretch/>
                            </pic:blipFill>
                            <pic:spPr bwMode="auto">
                              <a:xfrm>
                                <a:off x="0" y="0"/>
                                <a:ext cx="1276350"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100.5pt;height:73.5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4.台脚：35mm厚，采用铝包边设计，安全防撞耐腐蚀。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5.五金：缓冲铰链，阻尼导轨，三位密码正面锁，开合顺畅，经久耐用不生锈。</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533525" cy="866775"/>
                      <wp:effectExtent l="0" t="0" r="9525" b="9525"/>
                      <wp:docPr id="55"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51" descr="IMG_306"/>
                              <pic:cNvPicPr>
                                <a:picLocks noChangeAspect="1"/>
                              </pic:cNvPicPr>
                              <pic:nvPr/>
                            </pic:nvPicPr>
                            <pic:blipFill>
                              <a:blip r:embed="rId23"/>
                              <a:stretch/>
                            </pic:blipFill>
                            <pic:spPr bwMode="auto">
                              <a:xfrm>
                                <a:off x="0" y="0"/>
                                <a:ext cx="1533525"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20.8pt;height:68.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1600*1600*750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4.五金：缓冲铰链，阻尼导轨，三位密码正面锁，开合顺畅，经久耐用不生锈。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5.走线：预留走线孔，每个工位配3个3+2面板。</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09650" cy="1000125"/>
                      <wp:effectExtent l="0" t="0" r="0" b="9525"/>
                      <wp:docPr id="56"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52" descr="IMG_307"/>
                              <pic:cNvPicPr>
                                <a:picLocks noChangeAspect="1"/>
                              </pic:cNvPicPr>
                              <pic:nvPr/>
                            </pic:nvPicPr>
                            <pic:blipFill>
                              <a:blip r:embed="rId21"/>
                              <a:stretch/>
                            </pic:blipFill>
                            <pic:spPr bwMode="auto">
                              <a:xfrm>
                                <a:off x="0" y="0"/>
                                <a:ext cx="100965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9.5pt;height:78.8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1.椅背：pp+30%玻纤背框，贴合腰部支撑，久坐不累，搭配环保透气网。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2.椅座：12mm座板+定型海绵+弹力布座布，软硬适中，平服饱满，不易松垮。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3.扶手：PP加纤固定扶手，舒适亲肤。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4.椅脚：∮25管1.8厚黑色烤漆弓形架，性能稳定，耐腐蚀，防氧化。</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923925" cy="971550"/>
                      <wp:effectExtent l="0" t="0" r="9525" b="0"/>
                      <wp:docPr id="57"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53" descr="IMG_308"/>
                              <pic:cNvPicPr>
                                <a:picLocks noChangeAspect="1"/>
                              </pic:cNvPicPr>
                              <pic:nvPr/>
                            </pic:nvPicPr>
                            <pic:blipFill>
                              <a:blip r:embed="rId24"/>
                              <a:stretch/>
                            </pic:blipFill>
                            <pic:spPr bwMode="auto">
                              <a:xfrm>
                                <a:off x="0" y="0"/>
                                <a:ext cx="923925"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2.8pt;height:76.5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810*400*825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p>
        </w:tc>
      </w:tr>
      <w:tr>
        <w:trPr>
          <w:trHeight w:val="6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区域十二</w:t>
            </w:r>
            <w:r/>
          </w:p>
        </w:tc>
      </w:tr>
      <w:tr>
        <w:trPr>
          <w:trHeight w:val="165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638300" cy="942975"/>
                      <wp:effectExtent l="0" t="0" r="0" b="9525"/>
                      <wp:docPr id="58"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54" descr="IMG_309"/>
                              <pic:cNvPicPr>
                                <a:picLocks noChangeAspect="1"/>
                              </pic:cNvPicPr>
                              <pic:nvPr/>
                            </pic:nvPicPr>
                            <pic:blipFill>
                              <a:blip r:embed="rId42"/>
                              <a:stretch/>
                            </pic:blipFill>
                            <pic:spPr bwMode="auto">
                              <a:xfrm>
                                <a:off x="0" y="0"/>
                                <a:ext cx="1638300"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29.0pt;height:74.2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5000*1800*760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3.封边：主台面板为50mm厚，同色PVC封边条，厚度≥1.5mm，修边圆润光滑，长久使用不脱胶。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4..台脚采用铝合金装饰条，底部拉丝不锈钢板。</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809625" cy="914400"/>
                      <wp:effectExtent l="0" t="0" r="9525" b="0"/>
                      <wp:docPr id="59"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55" descr="IMG_310"/>
                              <pic:cNvPicPr>
                                <a:picLocks noChangeAspect="1"/>
                              </pic:cNvPicPr>
                              <pic:nvPr/>
                            </pic:nvPicPr>
                            <pic:blipFill>
                              <a:blip r:embed="rId43"/>
                              <a:stretch/>
                            </pic:blipFill>
                            <pic:spPr bwMode="auto">
                              <a:xfrm>
                                <a:off x="0" y="0"/>
                                <a:ext cx="8096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63.8pt;height:72.0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1.面料：人造皮革，厚度≥1.0mm，色牢度好，防水性强，通过拉力、弹力、耐挠、脱色、耐摩擦测试。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2.海绵：高密度高回弹发泡成型海绵，软硬适中，不易变形，达到国家阻燃B1级标准。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3.椅架：扪皮扶手，2.0厚电镀弓形架，弯位加套管，性能稳定，耐腐蚀，防氧化。</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923925" cy="971550"/>
                      <wp:effectExtent l="0" t="0" r="9525" b="0"/>
                      <wp:docPr id="60"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56" descr="IMG_311"/>
                              <pic:cNvPicPr>
                                <a:picLocks noChangeAspect="1"/>
                              </pic:cNvPicPr>
                              <pic:nvPr/>
                            </pic:nvPicPr>
                            <pic:blipFill>
                              <a:blip r:embed="rId24"/>
                              <a:stretch/>
                            </pic:blipFill>
                            <pic:spPr bwMode="auto">
                              <a:xfrm>
                                <a:off x="0" y="0"/>
                                <a:ext cx="923925"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2.8pt;height:76.5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810*400*825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p>
        </w:tc>
      </w:tr>
      <w:tr>
        <w:trPr>
          <w:trHeight w:val="6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区域十三</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接待沙发</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685925" cy="695325"/>
                      <wp:effectExtent l="0" t="0" r="9525" b="9525"/>
                      <wp:docPr id="61"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57" descr="IMG_312"/>
                              <pic:cNvPicPr>
                                <a:picLocks noChangeAspect="1"/>
                              </pic:cNvPicPr>
                              <pic:nvPr/>
                            </pic:nvPicPr>
                            <pic:blipFill>
                              <a:blip r:embed="rId44"/>
                              <a:stretch/>
                            </pic:blipFill>
                            <pic:spPr bwMode="auto">
                              <a:xfrm>
                                <a:off x="0" y="0"/>
                                <a:ext cx="1685925"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32.8pt;height:54.8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1080*830*875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1.面料：人造皮革，厚度≥1.0mm，色牢度好，防水性强，通过拉力、弹力、耐挠、脱色、耐摩擦测试。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2.海绵：高密度高回弹发泡成型海绵，软硬适中，不易变形，达到国家阻燃B1级标准。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3.内架：四面抛光、烘干、除虫处理实木木架，锰钢蛇簧加平衡线处理。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4.夹板：环保曲木板，甲醛释放量≤0.05mg/m³。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5.外框架：两侧三聚氰胺饰面板装饰，钢制沙发脚，经酸洗、磷化、除锈后静电喷塑等工艺处理，美观稳固。</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600*600*480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524000" cy="1095375"/>
                      <wp:effectExtent l="0" t="0" r="0" b="9525"/>
                      <wp:docPr id="62"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58" descr="IMG_313"/>
                              <pic:cNvPicPr>
                                <a:picLocks noChangeAspect="1"/>
                              </pic:cNvPicPr>
                              <pic:nvPr/>
                            </pic:nvPicPr>
                            <pic:blipFill>
                              <a:blip r:embed="rId45"/>
                              <a:stretch/>
                            </pic:blipFill>
                            <pic:spPr bwMode="auto">
                              <a:xfrm>
                                <a:off x="0" y="0"/>
                                <a:ext cx="1524000"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20.0pt;height:86.2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1200*400*860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p>
        </w:tc>
      </w:tr>
      <w:tr>
        <w:trPr>
          <w:trHeight w:val="6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区域十四</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628775" cy="904875"/>
                      <wp:effectExtent l="0" t="0" r="9525" b="9525"/>
                      <wp:docPr id="63"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59" descr="IMG_314"/>
                              <pic:cNvPicPr>
                                <a:picLocks noChangeAspect="1"/>
                              </pic:cNvPicPr>
                              <pic:nvPr/>
                            </pic:nvPicPr>
                            <pic:blipFill>
                              <a:blip r:embed="rId46"/>
                              <a:stretch/>
                            </pic:blipFill>
                            <pic:spPr bwMode="auto">
                              <a:xfrm>
                                <a:off x="0" y="0"/>
                                <a:ext cx="16287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128.2pt;height:71.2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4800*1800*760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1.基材：国标E0级中纤板，甲醛释放量≤0.05mg/m³。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2.面材：AAA级0.6mm厚天然胡桃木木皮贴面，经防虫防腐处理，耐磨性好。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3.封边：与贴面用材种类相同的天然木质封边条，修边圆润光滑，长久使用不脱胶。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5.走线：配多媒体线盒。</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809625" cy="914400"/>
                      <wp:effectExtent l="0" t="0" r="9525" b="0"/>
                      <wp:docPr id="64"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60" descr="IMG_315"/>
                              <pic:cNvPicPr>
                                <a:picLocks noChangeAspect="1"/>
                              </pic:cNvPicPr>
                              <pic:nvPr/>
                            </pic:nvPicPr>
                            <pic:blipFill>
                              <a:blip r:embed="rId43"/>
                              <a:stretch/>
                            </pic:blipFill>
                            <pic:spPr bwMode="auto">
                              <a:xfrm>
                                <a:off x="0" y="0"/>
                                <a:ext cx="8096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63.8pt;height:72.0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1.面料：人造皮革，厚度≥1.0mm，色牢度好，防水性强，通过拉力、弹力、耐挠、脱色、耐摩擦测试。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2.海绵：高密度高回弹发泡成型海绵，软硬适中，不易变形，达到国家阻燃B1级标准。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3.椅架：扪皮扶手，2.0厚电镀弓形架，弯位加套管，性能稳定，耐腐蚀，防氧化。</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990600" cy="762000"/>
                      <wp:effectExtent l="0" t="0" r="0" b="0"/>
                      <wp:docPr id="65"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61" descr="IMG_316"/>
                              <pic:cNvPicPr>
                                <a:picLocks noChangeAspect="1"/>
                              </pic:cNvPicPr>
                              <pic:nvPr/>
                            </pic:nvPicPr>
                            <pic:blipFill>
                              <a:blip r:embed="rId47"/>
                              <a:stretch/>
                            </pic:blipFill>
                            <pic:spPr bwMode="auto">
                              <a:xfrm>
                                <a:off x="0" y="0"/>
                                <a:ext cx="990600"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8.0pt;height:60.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1200*400*800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1.基材：国标E0级中纤板，甲醛释放量≤0.05mg/m³。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2.面材：AAA级0.6mm厚天然胡桃木木皮贴面，经防虫防腐处理，耐磨性好。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3.封边：与贴面用材种类相同的天然木质封边条，修边圆润光滑，长久使用不脱胶。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5.五金：缓冲铰链，阻尼导轨，开合顺畅，经久耐用不生锈。</w:t>
            </w:r>
            <w:r/>
          </w:p>
        </w:tc>
      </w:tr>
      <w:tr>
        <w:trPr>
          <w:trHeight w:val="6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区域十五</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接待沙发</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628775" cy="790575"/>
                      <wp:effectExtent l="0" t="0" r="9525" b="9525"/>
                      <wp:docPr id="66"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62" descr="IMG_317"/>
                              <pic:cNvPicPr>
                                <a:picLocks noChangeAspect="1"/>
                              </pic:cNvPicPr>
                              <pic:nvPr/>
                            </pic:nvPicPr>
                            <pic:blipFill>
                              <a:blip r:embed="rId48"/>
                              <a:stretch/>
                            </pic:blipFill>
                            <pic:spPr bwMode="auto">
                              <a:xfrm>
                                <a:off x="0" y="0"/>
                                <a:ext cx="1628775" cy="790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28.2pt;height:62.2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1090*910*930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1.面料：绒布包覆，平服饱满，松紧均匀，舒适柔软，透气性强。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2.海绵：高密度高回弹发泡成型海绵，软硬适中，不易变形，达到国家阻燃B1级标准。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3.内架：四面抛光、烘干、除虫处理实木木架，锰钢蛇簧加平衡线处理。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4.夹板：环保曲木板，甲醛释放量≤0.05mg/m³。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5.外框架：橡胶木实木框架，净味环保木器漆涂装。</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847725" cy="742950"/>
                      <wp:effectExtent l="0" t="0" r="9525" b="0"/>
                      <wp:docPr id="67"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63" descr="IMG_318"/>
                              <pic:cNvPicPr>
                                <a:picLocks noChangeAspect="1"/>
                              </pic:cNvPicPr>
                              <pic:nvPr/>
                            </pic:nvPicPr>
                            <pic:blipFill>
                              <a:blip r:embed="rId49"/>
                              <a:stretch/>
                            </pic:blipFill>
                            <pic:spPr bwMode="auto">
                              <a:xfrm>
                                <a:off x="0" y="0"/>
                                <a:ext cx="847725"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66.8pt;height:58.5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675*475*550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1.基材：国标E0级中纤板，甲醛释放量≤0.05mg/m³。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2.面材：AAA级0.6mm厚天然胡桃木木皮贴面，经防虫防腐处理，耐磨性好。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3.封边：与贴面用材种类相同的天然木质封边条，修边圆润光滑，长久使用不脱胶。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85850" cy="952500"/>
                      <wp:effectExtent l="0" t="0" r="0" b="0"/>
                      <wp:docPr id="68"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64" descr="IMG_319"/>
                              <pic:cNvPicPr>
                                <a:picLocks noChangeAspect="1"/>
                              </pic:cNvPicPr>
                              <pic:nvPr/>
                            </pic:nvPicPr>
                            <pic:blipFill>
                              <a:blip r:embed="rId50"/>
                              <a:stretch/>
                            </pic:blipFill>
                            <pic:spPr bwMode="auto">
                              <a:xfrm>
                                <a:off x="0" y="0"/>
                                <a:ext cx="108585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85.5pt;height:75.0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1200*400*860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1.基材：国标E0级中纤板，甲醛释放量≤0.05mg/m³。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2.面材：AAA级0.6mm厚天然胡桃木木皮贴面，经防虫防腐处理，耐磨性好。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3.封边：与贴面用材种类相同的天然木质封边条，修边圆润光滑，长久使用不脱胶。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5.五金：缓冲铰链，阻尼导轨，开合顺畅，经久耐用不生锈。</w:t>
            </w:r>
            <w:r/>
          </w:p>
        </w:tc>
      </w:tr>
      <w:tr>
        <w:trPr>
          <w:trHeight w:val="6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区域十六</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724025" cy="971550"/>
                      <wp:effectExtent l="0" t="0" r="9525" b="0"/>
                      <wp:docPr id="69" name="图片 8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IMG_320"/>
                              <pic:cNvPicPr>
                                <a:picLocks noChangeAspect="1"/>
                              </pic:cNvPicPr>
                              <pic:nvPr/>
                            </pic:nvPicPr>
                            <pic:blipFill>
                              <a:blip r:embed="rId51"/>
                              <a:stretch/>
                            </pic:blipFill>
                            <pic:spPr bwMode="auto">
                              <a:xfrm>
                                <a:off x="0" y="0"/>
                                <a:ext cx="1724025"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35.8pt;height:76.5pt;mso-wrap-distance-left:0.0pt;mso-wrap-distance-top:0.0pt;mso-wrap-distance-right:0.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8000*2300*760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1.基材：国标E0级中纤板，甲醛释放量≤0.05mg/m³。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2.面材：AAA级0.6mm厚天然胡桃木木皮贴面，经防虫防腐处理，耐磨性好。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3.封边：与贴面用材种类相同的天然木质封边条，修边圆润光滑，长久使用不脱胶。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会议条桌</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19200" cy="876300"/>
                      <wp:effectExtent l="0" t="0" r="0" b="0"/>
                      <wp:docPr id="70"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66" descr="IMG_321"/>
                              <pic:cNvPicPr>
                                <a:picLocks noChangeAspect="1"/>
                              </pic:cNvPicPr>
                              <pic:nvPr/>
                            </pic:nvPicPr>
                            <pic:blipFill>
                              <a:blip r:embed="rId52"/>
                              <a:stretch/>
                            </pic:blipFill>
                            <pic:spPr bwMode="auto">
                              <a:xfrm>
                                <a:off x="0" y="0"/>
                                <a:ext cx="121920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96.0pt;height:69.0pt;mso-wrap-distance-left:0.0pt;mso-wrap-distance-top:0.0pt;mso-wrap-distance-right:0.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1400*400*760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1.基材：国标E0级中纤板，甲醛释放量≤0.05mg/m³。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2.面材：AAA级0.6mm厚天然胡桃木木皮贴面，经防虫防腐处理，耐磨性好。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3.封边：与贴面用材种类相同的天然木质封边条，修边圆润光滑，长久使用不脱胶。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23900" cy="971550"/>
                      <wp:effectExtent l="0" t="0" r="0" b="0"/>
                      <wp:docPr id="71"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67" descr="IMG_322"/>
                              <pic:cNvPicPr>
                                <a:picLocks noChangeAspect="1"/>
                              </pic:cNvPicPr>
                              <pic:nvPr/>
                            </pic:nvPicPr>
                            <pic:blipFill>
                              <a:blip r:embed="rId53"/>
                              <a:stretch/>
                            </pic:blipFill>
                            <pic:spPr bwMode="auto">
                              <a:xfrm>
                                <a:off x="0" y="0"/>
                                <a:ext cx="723900"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7.0pt;height:76.5pt;mso-wrap-distance-left:0.0pt;mso-wrap-distance-top:0.0pt;mso-wrap-distance-right:0.0pt;mso-wrap-distance-bottom:0.0pt;" stroked="f" strokeweight="0.75pt">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1.面料：人造皮革，厚度≥1.0mm，色牢度好，防水性强，通过拉力、弹力、耐挠、脱色、耐摩擦测试。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2.海绵：高密度高回弹发泡成型海绵，软硬适中，不易变形，达到国家阻燃B1级标准。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3.木架：扶手弯曲木，其余橡胶木实木，纹理清晰自然，产品稳定不变形。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w:t>
            </w:r>
            <w:r/>
          </w:p>
        </w:tc>
      </w:tr>
      <w:tr>
        <w:trPr>
          <w:trHeight w:val="256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66750" cy="914400"/>
                      <wp:effectExtent l="0" t="0" r="0" b="0"/>
                      <wp:docPr id="72" name="图片 6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68" descr="IMG_323"/>
                              <pic:cNvPicPr>
                                <a:picLocks noChangeAspect="1"/>
                              </pic:cNvPicPr>
                              <pic:nvPr/>
                            </pic:nvPicPr>
                            <pic:blipFill>
                              <a:blip r:embed="rId54"/>
                              <a:stretch/>
                            </pic:blipFill>
                            <pic:spPr bwMode="auto">
                              <a:xfrm>
                                <a:off x="0" y="0"/>
                                <a:ext cx="666750"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2.5pt;height:72.0pt;mso-wrap-distance-left:0.0pt;mso-wrap-distance-top:0.0pt;mso-wrap-distance-right:0.0pt;mso-wrap-distance-bottom:0.0pt;" stroked="f" strokeweight="0.75pt">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1.面料：人造皮革，厚度≥1.0mm，色牢度好，防水性强，通过拉力、弹力、耐挠、脱色、耐摩擦测试。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2.海绵：高密度高回弹发泡成型海绵，软硬适中，不易变形，达到国家阻燃B1级标准。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3.木架：橡胶木实木，纹理清晰自然，产品稳定不变形。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85850" cy="952500"/>
                      <wp:effectExtent l="0" t="0" r="0" b="0"/>
                      <wp:docPr id="73"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69" descr="IMG_324"/>
                              <pic:cNvPicPr>
                                <a:picLocks noChangeAspect="1"/>
                              </pic:cNvPicPr>
                              <pic:nvPr/>
                            </pic:nvPicPr>
                            <pic:blipFill>
                              <a:blip r:embed="rId50"/>
                              <a:stretch/>
                            </pic:blipFill>
                            <pic:spPr bwMode="auto">
                              <a:xfrm>
                                <a:off x="0" y="0"/>
                                <a:ext cx="108585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85.5pt;height:75.0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1200*400*860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1.基材：国标E0级中纤板，甲醛释放量≤0.05mg/m³。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2.面材：AAA级0.6mm厚天然胡桃木木皮贴面，经防虫防腐处理，耐磨性好。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3.封边：与贴面用材种类相同的天然木质封边条，修边圆润光滑，长久使用不脱胶。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5.五金：缓冲铰链，阻尼导轨，开合顺畅，经久耐用不生锈。</w:t>
            </w:r>
            <w:r/>
          </w:p>
        </w:tc>
      </w:tr>
      <w:tr>
        <w:trPr>
          <w:trHeight w:val="6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区域十七</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组合工作位</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319405</wp:posOffset>
                      </wp:positionH>
                      <wp:positionV relativeFrom="paragraph">
                        <wp:posOffset>323850</wp:posOffset>
                      </wp:positionV>
                      <wp:extent cx="1443355" cy="1073785"/>
                      <wp:effectExtent l="0" t="0" r="4445" b="12065"/>
                      <wp:wrapNone/>
                      <wp:docPr id="74" name="图片_33"/>
                      <wp:cNvGraphicFramePr/>
                      <a:graphic xmlns:a="http://schemas.openxmlformats.org/drawingml/2006/main">
                        <a:graphicData uri="http://schemas.openxmlformats.org/drawingml/2006/picture">
                          <pic:pic xmlns:pic="http://schemas.openxmlformats.org/drawingml/2006/picture">
                            <pic:nvPicPr>
                              <pic:cNvPr id="90" name="图片_33"/>
                              <pic:cNvPicPr/>
                              <pic:nvPr/>
                            </pic:nvPicPr>
                            <pic:blipFill>
                              <a:blip r:embed="rId35"/>
                              <a:stretch/>
                            </pic:blipFill>
                            <pic:spPr bwMode="auto">
                              <a:xfrm>
                                <a:off x="0" y="0"/>
                                <a:ext cx="1443355" cy="1073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75648;o:allowoverlap:true;o:allowincell:true;mso-position-horizontal-relative:text;margin-left:25.1pt;mso-position-horizontal:absolute;mso-position-vertical-relative:text;margin-top:25.5pt;mso-position-vertical:absolute;width:113.6pt;height:84.5pt;mso-wrap-distance-left:9.0pt;mso-wrap-distance-top:0.0pt;mso-wrap-distance-right:9.0pt;mso-wrap-distance-bottom:0.0pt;" stroked="f">
                      <v:path textboxrect="0,0,0,0"/>
                      <v:imagedata r:id="rId3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1700*1380*1050</w:t>
            </w:r>
            <w:r/>
          </w:p>
        </w:tc>
        <w:tc>
          <w:tcPr>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988"/>
                <w:rFonts w:hint="eastAsia" w:ascii="宋体" w:hAnsi="宋体" w:eastAsia="宋体" w:cs="宋体"/>
                <w:sz w:val="18"/>
                <w:szCs w:val="18"/>
                <w:lang w:val="en-US" w:eastAsia="zh-CN" w:bidi="ar"/>
              </w:rPr>
              <w:t xml:space="preserve">1.基材：国标E0级刨花板，甲醛释放量≤0.05mg/m³。</w:t>
            </w:r>
            <w:r>
              <w:rPr>
                <w:rStyle w:val="988"/>
                <w:rFonts w:hint="eastAsia" w:ascii="宋体" w:hAnsi="宋体" w:eastAsia="宋体" w:cs="宋体"/>
                <w:sz w:val="18"/>
                <w:szCs w:val="18"/>
                <w:lang w:val="en-US" w:eastAsia="zh-CN" w:bidi="ar"/>
              </w:rPr>
              <w:br/>
            </w:r>
            <w:r>
              <w:rPr>
                <w:rStyle w:val="988"/>
                <w:rFonts w:hint="eastAsia" w:ascii="宋体" w:hAnsi="宋体" w:eastAsia="宋体" w:cs="宋体"/>
                <w:sz w:val="18"/>
                <w:szCs w:val="18"/>
                <w:lang w:val="en-US" w:eastAsia="zh-CN" w:bidi="ar"/>
              </w:rPr>
              <w:t xml:space="preserve">2.面材：耐磨三聚氰胺浸渍饰面，纹理清晰，色泽自然。</w:t>
            </w:r>
            <w:r>
              <w:rPr>
                <w:rStyle w:val="988"/>
                <w:rFonts w:hint="eastAsia" w:ascii="宋体" w:hAnsi="宋体" w:eastAsia="宋体" w:cs="宋体"/>
                <w:sz w:val="18"/>
                <w:szCs w:val="18"/>
                <w:lang w:val="en-US" w:eastAsia="zh-CN" w:bidi="ar"/>
              </w:rPr>
              <w:br/>
            </w:r>
            <w:r>
              <w:rPr>
                <w:rStyle w:val="988"/>
                <w:rFonts w:hint="eastAsia" w:ascii="宋体" w:hAnsi="宋体" w:eastAsia="宋体" w:cs="宋体"/>
                <w:sz w:val="18"/>
                <w:szCs w:val="18"/>
                <w:lang w:val="en-US" w:eastAsia="zh-CN" w:bidi="ar"/>
              </w:rPr>
              <w:t xml:space="preserve">3.封边：同色PVC封边条，厚度≥1.5mm，修边圆润光滑，长久使用不脱胶</w:t>
            </w:r>
            <w:r>
              <w:rPr>
                <w:rStyle w:val="988"/>
                <w:rFonts w:hint="eastAsia" w:ascii="宋体" w:hAnsi="宋体" w:cs="宋体"/>
                <w:sz w:val="18"/>
                <w:szCs w:val="18"/>
                <w:lang w:val="en-US" w:eastAsia="zh-CN" w:bidi="ar"/>
              </w:rPr>
              <w:t xml:space="preserve">。</w:t>
            </w:r>
            <w:r>
              <w:rPr>
                <w:rStyle w:val="988"/>
                <w:rFonts w:hint="eastAsia" w:ascii="宋体" w:hAnsi="宋体" w:eastAsia="宋体" w:cs="宋体"/>
                <w:b w:val="0"/>
                <w:bCs w:val="0"/>
                <w:sz w:val="18"/>
                <w:szCs w:val="18"/>
                <w:lang w:val="en-US" w:eastAsia="zh-CN" w:bidi="ar"/>
              </w:rPr>
              <w:br/>
            </w:r>
            <w:r>
              <w:rPr>
                <w:rStyle w:val="988"/>
                <w:rFonts w:hint="eastAsia" w:ascii="宋体" w:hAnsi="宋体" w:eastAsia="宋体" w:cs="宋体"/>
                <w:b w:val="0"/>
                <w:bCs w:val="0"/>
                <w:sz w:val="18"/>
                <w:szCs w:val="18"/>
                <w:lang w:val="en-US" w:eastAsia="zh-CN" w:bidi="ar"/>
              </w:rPr>
              <w:t xml:space="preserve">4.五金：缓冲铰链，阻</w:t>
            </w:r>
            <w:r>
              <w:rPr>
                <w:rStyle w:val="988"/>
                <w:rFonts w:hint="eastAsia" w:ascii="宋体" w:hAnsi="宋体" w:eastAsia="宋体" w:cs="宋体"/>
                <w:sz w:val="18"/>
                <w:szCs w:val="18"/>
                <w:lang w:val="en-US" w:eastAsia="zh-CN" w:bidi="ar"/>
              </w:rPr>
              <w:t xml:space="preserve">尼导轨，三位密码正面锁，开合顺畅，经久耐用不生锈。</w:t>
            </w:r>
            <w:r>
              <w:rPr>
                <w:rStyle w:val="988"/>
                <w:rFonts w:hint="eastAsia" w:ascii="宋体" w:hAnsi="宋体" w:eastAsia="宋体" w:cs="宋体"/>
                <w:sz w:val="18"/>
                <w:szCs w:val="18"/>
                <w:lang w:val="en-US" w:eastAsia="zh-CN" w:bidi="ar"/>
              </w:rPr>
              <w:br/>
            </w:r>
            <w:r>
              <w:rPr>
                <w:rStyle w:val="988"/>
                <w:rFonts w:hint="eastAsia" w:ascii="宋体" w:hAnsi="宋体" w:eastAsia="宋体" w:cs="宋体"/>
                <w:sz w:val="18"/>
                <w:szCs w:val="18"/>
                <w:lang w:val="en-US" w:eastAsia="zh-CN" w:bidi="ar"/>
              </w:rPr>
              <w:t xml:space="preserve">5.走线：预留走线孔，每个工位配3个3+2面板。</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09650" cy="1000125"/>
                      <wp:effectExtent l="0" t="0" r="0" b="9525"/>
                      <wp:docPr id="75"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70" descr="IMG_325"/>
                              <pic:cNvPicPr>
                                <a:picLocks noChangeAspect="1"/>
                              </pic:cNvPicPr>
                              <pic:nvPr/>
                            </pic:nvPicPr>
                            <pic:blipFill>
                              <a:blip r:embed="rId21"/>
                              <a:stretch/>
                            </pic:blipFill>
                            <pic:spPr bwMode="auto">
                              <a:xfrm>
                                <a:off x="0" y="0"/>
                                <a:ext cx="100965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9.5pt;height:78.8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1.椅背：pp+30%玻纤背框，贴合腰部支撑，久坐不累，搭配环保透气网。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2.椅座：12mm座板+定型海绵+弹力布座布，软硬适中，平服饱满，不易松垮。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3.扶手：PP加纤固定扶手，舒适亲肤。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4.椅脚：∮25管1.8厚黑色烤漆弓形架，性能稳定，耐腐蚀，防氧化。</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552575" cy="1057275"/>
                      <wp:effectExtent l="0" t="0" r="9525" b="9525"/>
                      <wp:docPr id="76" name="图片 71"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71" descr="IMG_326"/>
                              <pic:cNvPicPr>
                                <a:picLocks noChangeAspect="1"/>
                              </pic:cNvPicPr>
                              <pic:nvPr/>
                            </pic:nvPicPr>
                            <pic:blipFill>
                              <a:blip r:embed="rId22"/>
                              <a:stretch/>
                            </pic:blipFill>
                            <pic:spPr bwMode="auto">
                              <a:xfrm>
                                <a:off x="0" y="0"/>
                                <a:ext cx="1552575" cy="1057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122.2pt;height:83.2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2020*800*780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1.面料：人造皮革，厚度≥1.0mm，色牢度好，防水性强，通过拉力、弹力、耐挠、脱色、耐摩擦测试。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2.海绵：高密度高回弹发泡成型海绵，软硬适中，不易变形，达到国家阻燃B1级标准。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3.内架：四面抛光、烘干、除虫处理实木木架，锰钢蛇簧加平衡线处理。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4.底脚：钢制沙发脚，承重力强。  </w:t>
            </w:r>
            <w:r/>
          </w:p>
        </w:tc>
      </w:tr>
      <w:tr>
        <w:trPr>
          <w:trHeight w:val="165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438275" cy="847725"/>
                      <wp:effectExtent l="0" t="0" r="9525" b="9525"/>
                      <wp:docPr id="77" name="图片 7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72" descr="IMG_327"/>
                              <pic:cNvPicPr>
                                <a:picLocks noChangeAspect="1"/>
                              </pic:cNvPicPr>
                              <pic:nvPr/>
                            </pic:nvPicPr>
                            <pic:blipFill>
                              <a:blip r:embed="rId55"/>
                              <a:stretch/>
                            </pic:blipFill>
                            <pic:spPr bwMode="auto">
                              <a:xfrm>
                                <a:off x="0" y="0"/>
                                <a:ext cx="1438275"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113.2pt;height:66.8pt;mso-wrap-distance-left:0.0pt;mso-wrap-distance-top:0.0pt;mso-wrap-distance-right:0.0pt;mso-wrap-distance-bottom:0.0pt;" stroked="f" strokeweight="0.75pt">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4.钢脚采用35*15*1.2mm冷拉高频焊管数控折弯而成。</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57225" cy="1181100"/>
                      <wp:effectExtent l="0" t="0" r="9525" b="0"/>
                      <wp:docPr id="78" name="图片 7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73" descr="IMG_328"/>
                              <pic:cNvPicPr>
                                <a:picLocks noChangeAspect="1"/>
                              </pic:cNvPicPr>
                              <pic:nvPr/>
                            </pic:nvPicPr>
                            <pic:blipFill>
                              <a:blip r:embed="rId19"/>
                              <a:stretch/>
                            </pic:blipFill>
                            <pic:spPr bwMode="auto">
                              <a:xfrm>
                                <a:off x="0" y="0"/>
                                <a:ext cx="657225" cy="11810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1.8pt;height:93.0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5.玻璃门：采用汽车玻璃钢化工艺，四边丝印处理。</w:t>
            </w:r>
            <w:r/>
          </w:p>
        </w:tc>
      </w:tr>
      <w:tr>
        <w:trPr>
          <w:trHeight w:val="1719"/>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09650" cy="1057275"/>
                      <wp:effectExtent l="0" t="0" r="0" b="9525"/>
                      <wp:docPr id="79" name="图片 7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74" descr="IMG_329"/>
                              <pic:cNvPicPr>
                                <a:picLocks noChangeAspect="1"/>
                              </pic:cNvPicPr>
                              <pic:nvPr/>
                            </pic:nvPicPr>
                            <pic:blipFill>
                              <a:blip r:embed="rId56"/>
                              <a:stretch/>
                            </pic:blipFill>
                            <pic:spPr bwMode="auto">
                              <a:xfrm>
                                <a:off x="0" y="0"/>
                                <a:ext cx="1009650" cy="1057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9.5pt;height:83.2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1.基材：国标E0级刨花板，甲醛释放量≤0.05mg/m³。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2.面材：耐磨三聚氰胺浸渍饰面，纹理清晰，色泽自然。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3.封边：同色PVC封边条，厚度≥1.5mm，修边圆润光滑，长久使用不脱胶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4.五金：缓冲铰链，三位密码正面锁，开合顺畅，经久耐用不生锈。</w:t>
            </w:r>
            <w:r/>
          </w:p>
        </w:tc>
      </w:tr>
      <w:tr>
        <w:trPr>
          <w:trHeight w:val="6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区域十八</w:t>
            </w:r>
            <w:r/>
          </w:p>
        </w:tc>
      </w:tr>
      <w:tr>
        <w:trPr>
          <w:trHeight w:val="165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09650" cy="1000125"/>
                      <wp:effectExtent l="0" t="0" r="0" b="9525"/>
                      <wp:docPr id="80" name="图片 7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75" descr="IMG_330"/>
                              <pic:cNvPicPr>
                                <a:picLocks noChangeAspect="1"/>
                              </pic:cNvPicPr>
                              <pic:nvPr/>
                            </pic:nvPicPr>
                            <pic:blipFill>
                              <a:blip r:embed="rId21"/>
                              <a:stretch/>
                            </pic:blipFill>
                            <pic:spPr bwMode="auto">
                              <a:xfrm>
                                <a:off x="0" y="0"/>
                                <a:ext cx="100965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9.5pt;height:78.8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1.椅背：pp+30%玻纤背框，贴合腰部支撑，久坐不累，搭配环保透气网。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2.椅座：12mm座板+定型海绵+弹力布座布，软硬适中，平服饱满，不易松垮。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3.扶手：PP加纤固定扶手，舒适亲肤。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4.椅脚：∮25管1.8厚黑色烤漆弓形架，性能稳定，耐腐蚀，防氧化。</w:t>
            </w:r>
            <w:r/>
          </w:p>
        </w:tc>
      </w:tr>
      <w:tr>
        <w:trPr>
          <w:trHeight w:val="660"/>
        </w:trPr>
        <w:tc>
          <w:tcPr>
            <w:gridSpan w:val="7"/>
            <w:shd w:val="clear" w:color="auto" w:fill="d6dce4"/>
            <w:tcBorders>
              <w:top w:val="single" w:color="000000" w:sz="4" w:space="0"/>
              <w:left w:val="single" w:color="000000" w:sz="4" w:space="0"/>
              <w:bottom w:val="single" w:color="000000" w:sz="4" w:space="0"/>
              <w:right w:val="single" w:color="000000" w:sz="4" w:space="0"/>
            </w:tcBorders>
            <w:tcW w:w="109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区域十九</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76350" cy="704850"/>
                      <wp:effectExtent l="0" t="0" r="0" b="0"/>
                      <wp:docPr id="81" name="图片 7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76" descr="IMG_331"/>
                              <pic:cNvPicPr>
                                <a:picLocks noChangeAspect="1"/>
                              </pic:cNvPicPr>
                              <pic:nvPr/>
                            </pic:nvPicPr>
                            <pic:blipFill>
                              <a:blip r:embed="rId57"/>
                              <a:stretch/>
                            </pic:blipFill>
                            <pic:spPr bwMode="auto">
                              <a:xfrm>
                                <a:off x="0" y="0"/>
                                <a:ext cx="1276350"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100.5pt;height:55.5pt;mso-wrap-distance-left:0.0pt;mso-wrap-distance-top:0.0pt;mso-wrap-distance-right:0.0pt;mso-wrap-distance-bottom:0.0pt;" stroked="f" strokeweight="0.75pt">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2100*600*760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1.基材：国标E0级中纤板，甲醛释放量≤0.05mg/m³。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2.面材：AAA级0.6mm厚天然胡桃木木皮贴面，经防虫防腐处理，耐磨性好。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3.封边：与贴面用材种类相同的天然木质封边条，修边圆润光滑，长久使用不脱胶。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19175" cy="704850"/>
                      <wp:effectExtent l="0" t="0" r="9525" b="0"/>
                      <wp:docPr id="82" name="图片 77"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77" descr="IMG_332"/>
                              <pic:cNvPicPr>
                                <a:picLocks noChangeAspect="1"/>
                              </pic:cNvPicPr>
                              <pic:nvPr/>
                            </pic:nvPicPr>
                            <pic:blipFill>
                              <a:blip r:embed="rId58"/>
                              <a:stretch/>
                            </pic:blipFill>
                            <pic:spPr bwMode="auto">
                              <a:xfrm>
                                <a:off x="0" y="0"/>
                                <a:ext cx="1019174"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80.2pt;height:55.5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1400*600*760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1.基材：国标E0级中纤板，甲醛释放量≤0.05mg/m³。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2.面材：AAA级0.6mm厚天然胡桃木木皮贴面，经防虫防腐处理，耐磨性好。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3.封边：与贴面用材种类相同的天然木质封边条，修边圆润光滑，长久使用不脱胶。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14375" cy="1019175"/>
                      <wp:effectExtent l="0" t="0" r="9525" b="9525"/>
                      <wp:docPr id="83" name="图片 78"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78" descr="IMG_333"/>
                              <pic:cNvPicPr>
                                <a:picLocks noChangeAspect="1"/>
                              </pic:cNvPicPr>
                              <pic:nvPr/>
                            </pic:nvPicPr>
                            <pic:blipFill>
                              <a:blip r:embed="rId59"/>
                              <a:stretch/>
                            </pic:blipFill>
                            <pic:spPr bwMode="auto">
                              <a:xfrm>
                                <a:off x="0" y="0"/>
                                <a:ext cx="714375" cy="10191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6.2pt;height:80.2pt;mso-wrap-distance-left:0.0pt;mso-wrap-distance-top:0.0pt;mso-wrap-distance-right:0.0pt;mso-wrap-distance-bottom:0.0pt;" stroked="f" strokeweight="0.75pt">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1.面料：人造皮革，厚度≥1.0mm，色牢度好，防水性强，通过拉力、弹力、耐挠、脱色、耐摩擦测试。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2.海绵：高密度高回弹发泡成型海绵，软硬适中，不易变形，达到国家阻燃B1级标准。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3.木架：扶手弯曲木，其余橡胶木实木，纹理清晰自然，产品稳定不变形。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会议条桌</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19200" cy="876300"/>
                      <wp:effectExtent l="0" t="0" r="0" b="0"/>
                      <wp:docPr id="84" name="图片 79"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79" descr="IMG_334"/>
                              <pic:cNvPicPr>
                                <a:picLocks noChangeAspect="1"/>
                              </pic:cNvPicPr>
                              <pic:nvPr/>
                            </pic:nvPicPr>
                            <pic:blipFill>
                              <a:blip r:embed="rId52"/>
                              <a:stretch/>
                            </pic:blipFill>
                            <pic:spPr bwMode="auto">
                              <a:xfrm>
                                <a:off x="0" y="0"/>
                                <a:ext cx="121920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96.0pt;height:69.0pt;mso-wrap-distance-left:0.0pt;mso-wrap-distance-top:0.0pt;mso-wrap-distance-right:0.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1400*400*760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1.基材：国标E0级中纤板，甲醛释放量≤0.05mg/m³。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2.面材：AAA级0.6mm厚天然胡桃木木皮贴面，经防虫防腐处理，耐磨性好。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3.封边：与贴面用材种类相同的天然木质封边条，修边圆润光滑，长久使用不脱胶。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会议条桌</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504950" cy="904875"/>
                      <wp:effectExtent l="0" t="0" r="0" b="9525"/>
                      <wp:docPr id="85" name="图片 80"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80" descr="IMG_335"/>
                              <pic:cNvPicPr>
                                <a:picLocks noChangeAspect="1"/>
                              </pic:cNvPicPr>
                              <pic:nvPr/>
                            </pic:nvPicPr>
                            <pic:blipFill>
                              <a:blip r:embed="rId60"/>
                              <a:stretch/>
                            </pic:blipFill>
                            <pic:spPr bwMode="auto">
                              <a:xfrm>
                                <a:off x="0" y="0"/>
                                <a:ext cx="1504950"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18.5pt;height:71.2pt;mso-wrap-distance-left:0.0pt;mso-wrap-distance-top:0.0pt;mso-wrap-distance-right:0.0pt;mso-wrap-distance-bottom:0.0pt;" stroked="f" strokeweight="0.75pt">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1800*400*760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1.基材：国标E0级中纤板，甲醛释放量≤0.05mg/m³。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2.面材：AAA级0.6mm厚天然胡桃木木皮贴面，经防虫防腐处理，耐磨性好。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3.封边：与贴面用材种类相同的天然木质封边条，修边圆润光滑，长久使用不脱胶。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666750" cy="914400"/>
                      <wp:effectExtent l="0" t="0" r="0" b="0"/>
                      <wp:docPr id="86" name="图片 81"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81" descr="IMG_336"/>
                              <pic:cNvPicPr>
                                <a:picLocks noChangeAspect="1"/>
                              </pic:cNvPicPr>
                              <pic:nvPr/>
                            </pic:nvPicPr>
                            <pic:blipFill>
                              <a:blip r:embed="rId54"/>
                              <a:stretch/>
                            </pic:blipFill>
                            <pic:spPr bwMode="auto">
                              <a:xfrm>
                                <a:off x="0" y="0"/>
                                <a:ext cx="666750"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2.5pt;height:72.0pt;mso-wrap-distance-left:0.0pt;mso-wrap-distance-top:0.0pt;mso-wrap-distance-right:0.0pt;mso-wrap-distance-bottom:0.0pt;" stroked="f" strokeweight="0.75pt">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1.面料：人造皮革，厚度≥1.0mm，色牢度好，防水性强，通过拉力、弹力、耐挠、脱色、耐摩擦测试。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2.海绵：高密度高回弹发泡成型海绵，软硬适中，不易变形，达到国家阻燃B1级标准。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3.木架：橡胶木实木，纹理清晰自然，产品稳定不变形。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w:t>
            </w:r>
            <w:r/>
          </w:p>
        </w:tc>
      </w:tr>
      <w:tr>
        <w:trPr>
          <w:trHeight w:val="272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85850" cy="952500"/>
                      <wp:effectExtent l="0" t="0" r="0" b="0"/>
                      <wp:docPr id="87" name="图片 82"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82" descr="IMG_337"/>
                              <pic:cNvPicPr>
                                <a:picLocks noChangeAspect="1"/>
                              </pic:cNvPicPr>
                              <pic:nvPr/>
                            </pic:nvPicPr>
                            <pic:blipFill>
                              <a:blip r:embed="rId50"/>
                              <a:stretch/>
                            </pic:blipFill>
                            <pic:spPr bwMode="auto">
                              <a:xfrm>
                                <a:off x="0" y="0"/>
                                <a:ext cx="108585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85.5pt;height:75.0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1200*400*860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1.基材：国标E0级中纤板，甲醛释放量≤0.05mg/m³。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2.面材：AAA级0.6mm厚天然胡桃木木皮贴面，经防虫防腐处理，耐磨性好。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3.封边：与贴面用材种类相同的天然木质封边条，修边圆润光滑，长久使用不脱胶。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4.涂料：净味环保油漆或水性漆，“五底三面”工艺，漆面硬度高，色泽饱满透亮。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5.五金：缓冲铰链，阻尼导轨，开合顺畅，经久耐用不生锈。</w:t>
            </w:r>
            <w:r/>
          </w:p>
        </w:tc>
      </w:tr>
    </w:tbl>
    <w:p>
      <w:pPr>
        <w:ind w:firstLine="422"/>
        <w:spacing w:line="360" w:lineRule="auto"/>
        <w:rPr>
          <w:rFonts w:hint="default" w:ascii="宋体" w:hAnsi="宋体" w:eastAsia="宋体"/>
          <w:b/>
          <w:bCs/>
          <w:color w:val="000000" w:themeColor="text1"/>
          <w:lang w:val="en-US" w:eastAsia="zh-CN"/>
          <w14:textFill>
            <w14:solidFill>
              <w14:schemeClr w14:val="tx1"/>
            </w14:solidFill>
          </w14:textFill>
        </w:rPr>
      </w:pPr>
      <w:r>
        <w:rPr>
          <w:rFonts w:hint="eastAsia" w:ascii="宋体" w:hAnsi="宋体"/>
          <w:b/>
          <w:bCs/>
          <w:color w:val="000000" w:themeColor="text1"/>
          <w:lang w:val="en-US" w:eastAsia="zh-CN"/>
          <w14:textFill>
            <w14:solidFill>
              <w14:schemeClr w14:val="tx1"/>
            </w14:solidFill>
          </w14:textFill>
        </w:rPr>
        <w:t xml:space="preserve">注：所有家具颜色待中标后和采购人确定后发货。</w:t>
      </w:r>
      <w:r/>
    </w:p>
    <w:p>
      <w:pPr>
        <w:ind w:firstLine="422"/>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r>
      <w:r/>
    </w:p>
    <w:p>
      <w:pPr>
        <w:ind w:firstLine="422"/>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三、样品要求</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1.样品</w:t>
      </w:r>
      <w:r>
        <w:rPr>
          <w:rFonts w:hint="eastAsia" w:ascii="宋体" w:hAnsi="宋体"/>
          <w:color w:val="000000" w:themeColor="text1"/>
          <w:lang w:val="en-US" w:eastAsia="zh-CN"/>
          <w14:textFill>
            <w14:solidFill>
              <w14:schemeClr w14:val="tx1"/>
            </w14:solidFill>
          </w14:textFill>
        </w:rPr>
        <w:t xml:space="preserve">递交时间</w:t>
      </w:r>
      <w:r>
        <w:rPr>
          <w:rFonts w:hint="eastAsia" w:ascii="宋体" w:hAnsi="宋体"/>
          <w:color w:val="000000" w:themeColor="text1"/>
          <w14:textFill>
            <w14:solidFill>
              <w14:schemeClr w14:val="tx1"/>
            </w14:solidFill>
          </w14:textFill>
        </w:rPr>
        <w:t xml:space="preserve">：2026年</w:t>
      </w:r>
      <w:r>
        <w:rPr>
          <w:rFonts w:hint="eastAsia" w:ascii="宋体" w:hAnsi="宋体"/>
          <w:color w:val="000000" w:themeColor="text1"/>
          <w:lang w:val="en-US" w:eastAsia="zh-CN"/>
          <w14:textFill>
            <w14:solidFill>
              <w14:schemeClr w14:val="tx1"/>
            </w14:solidFill>
          </w14:textFill>
        </w:rPr>
        <w:t xml:space="preserve">6</w:t>
      </w:r>
      <w:r>
        <w:rPr>
          <w:rFonts w:hint="eastAsia" w:ascii="宋体" w:hAnsi="宋体"/>
          <w:color w:val="000000" w:themeColor="text1"/>
          <w14:textFill>
            <w14:solidFill>
              <w14:schemeClr w14:val="tx1"/>
            </w14:solidFill>
          </w14:textFill>
        </w:rPr>
        <w:t xml:space="preserve">月15</w:t>
      </w:r>
      <w:r>
        <w:rPr>
          <w:rFonts w:hint="eastAsia" w:ascii="宋体" w:hAnsi="宋体"/>
          <w:color w:val="000000" w:themeColor="text1"/>
          <w14:textFill>
            <w14:solidFill>
              <w14:schemeClr w14:val="tx1"/>
            </w14:solidFill>
          </w14:textFill>
        </w:rPr>
        <w:t xml:space="preserve">日8:30起至2026年6</w:t>
      </w:r>
      <w:r>
        <w:rPr>
          <w:rFonts w:hint="eastAsia" w:ascii="宋体" w:hAnsi="宋体"/>
          <w:color w:val="000000" w:themeColor="text1"/>
          <w14:textFill>
            <w14:solidFill>
              <w14:schemeClr w14:val="tx1"/>
            </w14:solidFill>
          </w14:textFill>
        </w:rPr>
        <w:t xml:space="preserve">月15</w:t>
      </w:r>
      <w:r>
        <w:rPr>
          <w:rFonts w:hint="eastAsia" w:ascii="宋体" w:hAnsi="宋体"/>
          <w:color w:val="000000" w:themeColor="text1"/>
          <w14:textFill>
            <w14:solidFill>
              <w14:schemeClr w14:val="tx1"/>
            </w14:solidFill>
          </w14:textFill>
        </w:rPr>
        <w:t xml:space="preserve">日9:30</w:t>
      </w:r>
      <w:r/>
    </w:p>
    <w:p>
      <w:pPr>
        <w:ind w:left="420" w:firstLine="0"/>
        <w:spacing w:line="360" w:lineRule="auto"/>
        <w:rPr>
          <w:rFonts w:hint="default" w:ascii="宋体" w:hAnsi="宋体" w:eastAsia="宋体"/>
          <w:color w:val="000000" w:themeColor="text1"/>
          <w:lang w:val="en-US"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 xml:space="preserve">2.样品递交地点：江苏富华工程造价咨询有限公司（扬州市江都区龙城路41号3楼）3.样品接收人：张先生；联系方式：13390657988</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lang w:val="en-US" w:eastAsia="zh-CN"/>
          <w14:textFill>
            <w14:solidFill>
              <w14:schemeClr w14:val="tx1"/>
            </w14:solidFill>
          </w14:textFill>
        </w:rPr>
        <w:t xml:space="preserve">4.供应商需提交以下样品：组合工作位（序号1）1组、会议椅（序号88）1张、接待沙发（序号62）1张，样品颜色和效果图相符。</w:t>
      </w:r>
      <w:r>
        <w:rPr>
          <w:rFonts w:hint="eastAsia" w:ascii="宋体" w:hAnsi="宋体" w:eastAsia="宋体" w:cs="宋体"/>
          <w:b/>
          <w:bCs w:val="0"/>
          <w:iCs/>
          <w:color w:val="auto"/>
          <w:szCs w:val="21"/>
          <w:highlight w:val="none"/>
        </w:rPr>
        <w:t xml:space="preserve">所有样品费用由各投标人承担，样品本身不得粘贴、设置各投标人单位名称、标志或有其他明显特殊标志；样品内包装上如有投标单位名称或明显标识须进行遮盖，否则样品项不得分。</w:t>
      </w:r>
      <w:r/>
    </w:p>
    <w:p>
      <w:pPr>
        <w:ind w:firstLine="480"/>
        <w:spacing w:line="360" w:lineRule="auto"/>
        <w:rPr>
          <w:rFonts w:hint="eastAsia" w:ascii="宋体" w:hAnsi="宋体" w:eastAsia="宋体" w:cs="宋体"/>
          <w:b w:val="0"/>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Cs/>
          <w:color w:val="auto"/>
          <w:szCs w:val="21"/>
          <w:highlight w:val="none"/>
        </w:rPr>
        <w:t xml:space="preserve">5</w:t>
      </w:r>
      <w:r>
        <w:rPr>
          <w:rFonts w:hint="eastAsia" w:ascii="宋体" w:hAnsi="宋体" w:cs="宋体"/>
          <w:b w:val="0"/>
          <w:bCs/>
          <w:iCs/>
          <w:color w:val="auto"/>
          <w:szCs w:val="21"/>
          <w:highlight w:val="none"/>
          <w:lang w:val="en-US" w:eastAsia="zh-CN"/>
        </w:rPr>
        <w:t xml:space="preserve">.投标人</w:t>
      </w:r>
      <w:r>
        <w:rPr>
          <w:rFonts w:hint="eastAsia" w:ascii="宋体" w:hAnsi="宋体" w:eastAsia="宋体" w:cs="宋体"/>
          <w:b w:val="0"/>
          <w:bCs/>
          <w:iCs/>
          <w:color w:val="auto"/>
          <w:szCs w:val="21"/>
          <w:highlight w:val="none"/>
        </w:rPr>
        <w:t xml:space="preserve">递交样品时将进行登记，并由样品递交人签字确认。</w:t>
      </w:r>
      <w:r/>
    </w:p>
    <w:p>
      <w:pPr>
        <w:ind w:firstLine="480"/>
        <w:spacing w:line="360" w:lineRule="auto"/>
        <w:rPr>
          <w:rFonts w:hint="eastAsia" w:ascii="宋体" w:hAnsi="宋体" w:eastAsia="宋体" w:cs="宋体"/>
          <w:b w:val="0"/>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Cs/>
          <w:color w:val="auto"/>
          <w:szCs w:val="21"/>
          <w:highlight w:val="none"/>
        </w:rPr>
        <w:t xml:space="preserve">6</w:t>
      </w:r>
      <w:r>
        <w:rPr>
          <w:rFonts w:hint="eastAsia" w:ascii="宋体" w:hAnsi="宋体" w:cs="宋体"/>
          <w:b w:val="0"/>
          <w:bCs/>
          <w:iCs/>
          <w:color w:val="auto"/>
          <w:szCs w:val="21"/>
          <w:highlight w:val="none"/>
          <w:lang w:val="en-US" w:eastAsia="zh-CN"/>
        </w:rPr>
        <w:t xml:space="preserve">.投标人</w:t>
      </w:r>
      <w:r>
        <w:rPr>
          <w:rFonts w:hint="eastAsia" w:ascii="宋体" w:hAnsi="宋体" w:eastAsia="宋体" w:cs="宋体"/>
          <w:b w:val="0"/>
          <w:bCs/>
          <w:iCs/>
          <w:color w:val="auto"/>
          <w:szCs w:val="21"/>
          <w:highlight w:val="none"/>
        </w:rPr>
        <w:t xml:space="preserve">递交/取回样品时，不得破坏或损毁其他</w:t>
      </w:r>
      <w:r>
        <w:rPr>
          <w:rFonts w:hint="eastAsia" w:ascii="宋体" w:hAnsi="宋体" w:cs="宋体"/>
          <w:b w:val="0"/>
          <w:bCs/>
          <w:iCs/>
          <w:color w:val="auto"/>
          <w:szCs w:val="21"/>
          <w:highlight w:val="none"/>
          <w:lang w:val="en-US" w:eastAsia="zh-CN"/>
        </w:rPr>
        <w:t xml:space="preserve">投标人</w:t>
      </w:r>
      <w:r>
        <w:rPr>
          <w:rFonts w:hint="eastAsia" w:ascii="宋体" w:hAnsi="宋体" w:eastAsia="宋体" w:cs="宋体"/>
          <w:b w:val="0"/>
          <w:bCs/>
          <w:iCs/>
          <w:color w:val="auto"/>
          <w:szCs w:val="21"/>
          <w:highlight w:val="none"/>
        </w:rPr>
        <w:t xml:space="preserve">的样品，也不得对其他</w:t>
      </w:r>
      <w:r>
        <w:rPr>
          <w:rFonts w:hint="eastAsia" w:ascii="宋体" w:hAnsi="宋体" w:cs="宋体"/>
          <w:b w:val="0"/>
          <w:bCs/>
          <w:iCs/>
          <w:color w:val="auto"/>
          <w:szCs w:val="21"/>
          <w:highlight w:val="none"/>
          <w:lang w:val="en-US" w:eastAsia="zh-CN"/>
        </w:rPr>
        <w:t xml:space="preserve">投标人</w:t>
      </w:r>
      <w:r>
        <w:rPr>
          <w:rFonts w:hint="eastAsia" w:ascii="宋体" w:hAnsi="宋体" w:eastAsia="宋体" w:cs="宋体"/>
          <w:b w:val="0"/>
          <w:bCs/>
          <w:iCs/>
          <w:color w:val="auto"/>
          <w:szCs w:val="21"/>
          <w:highlight w:val="none"/>
        </w:rPr>
        <w:t xml:space="preserve">的样品拍照、录像。</w:t>
      </w:r>
      <w:r/>
    </w:p>
    <w:p>
      <w:pPr>
        <w:ind w:firstLine="480"/>
        <w:spacing w:line="360" w:lineRule="auto"/>
        <w:rPr>
          <w:rFonts w:hint="default" w:ascii="宋体" w:hAnsi="宋体" w:eastAsia="宋体" w:cs="宋体"/>
          <w:b w:val="0"/>
          <w:bCs/>
          <w:i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Cs/>
          <w:color w:val="auto"/>
          <w:szCs w:val="21"/>
          <w:highlight w:val="none"/>
        </w:rPr>
        <w:t xml:space="preserve">7</w:t>
      </w:r>
      <w:r>
        <w:rPr>
          <w:rFonts w:hint="eastAsia" w:ascii="宋体" w:hAnsi="宋体" w:cs="宋体"/>
          <w:b w:val="0"/>
          <w:bCs/>
          <w:iCs/>
          <w:color w:val="auto"/>
          <w:szCs w:val="21"/>
          <w:highlight w:val="none"/>
          <w:lang w:val="en-US" w:eastAsia="zh-CN"/>
        </w:rPr>
        <w:t xml:space="preserve">.</w:t>
      </w:r>
      <w:r>
        <w:rPr>
          <w:rFonts w:hint="eastAsia" w:ascii="宋体" w:hAnsi="宋体" w:eastAsia="宋体" w:cs="宋体"/>
          <w:b w:val="0"/>
          <w:bCs/>
          <w:iCs/>
          <w:color w:val="auto"/>
          <w:szCs w:val="21"/>
          <w:highlight w:val="none"/>
        </w:rPr>
        <w:t xml:space="preserve"> 中标（成交）供应商递交的样品由采购人负责保管、封存并作为履约验收的依据，不再退还中标（成交）供应商。未中标（成交）供应商递交的样品在采购结果公告期结束后</w:t>
      </w:r>
      <w:r>
        <w:rPr>
          <w:rFonts w:hint="eastAsia" w:ascii="宋体" w:hAnsi="宋体" w:eastAsia="宋体" w:cs="宋体"/>
          <w:b w:val="0"/>
          <w:bCs/>
          <w:iCs/>
          <w:color w:val="auto"/>
          <w:szCs w:val="21"/>
          <w:highlight w:val="none"/>
          <w:lang w:val="en-US" w:eastAsia="zh-CN"/>
        </w:rPr>
        <w:t xml:space="preserve">2</w:t>
      </w:r>
      <w:r>
        <w:rPr>
          <w:rFonts w:hint="eastAsia" w:ascii="宋体" w:hAnsi="宋体" w:eastAsia="宋体" w:cs="宋体"/>
          <w:b w:val="0"/>
          <w:bCs/>
          <w:iCs/>
          <w:color w:val="auto"/>
          <w:szCs w:val="21"/>
          <w:highlight w:val="none"/>
        </w:rPr>
        <w:t xml:space="preserve">个工作日内，通知未中标（成交）供应商自行取回，逾期未取回，视同供应商放弃样品所有权，由采购人、</w:t>
      </w:r>
      <w:r>
        <w:rPr>
          <w:rFonts w:hint="eastAsia" w:ascii="宋体" w:hAnsi="宋体" w:cs="宋体"/>
          <w:b w:val="0"/>
          <w:bCs/>
          <w:iCs/>
          <w:color w:val="auto"/>
          <w:szCs w:val="21"/>
          <w:highlight w:val="none"/>
          <w:lang w:val="en-US" w:eastAsia="zh-CN"/>
        </w:rPr>
        <w:t xml:space="preserve">采购代理机构</w:t>
      </w:r>
      <w:r>
        <w:rPr>
          <w:rFonts w:hint="eastAsia" w:ascii="宋体" w:hAnsi="宋体" w:eastAsia="宋体" w:cs="宋体"/>
          <w:b w:val="0"/>
          <w:bCs/>
          <w:iCs/>
          <w:color w:val="auto"/>
          <w:szCs w:val="21"/>
          <w:highlight w:val="none"/>
        </w:rPr>
        <w:t xml:space="preserve">自行处置。</w:t>
      </w:r>
      <w:r/>
    </w:p>
    <w:p>
      <w:pPr>
        <w:ind w:firstLine="422"/>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四、</w:t>
      </w:r>
      <w:r>
        <w:rPr>
          <w:rFonts w:hint="eastAsia" w:ascii="宋体" w:hAnsi="宋体"/>
          <w:b/>
          <w:bCs/>
          <w:color w:val="000000" w:themeColor="text1"/>
          <w:lang w:eastAsia="zh-CN"/>
          <w14:textFill>
            <w14:solidFill>
              <w14:schemeClr w14:val="tx1"/>
            </w14:solidFill>
          </w14:textFill>
        </w:rPr>
        <w:t xml:space="preserve">其他要求</w:t>
      </w:r>
      <w:r>
        <w:rPr>
          <w:rFonts w:hint="eastAsia" w:ascii="宋体" w:hAnsi="宋体"/>
          <w:b/>
          <w:bCs/>
          <w:color w:val="000000" w:themeColor="text1"/>
          <w14:textFill>
            <w14:solidFill>
              <w14:schemeClr w14:val="tx1"/>
            </w14:solidFill>
          </w14:textFill>
        </w:rPr>
        <w:t xml:space="preserve">：</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1.本项目为交钥匙工程，</w:t>
      </w:r>
      <w:r>
        <w:rPr>
          <w:rFonts w:hint="eastAsia" w:ascii="宋体" w:hAnsi="宋体" w:eastAsia="宋体" w:cs="宋体"/>
          <w:bCs/>
          <w:iCs/>
          <w:color w:val="auto"/>
          <w:szCs w:val="21"/>
          <w:highlight w:val="none"/>
          <w:lang w:val="en-US" w:eastAsia="zh-CN"/>
        </w:rPr>
        <w:t xml:space="preserve">投保报价</w:t>
      </w:r>
      <w:r>
        <w:rPr>
          <w:rFonts w:hint="eastAsia" w:ascii="宋体" w:hAnsi="宋体" w:eastAsia="宋体" w:cs="宋体"/>
          <w:bCs/>
          <w:iCs/>
          <w:color w:val="auto"/>
          <w:szCs w:val="21"/>
          <w:highlight w:val="none"/>
        </w:rPr>
        <w:t xml:space="preserve">应包括所投货物（包含与货物相关的服务）费用、安装调试费、测试验收费、培训费、运行维护费用、税金及其他有关的为完成本项目发生的所有费用。</w:t>
      </w: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如</w:t>
      </w:r>
      <w:r>
        <w:rPr>
          <w:rFonts w:hint="eastAsia" w:ascii="宋体" w:hAnsi="宋体" w:eastAsia="宋体" w:cs="宋体"/>
          <w:b w:val="0"/>
          <w:bCs/>
          <w:iCs/>
          <w:color w:val="000000" w:themeColor="text1"/>
          <w:szCs w:val="21"/>
          <w:highlight w:val="none"/>
          <w14:textFill>
            <w14:solidFill>
              <w14:schemeClr w14:val="tx1"/>
            </w14:solidFill>
          </w14:textFill>
        </w:rPr>
        <w:t xml:space="preserve">货物制作、安装、施工、运输、调试</w:t>
      </w: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时破坏了现场、或破坏其他设施设备，供应商需恢复原样。货物排产前，中标供应商须与采购人再次确认货物规格、样式等信息，经采购人确认后方可生产。</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2.质量控制措施</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投标人提供原材料在采购及生产过程中的管控及检测措施，确保在后期生产过程中的产品质量。生产过程中，应进行多道质量检测，包括原材料检验、部件组装检验和成品质检等。通过对每个环节进行检验，及时发现和解决潜在的质量问题，确保产品符合质量要求。</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按采购人提出基本技术要求生产样品，招标后不得擅自更改产品样式和降低质量，投标人提供的产品必须达到现行中华人民共和国国家、行业有关标准、技术规范的要求，保证提供的货物完全符合规定的质量、规格、性能和安全的要求，保证所有产品不存在任何安全隐患。</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所有家具均应出自原厂，不得私自添加或更改，保证所有家具及部件均是全新的纯正部品，不得以废、旧材料制作，产品必须符合行业设计要求。交货时所有家具应货物完好，物品配件齐全，否则视为不合格产品，采购人有权拒绝接收。</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3.供货、安装实施方案</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项目实施期间，投标单位工作人员须遵守采购人的各项规章制度，进入项目现场的车辆、设备按指定的地点停放，不得妨碍其它正常秩序和阻碍交通。项目结束后，及时清理现场，墙面、门窗如有损坏需恢复原状。若因投标人原因导致货物不能按要求安装使用，采购人有权追究其责任。投标人可先到项目地点充分了解地理位置、情况、道路、储存空间、装卸限制及施工配合等任何其他足以影响投标报价的情况，任何因忽视或误解项目现场而导致的索赔或工期延长申请将不被批准。</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提供本项目货物装运程序说明、长期合作物流或车辆信息说明、文明施工管理制度、家具调试验收方案。家具的包装均应有良好的防湿、防锈、防潮、防雨、防腐及防碰撞的措施。安装队伍必须加强管理，遵守现场的一切规章制度，文明安装，注意安全。项目实施过程中若发生相关的安全事故由供应商自行负责。</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4.进度控制措施</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合同履行期限：</w:t>
      </w:r>
      <w:r>
        <w:rPr>
          <w:rFonts w:hint="eastAsia" w:ascii="宋体" w:hAnsi="宋体" w:cs="宋体"/>
          <w:color w:val="000000" w:themeColor="text1"/>
          <w:highlight w:val="none"/>
          <w:lang w:val="en-US" w:eastAsia="zh-CN"/>
          <w14:textFill>
            <w14:solidFill>
              <w14:schemeClr w14:val="tx1"/>
            </w14:solidFill>
          </w14:textFill>
        </w:rPr>
        <w:t xml:space="preserve">合同签订之日起40日历天内按要求批次完成供货并在指定区域安装到位。</w:t>
      </w: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投标人应按照招标需求合理安排时间，制定科学、合理、有针对性的具体措施。</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投标人提供项目进度表，协调生产、包装、运输、供货等各部门之间的合作，考虑产品的设计、生产、安装、供货等工序所需时间，确保按期交货。</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投标人在接到采购人通知后，需根据采购人要求及现场具体情况，拟定产品进场安放的方案并征得采购人同意后方可安排产品进场。</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5.拟派项目人员方案</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提供人员配置表，满足本项目生产所需的人员投入，包括项目总负责人及相关工作人员等，具有类似项目从业经验。中标后能在细节方面给予采购人专业的沟通指导。安排合理，确保本项目工作顺利实施。</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6.安全生产方案</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投标人应制定安全生产责任制度及相关细则。对生产流程（生产过程和工艺）、所使用的木制产品加工设备、钢制产品加工设备和表面喷涂设备设施等进行描述。</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7.售后服务方案</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提供有关售后服务的管理制度、售后服务机构的分布情况、售后服务人员的数量、素质、技术水平及售后服务的反应能力。自验收合格之日起，所有产品及配件提供不少于 3 年免费质保，质保期内全免费上门。质保期满后，供应商须提供最优惠的维修价格（人工费、出厂价零配件费、其他材料费等）进行相关服务，在设备寿命期内，供应商应能保证采购人更换到原厂正宗的零部件，保证维修配件的供应和及时维修，维修价格保持不变（政策调整因素除外）。</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8、项目安装结束后，采购人将随机抽取货物送至检测机构对货物的技术参数及甲醛等有害物质进行检测，相关检测费用由中标人承担，如果随机抽取的任意一款货物检测不合格，采购人将视为所有货物验收不合格而退回所有货物，由此产生的经济损失由中标人承担。</w:t>
      </w:r>
      <w:r/>
    </w:p>
    <w:p>
      <w:pPr>
        <w:ind w:firstLine="480"/>
        <w:spacing w:line="360" w:lineRule="auto"/>
        <w:rPr>
          <w:rFonts w:hint="eastAsia" w:ascii="宋体" w:hAnsi="宋体" w:cs="宋体"/>
          <w:b w:val="0"/>
          <w:bCs/>
          <w:iCs/>
          <w:color w:val="000000" w:themeColor="text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iCs/>
          <w:color w:val="000000" w:themeColor="text1"/>
          <w:szCs w:val="21"/>
          <w:highlight w:val="none"/>
          <w:lang w:val="en-US" w:eastAsia="zh-CN"/>
          <w14:textFill>
            <w14:solidFill>
              <w14:schemeClr w14:val="tx1"/>
            </w14:solidFill>
          </w14:textFill>
        </w:rPr>
        <w:t xml:space="preserve">9、中标供应商必须采取有效措施确保所有家具在合同规定期限（合同签订之日起40日）内安装到位并经验收合格，如不能按时履约，须承担违约责任并向采购人支付最高不超过合同价的 20%违约金。</w:t>
      </w:r>
      <w:r/>
    </w:p>
    <w:p>
      <w:pPr>
        <w:ind w:firstLine="422"/>
        <w:spacing w:line="360" w:lineRule="auto"/>
        <w:rPr>
          <w:rFonts w:hint="eastAsia" w:ascii="宋体" w:hAnsi="宋体"/>
          <w:b/>
          <w:bCs/>
          <w:i/>
          <w:iCs/>
          <w:color w:val="000000" w:themeColor="text1"/>
          <w:u w:val="single"/>
          <w14:textFill>
            <w14:solidFill>
              <w14:schemeClr w14:val="tx1"/>
            </w14:solidFill>
          </w14:textFill>
        </w:rPr>
      </w:pPr>
      <w:r>
        <w:rPr>
          <w:rFonts w:hint="eastAsia" w:ascii="宋体" w:hAnsi="宋体"/>
          <w:b/>
          <w:bCs/>
          <w:i/>
          <w:iCs/>
          <w:color w:val="000000" w:themeColor="text1"/>
          <w:u w:val="single"/>
          <w14:textFill>
            <w14:solidFill>
              <w14:schemeClr w14:val="tx1"/>
            </w14:solidFill>
          </w14:textFill>
        </w:rPr>
      </w:r>
      <w:r/>
    </w:p>
    <w:p>
      <w:pPr>
        <w:pStyle w:val="734"/>
        <w:jc w:val="center"/>
        <w:spacing w:before="0" w:after="0"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sz w:val="21"/>
          <w:szCs w:val="22"/>
          <w14:textFill>
            <w14:solidFill>
              <w14:schemeClr w14:val="tx1"/>
            </w14:solidFill>
          </w14:textFill>
        </w:rPr>
        <w:br w:type="page" w:clear="all"/>
      </w:r>
      <w:bookmarkStart w:id="66" w:name="_Toc190211628"/>
      <w:r>
        <w:rPr>
          <w:rFonts w:hint="eastAsia" w:ascii="宋体" w:hAnsi="宋体"/>
          <w:color w:val="000000" w:themeColor="text1"/>
          <w14:textFill>
            <w14:solidFill>
              <w14:schemeClr w14:val="tx1"/>
            </w14:solidFill>
          </w14:textFill>
        </w:rPr>
        <w:t xml:space="preserve">第五章 评标方法及评标标准</w:t>
      </w:r>
      <w:bookmarkEnd w:id="65"/>
      <w:r/>
      <w:bookmarkEnd w:id="66"/>
      <w:r/>
      <w:r/>
    </w:p>
    <w:p>
      <w:pPr>
        <w:pStyle w:val="973"/>
        <w:ind w:firstLine="422"/>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一、评标方法</w:t>
      </w:r>
      <w:r/>
    </w:p>
    <w:p>
      <w:pPr>
        <w:pStyle w:val="973"/>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000000" w:themeColor="text1"/>
          <w:szCs w:val="21"/>
          <w14:textFill>
            <w14:solidFill>
              <w14:schemeClr w14:val="tx1"/>
            </w14:solidFill>
          </w14:textFill>
        </w:rPr>
      </w:pPr>
      <w:r/>
      <w:bookmarkStart w:id="67" w:name="_Toc449017024"/>
      <w:r/>
      <w:bookmarkStart w:id="68" w:name="_Toc449016388"/>
      <w:r>
        <w:rPr>
          <w:rFonts w:ascii="宋体" w:hAnsi="宋体"/>
          <w:b/>
          <w:color w:val="000000" w:themeColor="text1"/>
          <w:szCs w:val="21"/>
          <w14:textFill>
            <w14:solidFill>
              <w14:schemeClr w14:val="tx1"/>
            </w14:solidFill>
          </w14:textFill>
        </w:rPr>
        <w:t xml:space="preserve">二、</w:t>
      </w:r>
      <w:r>
        <w:rPr>
          <w:rFonts w:hint="eastAsia" w:ascii="宋体" w:hAnsi="宋体"/>
          <w:b/>
          <w:color w:val="000000" w:themeColor="text1"/>
          <w:szCs w:val="21"/>
          <w14:textFill>
            <w14:solidFill>
              <w14:schemeClr w14:val="tx1"/>
            </w14:solidFill>
          </w14:textFill>
        </w:rPr>
        <w:t xml:space="preserve">政府采购政策功能落实</w:t>
      </w:r>
      <w:bookmarkEnd w:id="67"/>
      <w:r/>
      <w:bookmarkEnd w:id="68"/>
      <w:r/>
      <w:r/>
    </w:p>
    <w:p>
      <w:pPr>
        <w:ind w:firstLine="420"/>
        <w:spacing w:line="360" w:lineRule="auto"/>
        <w:rPr>
          <w:rFonts w:hint="eastAsia" w:ascii="宋体" w:hAnsi="宋体"/>
          <w:b/>
          <w:color w:val="000000" w:themeColor="text1"/>
          <w:szCs w:val="21"/>
          <w14:textFill>
            <w14:solidFill>
              <w14:schemeClr w14:val="tx1"/>
            </w14:solidFill>
          </w14:textFill>
        </w:rPr>
      </w:pPr>
      <w:r>
        <w:rPr>
          <w:rFonts w:ascii="宋体" w:hAnsi="宋体"/>
          <w:color w:val="000000" w:themeColor="text1"/>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3"/>
        <w:ind w:left="315" w:firstLine="105"/>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1、小微型企业价格扣除</w:t>
      </w:r>
      <w:r/>
    </w:p>
    <w:p>
      <w:pPr>
        <w:pStyle w:val="973"/>
        <w:ind w:firstLine="420"/>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（1）本项目对小型和微型企业产品给予</w:t>
      </w:r>
      <w:r>
        <w:rPr>
          <w:rFonts w:hint="eastAsia" w:ascii="宋体" w:hAnsi="宋体"/>
          <w:color w:val="000000" w:themeColor="text1"/>
          <w:sz w:val="21"/>
          <w:szCs w:val="21"/>
          <w14:textFill>
            <w14:solidFill>
              <w14:schemeClr w14:val="tx1"/>
            </w14:solidFill>
          </w14:textFill>
        </w:rPr>
        <w:t xml:space="preserve">20</w:t>
      </w:r>
      <w:r>
        <w:rPr>
          <w:rFonts w:ascii="宋体" w:hAnsi="宋体"/>
          <w:color w:val="000000" w:themeColor="text1"/>
          <w:sz w:val="21"/>
          <w:szCs w:val="21"/>
          <w14:textFill>
            <w14:solidFill>
              <w14:schemeClr w14:val="tx1"/>
            </w14:solidFill>
          </w14:textFill>
        </w:rPr>
        <w:t xml:space="preserve">%的扣除价格，用扣除后的价格参与评审。</w:t>
      </w:r>
      <w:r/>
    </w:p>
    <w:p>
      <w:pPr>
        <w:pStyle w:val="973"/>
        <w:ind w:firstLine="420"/>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（2）供应商需按照采购文件的要求提供相应的《</w:t>
      </w:r>
      <w:r>
        <w:rPr>
          <w:rFonts w:hint="eastAsia" w:ascii="宋体" w:hAnsi="宋体"/>
          <w:color w:val="000000" w:themeColor="text1"/>
          <w:sz w:val="21"/>
          <w:szCs w:val="21"/>
          <w14:textFill>
            <w14:solidFill>
              <w14:schemeClr w14:val="tx1"/>
            </w14:solidFill>
          </w14:textFill>
        </w:rPr>
        <w:t xml:space="preserve">中小</w:t>
      </w:r>
      <w:r>
        <w:rPr>
          <w:rFonts w:ascii="宋体" w:hAnsi="宋体"/>
          <w:color w:val="000000" w:themeColor="text1"/>
          <w:sz w:val="21"/>
          <w:szCs w:val="21"/>
          <w14:textFill>
            <w14:solidFill>
              <w14:schemeClr w14:val="tx1"/>
            </w14:solidFill>
          </w14:textFill>
        </w:rPr>
        <w:t xml:space="preserve">企业声明函》。</w:t>
      </w:r>
      <w:r/>
    </w:p>
    <w:p>
      <w:pPr>
        <w:pStyle w:val="973"/>
        <w:ind w:left="420" w:firstLine="0"/>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2、残疾人福利单位价格扣除</w:t>
      </w:r>
      <w:r/>
    </w:p>
    <w:p>
      <w:pPr>
        <w:pStyle w:val="973"/>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（1）本项目对残疾人福利性单位视同小型、微型企业，给予</w:t>
      </w:r>
      <w:r>
        <w:rPr>
          <w:rFonts w:hint="eastAsia" w:ascii="宋体" w:hAnsi="宋体"/>
          <w:color w:val="000000" w:themeColor="text1"/>
          <w:sz w:val="21"/>
          <w:szCs w:val="21"/>
          <w14:textFill>
            <w14:solidFill>
              <w14:schemeClr w14:val="tx1"/>
            </w14:solidFill>
          </w14:textFill>
        </w:rPr>
        <w:t xml:space="preserve">20</w:t>
      </w:r>
      <w:r>
        <w:rPr>
          <w:rFonts w:ascii="宋体" w:hAnsi="宋体"/>
          <w:color w:val="000000" w:themeColor="text1"/>
          <w:sz w:val="21"/>
          <w:szCs w:val="21"/>
          <w14:textFill>
            <w14:solidFill>
              <w14:schemeClr w14:val="tx1"/>
            </w14:solidFill>
          </w14:textFill>
        </w:rPr>
        <w:t xml:space="preserve">%的价格扣除，用扣除后的价格参与评审。</w:t>
      </w:r>
      <w:r/>
    </w:p>
    <w:p>
      <w:pPr>
        <w:pStyle w:val="973"/>
        <w:ind w:left="420" w:firstLine="0"/>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（2）残疾人福利单位需按照采购文件的要求提供《残疾人福利性单位声明函》。</w:t>
      </w:r>
      <w:r/>
    </w:p>
    <w:p>
      <w:pPr>
        <w:pStyle w:val="973"/>
        <w:ind w:firstLine="420"/>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（3）残疾人福利单位标准请参照《关于促进残疾人就业政府采购政策的通知》（财库2017〕141号）。</w:t>
      </w:r>
      <w:r/>
    </w:p>
    <w:p>
      <w:pPr>
        <w:pStyle w:val="973"/>
        <w:ind w:left="420" w:firstLine="0"/>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3、监狱和戒毒企业价格扣除</w:t>
      </w:r>
      <w:r/>
    </w:p>
    <w:p>
      <w:pPr>
        <w:pStyle w:val="973"/>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（1）本项目对监狱和戒毒企业（简称监狱企业）视同小型、微型企业，给予</w:t>
      </w:r>
      <w:r>
        <w:rPr>
          <w:rFonts w:hint="eastAsia" w:ascii="宋体" w:hAnsi="宋体"/>
          <w:color w:val="000000" w:themeColor="text1"/>
          <w:sz w:val="21"/>
          <w:szCs w:val="21"/>
          <w14:textFill>
            <w14:solidFill>
              <w14:schemeClr w14:val="tx1"/>
            </w14:solidFill>
          </w14:textFill>
        </w:rPr>
        <w:t xml:space="preserve">20</w:t>
      </w:r>
      <w:r>
        <w:rPr>
          <w:rFonts w:ascii="宋体" w:hAnsi="宋体"/>
          <w:color w:val="000000" w:themeColor="text1"/>
          <w:sz w:val="21"/>
          <w:szCs w:val="21"/>
          <w14:textFill>
            <w14:solidFill>
              <w14:schemeClr w14:val="tx1"/>
            </w14:solidFill>
          </w14:textFill>
        </w:rPr>
        <w:t xml:space="preserve">%的价格扣除，用扣除后的价格参与评审。</w:t>
      </w:r>
      <w:r/>
    </w:p>
    <w:p>
      <w:pPr>
        <w:pStyle w:val="973"/>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（2）监狱企业参加政府采购活动时，需提供由省级以上监狱管理局、戒毒管理局</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含新疆生产建设兵团</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出具的属于监狱企业的证明文件。供应商如不提供上述证明文件，价格将不做相应扣除。</w:t>
      </w:r>
      <w:r/>
    </w:p>
    <w:p>
      <w:pPr>
        <w:pStyle w:val="973"/>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（3）监狱企业标准请参照《关于政府采购支持监狱企业发展有关问题的通知》（财库[2014]68号）。</w:t>
      </w:r>
      <w:r/>
    </w:p>
    <w:p>
      <w:pPr>
        <w:pStyle w:val="973"/>
        <w:ind w:firstLine="420"/>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4、残疾人福利单位、监狱企业属于小型、微型企业的，不重复享受政策。</w:t>
      </w:r>
      <w:r/>
    </w:p>
    <w:p>
      <w:pPr>
        <w:pStyle w:val="973"/>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themeColor="text1"/>
          <w:sz w:val="21"/>
          <w:szCs w:val="21"/>
          <w14:textFill>
            <w14:solidFill>
              <w14:schemeClr w14:val="tx1"/>
            </w14:solidFill>
          </w14:textFill>
        </w:rPr>
        <w:t xml:space="preserve">6</w:t>
      </w:r>
      <w:r>
        <w:rPr>
          <w:rFonts w:ascii="宋体" w:hAnsi="宋体"/>
          <w:color w:val="000000" w:themeColor="text1"/>
          <w:sz w:val="21"/>
          <w:szCs w:val="21"/>
          <w14:textFill>
            <w14:solidFill>
              <w14:schemeClr w14:val="tx1"/>
            </w14:solidFill>
          </w14:textFill>
        </w:rPr>
        <w:t xml:space="preserve">%的价格扣除，用扣除后的价格参与评审。</w:t>
      </w:r>
      <w:r/>
    </w:p>
    <w:p>
      <w:pPr>
        <w:pStyle w:val="973"/>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6、联合体各方均为小型、微型企业（残疾人福利单位、监狱企业）的，联合体享受</w:t>
      </w:r>
      <w:r>
        <w:rPr>
          <w:rFonts w:hint="eastAsia" w:ascii="宋体" w:hAnsi="宋体"/>
          <w:color w:val="000000" w:themeColor="text1"/>
          <w:sz w:val="21"/>
          <w:szCs w:val="21"/>
          <w14:textFill>
            <w14:solidFill>
              <w14:schemeClr w14:val="tx1"/>
            </w14:solidFill>
          </w14:textFill>
        </w:rPr>
        <w:t xml:space="preserve">20</w:t>
      </w:r>
      <w:r>
        <w:rPr>
          <w:rFonts w:ascii="宋体" w:hAnsi="宋体"/>
          <w:color w:val="000000" w:themeColor="text1"/>
          <w:sz w:val="21"/>
          <w:szCs w:val="21"/>
          <w14:textFill>
            <w14:solidFill>
              <w14:schemeClr w14:val="tx1"/>
            </w14:solidFill>
          </w14:textFill>
        </w:rPr>
        <w:t xml:space="preserve">%价格扣除，用扣除后的价格参与评审。</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7、大中型企业向小型、微型企业分包的，分包意向协议约定小型、微型企业合同份额占到合同总金额30%以上的，给予6%的价格扣除，用扣除后的价格参与评审。</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8、采购本国产品的支持政策</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8.2 当采购项目或者采购包中含有多种产品，供应商为该采购项目或者采购包提供的符合本国产品标准的产品成本之和占该供应商提供的全部产品成本之和的比例达到80%以上时（供应商需在“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8.3 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ind w:firstLine="420"/>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ind w:firstLine="420"/>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ind w:firstLine="420"/>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ind w:firstLine="420"/>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ind w:firstLine="420"/>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ind w:firstLine="420"/>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三、评标标准</w:t>
      </w:r>
      <w:r/>
    </w:p>
    <w:tbl>
      <w:tblPr>
        <w:tblStyle w:val="744"/>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7477"/>
        <w:gridCol w:w="969"/>
      </w:tblGrid>
      <w:tr>
        <w:trPr>
          <w:jc w:val="center"/>
          <w:trHeight w:val="18"/>
        </w:trPr>
        <w:tc>
          <w:tcPr>
            <w:tcW w:w="1413" w:type="dxa"/>
            <w:vAlign w:val="center"/>
            <w:textDirection w:val="lrTb"/>
            <w:noWrap w:val="false"/>
          </w:tcPr>
          <w:p>
            <w:pPr>
              <w:jc w:val="center"/>
              <w:spacing w:line="300" w:lineRule="auto"/>
              <w:rPr>
                <w:rFonts w:hint="eastAsia" w:ascii="宋体" w:hAnsi="宋体"/>
                <w:b/>
                <w:szCs w:val="21"/>
              </w:rPr>
            </w:pPr>
            <w:r>
              <w:rPr>
                <w:rFonts w:ascii="宋体" w:hAnsi="宋体"/>
                <w:b/>
                <w:szCs w:val="21"/>
              </w:rPr>
              <w:t xml:space="preserve">评分项目</w:t>
            </w:r>
            <w:r/>
          </w:p>
        </w:tc>
        <w:tc>
          <w:tcPr>
            <w:tcW w:w="7477" w:type="dxa"/>
            <w:vAlign w:val="center"/>
            <w:textDirection w:val="lrTb"/>
            <w:noWrap w:val="false"/>
          </w:tcPr>
          <w:p>
            <w:pPr>
              <w:jc w:val="center"/>
              <w:spacing w:line="300" w:lineRule="auto"/>
              <w:rPr>
                <w:rFonts w:hint="eastAsia" w:ascii="宋体" w:hAnsi="宋体"/>
                <w:b/>
                <w:szCs w:val="21"/>
              </w:rPr>
            </w:pPr>
            <w:r>
              <w:rPr>
                <w:rFonts w:ascii="宋体" w:hAnsi="宋体"/>
                <w:b/>
                <w:szCs w:val="21"/>
              </w:rPr>
              <w:t xml:space="preserve">评分细则</w:t>
            </w:r>
            <w:r/>
          </w:p>
        </w:tc>
        <w:tc>
          <w:tcPr>
            <w:tcW w:w="969" w:type="dxa"/>
            <w:vAlign w:val="center"/>
            <w:textDirection w:val="lrTb"/>
            <w:noWrap w:val="false"/>
          </w:tcPr>
          <w:p>
            <w:pPr>
              <w:jc w:val="center"/>
              <w:spacing w:line="300" w:lineRule="auto"/>
              <w:rPr>
                <w:rFonts w:hint="eastAsia" w:ascii="宋体" w:hAnsi="宋体"/>
                <w:b/>
                <w:szCs w:val="21"/>
              </w:rPr>
            </w:pPr>
            <w:r>
              <w:rPr>
                <w:rFonts w:ascii="宋体" w:hAnsi="宋体"/>
                <w:b/>
                <w:szCs w:val="21"/>
              </w:rPr>
              <w:t xml:space="preserve">分数</w:t>
            </w:r>
            <w:r/>
          </w:p>
        </w:tc>
      </w:tr>
      <w:tr>
        <w:trPr>
          <w:jc w:val="center"/>
          <w:trHeight w:val="90"/>
        </w:trPr>
        <w:tc>
          <w:tcPr>
            <w:tcW w:w="1413" w:type="dxa"/>
            <w:vAlign w:val="center"/>
            <w:textDirection w:val="lrTb"/>
            <w:noWrap w:val="false"/>
          </w:tcPr>
          <w:p>
            <w:pPr>
              <w:jc w:val="center"/>
              <w:spacing w:line="300" w:lineRule="auto"/>
              <w:rPr>
                <w:rFonts w:hint="eastAsia" w:ascii="宋体" w:hAnsi="宋体"/>
                <w:szCs w:val="21"/>
              </w:rPr>
            </w:pPr>
            <w:r>
              <w:rPr>
                <w:rFonts w:ascii="宋体" w:hAnsi="宋体"/>
                <w:szCs w:val="21"/>
              </w:rPr>
              <w:t xml:space="preserve">投标价格</w:t>
            </w:r>
            <w:r/>
          </w:p>
          <w:p>
            <w:pPr>
              <w:jc w:val="center"/>
              <w:spacing w:line="300" w:lineRule="auto"/>
              <w:rPr>
                <w:rFonts w:hint="eastAsia" w:ascii="宋体" w:hAnsi="宋体"/>
                <w:szCs w:val="21"/>
              </w:rPr>
            </w:pPr>
            <w:r>
              <w:rPr>
                <w:rFonts w:ascii="宋体" w:hAnsi="宋体"/>
                <w:szCs w:val="21"/>
              </w:rPr>
              <w:t xml:space="preserve">（</w:t>
            </w:r>
            <w:r>
              <w:rPr>
                <w:rFonts w:hint="eastAsia" w:ascii="宋体" w:hAnsi="宋体"/>
                <w:szCs w:val="21"/>
              </w:rPr>
              <w:t xml:space="preserve">30</w:t>
            </w:r>
            <w:r>
              <w:rPr>
                <w:rFonts w:ascii="宋体" w:hAnsi="宋体"/>
                <w:szCs w:val="21"/>
              </w:rPr>
              <w:t xml:space="preserve">分）</w:t>
            </w:r>
            <w:r/>
          </w:p>
        </w:tc>
        <w:tc>
          <w:tcPr>
            <w:tcW w:w="7477" w:type="dxa"/>
            <w:vAlign w:val="center"/>
            <w:textDirection w:val="lrTb"/>
            <w:noWrap w:val="false"/>
          </w:tcPr>
          <w:p>
            <w:pPr>
              <w:jc w:val="left"/>
              <w:spacing w:line="300" w:lineRule="auto"/>
              <w:rPr>
                <w:rFonts w:hint="eastAsia" w:ascii="宋体" w:hAnsi="宋体"/>
                <w:bCs/>
                <w:spacing w:val="-4"/>
                <w:szCs w:val="21"/>
                <w:highlight w:val="none"/>
                <w:lang w:val="en-US" w:eastAsia="zh-CN"/>
              </w:rPr>
            </w:pPr>
            <w:r>
              <w:rPr>
                <w:rFonts w:hint="eastAsia" w:ascii="宋体" w:hAnsi="宋体"/>
                <w:bCs/>
                <w:spacing w:val="-4"/>
                <w:szCs w:val="21"/>
                <w:highlight w:val="none"/>
              </w:rPr>
              <w:t xml:space="preserve">以满足招标文件要求且投标价格低的投标报价为评标基准价，其价格分为满分</w:t>
            </w:r>
            <w:r>
              <w:rPr>
                <w:rFonts w:hint="eastAsia" w:ascii="宋体" w:hAnsi="宋体"/>
                <w:bCs/>
                <w:spacing w:val="-4"/>
                <w:szCs w:val="21"/>
                <w:highlight w:val="none"/>
                <w:lang w:val="en-US" w:eastAsia="zh-CN"/>
              </w:rPr>
              <w:t xml:space="preserve">30分</w:t>
            </w:r>
            <w:r>
              <w:rPr>
                <w:rFonts w:hint="eastAsia" w:ascii="宋体" w:hAnsi="宋体"/>
                <w:bCs/>
                <w:spacing w:val="-4"/>
                <w:szCs w:val="21"/>
                <w:highlight w:val="none"/>
              </w:rPr>
              <w:t xml:space="preserve">。其他投标人的价格分按照下列公式计算（小数点保留二位）：投标报价得分=（评标基准价/投标报价）×30×</w:t>
            </w:r>
            <w:r>
              <w:rPr>
                <w:rFonts w:hint="eastAsia" w:ascii="宋体" w:hAnsi="宋体"/>
                <w:bCs/>
                <w:spacing w:val="-4"/>
                <w:szCs w:val="21"/>
                <w:highlight w:val="none"/>
                <w:lang w:val="en-US" w:eastAsia="zh-CN"/>
              </w:rPr>
              <w:t xml:space="preserve">100%</w:t>
            </w:r>
            <w:r/>
          </w:p>
          <w:p>
            <w:pPr>
              <w:jc w:val="left"/>
              <w:spacing w:line="300" w:lineRule="auto"/>
              <w:rPr>
                <w:rFonts w:hint="default" w:ascii="宋体" w:hAnsi="宋体"/>
                <w:bCs/>
                <w:spacing w:val="-4"/>
                <w:szCs w:val="21"/>
                <w:highlight w:val="none"/>
                <w:lang w:val="en-US" w:eastAsia="zh-CN"/>
              </w:rPr>
            </w:pPr>
            <w:r>
              <w:rPr>
                <w:rFonts w:hint="eastAsia" w:ascii="宋体" w:hAnsi="宋体" w:cs="宋体"/>
                <w:b/>
                <w:bCs/>
                <w:color w:val="auto"/>
                <w:highlight w:val="none"/>
              </w:rPr>
              <w:t xml:space="preserve">注：评标委员会认为供应商的报价明显低于其他通过符合性审查供应商的报价，有可能影响服务质量或者不能诚信履约的，且供应商不能在评标现场合理的时间内证明其报价合理性的，属于恶意竞争情形，评标委员会有权将其作为无效投标处理。</w:t>
            </w:r>
            <w:r/>
          </w:p>
        </w:tc>
        <w:tc>
          <w:tcPr>
            <w:tcW w:w="969" w:type="dxa"/>
            <w:vAlign w:val="center"/>
            <w:textDirection w:val="lrTb"/>
            <w:noWrap w:val="false"/>
          </w:tcPr>
          <w:p>
            <w:pPr>
              <w:jc w:val="center"/>
              <w:spacing w:line="300" w:lineRule="auto"/>
              <w:rPr>
                <w:rFonts w:hint="eastAsia" w:ascii="宋体" w:hAnsi="宋体"/>
                <w:szCs w:val="21"/>
              </w:rPr>
            </w:pPr>
            <w:r>
              <w:rPr>
                <w:rFonts w:hint="eastAsia" w:ascii="宋体" w:hAnsi="宋体"/>
                <w:szCs w:val="21"/>
              </w:rPr>
              <w:t xml:space="preserve">30</w:t>
            </w:r>
            <w:r/>
          </w:p>
        </w:tc>
      </w:tr>
      <w:tr>
        <w:trPr>
          <w:jc w:val="center"/>
          <w:trHeight w:val="18"/>
        </w:trPr>
        <w:tc>
          <w:tcPr>
            <w:tcW w:w="1413" w:type="dxa"/>
            <w:vAlign w:val="center"/>
            <w:vMerge w:val="restart"/>
            <w:textDirection w:val="lrTb"/>
            <w:noWrap w:val="false"/>
          </w:tcPr>
          <w:p>
            <w:pPr>
              <w:jc w:val="center"/>
              <w:spacing w:line="300" w:lineRule="auto"/>
              <w:rPr>
                <w:rFonts w:hint="eastAsia" w:ascii="宋体" w:hAnsi="宋体"/>
                <w:color w:val="000000"/>
                <w:szCs w:val="21"/>
              </w:rPr>
            </w:pPr>
            <w:r>
              <w:rPr>
                <w:rFonts w:hint="eastAsia" w:ascii="宋体" w:hAnsi="宋体" w:cs="宋体"/>
                <w:szCs w:val="21"/>
                <w:lang w:eastAsia="zh-CN"/>
              </w:rPr>
              <w:t xml:space="preserve">样品</w:t>
            </w:r>
            <w:r>
              <w:rPr>
                <w:rFonts w:hint="eastAsia" w:ascii="宋体" w:hAnsi="宋体" w:cs="宋体"/>
                <w:szCs w:val="21"/>
              </w:rPr>
              <w:t xml:space="preserve">（</w:t>
            </w:r>
            <w:r>
              <w:rPr>
                <w:rFonts w:hint="eastAsia" w:ascii="宋体" w:hAnsi="宋体" w:cs="宋体"/>
                <w:szCs w:val="21"/>
                <w:lang w:val="en-US" w:eastAsia="zh-CN"/>
              </w:rPr>
              <w:t xml:space="preserve">24</w:t>
            </w:r>
            <w:r>
              <w:rPr>
                <w:rFonts w:hint="eastAsia" w:ascii="宋体" w:hAnsi="宋体" w:cs="宋体"/>
                <w:szCs w:val="21"/>
              </w:rPr>
              <w:t xml:space="preserve">分）</w:t>
            </w:r>
            <w:r>
              <w:rPr>
                <w:rFonts w:hint="eastAsia" w:ascii="宋体" w:hAnsi="宋体"/>
                <w:color w:val="auto"/>
                <w:szCs w:val="24"/>
                <w:highlight w:val="none"/>
              </w:rPr>
              <w:t xml:space="preserve">（依据实物样品打分）</w:t>
            </w:r>
            <w:r/>
          </w:p>
        </w:tc>
        <w:tc>
          <w:tcPr>
            <w:tcW w:w="7477" w:type="dxa"/>
            <w:vAlign w:val="center"/>
            <w:textDirection w:val="lrTb"/>
            <w:noWrap w:val="false"/>
          </w:tcPr>
          <w:p>
            <w:pPr>
              <w:jc w:val="left"/>
              <w:spacing w:line="300" w:lineRule="auto"/>
              <w:rPr>
                <w:rFonts w:hint="eastAsia" w:ascii="宋体" w:hAnsi="宋体" w:eastAsia="宋体" w:cs="Times New Roman"/>
                <w:bCs/>
                <w:spacing w:val="-4"/>
                <w:szCs w:val="21"/>
                <w:highlight w:val="none"/>
                <w:lang w:eastAsia="zh-CN"/>
              </w:rPr>
            </w:pPr>
            <w:r>
              <w:rPr>
                <w:rFonts w:hint="eastAsia" w:ascii="宋体" w:hAnsi="宋体" w:eastAsia="宋体" w:cs="Times New Roman"/>
                <w:bCs/>
                <w:spacing w:val="-4"/>
                <w:szCs w:val="21"/>
                <w:highlight w:val="none"/>
                <w:lang w:eastAsia="zh-CN"/>
              </w:rPr>
              <w:t xml:space="preserve">组合工作位</w:t>
            </w:r>
            <w:r/>
          </w:p>
          <w:p>
            <w:pPr>
              <w:jc w:val="left"/>
              <w:spacing w:line="300" w:lineRule="auto"/>
              <w:rPr>
                <w:rFonts w:hint="eastAsia" w:ascii="宋体" w:hAnsi="宋体" w:eastAsia="宋体" w:cs="Times New Roman"/>
                <w:bCs/>
                <w:spacing w:val="-4"/>
                <w:szCs w:val="21"/>
                <w:highlight w:val="none"/>
              </w:rPr>
            </w:pPr>
            <w:r>
              <w:rPr>
                <w:rFonts w:hint="eastAsia" w:ascii="宋体" w:hAnsi="宋体" w:eastAsia="宋体" w:cs="Times New Roman"/>
                <w:bCs/>
                <w:spacing w:val="-4"/>
                <w:szCs w:val="21"/>
                <w:highlight w:val="none"/>
                <w:lang w:val="en-US" w:eastAsia="zh-CN"/>
              </w:rPr>
              <w:t xml:space="preserve">1、产品</w:t>
            </w:r>
            <w:r>
              <w:rPr>
                <w:rFonts w:hint="eastAsia" w:ascii="宋体" w:hAnsi="宋体" w:eastAsia="宋体" w:cs="Times New Roman"/>
                <w:bCs/>
                <w:spacing w:val="-4"/>
                <w:szCs w:val="21"/>
                <w:highlight w:val="none"/>
              </w:rPr>
              <w:t xml:space="preserve">封边严密平整、无脱胶、无翘边、无毛刺</w:t>
            </w:r>
            <w:r>
              <w:rPr>
                <w:rFonts w:hint="eastAsia" w:ascii="宋体" w:hAnsi="宋体" w:eastAsia="宋体" w:cs="Times New Roman"/>
                <w:bCs/>
                <w:spacing w:val="-4"/>
                <w:szCs w:val="21"/>
                <w:highlight w:val="none"/>
                <w:lang w:eastAsia="zh-CN"/>
              </w:rPr>
              <w:t xml:space="preserve">，</w:t>
            </w:r>
            <w:r>
              <w:rPr>
                <w:rFonts w:hint="eastAsia" w:ascii="宋体" w:hAnsi="宋体" w:eastAsia="宋体" w:cs="Times New Roman"/>
                <w:bCs/>
                <w:spacing w:val="-4"/>
                <w:szCs w:val="21"/>
                <w:highlight w:val="none"/>
              </w:rPr>
              <w:t xml:space="preserve">板材切面致密均匀，无空洞、掉渣、开裂</w:t>
            </w:r>
            <w:r>
              <w:rPr>
                <w:rFonts w:hint="eastAsia" w:ascii="宋体" w:hAnsi="宋体" w:eastAsia="宋体" w:cs="Times New Roman"/>
                <w:bCs/>
                <w:spacing w:val="-4"/>
                <w:szCs w:val="21"/>
                <w:highlight w:val="none"/>
                <w:lang w:eastAsia="zh-CN"/>
              </w:rPr>
              <w:t xml:space="preserve">的得</w:t>
            </w:r>
            <w:r>
              <w:rPr>
                <w:rFonts w:hint="eastAsia" w:ascii="宋体" w:hAnsi="宋体" w:cs="Times New Roman"/>
                <w:bCs/>
                <w:spacing w:val="-4"/>
                <w:szCs w:val="21"/>
                <w:highlight w:val="none"/>
                <w:lang w:val="en-US" w:eastAsia="zh-CN"/>
              </w:rPr>
              <w:t xml:space="preserve">3</w:t>
            </w:r>
            <w:r>
              <w:rPr>
                <w:rFonts w:hint="eastAsia" w:ascii="宋体" w:hAnsi="宋体" w:eastAsia="宋体" w:cs="Times New Roman"/>
                <w:bCs/>
                <w:spacing w:val="-4"/>
                <w:szCs w:val="21"/>
                <w:highlight w:val="none"/>
                <w:lang w:val="en-US" w:eastAsia="zh-CN"/>
              </w:rPr>
              <w:t xml:space="preserve">分；</w:t>
            </w:r>
            <w:r>
              <w:rPr>
                <w:rFonts w:hint="eastAsia" w:ascii="宋体" w:hAnsi="宋体" w:eastAsia="宋体" w:cs="Times New Roman"/>
                <w:bCs/>
                <w:spacing w:val="-4"/>
                <w:szCs w:val="21"/>
                <w:highlight w:val="none"/>
              </w:rPr>
              <w:t xml:space="preserve">封边完整，局部细微瑕疵，无脱胶翘边；板材切面无明显缺陷</w:t>
            </w:r>
            <w:r>
              <w:rPr>
                <w:rFonts w:hint="eastAsia" w:ascii="宋体" w:hAnsi="宋体" w:eastAsia="宋体" w:cs="Times New Roman"/>
                <w:bCs/>
                <w:spacing w:val="-4"/>
                <w:szCs w:val="21"/>
                <w:highlight w:val="none"/>
                <w:lang w:eastAsia="zh-CN"/>
              </w:rPr>
              <w:t xml:space="preserve">的得</w:t>
            </w:r>
            <w:r>
              <w:rPr>
                <w:rFonts w:hint="eastAsia" w:ascii="宋体" w:hAnsi="宋体" w:cs="Times New Roman"/>
                <w:bCs/>
                <w:spacing w:val="-4"/>
                <w:szCs w:val="21"/>
                <w:highlight w:val="none"/>
                <w:lang w:val="en-US" w:eastAsia="zh-CN"/>
              </w:rPr>
              <w:t xml:space="preserve">1.5</w:t>
            </w:r>
            <w:r>
              <w:rPr>
                <w:rFonts w:hint="eastAsia" w:ascii="宋体" w:hAnsi="宋体" w:eastAsia="宋体" w:cs="Times New Roman"/>
                <w:bCs/>
                <w:spacing w:val="-4"/>
                <w:szCs w:val="21"/>
                <w:highlight w:val="none"/>
                <w:lang w:val="en-US" w:eastAsia="zh-CN"/>
              </w:rPr>
              <w:t xml:space="preserve">分；</w:t>
            </w:r>
            <w:r>
              <w:rPr>
                <w:rFonts w:hint="eastAsia" w:ascii="宋体" w:hAnsi="宋体" w:eastAsia="宋体" w:cs="Times New Roman"/>
                <w:bCs/>
                <w:spacing w:val="-4"/>
                <w:szCs w:val="21"/>
                <w:highlight w:val="none"/>
              </w:rPr>
              <w:t xml:space="preserve">封边开裂、脱胶、明显毛刺；板材疏松、掉渣、破损严重</w:t>
            </w:r>
            <w:r>
              <w:rPr>
                <w:rFonts w:hint="eastAsia" w:ascii="宋体" w:hAnsi="宋体" w:eastAsia="宋体" w:cs="Times New Roman"/>
                <w:bCs/>
                <w:spacing w:val="-4"/>
                <w:szCs w:val="21"/>
                <w:highlight w:val="none"/>
                <w:lang w:eastAsia="zh-CN"/>
              </w:rPr>
              <w:t xml:space="preserve">的不得分</w:t>
            </w:r>
            <w:r>
              <w:rPr>
                <w:rFonts w:hint="eastAsia" w:ascii="宋体" w:hAnsi="宋体" w:eastAsia="宋体" w:cs="Times New Roman"/>
                <w:bCs/>
                <w:spacing w:val="-4"/>
                <w:szCs w:val="21"/>
                <w:highlight w:val="none"/>
              </w:rPr>
              <w:t xml:space="preserve">。</w:t>
            </w:r>
            <w:r/>
          </w:p>
          <w:p>
            <w:pPr>
              <w:jc w:val="left"/>
              <w:spacing w:line="300" w:lineRule="auto"/>
              <w:rPr>
                <w:rFonts w:hint="eastAsia" w:ascii="宋体" w:hAnsi="宋体" w:eastAsia="宋体" w:cs="Times New Roman"/>
                <w:bCs/>
                <w:spacing w:val="-4"/>
                <w:szCs w:val="21"/>
                <w:highlight w:val="none"/>
                <w:lang w:eastAsia="zh-CN"/>
              </w:rPr>
            </w:pPr>
            <w:r>
              <w:rPr>
                <w:rFonts w:hint="eastAsia" w:ascii="宋体" w:hAnsi="宋体" w:eastAsia="宋体" w:cs="Times New Roman"/>
                <w:bCs/>
                <w:spacing w:val="-4"/>
                <w:szCs w:val="21"/>
                <w:highlight w:val="none"/>
                <w:lang w:val="en-US" w:eastAsia="zh-CN"/>
              </w:rPr>
              <w:t xml:space="preserve">2、产品</w:t>
            </w:r>
            <w:r>
              <w:rPr>
                <w:rFonts w:hint="eastAsia" w:ascii="宋体" w:hAnsi="宋体" w:eastAsia="宋体" w:cs="Times New Roman"/>
                <w:bCs/>
                <w:spacing w:val="-4"/>
                <w:szCs w:val="21"/>
                <w:highlight w:val="none"/>
              </w:rPr>
              <w:t xml:space="preserve">板块拼接缝隙均匀一致，边角打磨光滑、五金连接件安装牢固、开合顺畅，无松动</w:t>
            </w:r>
            <w:r>
              <w:rPr>
                <w:rFonts w:hint="eastAsia" w:ascii="宋体" w:hAnsi="宋体" w:eastAsia="宋体" w:cs="Times New Roman"/>
                <w:bCs/>
                <w:spacing w:val="-4"/>
                <w:szCs w:val="21"/>
                <w:highlight w:val="none"/>
                <w:lang w:eastAsia="zh-CN"/>
              </w:rPr>
              <w:t xml:space="preserve">的得</w:t>
            </w:r>
            <w:r>
              <w:rPr>
                <w:rFonts w:hint="eastAsia" w:ascii="宋体" w:hAnsi="宋体" w:cs="Times New Roman"/>
                <w:bCs/>
                <w:spacing w:val="-4"/>
                <w:szCs w:val="21"/>
                <w:highlight w:val="none"/>
                <w:lang w:val="en-US" w:eastAsia="zh-CN"/>
              </w:rPr>
              <w:t xml:space="preserve">3</w:t>
            </w:r>
            <w:r>
              <w:rPr>
                <w:rFonts w:hint="eastAsia" w:ascii="宋体" w:hAnsi="宋体" w:eastAsia="宋体" w:cs="Times New Roman"/>
                <w:bCs/>
                <w:spacing w:val="-4"/>
                <w:szCs w:val="21"/>
                <w:highlight w:val="none"/>
                <w:lang w:val="en-US" w:eastAsia="zh-CN"/>
              </w:rPr>
              <w:t xml:space="preserve">分；</w:t>
            </w:r>
            <w:r>
              <w:rPr>
                <w:rFonts w:hint="eastAsia" w:ascii="宋体" w:hAnsi="宋体" w:eastAsia="宋体" w:cs="Times New Roman"/>
                <w:bCs/>
                <w:spacing w:val="-4"/>
                <w:szCs w:val="21"/>
                <w:highlight w:val="none"/>
              </w:rPr>
              <w:t xml:space="preserve">拼接缝隙基本均匀，无尖锐边角，五金配件安装完好，轻微缝隙偏差</w:t>
            </w:r>
            <w:r>
              <w:rPr>
                <w:rFonts w:hint="eastAsia" w:ascii="宋体" w:hAnsi="宋体" w:eastAsia="宋体" w:cs="Times New Roman"/>
                <w:bCs/>
                <w:spacing w:val="-4"/>
                <w:szCs w:val="21"/>
                <w:highlight w:val="none"/>
                <w:lang w:eastAsia="zh-CN"/>
              </w:rPr>
              <w:t xml:space="preserve">的得</w:t>
            </w:r>
            <w:r>
              <w:rPr>
                <w:rFonts w:hint="eastAsia" w:ascii="宋体" w:hAnsi="宋体" w:cs="Times New Roman"/>
                <w:bCs/>
                <w:spacing w:val="-4"/>
                <w:szCs w:val="21"/>
                <w:highlight w:val="none"/>
                <w:lang w:val="en-US" w:eastAsia="zh-CN"/>
              </w:rPr>
              <w:t xml:space="preserve">1.5</w:t>
            </w:r>
            <w:r>
              <w:rPr>
                <w:rFonts w:hint="eastAsia" w:ascii="宋体" w:hAnsi="宋体" w:eastAsia="宋体" w:cs="Times New Roman"/>
                <w:bCs/>
                <w:spacing w:val="-4"/>
                <w:szCs w:val="21"/>
                <w:highlight w:val="none"/>
                <w:lang w:val="en-US" w:eastAsia="zh-CN"/>
              </w:rPr>
              <w:t xml:space="preserve">分；</w:t>
            </w:r>
            <w:r>
              <w:rPr>
                <w:rFonts w:hint="eastAsia" w:ascii="宋体" w:hAnsi="宋体" w:eastAsia="宋体" w:cs="Times New Roman"/>
                <w:bCs/>
                <w:spacing w:val="-4"/>
                <w:szCs w:val="21"/>
                <w:highlight w:val="none"/>
              </w:rPr>
              <w:t xml:space="preserve">拼接缝隙大小不一、边角尖锐毛刺、五金松动、结构晃动</w:t>
            </w:r>
            <w:r>
              <w:rPr>
                <w:rFonts w:hint="eastAsia" w:ascii="宋体" w:hAnsi="宋体" w:eastAsia="宋体" w:cs="Times New Roman"/>
                <w:bCs/>
                <w:spacing w:val="-4"/>
                <w:szCs w:val="21"/>
                <w:highlight w:val="none"/>
                <w:lang w:eastAsia="zh-CN"/>
              </w:rPr>
              <w:t xml:space="preserve">的不得分。</w:t>
            </w:r>
            <w:r/>
          </w:p>
          <w:p>
            <w:pPr>
              <w:numPr>
                <w:ilvl w:val="0"/>
                <w:numId w:val="0"/>
              </w:numPr>
              <w:ind w:right="0"/>
              <w:keepLines w:val="0"/>
              <w:keepNext w:val="0"/>
              <w:pageBreakBefore w:val="0"/>
              <w:spacing w:before="0" w:beforeAutospacing="0" w:after="0" w:afterAutospacing="0" w:line="360" w:lineRule="auto"/>
              <w:rPr>
                <w:rFonts w:hint="default" w:ascii="宋体" w:hAnsi="宋体" w:eastAsia="宋体" w:cs="Times New Roman"/>
                <w:bCs/>
                <w:spacing w:val="-4"/>
                <w:szCs w:val="21"/>
                <w:highlight w:val="none"/>
                <w:lang w:val="en-US" w:eastAsia="zh-CN"/>
              </w:rPr>
              <w:suppressLineNumbers w:val="0"/>
            </w:pPr>
            <w:r>
              <w:rPr>
                <w:rFonts w:hint="eastAsia" w:ascii="宋体" w:hAnsi="宋体" w:cs="Times New Roman"/>
                <w:bCs/>
                <w:spacing w:val="-4"/>
                <w:szCs w:val="21"/>
                <w:highlight w:val="none"/>
                <w:lang w:val="en-US" w:eastAsia="zh-CN"/>
              </w:rPr>
              <w:t xml:space="preserve">3、</w:t>
            </w:r>
            <w:r>
              <w:rPr>
                <w:rFonts w:hint="eastAsia" w:ascii="宋体" w:hAnsi="宋体"/>
                <w:color w:val="auto"/>
                <w:highlight w:val="none"/>
              </w:rPr>
              <w:t xml:space="preserve">产品</w:t>
            </w:r>
            <w:r>
              <w:rPr>
                <w:rFonts w:ascii="宋体" w:hAnsi="宋体"/>
                <w:color w:val="auto"/>
                <w:szCs w:val="21"/>
                <w:highlight w:val="none"/>
              </w:rPr>
              <w:t xml:space="preserve">色泽应</w:t>
            </w:r>
            <w:r>
              <w:rPr>
                <w:rFonts w:hint="eastAsia" w:ascii="宋体" w:hAnsi="宋体"/>
                <w:color w:val="auto"/>
                <w:szCs w:val="21"/>
                <w:highlight w:val="none"/>
              </w:rPr>
              <w:t xml:space="preserve">与图片基本</w:t>
            </w:r>
            <w:r>
              <w:rPr>
                <w:rFonts w:ascii="宋体" w:hAnsi="宋体"/>
                <w:color w:val="auto"/>
                <w:szCs w:val="21"/>
                <w:highlight w:val="none"/>
              </w:rPr>
              <w:t xml:space="preserve">相似</w:t>
            </w:r>
            <w:r>
              <w:rPr>
                <w:rFonts w:hint="eastAsia" w:ascii="宋体" w:hAnsi="宋体"/>
                <w:color w:val="auto"/>
                <w:szCs w:val="21"/>
                <w:highlight w:val="none"/>
              </w:rPr>
              <w:t xml:space="preserve">、</w:t>
            </w:r>
            <w:r>
              <w:rPr>
                <w:rFonts w:hint="eastAsia" w:ascii="宋体" w:hAnsi="宋体"/>
                <w:color w:val="auto"/>
                <w:highlight w:val="none"/>
              </w:rPr>
              <w:t xml:space="preserve">贴面平整光滑一致、无色差现象的</w:t>
            </w:r>
            <w:r>
              <w:rPr>
                <w:rFonts w:hint="eastAsia" w:ascii="宋体" w:hAnsi="宋体"/>
                <w:color w:val="auto"/>
                <w:highlight w:val="none"/>
                <w:lang w:val="en-US" w:eastAsia="zh-CN"/>
              </w:rPr>
              <w:t xml:space="preserve">得3</w:t>
            </w:r>
            <w:r>
              <w:rPr>
                <w:rFonts w:hint="eastAsia" w:ascii="宋体" w:hAnsi="宋体"/>
                <w:color w:val="auto"/>
                <w:highlight w:val="none"/>
              </w:rPr>
              <w:t xml:space="preserve">分；表面平整、色泽相似的</w:t>
            </w:r>
            <w:r>
              <w:rPr>
                <w:rFonts w:hint="eastAsia" w:ascii="宋体" w:hAnsi="宋体"/>
                <w:color w:val="auto"/>
                <w:highlight w:val="none"/>
                <w:lang w:val="en-US" w:eastAsia="zh-CN"/>
              </w:rPr>
              <w:t xml:space="preserve">得1.5</w:t>
            </w:r>
            <w:r>
              <w:rPr>
                <w:rFonts w:hint="eastAsia" w:ascii="宋体" w:hAnsi="宋体"/>
                <w:color w:val="auto"/>
                <w:highlight w:val="none"/>
              </w:rPr>
              <w:t xml:space="preserve">分；表面粗糙、色泽差异较大</w:t>
            </w:r>
            <w:r>
              <w:rPr>
                <w:rFonts w:hint="eastAsia" w:ascii="宋体" w:hAnsi="宋体" w:eastAsia="宋体" w:cs="Times New Roman"/>
                <w:bCs/>
                <w:spacing w:val="-4"/>
                <w:szCs w:val="21"/>
                <w:highlight w:val="none"/>
                <w:lang w:eastAsia="zh-CN"/>
              </w:rPr>
              <w:t xml:space="preserve">不得分</w:t>
            </w:r>
            <w:r>
              <w:rPr>
                <w:rFonts w:hint="eastAsia" w:ascii="宋体" w:hAnsi="宋体"/>
                <w:color w:val="auto"/>
                <w:highlight w:val="none"/>
              </w:rPr>
              <w:t xml:space="preserve">。</w:t>
            </w:r>
            <w:r/>
          </w:p>
        </w:tc>
        <w:tc>
          <w:tcPr>
            <w:tcW w:w="969" w:type="dxa"/>
            <w:vAlign w:val="center"/>
            <w:textDirection w:val="lrTb"/>
            <w:noWrap w:val="false"/>
          </w:tcPr>
          <w:p>
            <w:pPr>
              <w:jc w:val="center"/>
              <w:spacing w:line="300" w:lineRule="auto"/>
              <w:rPr>
                <w:rFonts w:hint="default" w:ascii="宋体" w:hAnsi="宋体" w:eastAsia="宋体"/>
                <w:color w:val="000000"/>
                <w:szCs w:val="21"/>
                <w:lang w:val="en-US" w:eastAsia="zh-CN"/>
              </w:rPr>
            </w:pPr>
            <w:r>
              <w:rPr>
                <w:rFonts w:hint="eastAsia" w:ascii="宋体" w:hAnsi="宋体"/>
                <w:color w:val="000000"/>
                <w:szCs w:val="21"/>
                <w:lang w:val="en-US" w:eastAsia="zh-CN"/>
              </w:rPr>
              <w:t xml:space="preserve">9</w:t>
            </w:r>
            <w:r/>
          </w:p>
        </w:tc>
      </w:tr>
      <w:tr>
        <w:trPr>
          <w:jc w:val="center"/>
          <w:trHeight w:val="18"/>
        </w:trPr>
        <w:tc>
          <w:tcPr>
            <w:tcW w:w="1413" w:type="dxa"/>
            <w:vAlign w:val="center"/>
            <w:vMerge w:val="continue"/>
            <w:textDirection w:val="lrTb"/>
            <w:noWrap w:val="false"/>
          </w:tcPr>
          <w:p>
            <w:pPr>
              <w:jc w:val="center"/>
              <w:spacing w:line="300" w:lineRule="auto"/>
              <w:rPr>
                <w:rFonts w:hint="eastAsia" w:ascii="宋体" w:hAnsi="宋体"/>
                <w:color w:val="ff0000"/>
                <w:szCs w:val="21"/>
              </w:rPr>
            </w:pPr>
            <w:r>
              <w:rPr>
                <w:rFonts w:hint="eastAsia" w:ascii="宋体" w:hAnsi="宋体"/>
                <w:color w:val="ff0000"/>
                <w:szCs w:val="21"/>
              </w:rPr>
            </w:r>
            <w:r/>
          </w:p>
        </w:tc>
        <w:tc>
          <w:tcPr>
            <w:tcW w:w="7477" w:type="dxa"/>
            <w:vAlign w:val="center"/>
            <w:textDirection w:val="lrTb"/>
            <w:noWrap w:val="false"/>
          </w:tcPr>
          <w:p>
            <w:pPr>
              <w:jc w:val="left"/>
              <w:spacing w:line="300" w:lineRule="auto"/>
              <w:rPr>
                <w:rFonts w:hint="eastAsia" w:ascii="宋体" w:hAnsi="宋体"/>
                <w:color w:val="000000"/>
                <w:szCs w:val="21"/>
                <w:highlight w:val="none"/>
              </w:rPr>
            </w:pPr>
            <w:r>
              <w:rPr>
                <w:rFonts w:hint="eastAsia" w:ascii="宋体" w:hAnsi="宋体"/>
                <w:color w:val="000000"/>
                <w:szCs w:val="21"/>
                <w:highlight w:val="none"/>
              </w:rPr>
              <w:t xml:space="preserve">会议椅</w:t>
            </w:r>
            <w:r/>
          </w:p>
          <w:p>
            <w:pPr>
              <w:jc w:val="left"/>
              <w:spacing w:line="30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产品面料平整无褶皱、耐磨紧致，走线笔直工整、压线对称、无跳线、无断线，海绵填充饱满、回弹均匀的得3分；面料完好无破损，缝制基本规整，无大面积跳线，填充正常的得1.5分；面料破损、起球、严重褶皱，走线杂乱、多处跳线开裂，海绵塌陷、填充劣质的不得分。</w:t>
            </w:r>
            <w:r/>
          </w:p>
          <w:p>
            <w:pPr>
              <w:jc w:val="left"/>
              <w:spacing w:line="30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2、产品椅架连接牢固，整体静置无晃动、无异响的得3分；整体结构完好，轻微小幅晃动，无结构性损坏的得1.5分；框架松动、摇晃严重、变形破损的不得分。</w:t>
            </w:r>
            <w:r/>
          </w:p>
          <w:p>
            <w:pPr>
              <w:jc w:val="left"/>
              <w:spacing w:line="300" w:lineRule="auto"/>
              <w:rPr>
                <w:rFonts w:hint="eastAsia" w:ascii="宋体" w:hAnsi="宋体"/>
                <w:color w:val="000000"/>
                <w:szCs w:val="21"/>
                <w:highlight w:val="none"/>
                <w:lang w:val="en-US" w:eastAsia="zh-CN"/>
              </w:rPr>
            </w:pPr>
            <w:r>
              <w:rPr>
                <w:rFonts w:hint="eastAsia" w:ascii="宋体" w:hAnsi="宋体" w:cs="Times New Roman"/>
                <w:bCs/>
                <w:spacing w:val="-4"/>
                <w:szCs w:val="21"/>
                <w:highlight w:val="none"/>
                <w:lang w:val="en-US" w:eastAsia="zh-CN"/>
              </w:rPr>
              <w:t xml:space="preserve">3、</w:t>
            </w:r>
            <w:r>
              <w:rPr>
                <w:rFonts w:hint="eastAsia" w:ascii="宋体" w:hAnsi="宋体"/>
                <w:color w:val="auto"/>
                <w:highlight w:val="none"/>
              </w:rPr>
              <w:t xml:space="preserve">产品</w:t>
            </w:r>
            <w:r>
              <w:rPr>
                <w:rFonts w:ascii="宋体" w:hAnsi="宋体"/>
                <w:color w:val="auto"/>
                <w:szCs w:val="21"/>
                <w:highlight w:val="none"/>
              </w:rPr>
              <w:t xml:space="preserve">色泽应</w:t>
            </w:r>
            <w:r>
              <w:rPr>
                <w:rFonts w:hint="eastAsia" w:ascii="宋体" w:hAnsi="宋体"/>
                <w:color w:val="auto"/>
                <w:szCs w:val="21"/>
                <w:highlight w:val="none"/>
              </w:rPr>
              <w:t xml:space="preserve">与图片基本</w:t>
            </w:r>
            <w:r>
              <w:rPr>
                <w:rFonts w:ascii="宋体" w:hAnsi="宋体"/>
                <w:color w:val="auto"/>
                <w:szCs w:val="21"/>
                <w:highlight w:val="none"/>
              </w:rPr>
              <w:t xml:space="preserve">相似</w:t>
            </w:r>
            <w:r>
              <w:rPr>
                <w:rFonts w:hint="eastAsia" w:ascii="宋体" w:hAnsi="宋体"/>
                <w:color w:val="auto"/>
                <w:szCs w:val="21"/>
                <w:highlight w:val="none"/>
              </w:rPr>
              <w:t xml:space="preserve">、</w:t>
            </w:r>
            <w:r>
              <w:rPr>
                <w:rFonts w:hint="eastAsia" w:ascii="宋体" w:hAnsi="宋体"/>
                <w:color w:val="auto"/>
                <w:highlight w:val="none"/>
              </w:rPr>
              <w:t xml:space="preserve">贴面平整光滑一致、无色差现象的</w:t>
            </w:r>
            <w:r>
              <w:rPr>
                <w:rFonts w:hint="eastAsia" w:ascii="宋体" w:hAnsi="宋体"/>
                <w:color w:val="auto"/>
                <w:highlight w:val="none"/>
                <w:lang w:val="en-US" w:eastAsia="zh-CN"/>
              </w:rPr>
              <w:t xml:space="preserve">得3</w:t>
            </w:r>
            <w:r>
              <w:rPr>
                <w:rFonts w:hint="eastAsia" w:ascii="宋体" w:hAnsi="宋体"/>
                <w:color w:val="auto"/>
                <w:highlight w:val="none"/>
              </w:rPr>
              <w:t xml:space="preserve">分；表面平整、色泽相似的</w:t>
            </w:r>
            <w:r>
              <w:rPr>
                <w:rFonts w:hint="eastAsia" w:ascii="宋体" w:hAnsi="宋体"/>
                <w:color w:val="auto"/>
                <w:highlight w:val="none"/>
                <w:lang w:val="en-US" w:eastAsia="zh-CN"/>
              </w:rPr>
              <w:t xml:space="preserve">得1.5</w:t>
            </w:r>
            <w:r>
              <w:rPr>
                <w:rFonts w:hint="eastAsia" w:ascii="宋体" w:hAnsi="宋体"/>
                <w:color w:val="auto"/>
                <w:highlight w:val="none"/>
              </w:rPr>
              <w:t xml:space="preserve">分；表面粗糙、色泽差异较大</w:t>
            </w:r>
            <w:r>
              <w:rPr>
                <w:rFonts w:hint="eastAsia" w:ascii="宋体" w:hAnsi="宋体" w:eastAsia="宋体" w:cs="Times New Roman"/>
                <w:bCs/>
                <w:spacing w:val="-4"/>
                <w:szCs w:val="21"/>
                <w:highlight w:val="none"/>
                <w:lang w:eastAsia="zh-CN"/>
              </w:rPr>
              <w:t xml:space="preserve">不得分</w:t>
            </w:r>
            <w:r>
              <w:rPr>
                <w:rFonts w:hint="eastAsia" w:ascii="宋体" w:hAnsi="宋体"/>
                <w:color w:val="auto"/>
                <w:highlight w:val="none"/>
              </w:rPr>
              <w:t xml:space="preserve">。</w:t>
            </w:r>
            <w:r/>
          </w:p>
        </w:tc>
        <w:tc>
          <w:tcPr>
            <w:tcW w:w="969" w:type="dxa"/>
            <w:vAlign w:val="center"/>
            <w:textDirection w:val="lrTb"/>
            <w:noWrap w:val="false"/>
          </w:tcPr>
          <w:p>
            <w:pPr>
              <w:jc w:val="center"/>
              <w:spacing w:line="300" w:lineRule="auto"/>
              <w:rPr>
                <w:rFonts w:hint="eastAsia" w:ascii="宋体" w:hAnsi="宋体" w:eastAsia="宋体"/>
                <w:color w:val="000000"/>
                <w:szCs w:val="21"/>
                <w:lang w:eastAsia="zh-CN"/>
              </w:rPr>
            </w:pPr>
            <w:r>
              <w:rPr>
                <w:rFonts w:hint="eastAsia" w:ascii="宋体" w:hAnsi="宋体"/>
                <w:color w:val="000000"/>
                <w:szCs w:val="21"/>
                <w:lang w:val="en-US" w:eastAsia="zh-CN"/>
              </w:rPr>
              <w:t xml:space="preserve">9</w:t>
            </w:r>
            <w:r/>
          </w:p>
        </w:tc>
      </w:tr>
      <w:tr>
        <w:trPr>
          <w:jc w:val="center"/>
          <w:trHeight w:val="18"/>
        </w:trPr>
        <w:tc>
          <w:tcPr>
            <w:tcW w:w="1413" w:type="dxa"/>
            <w:vAlign w:val="center"/>
            <w:vMerge w:val="continue"/>
            <w:textDirection w:val="lrTb"/>
            <w:noWrap w:val="false"/>
          </w:tcPr>
          <w:p>
            <w:pPr>
              <w:jc w:val="center"/>
              <w:spacing w:line="300" w:lineRule="auto"/>
              <w:rPr>
                <w:rFonts w:hint="eastAsia" w:ascii="宋体" w:hAnsi="宋体"/>
                <w:color w:val="ff0000"/>
                <w:szCs w:val="21"/>
              </w:rPr>
            </w:pPr>
            <w:r>
              <w:rPr>
                <w:rFonts w:hint="eastAsia" w:ascii="宋体" w:hAnsi="宋体"/>
                <w:color w:val="ff0000"/>
                <w:szCs w:val="21"/>
              </w:rPr>
            </w:r>
            <w:r/>
          </w:p>
        </w:tc>
        <w:tc>
          <w:tcPr>
            <w:tcW w:w="7477" w:type="dxa"/>
            <w:vAlign w:val="center"/>
            <w:textDirection w:val="lrTb"/>
            <w:noWrap w:val="false"/>
          </w:tcPr>
          <w:p>
            <w:pPr>
              <w:ind w:hanging="1"/>
              <w:spacing w:line="300" w:lineRule="auto"/>
              <w:rPr>
                <w:rFonts w:hint="eastAsia" w:ascii="宋体" w:hAnsi="宋体"/>
                <w:szCs w:val="21"/>
              </w:rPr>
            </w:pPr>
            <w:r>
              <w:rPr>
                <w:rFonts w:hint="eastAsia" w:ascii="宋体" w:hAnsi="宋体"/>
                <w:szCs w:val="21"/>
              </w:rPr>
              <w:t xml:space="preserve">接待沙发</w:t>
            </w:r>
            <w:r/>
          </w:p>
          <w:p>
            <w:pPr>
              <w:ind w:hanging="1"/>
              <w:spacing w:line="30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lang w:eastAsia="zh-CN"/>
              </w:rPr>
              <w:t xml:space="preserve">、产品</w:t>
            </w:r>
            <w:r>
              <w:rPr>
                <w:rFonts w:hint="eastAsia" w:ascii="宋体" w:hAnsi="宋体"/>
                <w:szCs w:val="21"/>
              </w:rPr>
              <w:t xml:space="preserve">面料色泽均匀、无瑕疵、无脏污色差</w:t>
            </w:r>
            <w:r>
              <w:rPr>
                <w:rFonts w:hint="eastAsia" w:ascii="宋体" w:hAnsi="宋体"/>
                <w:szCs w:val="21"/>
                <w:lang w:eastAsia="zh-CN"/>
              </w:rPr>
              <w:t xml:space="preserve">，</w:t>
            </w:r>
            <w:r>
              <w:rPr>
                <w:rFonts w:hint="eastAsia" w:ascii="宋体" w:hAnsi="宋体"/>
                <w:szCs w:val="21"/>
              </w:rPr>
              <w:t xml:space="preserve">缝合走线工整、转角处理精细，包边平整服帖</w:t>
            </w:r>
            <w:r>
              <w:rPr>
                <w:rFonts w:hint="eastAsia" w:ascii="宋体" w:hAnsi="宋体"/>
                <w:szCs w:val="21"/>
                <w:lang w:eastAsia="zh-CN"/>
              </w:rPr>
              <w:t xml:space="preserve">的得</w:t>
            </w:r>
            <w:r>
              <w:rPr>
                <w:rFonts w:hint="eastAsia" w:ascii="宋体" w:hAnsi="宋体"/>
                <w:szCs w:val="21"/>
                <w:lang w:val="en-US" w:eastAsia="zh-CN"/>
              </w:rPr>
              <w:t xml:space="preserve">3分；</w:t>
            </w:r>
            <w:r>
              <w:rPr>
                <w:rFonts w:hint="eastAsia" w:ascii="宋体" w:hAnsi="宋体"/>
                <w:szCs w:val="21"/>
              </w:rPr>
              <w:t xml:space="preserve">面料无破损，缝纫工艺基本达标，局部细节处理一般</w:t>
            </w:r>
            <w:r>
              <w:rPr>
                <w:rFonts w:hint="eastAsia" w:ascii="宋体" w:hAnsi="宋体"/>
                <w:szCs w:val="21"/>
                <w:lang w:eastAsia="zh-CN"/>
              </w:rPr>
              <w:t xml:space="preserve">的得</w:t>
            </w:r>
            <w:r>
              <w:rPr>
                <w:rFonts w:hint="eastAsia" w:ascii="宋体" w:hAnsi="宋体"/>
                <w:szCs w:val="21"/>
                <w:lang w:val="en-US" w:eastAsia="zh-CN"/>
              </w:rPr>
              <w:t xml:space="preserve">1.5分；</w:t>
            </w:r>
            <w:r>
              <w:rPr>
                <w:rFonts w:hint="eastAsia" w:ascii="宋体" w:hAnsi="宋体"/>
                <w:szCs w:val="21"/>
              </w:rPr>
              <w:t xml:space="preserve">面料刮擦破损、色差明显、大面积跳线、开线</w:t>
            </w:r>
            <w:r>
              <w:rPr>
                <w:rFonts w:hint="eastAsia" w:ascii="宋体" w:hAnsi="宋体"/>
                <w:szCs w:val="21"/>
                <w:lang w:eastAsia="zh-CN"/>
              </w:rPr>
              <w:t xml:space="preserve">的不得分</w:t>
            </w:r>
            <w:r>
              <w:rPr>
                <w:rFonts w:hint="eastAsia" w:ascii="宋体" w:hAnsi="宋体"/>
                <w:szCs w:val="21"/>
              </w:rPr>
              <w:t xml:space="preserve">。</w:t>
            </w:r>
            <w:r/>
          </w:p>
          <w:p>
            <w:pPr>
              <w:ind w:hanging="1"/>
              <w:spacing w:line="300" w:lineRule="auto"/>
              <w:rPr>
                <w:rFonts w:hint="eastAsia" w:ascii="宋体" w:hAnsi="宋体"/>
                <w:szCs w:val="21"/>
              </w:rPr>
            </w:pPr>
            <w:r>
              <w:rPr>
                <w:rFonts w:hint="eastAsia" w:ascii="宋体" w:hAnsi="宋体"/>
                <w:szCs w:val="21"/>
                <w:lang w:val="en-US" w:eastAsia="zh-CN"/>
              </w:rPr>
              <w:t xml:space="preserve">2、产品</w:t>
            </w:r>
            <w:r>
              <w:rPr>
                <w:rFonts w:hint="eastAsia" w:ascii="宋体" w:hAnsi="宋体"/>
                <w:szCs w:val="21"/>
              </w:rPr>
              <w:t xml:space="preserve">坐垫、靠背填充均匀软硬适中，回弹性好</w:t>
            </w:r>
            <w:r>
              <w:rPr>
                <w:rFonts w:hint="eastAsia" w:ascii="宋体" w:hAnsi="宋体"/>
                <w:szCs w:val="21"/>
                <w:lang w:eastAsia="zh-CN"/>
              </w:rPr>
              <w:t xml:space="preserve">，</w:t>
            </w:r>
            <w:r>
              <w:rPr>
                <w:rFonts w:hint="eastAsia" w:ascii="宋体" w:hAnsi="宋体"/>
                <w:szCs w:val="21"/>
              </w:rPr>
              <w:t xml:space="preserve">框架受力稳固，底座平整不歪斜，无晃动</w:t>
            </w:r>
            <w:r>
              <w:rPr>
                <w:rFonts w:hint="eastAsia" w:ascii="宋体" w:hAnsi="宋体"/>
                <w:szCs w:val="21"/>
                <w:lang w:eastAsia="zh-CN"/>
              </w:rPr>
              <w:t xml:space="preserve">的得</w:t>
            </w:r>
            <w:r>
              <w:rPr>
                <w:rFonts w:hint="eastAsia" w:ascii="宋体" w:hAnsi="宋体"/>
                <w:szCs w:val="21"/>
                <w:lang w:val="en-US" w:eastAsia="zh-CN"/>
              </w:rPr>
              <w:t xml:space="preserve">3分；</w:t>
            </w:r>
            <w:r>
              <w:rPr>
                <w:rFonts w:hint="eastAsia" w:ascii="宋体" w:hAnsi="宋体"/>
                <w:szCs w:val="21"/>
              </w:rPr>
              <w:t xml:space="preserve">填充正常，整体稳固，无倾斜、无结构缺陷</w:t>
            </w:r>
            <w:r>
              <w:rPr>
                <w:rFonts w:hint="eastAsia" w:ascii="宋体" w:hAnsi="宋体"/>
                <w:szCs w:val="21"/>
                <w:lang w:eastAsia="zh-CN"/>
              </w:rPr>
              <w:t xml:space="preserve">的得</w:t>
            </w:r>
            <w:r>
              <w:rPr>
                <w:rFonts w:hint="eastAsia" w:ascii="宋体" w:hAnsi="宋体"/>
                <w:szCs w:val="21"/>
                <w:lang w:val="en-US" w:eastAsia="zh-CN"/>
              </w:rPr>
              <w:t xml:space="preserve">1.5分；</w:t>
            </w:r>
            <w:r>
              <w:rPr>
                <w:rFonts w:hint="eastAsia" w:ascii="宋体" w:hAnsi="宋体"/>
                <w:szCs w:val="21"/>
              </w:rPr>
              <w:t xml:space="preserve">填充凹凸塌陷、框架歪斜、底座不稳、晃动明显</w:t>
            </w:r>
            <w:r>
              <w:rPr>
                <w:rFonts w:hint="eastAsia" w:ascii="宋体" w:hAnsi="宋体"/>
                <w:szCs w:val="21"/>
                <w:lang w:eastAsia="zh-CN"/>
              </w:rPr>
              <w:t xml:space="preserve">的不得分</w:t>
            </w:r>
            <w:r>
              <w:rPr>
                <w:rFonts w:hint="eastAsia" w:ascii="宋体" w:hAnsi="宋体"/>
                <w:szCs w:val="21"/>
              </w:rPr>
              <w:t xml:space="preserve">。</w:t>
            </w:r>
            <w:r/>
          </w:p>
        </w:tc>
        <w:tc>
          <w:tcPr>
            <w:tcW w:w="969" w:type="dxa"/>
            <w:vAlign w:val="center"/>
            <w:textDirection w:val="lrTb"/>
            <w:noWrap w:val="false"/>
          </w:tcPr>
          <w:p>
            <w:pPr>
              <w:jc w:val="center"/>
              <w:spacing w:line="30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6</w:t>
            </w:r>
            <w:r/>
          </w:p>
        </w:tc>
      </w:tr>
      <w:tr>
        <w:trPr>
          <w:jc w:val="center"/>
          <w:trHeight w:val="18"/>
        </w:trPr>
        <w:tc>
          <w:tcPr>
            <w:tcW w:w="141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olor w:val="auto"/>
                <w:szCs w:val="24"/>
                <w:highlight w:val="none"/>
                <w:lang w:eastAsia="zh-CN"/>
              </w:rPr>
              <w:suppressLineNumbers w:val="0"/>
            </w:pPr>
            <w:r>
              <w:rPr>
                <w:rFonts w:hint="eastAsia" w:ascii="宋体" w:hAnsi="宋体"/>
                <w:color w:val="auto"/>
                <w:szCs w:val="24"/>
                <w:highlight w:val="none"/>
                <w:lang w:eastAsia="zh-CN"/>
              </w:rPr>
              <w:t xml:space="preserve">技术响应（</w:t>
            </w:r>
            <w:r>
              <w:rPr>
                <w:rFonts w:hint="eastAsia" w:ascii="宋体" w:hAnsi="宋体"/>
                <w:color w:val="auto"/>
                <w:szCs w:val="24"/>
                <w:highlight w:val="none"/>
                <w:lang w:val="en-US" w:eastAsia="zh-CN"/>
              </w:rPr>
              <w:t xml:space="preserve">6分</w:t>
            </w:r>
            <w:r>
              <w:rPr>
                <w:rFonts w:hint="eastAsia" w:ascii="宋体" w:hAnsi="宋体"/>
                <w:color w:val="auto"/>
                <w:szCs w:val="24"/>
                <w:highlight w:val="none"/>
                <w:lang w:eastAsia="zh-CN"/>
              </w:rPr>
              <w:t xml:space="preserve">）</w:t>
            </w:r>
            <w:r/>
          </w:p>
        </w:tc>
        <w:tc>
          <w:tcPr>
            <w:tcW w:w="7477" w:type="dxa"/>
            <w:vAlign w:val="center"/>
            <w:textDirection w:val="lrTb"/>
            <w:noWrap w:val="false"/>
          </w:tcPr>
          <w:p>
            <w:pPr>
              <w:ind w:hanging="1"/>
              <w:spacing w:line="300" w:lineRule="auto"/>
              <w:rPr>
                <w:rFonts w:hint="eastAsia" w:ascii="宋体" w:hAnsi="宋体" w:cs="宋体"/>
                <w:color w:val="auto"/>
                <w:highlight w:val="none"/>
              </w:rPr>
            </w:pPr>
            <w:r>
              <w:rPr>
                <w:rFonts w:hint="eastAsia" w:ascii="宋体" w:hAnsi="宋体" w:eastAsia="宋体" w:cs="Times New Roman"/>
                <w:szCs w:val="21"/>
                <w:highlight w:val="none"/>
                <w:lang w:val="en-US" w:eastAsia="zh-CN"/>
              </w:rPr>
              <w:t xml:space="preserve">投标人或所投产品制造商提供由国家认可的第三方检测机构出具的带有“CMA”标识的检测合格报告，包括：办公桌、办公椅、文件柜、沙发、刨花板、人造皮革、海绵、网布、冷轧钢板、阻尼导轨、铰链、锁</w:t>
            </w:r>
            <w:r>
              <w:rPr>
                <w:rFonts w:hint="eastAsia" w:ascii="宋体" w:hAnsi="宋体" w:cs="Times New Roman"/>
                <w:szCs w:val="21"/>
                <w:highlight w:val="none"/>
                <w:lang w:val="en-US" w:eastAsia="zh-CN"/>
              </w:rPr>
              <w:t xml:space="preserve">具</w:t>
            </w:r>
            <w:r>
              <w:rPr>
                <w:rFonts w:hint="eastAsia" w:ascii="宋体" w:hAnsi="宋体" w:eastAsia="宋体" w:cs="Times New Roman"/>
                <w:szCs w:val="21"/>
                <w:highlight w:val="none"/>
                <w:lang w:val="en-US" w:eastAsia="zh-CN"/>
              </w:rPr>
              <w:t xml:space="preserve">，每提供一项得0.5分，最高得6分。</w:t>
            </w:r>
            <w:r>
              <w:rPr>
                <w:rFonts w:hint="eastAsia" w:ascii="宋体" w:hAnsi="宋体" w:cs="Times New Roman"/>
                <w:szCs w:val="21"/>
                <w:highlight w:val="none"/>
                <w:lang w:val="en-US" w:eastAsia="zh-CN"/>
              </w:rPr>
              <w:t xml:space="preserve">（</w:t>
            </w:r>
            <w:r>
              <w:rPr>
                <w:rFonts w:hint="eastAsia" w:ascii="宋体" w:hAnsi="宋体" w:eastAsia="宋体" w:cs="Times New Roman"/>
                <w:b/>
                <w:bCs/>
                <w:szCs w:val="21"/>
                <w:highlight w:val="none"/>
                <w:lang w:eastAsia="zh-CN"/>
              </w:rPr>
              <w:t xml:space="preserve">提供</w:t>
            </w:r>
            <w:r>
              <w:rPr>
                <w:rFonts w:hint="eastAsia" w:ascii="宋体" w:hAnsi="宋体" w:eastAsia="宋体" w:cs="Times New Roman"/>
                <w:b/>
                <w:bCs/>
                <w:szCs w:val="21"/>
                <w:highlight w:val="none"/>
                <w:lang w:val="en-US" w:eastAsia="zh-CN"/>
              </w:rPr>
              <w:t xml:space="preserve">检测报告原件扫描上传；检测报告</w:t>
            </w:r>
            <w:r>
              <w:rPr>
                <w:rFonts w:hint="eastAsia" w:ascii="宋体" w:hAnsi="宋体" w:eastAsia="宋体" w:cs="Times New Roman"/>
                <w:b/>
                <w:bCs/>
                <w:szCs w:val="21"/>
                <w:highlight w:val="none"/>
                <w:lang w:eastAsia="zh-CN"/>
              </w:rPr>
              <w:t xml:space="preserve">名称没有限制性，为同种</w:t>
            </w:r>
            <w:r>
              <w:rPr>
                <w:rFonts w:hint="eastAsia" w:ascii="宋体" w:hAnsi="宋体" w:eastAsia="宋体" w:cs="Times New Roman"/>
                <w:b/>
                <w:bCs/>
                <w:szCs w:val="21"/>
                <w:highlight w:val="none"/>
                <w:lang w:val="en-US" w:eastAsia="zh-CN"/>
              </w:rPr>
              <w:t xml:space="preserve">产品</w:t>
            </w:r>
            <w:r>
              <w:rPr>
                <w:rFonts w:hint="eastAsia" w:ascii="宋体" w:hAnsi="宋体" w:eastAsia="宋体" w:cs="Times New Roman"/>
                <w:b/>
                <w:bCs/>
                <w:szCs w:val="21"/>
                <w:highlight w:val="none"/>
                <w:lang w:eastAsia="zh-CN"/>
              </w:rPr>
              <w:t xml:space="preserve">或相近名称均可</w:t>
            </w:r>
            <w:r>
              <w:rPr>
                <w:rFonts w:hint="eastAsia" w:ascii="宋体" w:hAnsi="宋体" w:eastAsia="宋体" w:cs="Times New Roman"/>
                <w:b/>
                <w:bCs/>
                <w:szCs w:val="21"/>
                <w:highlight w:val="none"/>
                <w:lang w:val="en-US" w:eastAsia="zh-CN"/>
              </w:rPr>
              <w:t xml:space="preserve">，具体由评标委员会认定。</w:t>
            </w:r>
            <w:r>
              <w:rPr>
                <w:rFonts w:hint="eastAsia" w:ascii="宋体" w:hAnsi="宋体" w:cs="Times New Roman"/>
                <w:szCs w:val="21"/>
                <w:highlight w:val="none"/>
                <w:lang w:val="en-US" w:eastAsia="zh-CN"/>
              </w:rPr>
              <w:t xml:space="preserve">）</w:t>
            </w:r>
            <w:r/>
          </w:p>
        </w:tc>
        <w:tc>
          <w:tcPr>
            <w:tcW w:w="969" w:type="dxa"/>
            <w:vAlign w:val="center"/>
            <w:textDirection w:val="lrTb"/>
            <w:noWrap w:val="false"/>
          </w:tcPr>
          <w:p>
            <w:pPr>
              <w:jc w:val="center"/>
              <w:spacing w:line="300" w:lineRule="auto"/>
              <w:widowControl/>
              <w:rPr>
                <w:rFonts w:hint="default" w:ascii="宋体" w:hAnsi="宋体"/>
                <w:color w:val="000000"/>
                <w:szCs w:val="21"/>
                <w:lang w:val="en-US" w:eastAsia="zh-CN"/>
              </w:rPr>
            </w:pPr>
            <w:r>
              <w:rPr>
                <w:rFonts w:hint="eastAsia" w:ascii="宋体" w:hAnsi="宋体"/>
                <w:color w:val="000000"/>
                <w:szCs w:val="21"/>
                <w:lang w:val="en-US" w:eastAsia="zh-CN"/>
              </w:rPr>
              <w:t xml:space="preserve">6</w:t>
            </w:r>
            <w:r/>
          </w:p>
        </w:tc>
      </w:tr>
      <w:tr>
        <w:trPr>
          <w:jc w:val="center"/>
          <w:trHeight w:val="18"/>
        </w:trPr>
        <w:tc>
          <w:tcPr>
            <w:tcW w:w="1413" w:type="dxa"/>
            <w:vAlign w:val="center"/>
            <w:textDirection w:val="lrTb"/>
            <w:noWrap w:val="false"/>
          </w:tcPr>
          <w:p>
            <w:pPr>
              <w:ind w:left="0" w:right="0"/>
              <w:jc w:val="center"/>
              <w:keepLines w:val="0"/>
              <w:keepNext w:val="0"/>
              <w:pageBreakBefore w:val="0"/>
              <w:spacing w:before="0" w:beforeAutospacing="0" w:after="0" w:afterAutospacing="0" w:line="360" w:lineRule="auto"/>
              <w:rPr>
                <w:rFonts w:ascii="宋体" w:hAnsi="宋体"/>
                <w:color w:val="auto"/>
                <w:szCs w:val="24"/>
                <w:highlight w:val="none"/>
              </w:rPr>
              <w:suppressLineNumbers w:val="0"/>
            </w:pPr>
            <w:r>
              <w:rPr>
                <w:rFonts w:hint="eastAsia" w:ascii="宋体" w:hAnsi="宋体"/>
                <w:color w:val="auto"/>
                <w:szCs w:val="24"/>
                <w:highlight w:val="none"/>
              </w:rPr>
              <w:t xml:space="preserve">质量控制措施方案</w:t>
            </w:r>
            <w:r/>
          </w:p>
          <w:p>
            <w:pPr>
              <w:ind w:left="0" w:right="0"/>
              <w:jc w:val="center"/>
              <w:keepLines w:val="0"/>
              <w:keepNext w:val="0"/>
              <w:pageBreakBefore w:val="0"/>
              <w:spacing w:before="0" w:beforeAutospacing="0" w:after="0" w:afterAutospacing="0" w:line="360" w:lineRule="auto"/>
              <w:rPr>
                <w:rFonts w:hint="eastAsia" w:ascii="宋体" w:hAnsi="宋体" w:eastAsia="宋体" w:cs="Times New Roman"/>
                <w:color w:val="auto"/>
                <w:sz w:val="21"/>
                <w:szCs w:val="24"/>
                <w:highlight w:val="none"/>
                <w:lang w:val="en-US" w:eastAsia="zh-CN" w:bidi="ar-SA"/>
              </w:rPr>
              <w:suppressLineNumbers w:val="0"/>
            </w:pP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3</w:t>
            </w:r>
            <w:r>
              <w:rPr>
                <w:rFonts w:hint="eastAsia" w:ascii="宋体" w:hAnsi="宋体"/>
                <w:color w:val="auto"/>
                <w:szCs w:val="24"/>
                <w:highlight w:val="none"/>
              </w:rPr>
              <w:t xml:space="preserve">分）</w:t>
            </w:r>
            <w:r/>
          </w:p>
        </w:tc>
        <w:tc>
          <w:tcPr>
            <w:tcW w:w="7477"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cs="宋体"/>
                <w:color w:val="auto"/>
                <w:highlight w:val="none"/>
              </w:rPr>
              <w:t xml:space="preserve">方案内容优于招标文件要求的得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分，符合招标文件要求的得</w:t>
            </w:r>
            <w:r>
              <w:rPr>
                <w:rFonts w:hint="eastAsia" w:ascii="宋体" w:hAnsi="宋体" w:cs="宋体"/>
                <w:color w:val="auto"/>
                <w:highlight w:val="none"/>
                <w:lang w:val="en-US" w:eastAsia="zh-CN"/>
              </w:rPr>
              <w:t xml:space="preserve">1.5</w:t>
            </w:r>
            <w:r>
              <w:rPr>
                <w:rFonts w:hint="eastAsia" w:ascii="宋体" w:hAnsi="宋体" w:cs="宋体"/>
                <w:color w:val="auto"/>
                <w:highlight w:val="none"/>
              </w:rPr>
              <w:t xml:space="preserve">分，不符合招标文件或未提供的不得分。</w:t>
            </w:r>
            <w:r/>
          </w:p>
        </w:tc>
        <w:tc>
          <w:tcPr>
            <w:tcW w:w="969" w:type="dxa"/>
            <w:vAlign w:val="center"/>
            <w:textDirection w:val="lrTb"/>
            <w:noWrap w:val="false"/>
          </w:tcPr>
          <w:p>
            <w:pPr>
              <w:jc w:val="center"/>
              <w:spacing w:line="300" w:lineRule="auto"/>
              <w:widowControl/>
              <w:rPr>
                <w:rFonts w:hint="default" w:ascii="宋体" w:hAnsi="宋体"/>
                <w:color w:val="000000"/>
                <w:szCs w:val="21"/>
                <w:lang w:val="en-US" w:eastAsia="zh-CN"/>
              </w:rPr>
            </w:pPr>
            <w:r>
              <w:rPr>
                <w:rFonts w:hint="eastAsia" w:ascii="宋体" w:hAnsi="宋体"/>
                <w:color w:val="000000"/>
                <w:szCs w:val="21"/>
                <w:lang w:val="en-US" w:eastAsia="zh-CN"/>
              </w:rPr>
              <w:t xml:space="preserve">3</w:t>
            </w:r>
            <w:r/>
          </w:p>
        </w:tc>
      </w:tr>
      <w:tr>
        <w:trPr>
          <w:jc w:val="center"/>
          <w:trHeight w:val="18"/>
        </w:trPr>
        <w:tc>
          <w:tcPr>
            <w:tcW w:w="1413" w:type="dxa"/>
            <w:vAlign w:val="center"/>
            <w:textDirection w:val="lrTb"/>
            <w:noWrap w:val="false"/>
          </w:tcPr>
          <w:p>
            <w:pPr>
              <w:ind w:left="0" w:right="0"/>
              <w:jc w:val="center"/>
              <w:keepLines w:val="0"/>
              <w:keepNext w:val="0"/>
              <w:pageBreakBefore w:val="0"/>
              <w:spacing w:before="0" w:beforeAutospacing="0" w:after="0" w:afterAutospacing="0" w:line="360" w:lineRule="auto"/>
              <w:rPr>
                <w:rFonts w:ascii="宋体" w:hAnsi="宋体"/>
                <w:color w:val="auto"/>
                <w:szCs w:val="24"/>
                <w:highlight w:val="none"/>
              </w:rPr>
              <w:suppressLineNumbers w:val="0"/>
            </w:pPr>
            <w:r>
              <w:rPr>
                <w:rFonts w:hint="eastAsia" w:ascii="宋体" w:hAnsi="宋体"/>
                <w:color w:val="auto"/>
                <w:szCs w:val="24"/>
                <w:highlight w:val="none"/>
              </w:rPr>
              <w:t xml:space="preserve">供货、安装实施方案</w:t>
            </w:r>
            <w:r/>
          </w:p>
          <w:p>
            <w:pPr>
              <w:ind w:left="0" w:right="0"/>
              <w:jc w:val="center"/>
              <w:keepLines w:val="0"/>
              <w:keepNext w:val="0"/>
              <w:pageBreakBefore w:val="0"/>
              <w:spacing w:before="0" w:beforeAutospacing="0" w:after="0" w:afterAutospacing="0" w:line="360" w:lineRule="auto"/>
              <w:rPr>
                <w:rFonts w:hint="eastAsia" w:ascii="宋体" w:hAnsi="宋体" w:eastAsia="宋体" w:cs="Times New Roman"/>
                <w:color w:val="auto"/>
                <w:sz w:val="21"/>
                <w:szCs w:val="24"/>
                <w:highlight w:val="none"/>
                <w:lang w:val="en-US" w:eastAsia="zh-CN" w:bidi="ar-SA"/>
              </w:rPr>
              <w:suppressLineNumbers w:val="0"/>
            </w:pP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3</w:t>
            </w:r>
            <w:r>
              <w:rPr>
                <w:rFonts w:hint="eastAsia" w:ascii="宋体" w:hAnsi="宋体"/>
                <w:color w:val="auto"/>
                <w:szCs w:val="24"/>
                <w:highlight w:val="none"/>
              </w:rPr>
              <w:t xml:space="preserve">分）</w:t>
            </w:r>
            <w:r/>
          </w:p>
        </w:tc>
        <w:tc>
          <w:tcPr>
            <w:tcW w:w="747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cs="宋体"/>
                <w:color w:val="auto"/>
                <w:highlight w:val="none"/>
              </w:rPr>
              <w:t xml:space="preserve">方案内容优于招标文件要求的得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分，符合招标文件要求的得</w:t>
            </w:r>
            <w:r>
              <w:rPr>
                <w:rFonts w:hint="eastAsia" w:ascii="宋体" w:hAnsi="宋体" w:cs="宋体"/>
                <w:color w:val="auto"/>
                <w:highlight w:val="none"/>
                <w:lang w:val="en-US" w:eastAsia="zh-CN"/>
              </w:rPr>
              <w:t xml:space="preserve">1.5</w:t>
            </w:r>
            <w:r>
              <w:rPr>
                <w:rFonts w:hint="eastAsia" w:ascii="宋体" w:hAnsi="宋体" w:cs="宋体"/>
                <w:color w:val="auto"/>
                <w:highlight w:val="none"/>
              </w:rPr>
              <w:t xml:space="preserve">分，不符合招标文件或未提供的不得分。</w:t>
            </w:r>
            <w:r/>
          </w:p>
        </w:tc>
        <w:tc>
          <w:tcPr>
            <w:tcW w:w="969" w:type="dxa"/>
            <w:vAlign w:val="center"/>
            <w:textDirection w:val="lrTb"/>
            <w:noWrap w:val="false"/>
          </w:tcPr>
          <w:p>
            <w:pPr>
              <w:jc w:val="center"/>
              <w:spacing w:line="300" w:lineRule="auto"/>
              <w:widowControl/>
              <w:rPr>
                <w:rFonts w:hint="default" w:ascii="宋体" w:hAnsi="宋体"/>
                <w:color w:val="000000"/>
                <w:szCs w:val="21"/>
                <w:lang w:val="en-US" w:eastAsia="zh-CN"/>
              </w:rPr>
            </w:pPr>
            <w:r>
              <w:rPr>
                <w:rFonts w:hint="eastAsia" w:ascii="宋体" w:hAnsi="宋体"/>
                <w:color w:val="000000"/>
                <w:szCs w:val="21"/>
                <w:lang w:val="en-US" w:eastAsia="zh-CN"/>
              </w:rPr>
              <w:t xml:space="preserve">3</w:t>
            </w:r>
            <w:r/>
          </w:p>
        </w:tc>
      </w:tr>
      <w:tr>
        <w:trPr>
          <w:jc w:val="center"/>
          <w:trHeight w:val="18"/>
        </w:trPr>
        <w:tc>
          <w:tcPr>
            <w:tcW w:w="141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color w:val="auto"/>
                <w:szCs w:val="24"/>
                <w:highlight w:val="none"/>
              </w:rPr>
              <w:suppressLineNumbers w:val="0"/>
            </w:pPr>
            <w:r>
              <w:rPr>
                <w:rFonts w:hint="eastAsia" w:ascii="宋体" w:hAnsi="宋体"/>
                <w:color w:val="auto"/>
                <w:szCs w:val="24"/>
                <w:highlight w:val="none"/>
              </w:rPr>
              <w:t xml:space="preserve">进度控制措施方案</w:t>
            </w:r>
            <w:r/>
          </w:p>
          <w:p>
            <w:pPr>
              <w:ind w:left="0" w:right="0"/>
              <w:jc w:val="center"/>
              <w:keepLines w:val="0"/>
              <w:keepNext w:val="0"/>
              <w:pageBreakBefore w:val="0"/>
              <w:spacing w:before="0" w:beforeAutospacing="0" w:after="0" w:afterAutospacing="0" w:line="360" w:lineRule="auto"/>
              <w:rPr>
                <w:rFonts w:hint="eastAsia" w:ascii="宋体" w:hAnsi="宋体" w:eastAsia="宋体" w:cs="Times New Roman"/>
                <w:color w:val="auto"/>
                <w:sz w:val="21"/>
                <w:szCs w:val="24"/>
                <w:highlight w:val="none"/>
                <w:lang w:val="en-US" w:eastAsia="zh-CN"/>
              </w:rPr>
              <w:suppressLineNumbers w:val="0"/>
            </w:pP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3</w:t>
            </w:r>
            <w:r>
              <w:rPr>
                <w:rFonts w:hint="eastAsia" w:ascii="宋体" w:hAnsi="宋体"/>
                <w:color w:val="auto"/>
                <w:szCs w:val="24"/>
                <w:highlight w:val="none"/>
              </w:rPr>
              <w:t xml:space="preserve">分）</w:t>
            </w:r>
            <w:r/>
          </w:p>
        </w:tc>
        <w:tc>
          <w:tcPr>
            <w:tcW w:w="747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cs="宋体"/>
                <w:color w:val="auto"/>
                <w:highlight w:val="none"/>
              </w:rPr>
              <w:t xml:space="preserve">方案内容优于招标文件要求的得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分，符合招标文件要求的得</w:t>
            </w:r>
            <w:r>
              <w:rPr>
                <w:rFonts w:hint="eastAsia" w:ascii="宋体" w:hAnsi="宋体" w:cs="宋体"/>
                <w:color w:val="auto"/>
                <w:highlight w:val="none"/>
                <w:lang w:val="en-US" w:eastAsia="zh-CN"/>
              </w:rPr>
              <w:t xml:space="preserve">1.5</w:t>
            </w:r>
            <w:r>
              <w:rPr>
                <w:rFonts w:hint="eastAsia" w:ascii="宋体" w:hAnsi="宋体" w:cs="宋体"/>
                <w:color w:val="auto"/>
                <w:highlight w:val="none"/>
              </w:rPr>
              <w:t xml:space="preserve">分，不符合招标文件或未提供的不得分。</w:t>
            </w:r>
            <w:r/>
          </w:p>
        </w:tc>
        <w:tc>
          <w:tcPr>
            <w:tcW w:w="969" w:type="dxa"/>
            <w:vAlign w:val="center"/>
            <w:textDirection w:val="lrTb"/>
            <w:noWrap w:val="false"/>
          </w:tcPr>
          <w:p>
            <w:pPr>
              <w:jc w:val="center"/>
              <w:spacing w:line="300" w:lineRule="auto"/>
              <w:widowControl/>
              <w:rPr>
                <w:rFonts w:hint="default" w:ascii="宋体" w:hAnsi="宋体"/>
                <w:color w:val="000000"/>
                <w:szCs w:val="21"/>
                <w:lang w:val="en-US" w:eastAsia="zh-CN"/>
              </w:rPr>
            </w:pPr>
            <w:r>
              <w:rPr>
                <w:rFonts w:hint="eastAsia" w:ascii="宋体" w:hAnsi="宋体"/>
                <w:color w:val="000000"/>
                <w:szCs w:val="21"/>
                <w:lang w:val="en-US" w:eastAsia="zh-CN"/>
              </w:rPr>
              <w:t xml:space="preserve">3</w:t>
            </w:r>
            <w:r/>
          </w:p>
        </w:tc>
      </w:tr>
      <w:tr>
        <w:trPr>
          <w:jc w:val="center"/>
          <w:trHeight w:val="18"/>
        </w:trPr>
        <w:tc>
          <w:tcPr>
            <w:tcW w:w="141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color w:val="auto"/>
                <w:szCs w:val="24"/>
                <w:highlight w:val="none"/>
              </w:rPr>
              <w:suppressLineNumbers w:val="0"/>
            </w:pPr>
            <w:r>
              <w:rPr>
                <w:rFonts w:hint="eastAsia" w:ascii="宋体" w:hAnsi="宋体"/>
                <w:color w:val="auto"/>
                <w:szCs w:val="24"/>
                <w:highlight w:val="none"/>
              </w:rPr>
              <w:t xml:space="preserve">拟派项目人员方案</w:t>
            </w:r>
            <w:r/>
          </w:p>
          <w:p>
            <w:pPr>
              <w:ind w:left="0" w:right="0"/>
              <w:jc w:val="center"/>
              <w:keepLines w:val="0"/>
              <w:keepNext w:val="0"/>
              <w:pageBreakBefore w:val="0"/>
              <w:spacing w:before="0" w:beforeAutospacing="0" w:after="0" w:afterAutospacing="0" w:line="360" w:lineRule="auto"/>
              <w:rPr>
                <w:rFonts w:hint="eastAsia" w:ascii="宋体" w:hAnsi="宋体" w:eastAsia="宋体" w:cs="Times New Roman"/>
                <w:color w:val="auto"/>
                <w:sz w:val="21"/>
                <w:szCs w:val="24"/>
                <w:highlight w:val="none"/>
              </w:rPr>
              <w:suppressLineNumbers w:val="0"/>
            </w:pP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3</w:t>
            </w:r>
            <w:r>
              <w:rPr>
                <w:rFonts w:hint="eastAsia" w:ascii="宋体" w:hAnsi="宋体"/>
                <w:color w:val="auto"/>
                <w:szCs w:val="24"/>
                <w:highlight w:val="none"/>
              </w:rPr>
              <w:t xml:space="preserve">分）</w:t>
            </w:r>
            <w:r/>
          </w:p>
        </w:tc>
        <w:tc>
          <w:tcPr>
            <w:tcW w:w="747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Times New Roman"/>
                <w:color w:val="auto"/>
                <w:sz w:val="21"/>
                <w:szCs w:val="22"/>
                <w:highlight w:val="none"/>
              </w:rPr>
              <w:suppressLineNumbers w:val="0"/>
            </w:pPr>
            <w:r>
              <w:rPr>
                <w:rFonts w:hint="eastAsia" w:ascii="宋体" w:hAnsi="宋体" w:cs="宋体"/>
                <w:color w:val="auto"/>
                <w:highlight w:val="none"/>
              </w:rPr>
              <w:t xml:space="preserve">方案内容优于招标文件要求的得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分，符合招标文件要求的得</w:t>
            </w:r>
            <w:r>
              <w:rPr>
                <w:rFonts w:hint="eastAsia" w:ascii="宋体" w:hAnsi="宋体" w:cs="宋体"/>
                <w:color w:val="auto"/>
                <w:highlight w:val="none"/>
                <w:lang w:val="en-US" w:eastAsia="zh-CN"/>
              </w:rPr>
              <w:t xml:space="preserve">1.5</w:t>
            </w:r>
            <w:r>
              <w:rPr>
                <w:rFonts w:hint="eastAsia" w:ascii="宋体" w:hAnsi="宋体" w:cs="宋体"/>
                <w:color w:val="auto"/>
                <w:highlight w:val="none"/>
              </w:rPr>
              <w:t xml:space="preserve">分，不符合招标文件或未提供的不得分。</w:t>
            </w:r>
            <w:r/>
          </w:p>
        </w:tc>
        <w:tc>
          <w:tcPr>
            <w:tcW w:w="969" w:type="dxa"/>
            <w:vAlign w:val="center"/>
            <w:textDirection w:val="lrTb"/>
            <w:noWrap w:val="false"/>
          </w:tcPr>
          <w:p>
            <w:pPr>
              <w:jc w:val="center"/>
              <w:spacing w:line="300" w:lineRule="auto"/>
              <w:widowControl/>
              <w:rPr>
                <w:rFonts w:hint="default" w:ascii="宋体" w:hAnsi="宋体"/>
                <w:color w:val="000000"/>
                <w:szCs w:val="21"/>
                <w:lang w:val="en-US" w:eastAsia="zh-CN"/>
              </w:rPr>
            </w:pPr>
            <w:r>
              <w:rPr>
                <w:rFonts w:hint="eastAsia" w:ascii="宋体" w:hAnsi="宋体"/>
                <w:color w:val="000000"/>
                <w:szCs w:val="21"/>
                <w:lang w:val="en-US" w:eastAsia="zh-CN"/>
              </w:rPr>
              <w:t xml:space="preserve">3</w:t>
            </w:r>
            <w:r/>
          </w:p>
        </w:tc>
      </w:tr>
      <w:tr>
        <w:trPr>
          <w:jc w:val="center"/>
          <w:trHeight w:val="18"/>
        </w:trPr>
        <w:tc>
          <w:tcPr>
            <w:tcW w:w="141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color w:val="auto"/>
                <w:szCs w:val="24"/>
                <w:highlight w:val="none"/>
              </w:rPr>
              <w:suppressLineNumbers w:val="0"/>
            </w:pPr>
            <w:r>
              <w:rPr>
                <w:rFonts w:hint="eastAsia" w:ascii="宋体" w:hAnsi="宋体"/>
                <w:color w:val="auto"/>
                <w:szCs w:val="24"/>
                <w:highlight w:val="none"/>
              </w:rPr>
              <w:t xml:space="preserve">安全生产方案</w:t>
            </w:r>
            <w:r/>
          </w:p>
          <w:p>
            <w:pPr>
              <w:ind w:left="0" w:right="0"/>
              <w:jc w:val="center"/>
              <w:keepLines w:val="0"/>
              <w:keepNext w:val="0"/>
              <w:pageBreakBefore w:val="0"/>
              <w:spacing w:before="0" w:beforeAutospacing="0" w:after="0" w:afterAutospacing="0" w:line="360" w:lineRule="auto"/>
              <w:rPr>
                <w:rFonts w:hint="eastAsia" w:ascii="宋体" w:hAnsi="宋体" w:eastAsia="宋体" w:cs="Times New Roman"/>
                <w:color w:val="auto"/>
                <w:sz w:val="21"/>
                <w:szCs w:val="24"/>
                <w:highlight w:val="none"/>
              </w:rPr>
              <w:suppressLineNumbers w:val="0"/>
            </w:pP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3</w:t>
            </w:r>
            <w:r>
              <w:rPr>
                <w:rFonts w:hint="eastAsia" w:ascii="宋体" w:hAnsi="宋体"/>
                <w:color w:val="auto"/>
                <w:szCs w:val="24"/>
                <w:highlight w:val="none"/>
              </w:rPr>
              <w:t xml:space="preserve">分）</w:t>
            </w:r>
            <w:r/>
          </w:p>
        </w:tc>
        <w:tc>
          <w:tcPr>
            <w:tcW w:w="747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Times New Roman"/>
                <w:color w:val="auto"/>
                <w:sz w:val="21"/>
                <w:szCs w:val="22"/>
                <w:highlight w:val="none"/>
              </w:rPr>
              <w:suppressLineNumbers w:val="0"/>
            </w:pPr>
            <w:r>
              <w:rPr>
                <w:rFonts w:hint="eastAsia" w:ascii="宋体" w:hAnsi="宋体" w:cs="宋体"/>
                <w:color w:val="auto"/>
                <w:highlight w:val="none"/>
              </w:rPr>
              <w:t xml:space="preserve">方案内容优于招标文件要求的得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分，符合招标文件要求的得</w:t>
            </w:r>
            <w:r>
              <w:rPr>
                <w:rFonts w:hint="eastAsia" w:ascii="宋体" w:hAnsi="宋体" w:cs="宋体"/>
                <w:color w:val="auto"/>
                <w:highlight w:val="none"/>
                <w:lang w:val="en-US" w:eastAsia="zh-CN"/>
              </w:rPr>
              <w:t xml:space="preserve">1.5</w:t>
            </w:r>
            <w:r>
              <w:rPr>
                <w:rFonts w:hint="eastAsia" w:ascii="宋体" w:hAnsi="宋体" w:cs="宋体"/>
                <w:color w:val="auto"/>
                <w:highlight w:val="none"/>
              </w:rPr>
              <w:t xml:space="preserve">分，不符合招标文件或未提供的不得分。</w:t>
            </w:r>
            <w:r/>
          </w:p>
        </w:tc>
        <w:tc>
          <w:tcPr>
            <w:tcW w:w="969" w:type="dxa"/>
            <w:vAlign w:val="center"/>
            <w:textDirection w:val="lrTb"/>
            <w:noWrap w:val="false"/>
          </w:tcPr>
          <w:p>
            <w:pPr>
              <w:jc w:val="center"/>
              <w:spacing w:line="300" w:lineRule="auto"/>
              <w:widowControl/>
              <w:rPr>
                <w:rFonts w:hint="default" w:ascii="宋体" w:hAnsi="宋体"/>
                <w:color w:val="000000"/>
                <w:szCs w:val="21"/>
                <w:lang w:val="en-US" w:eastAsia="zh-CN"/>
              </w:rPr>
            </w:pPr>
            <w:r>
              <w:rPr>
                <w:rFonts w:hint="eastAsia" w:ascii="宋体" w:hAnsi="宋体"/>
                <w:color w:val="000000"/>
                <w:szCs w:val="21"/>
                <w:lang w:val="en-US" w:eastAsia="zh-CN"/>
              </w:rPr>
              <w:t xml:space="preserve">3</w:t>
            </w:r>
            <w:r/>
          </w:p>
        </w:tc>
      </w:tr>
      <w:tr>
        <w:trPr>
          <w:jc w:val="center"/>
          <w:trHeight w:val="18"/>
        </w:trPr>
        <w:tc>
          <w:tcPr>
            <w:tcW w:w="1413"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rPr>
                <w:rFonts w:ascii="宋体" w:hAnsi="宋体"/>
                <w:color w:val="auto"/>
                <w:highlight w:val="none"/>
              </w:rPr>
              <w:suppressLineNumbers w:val="0"/>
            </w:pPr>
            <w:r>
              <w:rPr>
                <w:rFonts w:ascii="宋体" w:hAnsi="宋体"/>
                <w:color w:val="auto"/>
                <w:highlight w:val="none"/>
              </w:rPr>
              <w:t xml:space="preserve">售后服务</w:t>
            </w:r>
            <w:r/>
          </w:p>
          <w:p>
            <w:pPr>
              <w:jc w:val="center"/>
              <w:spacing w:line="300" w:lineRule="auto"/>
              <w:widowControl/>
              <w:rPr>
                <w:rFonts w:hint="eastAsia" w:ascii="宋体" w:hAnsi="宋体" w:cs="宋体"/>
                <w:szCs w:val="21"/>
                <w:lang w:bidi="ar"/>
              </w:rPr>
            </w:pPr>
            <w:r>
              <w:rPr>
                <w:rFonts w:hint="eastAsia" w:ascii="宋体" w:hAnsi="宋体"/>
                <w:color w:val="auto"/>
                <w:highlight w:val="none"/>
              </w:rPr>
              <w:t xml:space="preserve">（</w:t>
            </w:r>
            <w:r>
              <w:rPr>
                <w:rFonts w:hint="eastAsia" w:ascii="宋体" w:hAnsi="宋体"/>
                <w:color w:val="auto"/>
                <w:highlight w:val="none"/>
                <w:lang w:val="en-US" w:eastAsia="zh-CN"/>
              </w:rPr>
              <w:t xml:space="preserve">8</w:t>
            </w:r>
            <w:r>
              <w:rPr>
                <w:rFonts w:hint="eastAsia" w:ascii="宋体" w:hAnsi="宋体"/>
                <w:color w:val="auto"/>
                <w:highlight w:val="none"/>
              </w:rPr>
              <w:t xml:space="preserve">分）</w:t>
            </w:r>
            <w:r/>
          </w:p>
        </w:tc>
        <w:tc>
          <w:tcPr>
            <w:tcW w:w="747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Times New Roman"/>
                <w:color w:val="auto"/>
                <w:sz w:val="21"/>
                <w:szCs w:val="22"/>
                <w:highlight w:val="none"/>
              </w:rPr>
              <w:suppressLineNumbers w:val="0"/>
            </w:pPr>
            <w:r>
              <w:rPr>
                <w:rFonts w:hint="eastAsia" w:ascii="宋体" w:hAnsi="宋体"/>
                <w:color w:val="auto"/>
                <w:highlight w:val="none"/>
              </w:rPr>
              <w:t xml:space="preserve">提供24小时售后服务电话，接到使用单位维修通知后2小时内到达现场的得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rPr>
                <w:rFonts w:hint="eastAsia" w:ascii="宋体" w:hAnsi="宋体"/>
                <w:color w:val="auto"/>
                <w:highlight w:val="none"/>
                <w:lang w:val="en-US" w:eastAsia="zh-CN"/>
              </w:rPr>
              <w:t xml:space="preserve">6</w:t>
            </w:r>
            <w:r>
              <w:rPr>
                <w:rFonts w:hint="eastAsia" w:ascii="宋体" w:hAnsi="宋体"/>
                <w:color w:val="auto"/>
                <w:highlight w:val="none"/>
              </w:rPr>
              <w:t xml:space="preserve">小时内到达现场的，得</w:t>
            </w:r>
            <w:r>
              <w:rPr>
                <w:rFonts w:hint="eastAsia" w:ascii="宋体" w:hAnsi="宋体"/>
                <w:color w:val="auto"/>
                <w:highlight w:val="none"/>
                <w:lang w:val="en-US" w:eastAsia="zh-CN"/>
              </w:rPr>
              <w:t xml:space="preserve">1.5</w:t>
            </w:r>
            <w:r>
              <w:rPr>
                <w:rFonts w:hint="eastAsia" w:ascii="宋体" w:hAnsi="宋体"/>
                <w:color w:val="auto"/>
                <w:highlight w:val="none"/>
              </w:rPr>
              <w:t xml:space="preserve">分；超过</w:t>
            </w:r>
            <w:r>
              <w:rPr>
                <w:rFonts w:hint="eastAsia" w:ascii="宋体" w:hAnsi="宋体"/>
                <w:color w:val="auto"/>
                <w:highlight w:val="none"/>
                <w:lang w:val="en-US" w:eastAsia="zh-CN"/>
              </w:rPr>
              <w:t xml:space="preserve">6</w:t>
            </w:r>
            <w:r>
              <w:rPr>
                <w:rFonts w:hint="eastAsia" w:ascii="宋体" w:hAnsi="宋体"/>
                <w:color w:val="auto"/>
                <w:highlight w:val="none"/>
              </w:rPr>
              <w:t xml:space="preserve">小时到达的不得分。</w:t>
            </w:r>
            <w:r>
              <w:rPr>
                <w:rFonts w:hint="eastAsia" w:ascii="宋体" w:hAnsi="宋体"/>
                <w:b/>
                <w:bCs/>
                <w:color w:val="auto"/>
                <w:highlight w:val="none"/>
              </w:rPr>
              <w:t xml:space="preserve">（需提供承诺书，原件扫描上传，未提供的不得分）</w:t>
            </w:r>
            <w:r/>
          </w:p>
        </w:tc>
        <w:tc>
          <w:tcPr>
            <w:tcW w:w="969" w:type="dxa"/>
            <w:vAlign w:val="center"/>
            <w:textDirection w:val="lrTb"/>
            <w:noWrap w:val="false"/>
          </w:tcPr>
          <w:p>
            <w:pPr>
              <w:jc w:val="center"/>
              <w:spacing w:line="300" w:lineRule="auto"/>
              <w:widowControl/>
              <w:rPr>
                <w:rFonts w:hint="default" w:ascii="宋体" w:hAnsi="宋体"/>
                <w:color w:val="000000"/>
                <w:szCs w:val="21"/>
                <w:lang w:val="en-US" w:eastAsia="zh-CN"/>
              </w:rPr>
            </w:pPr>
            <w:r>
              <w:rPr>
                <w:rFonts w:hint="eastAsia" w:ascii="宋体" w:hAnsi="宋体"/>
                <w:color w:val="000000"/>
                <w:szCs w:val="21"/>
                <w:lang w:val="en-US" w:eastAsia="zh-CN"/>
              </w:rPr>
              <w:t xml:space="preserve">3</w:t>
            </w:r>
            <w:r/>
          </w:p>
        </w:tc>
      </w:tr>
      <w:tr>
        <w:trPr>
          <w:jc w:val="center"/>
          <w:trHeight w:val="18"/>
        </w:trPr>
        <w:tc>
          <w:tcPr>
            <w:tcW w:w="1413" w:type="dxa"/>
            <w:vAlign w:val="center"/>
            <w:vMerge w:val="continue"/>
            <w:textDirection w:val="lrTb"/>
            <w:noWrap w:val="false"/>
          </w:tcPr>
          <w:p>
            <w:pPr>
              <w:jc w:val="center"/>
              <w:spacing w:line="300" w:lineRule="auto"/>
              <w:widowControl/>
              <w:rPr>
                <w:rFonts w:hint="eastAsia" w:ascii="宋体" w:hAnsi="宋体" w:cs="宋体"/>
                <w:szCs w:val="21"/>
                <w:lang w:bidi="ar"/>
              </w:rPr>
            </w:pPr>
            <w:r>
              <w:rPr>
                <w:rFonts w:hint="eastAsia" w:ascii="宋体" w:hAnsi="宋体" w:cs="宋体"/>
                <w:szCs w:val="21"/>
                <w:lang w:bidi="ar"/>
              </w:rPr>
            </w:r>
            <w:r/>
          </w:p>
        </w:tc>
        <w:tc>
          <w:tcPr>
            <w:tcW w:w="747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Times New Roman"/>
                <w:color w:val="auto"/>
                <w:sz w:val="21"/>
                <w:szCs w:val="22"/>
                <w:highlight w:val="none"/>
              </w:rPr>
              <w:suppressLineNumbers w:val="0"/>
            </w:pPr>
            <w:r>
              <w:rPr>
                <w:rFonts w:hint="eastAsia" w:ascii="宋体" w:hAnsi="宋体"/>
                <w:color w:val="auto"/>
                <w:highlight w:val="none"/>
              </w:rPr>
              <w:t xml:space="preserve">质保期</w:t>
            </w:r>
            <w:r>
              <w:rPr>
                <w:rFonts w:hint="eastAsia" w:ascii="宋体" w:hAnsi="宋体"/>
                <w:color w:val="auto"/>
                <w:highlight w:val="none"/>
                <w:lang w:val="en-US" w:eastAsia="zh-CN"/>
              </w:rPr>
              <w:t xml:space="preserve">3</w:t>
            </w:r>
            <w:r>
              <w:rPr>
                <w:rFonts w:hint="eastAsia" w:ascii="宋体" w:hAnsi="宋体"/>
                <w:color w:val="auto"/>
                <w:highlight w:val="none"/>
              </w:rPr>
              <w:t xml:space="preserve">年，在此基础上投标人承诺每延长一年得1分，最多得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rPr>
                <w:rFonts w:hint="eastAsia" w:ascii="宋体" w:hAnsi="宋体"/>
                <w:b/>
                <w:bCs/>
                <w:color w:val="auto"/>
                <w:highlight w:val="none"/>
              </w:rPr>
              <w:t xml:space="preserve">（需提供承诺书，原件扫描上传，未提供不得分）</w:t>
            </w:r>
            <w:r/>
          </w:p>
        </w:tc>
        <w:tc>
          <w:tcPr>
            <w:tcW w:w="969" w:type="dxa"/>
            <w:vAlign w:val="center"/>
            <w:textDirection w:val="lrTb"/>
            <w:noWrap w:val="false"/>
          </w:tcPr>
          <w:p>
            <w:pPr>
              <w:jc w:val="center"/>
              <w:spacing w:line="300" w:lineRule="auto"/>
              <w:widowControl/>
              <w:rPr>
                <w:rFonts w:hint="default" w:ascii="宋体" w:hAnsi="宋体"/>
                <w:color w:val="000000"/>
                <w:szCs w:val="21"/>
                <w:lang w:val="en-US" w:eastAsia="zh-CN"/>
              </w:rPr>
            </w:pPr>
            <w:r>
              <w:rPr>
                <w:rFonts w:hint="eastAsia" w:ascii="宋体" w:hAnsi="宋体"/>
                <w:color w:val="000000"/>
                <w:szCs w:val="21"/>
                <w:lang w:val="en-US" w:eastAsia="zh-CN"/>
              </w:rPr>
              <w:t xml:space="preserve">2</w:t>
            </w:r>
            <w:r/>
          </w:p>
        </w:tc>
      </w:tr>
      <w:tr>
        <w:trPr>
          <w:jc w:val="center"/>
          <w:trHeight w:val="18"/>
        </w:trPr>
        <w:tc>
          <w:tcPr>
            <w:tcW w:w="1413" w:type="dxa"/>
            <w:vAlign w:val="center"/>
            <w:vMerge w:val="continue"/>
            <w:textDirection w:val="lrTb"/>
            <w:noWrap w:val="false"/>
          </w:tcPr>
          <w:p>
            <w:pPr>
              <w:jc w:val="center"/>
              <w:spacing w:line="300" w:lineRule="auto"/>
              <w:widowControl/>
              <w:rPr>
                <w:rFonts w:hint="eastAsia" w:ascii="宋体" w:hAnsi="宋体" w:cs="宋体"/>
                <w:szCs w:val="21"/>
                <w:lang w:bidi="ar"/>
              </w:rPr>
            </w:pPr>
            <w:r>
              <w:rPr>
                <w:rFonts w:hint="eastAsia" w:ascii="宋体" w:hAnsi="宋体" w:cs="宋体"/>
                <w:szCs w:val="21"/>
                <w:lang w:bidi="ar"/>
              </w:rPr>
            </w:r>
            <w:r/>
          </w:p>
        </w:tc>
        <w:tc>
          <w:tcPr>
            <w:tcW w:w="7477" w:type="dxa"/>
            <w:vAlign w:val="center"/>
            <w:textDirection w:val="lrTb"/>
            <w:noWrap w:val="false"/>
          </w:tcPr>
          <w:p>
            <w:pPr>
              <w:ind w:left="0" w:right="0"/>
              <w:keepLines w:val="0"/>
              <w:keepNext w:val="0"/>
              <w:pageBreakBefore w:val="0"/>
              <w:spacing w:before="0" w:beforeAutospacing="0" w:after="0" w:afterAutospacing="0" w:line="360" w:lineRule="auto"/>
              <w:tabs>
                <w:tab w:val="left" w:pos="1350" w:leader="none"/>
              </w:tabs>
              <w:rPr>
                <w:rFonts w:hint="eastAsia" w:ascii="宋体" w:hAnsi="宋体" w:eastAsia="宋体" w:cs="Times New Roman"/>
                <w:color w:val="auto"/>
                <w:sz w:val="21"/>
                <w:szCs w:val="22"/>
                <w:highlight w:val="none"/>
              </w:rPr>
              <w:suppressLineNumbers w:val="0"/>
            </w:pPr>
            <w:r>
              <w:rPr>
                <w:rFonts w:hint="eastAsia" w:ascii="宋体" w:hAnsi="宋体"/>
                <w:color w:val="auto"/>
                <w:highlight w:val="none"/>
              </w:rPr>
              <w:t xml:space="preserve">售后服务方案：</w:t>
            </w:r>
            <w:r>
              <w:rPr>
                <w:rFonts w:hint="eastAsia" w:ascii="宋体" w:hAnsi="宋体" w:cs="宋体"/>
                <w:color w:val="auto"/>
                <w:highlight w:val="none"/>
              </w:rPr>
              <w:t xml:space="preserve">方案内容优于招标文件要求的得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分，符合招标文件要求的得</w:t>
            </w:r>
            <w:r>
              <w:rPr>
                <w:rFonts w:hint="eastAsia" w:ascii="宋体" w:hAnsi="宋体" w:cs="宋体"/>
                <w:color w:val="auto"/>
                <w:highlight w:val="none"/>
                <w:lang w:val="en-US" w:eastAsia="zh-CN"/>
              </w:rPr>
              <w:t xml:space="preserve">1.5</w:t>
            </w:r>
            <w:r>
              <w:rPr>
                <w:rFonts w:hint="eastAsia" w:ascii="宋体" w:hAnsi="宋体" w:cs="宋体"/>
                <w:color w:val="auto"/>
                <w:highlight w:val="none"/>
              </w:rPr>
              <w:t xml:space="preserve">分，不符合招标文件或未提供的不得分。</w:t>
            </w:r>
            <w:r/>
          </w:p>
        </w:tc>
        <w:tc>
          <w:tcPr>
            <w:tcW w:w="969" w:type="dxa"/>
            <w:vAlign w:val="center"/>
            <w:textDirection w:val="lrTb"/>
            <w:noWrap w:val="false"/>
          </w:tcPr>
          <w:p>
            <w:pPr>
              <w:jc w:val="center"/>
              <w:spacing w:line="300" w:lineRule="auto"/>
              <w:widowControl/>
              <w:rPr>
                <w:rFonts w:hint="default" w:ascii="宋体" w:hAnsi="宋体"/>
                <w:color w:val="000000"/>
                <w:szCs w:val="21"/>
                <w:lang w:val="en-US" w:eastAsia="zh-CN"/>
              </w:rPr>
            </w:pPr>
            <w:r>
              <w:rPr>
                <w:rFonts w:hint="eastAsia" w:ascii="宋体" w:hAnsi="宋体"/>
                <w:color w:val="000000"/>
                <w:szCs w:val="21"/>
                <w:lang w:val="en-US" w:eastAsia="zh-CN"/>
              </w:rPr>
              <w:t xml:space="preserve">3</w:t>
            </w:r>
            <w:r/>
          </w:p>
        </w:tc>
      </w:tr>
      <w:tr>
        <w:trPr>
          <w:jc w:val="center"/>
          <w:trHeight w:val="18"/>
        </w:trPr>
        <w:tc>
          <w:tcPr>
            <w:tcW w:w="1413" w:type="dxa"/>
            <w:vAlign w:val="center"/>
            <w:vMerge w:val="restart"/>
            <w:textDirection w:val="lrTb"/>
            <w:noWrap w:val="false"/>
          </w:tcPr>
          <w:p>
            <w:pPr>
              <w:jc w:val="center"/>
              <w:spacing w:line="300" w:lineRule="auto"/>
              <w:widowControl/>
              <w:rPr>
                <w:rFonts w:hint="eastAsia" w:ascii="宋体" w:hAnsi="宋体" w:eastAsia="宋体" w:cs="宋体"/>
                <w:szCs w:val="21"/>
                <w:lang w:eastAsia="zh-CN" w:bidi="ar"/>
              </w:rPr>
            </w:pPr>
            <w:r>
              <w:rPr>
                <w:rFonts w:hint="eastAsia" w:ascii="宋体" w:hAnsi="宋体" w:cs="宋体"/>
                <w:szCs w:val="21"/>
                <w:lang w:bidi="ar"/>
              </w:rPr>
              <w:t xml:space="preserve">企业</w:t>
            </w:r>
            <w:r>
              <w:rPr>
                <w:rFonts w:hint="eastAsia" w:ascii="宋体" w:hAnsi="宋体" w:cs="宋体"/>
                <w:szCs w:val="21"/>
                <w:lang w:eastAsia="zh-CN" w:bidi="ar"/>
              </w:rPr>
              <w:t xml:space="preserve">实力</w:t>
            </w:r>
            <w:r/>
          </w:p>
          <w:p>
            <w:pPr>
              <w:jc w:val="center"/>
              <w:spacing w:line="300" w:lineRule="auto"/>
              <w:widowControl/>
              <w:rPr>
                <w:rFonts w:hint="eastAsia" w:ascii="宋体" w:hAnsi="宋体"/>
                <w:szCs w:val="21"/>
              </w:rPr>
            </w:pPr>
            <w:r>
              <w:rPr>
                <w:rFonts w:hint="eastAsia" w:ascii="宋体" w:hAnsi="宋体" w:cs="宋体"/>
                <w:szCs w:val="21"/>
                <w:lang w:bidi="ar"/>
              </w:rPr>
              <w:t xml:space="preserve">（1</w:t>
            </w:r>
            <w:r>
              <w:rPr>
                <w:rFonts w:hint="eastAsia" w:ascii="宋体" w:hAnsi="宋体" w:cs="宋体"/>
                <w:szCs w:val="21"/>
                <w:lang w:val="en-US" w:eastAsia="zh-CN" w:bidi="ar"/>
              </w:rPr>
              <w:t xml:space="preserve">3</w:t>
            </w:r>
            <w:r>
              <w:rPr>
                <w:rFonts w:hint="eastAsia" w:ascii="宋体" w:hAnsi="宋体" w:cs="宋体"/>
                <w:szCs w:val="21"/>
                <w:lang w:bidi="ar"/>
              </w:rPr>
              <w:t xml:space="preserve">分）</w:t>
            </w:r>
            <w:r/>
          </w:p>
        </w:tc>
        <w:tc>
          <w:tcPr>
            <w:tcW w:w="7477" w:type="dxa"/>
            <w:vAlign w:val="center"/>
            <w:textDirection w:val="lrTb"/>
            <w:noWrap w:val="false"/>
          </w:tcPr>
          <w:p>
            <w:pPr>
              <w:jc w:val="left"/>
              <w:spacing w:line="300" w:lineRule="auto"/>
              <w:widowControl/>
              <w:rPr>
                <w:rFonts w:hint="eastAsia" w:ascii="宋体" w:hAnsi="宋体"/>
                <w:szCs w:val="21"/>
                <w:highlight w:val="none"/>
              </w:rPr>
            </w:pPr>
            <w:r>
              <w:rPr>
                <w:rFonts w:hint="eastAsia" w:ascii="宋体" w:hAnsi="宋体"/>
                <w:szCs w:val="21"/>
                <w:highlight w:val="none"/>
              </w:rPr>
              <w:t xml:space="preserve">投标人或所投产品</w:t>
            </w:r>
            <w:r>
              <w:rPr>
                <w:rFonts w:hint="eastAsia" w:ascii="宋体" w:hAnsi="宋体"/>
                <w:szCs w:val="21"/>
                <w:highlight w:val="none"/>
                <w:lang w:eastAsia="zh-CN"/>
              </w:rPr>
              <w:t xml:space="preserve">制造商</w:t>
            </w:r>
            <w:r>
              <w:rPr>
                <w:rFonts w:hint="eastAsia" w:ascii="宋体" w:hAnsi="宋体"/>
                <w:szCs w:val="21"/>
                <w:highlight w:val="none"/>
              </w:rPr>
              <w:t xml:space="preserve">具有</w:t>
            </w:r>
            <w:r>
              <w:rPr>
                <w:rFonts w:hint="eastAsia" w:ascii="宋体" w:hAnsi="宋体"/>
                <w:szCs w:val="21"/>
                <w:highlight w:val="none"/>
                <w:lang w:eastAsia="zh-CN"/>
              </w:rPr>
              <w:t xml:space="preserve">有效期内</w:t>
            </w:r>
            <w:r>
              <w:rPr>
                <w:rFonts w:hint="eastAsia" w:ascii="宋体" w:hAnsi="宋体"/>
                <w:szCs w:val="21"/>
                <w:highlight w:val="none"/>
              </w:rPr>
              <w:t xml:space="preserve">的质量管理体系认证证书</w:t>
            </w:r>
            <w:r>
              <w:rPr>
                <w:rFonts w:hint="eastAsia" w:ascii="宋体" w:hAnsi="宋体"/>
                <w:szCs w:val="21"/>
                <w:highlight w:val="none"/>
                <w:lang w:eastAsia="zh-CN"/>
              </w:rPr>
              <w:t xml:space="preserve">、</w:t>
            </w:r>
            <w:r>
              <w:rPr>
                <w:rFonts w:hint="eastAsia" w:ascii="宋体" w:hAnsi="宋体"/>
                <w:szCs w:val="21"/>
                <w:highlight w:val="none"/>
              </w:rPr>
              <w:t xml:space="preserve">环境管理体系认证证书</w:t>
            </w:r>
            <w:r>
              <w:rPr>
                <w:rFonts w:hint="eastAsia" w:ascii="宋体" w:hAnsi="宋体"/>
                <w:szCs w:val="21"/>
                <w:highlight w:val="none"/>
                <w:lang w:eastAsia="zh-CN"/>
              </w:rPr>
              <w:t xml:space="preserve">、</w:t>
            </w:r>
            <w:r>
              <w:rPr>
                <w:rFonts w:hint="eastAsia" w:ascii="宋体" w:hAnsi="宋体"/>
                <w:szCs w:val="21"/>
                <w:highlight w:val="none"/>
              </w:rPr>
              <w:t xml:space="preserve">职业健康安全管理体系认证证书，每提供1个得1分，满分3分。</w:t>
            </w:r>
            <w:r>
              <w:rPr>
                <w:rFonts w:hint="eastAsia" w:ascii="宋体" w:hAnsi="宋体"/>
                <w:b/>
                <w:bCs/>
                <w:color w:val="auto"/>
                <w:szCs w:val="24"/>
                <w:highlight w:val="none"/>
              </w:rPr>
              <w:t xml:space="preserve">（</w:t>
            </w:r>
            <w:r>
              <w:rPr>
                <w:rFonts w:hint="eastAsia" w:ascii="宋体" w:hAnsi="宋体"/>
                <w:b/>
                <w:bCs/>
                <w:color w:val="auto"/>
                <w:highlight w:val="none"/>
              </w:rPr>
              <w:t xml:space="preserve">需提供有效证书原件扫描上传</w:t>
            </w:r>
            <w:r>
              <w:rPr>
                <w:rFonts w:hint="eastAsia" w:ascii="宋体" w:hAnsi="宋体" w:cs="宋体"/>
                <w:b/>
                <w:bCs/>
                <w:color w:val="auto"/>
                <w:szCs w:val="21"/>
                <w:highlight w:val="none"/>
                <w:lang w:val="en-US" w:eastAsia="zh-CN"/>
              </w:rPr>
              <w:t xml:space="preserve">，同时提供国家市场监督管理总局——全国认证认可信息公告服务平台查询截图，否则不得分，</w:t>
            </w:r>
            <w:r>
              <w:rPr>
                <w:rFonts w:hint="eastAsia" w:ascii="宋体" w:hAnsi="宋体"/>
                <w:b/>
                <w:bCs/>
                <w:color w:val="auto"/>
                <w:highlight w:val="none"/>
              </w:rPr>
              <w:t xml:space="preserve">关键信息模糊或未提供证明材料的，该项不得分</w:t>
            </w:r>
            <w:r>
              <w:rPr>
                <w:rFonts w:hint="eastAsia" w:ascii="宋体" w:hAnsi="宋体"/>
                <w:b/>
                <w:bCs/>
                <w:color w:val="auto"/>
                <w:szCs w:val="24"/>
                <w:highlight w:val="none"/>
              </w:rPr>
              <w:t xml:space="preserve">）</w:t>
            </w:r>
            <w:r/>
          </w:p>
        </w:tc>
        <w:tc>
          <w:tcPr>
            <w:tcW w:w="969" w:type="dxa"/>
            <w:vAlign w:val="center"/>
            <w:textDirection w:val="lrTb"/>
            <w:noWrap w:val="false"/>
          </w:tcPr>
          <w:p>
            <w:pPr>
              <w:jc w:val="center"/>
              <w:spacing w:line="300" w:lineRule="auto"/>
              <w:widowControl/>
              <w:rPr>
                <w:rFonts w:hint="eastAsia" w:ascii="宋体" w:hAnsi="宋体" w:eastAsia="宋体"/>
                <w:color w:val="000000"/>
                <w:szCs w:val="21"/>
                <w:lang w:eastAsia="zh-CN"/>
              </w:rPr>
            </w:pPr>
            <w:r>
              <w:rPr>
                <w:rFonts w:hint="eastAsia" w:ascii="宋体" w:hAnsi="宋体"/>
                <w:color w:val="000000"/>
                <w:szCs w:val="21"/>
                <w:lang w:val="en-US" w:eastAsia="zh-CN"/>
              </w:rPr>
              <w:t xml:space="preserve">3</w:t>
            </w:r>
            <w:r/>
          </w:p>
        </w:tc>
      </w:tr>
      <w:tr>
        <w:trPr>
          <w:jc w:val="center"/>
          <w:trHeight w:val="18"/>
        </w:trPr>
        <w:tc>
          <w:tcPr>
            <w:tcW w:w="1413" w:type="dxa"/>
            <w:vAlign w:val="center"/>
            <w:vMerge w:val="continue"/>
            <w:textDirection w:val="lrTb"/>
            <w:noWrap w:val="false"/>
          </w:tcPr>
          <w:p>
            <w:pPr>
              <w:jc w:val="center"/>
              <w:spacing w:line="300" w:lineRule="auto"/>
              <w:widowControl/>
              <w:rPr>
                <w:rFonts w:hint="eastAsia" w:ascii="宋体" w:hAnsi="宋体"/>
                <w:szCs w:val="21"/>
              </w:rPr>
            </w:pPr>
            <w:r>
              <w:rPr>
                <w:rFonts w:hint="eastAsia" w:ascii="宋体" w:hAnsi="宋体"/>
                <w:szCs w:val="21"/>
              </w:rPr>
            </w:r>
            <w:r/>
          </w:p>
        </w:tc>
        <w:tc>
          <w:tcPr>
            <w:tcW w:w="7477" w:type="dxa"/>
            <w:vAlign w:val="center"/>
            <w:textDirection w:val="lrTb"/>
            <w:noWrap w:val="false"/>
          </w:tcPr>
          <w:p>
            <w:pPr>
              <w:jc w:val="left"/>
              <w:spacing w:line="300" w:lineRule="auto"/>
              <w:widowControl/>
              <w:rPr>
                <w:rFonts w:hint="eastAsia" w:ascii="宋体" w:hAnsi="宋体"/>
                <w:szCs w:val="21"/>
                <w:highlight w:val="none"/>
              </w:rPr>
            </w:pPr>
            <w:r>
              <w:rPr>
                <w:rFonts w:hint="eastAsia" w:ascii="宋体" w:hAnsi="宋体" w:cs="宋体"/>
                <w:szCs w:val="21"/>
                <w:highlight w:val="none"/>
                <w:lang w:bidi="ar"/>
              </w:rPr>
              <w:t xml:space="preserve">2023年1月以来（以合同签订时间为准）投标人</w:t>
            </w:r>
            <w:r>
              <w:rPr>
                <w:rFonts w:hint="eastAsia" w:ascii="宋体" w:hAnsi="宋体" w:cs="宋体"/>
                <w:szCs w:val="21"/>
                <w:highlight w:val="none"/>
                <w:lang w:val="en-US" w:eastAsia="zh-CN" w:bidi="ar"/>
              </w:rPr>
              <w:t xml:space="preserve">或</w:t>
            </w:r>
            <w:r>
              <w:rPr>
                <w:rFonts w:hint="eastAsia" w:ascii="宋体" w:hAnsi="宋体"/>
                <w:szCs w:val="21"/>
                <w:highlight w:val="none"/>
              </w:rPr>
              <w:t xml:space="preserve">所投产品</w:t>
            </w:r>
            <w:r>
              <w:rPr>
                <w:rFonts w:hint="eastAsia" w:ascii="宋体" w:hAnsi="宋体"/>
                <w:szCs w:val="21"/>
                <w:highlight w:val="none"/>
                <w:lang w:eastAsia="zh-CN"/>
              </w:rPr>
              <w:t xml:space="preserve">制造商</w:t>
            </w:r>
            <w:r>
              <w:rPr>
                <w:rFonts w:hint="eastAsia" w:ascii="宋体" w:hAnsi="宋体" w:cs="宋体"/>
                <w:szCs w:val="21"/>
                <w:highlight w:val="none"/>
                <w:lang w:bidi="ar"/>
              </w:rPr>
              <w:t xml:space="preserve">承担过类似</w:t>
            </w:r>
            <w:r>
              <w:rPr>
                <w:rFonts w:hint="eastAsia" w:ascii="宋体" w:hAnsi="宋体" w:cs="宋体"/>
                <w:szCs w:val="21"/>
                <w:highlight w:val="none"/>
                <w:lang w:eastAsia="zh-CN" w:bidi="ar"/>
              </w:rPr>
              <w:t xml:space="preserve">业绩</w:t>
            </w:r>
            <w:r>
              <w:rPr>
                <w:rFonts w:hint="eastAsia" w:ascii="宋体" w:hAnsi="宋体" w:cs="宋体"/>
                <w:szCs w:val="21"/>
                <w:highlight w:val="none"/>
                <w:lang w:bidi="ar"/>
              </w:rPr>
              <w:t xml:space="preserve">的，每提供一份得2分，最高得</w:t>
            </w:r>
            <w:r>
              <w:rPr>
                <w:rFonts w:hint="eastAsia" w:ascii="宋体" w:hAnsi="宋体" w:cs="宋体"/>
                <w:szCs w:val="21"/>
                <w:highlight w:val="none"/>
                <w:lang w:val="en-US" w:eastAsia="zh-CN" w:bidi="ar"/>
              </w:rPr>
              <w:t xml:space="preserve">10</w:t>
            </w:r>
            <w:r>
              <w:rPr>
                <w:rFonts w:hint="eastAsia" w:ascii="宋体" w:hAnsi="宋体" w:cs="宋体"/>
                <w:szCs w:val="21"/>
                <w:highlight w:val="none"/>
                <w:lang w:bidi="ar"/>
              </w:rPr>
              <w:t xml:space="preserve">分。</w:t>
            </w:r>
            <w:r>
              <w:rPr>
                <w:rFonts w:hint="eastAsia" w:ascii="宋体" w:hAnsi="宋体" w:cs="宋体"/>
                <w:b/>
                <w:bCs/>
                <w:szCs w:val="21"/>
                <w:highlight w:val="none"/>
                <w:lang w:bidi="ar"/>
              </w:rPr>
              <w:t xml:space="preserve">（</w:t>
            </w:r>
            <w:r>
              <w:rPr>
                <w:rFonts w:hint="eastAsia" w:ascii="宋体" w:hAnsi="宋体" w:cs="宋体"/>
                <w:b/>
                <w:bCs/>
                <w:szCs w:val="21"/>
                <w:highlight w:val="none"/>
              </w:rPr>
              <w:t xml:space="preserve">提供合同原件扫描上传</w:t>
            </w:r>
            <w:r>
              <w:rPr>
                <w:rFonts w:hint="eastAsia" w:ascii="宋体" w:hAnsi="宋体"/>
                <w:b/>
                <w:bCs/>
                <w:color w:val="auto"/>
                <w:highlight w:val="none"/>
              </w:rPr>
              <w:t xml:space="preserve">，关键信息模糊或未提供证明材料的，该项不得分</w:t>
            </w:r>
            <w:r>
              <w:rPr>
                <w:rFonts w:hint="eastAsia" w:ascii="宋体" w:hAnsi="宋体" w:cs="宋体"/>
                <w:b/>
                <w:bCs/>
                <w:szCs w:val="21"/>
                <w:highlight w:val="none"/>
                <w:lang w:bidi="ar"/>
              </w:rPr>
              <w:t xml:space="preserve">）</w:t>
            </w:r>
            <w:r/>
          </w:p>
        </w:tc>
        <w:tc>
          <w:tcPr>
            <w:tcW w:w="969" w:type="dxa"/>
            <w:vAlign w:val="center"/>
            <w:textDirection w:val="lrTb"/>
            <w:noWrap w:val="false"/>
          </w:tcPr>
          <w:p>
            <w:pPr>
              <w:jc w:val="center"/>
              <w:spacing w:line="300" w:lineRule="auto"/>
              <w:widowControl/>
              <w:rPr>
                <w:rFonts w:hint="default" w:ascii="宋体" w:hAnsi="宋体" w:eastAsia="宋体"/>
                <w:color w:val="000000"/>
                <w:szCs w:val="21"/>
                <w:lang w:val="en-US" w:eastAsia="zh-CN"/>
              </w:rPr>
            </w:pPr>
            <w:r>
              <w:rPr>
                <w:rFonts w:hint="eastAsia" w:ascii="宋体" w:hAnsi="宋体" w:cs="宋体"/>
                <w:szCs w:val="21"/>
                <w:lang w:val="en-US" w:eastAsia="zh-CN"/>
              </w:rPr>
              <w:t xml:space="preserve">10</w:t>
            </w:r>
            <w:r/>
          </w:p>
        </w:tc>
      </w:tr>
      <w:tr>
        <w:trPr>
          <w:jc w:val="center"/>
          <w:trHeight w:val="921"/>
        </w:trPr>
        <w:tc>
          <w:tcPr>
            <w:tcW w:w="1413" w:type="dxa"/>
            <w:vAlign w:val="center"/>
            <w:textDirection w:val="lrTb"/>
            <w:noWrap w:val="false"/>
          </w:tcPr>
          <w:p>
            <w:pPr>
              <w:jc w:val="center"/>
              <w:spacing w:line="300" w:lineRule="auto"/>
              <w:widowControl/>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环保产品</w:t>
            </w:r>
            <w:r/>
          </w:p>
          <w:p>
            <w:pPr>
              <w:jc w:val="center"/>
              <w:spacing w:line="300" w:lineRule="auto"/>
              <w:widowControl/>
              <w:rPr>
                <w:rFonts w:hint="eastAsia" w:ascii="宋体" w:hAnsi="宋体"/>
                <w:szCs w:val="21"/>
              </w:rPr>
            </w:pP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4</w:t>
            </w:r>
            <w:r>
              <w:rPr>
                <w:rFonts w:hint="eastAsia" w:ascii="宋体" w:hAnsi="宋体" w:eastAsia="宋体" w:cs="宋体"/>
                <w:szCs w:val="21"/>
                <w:lang w:bidi="ar"/>
              </w:rPr>
              <w:t xml:space="preserve">分）</w:t>
            </w:r>
            <w:r/>
          </w:p>
        </w:tc>
        <w:tc>
          <w:tcPr>
            <w:tcW w:w="7477" w:type="dxa"/>
            <w:vAlign w:val="center"/>
            <w:textDirection w:val="lrTb"/>
            <w:noWrap w:val="false"/>
          </w:tcPr>
          <w:p>
            <w:pPr>
              <w:pStyle w:val="990"/>
              <w:jc w:val="both"/>
              <w:spacing w:line="440" w:lineRule="exact"/>
              <w:widowControl w:val="off"/>
              <w:rPr>
                <w:rFonts w:hint="eastAsia" w:ascii="宋体" w:hAnsi="宋体" w:cs="宋体"/>
                <w:szCs w:val="21"/>
                <w:lang w:bidi="ar"/>
              </w:rPr>
            </w:pPr>
            <w:r>
              <w:rPr>
                <w:rFonts w:hint="eastAsia" w:ascii="宋体" w:hAnsi="宋体" w:eastAsia="宋体" w:cs="宋体"/>
                <w:sz w:val="21"/>
                <w:szCs w:val="21"/>
                <w:lang w:val="en-US" w:eastAsia="zh-CN" w:bidi="ar"/>
              </w:rPr>
              <w:t xml:space="preserve">投标产品具有有效的中国环境标志产品认证证书，至少包含：办公桌、办公椅、会议桌、会议椅、文件柜、沙发、床、茶几，每提供一个得0.5分，满分4分。</w:t>
            </w:r>
            <w:r>
              <w:rPr>
                <w:rFonts w:hint="eastAsia" w:ascii="宋体" w:hAnsi="宋体" w:eastAsia="宋体" w:cs="宋体"/>
                <w:b/>
                <w:bCs/>
                <w:sz w:val="21"/>
                <w:szCs w:val="21"/>
                <w:lang w:val="en-US" w:eastAsia="zh-CN" w:bidi="ar"/>
              </w:rPr>
              <w:t xml:space="preserve">（需提供证书扫描件，证书需在有效期内；名称没有限制性，若认证产品名称与上述产品名称不一致，为同种产品或相近名称均可。）</w:t>
            </w:r>
            <w:r/>
          </w:p>
        </w:tc>
        <w:tc>
          <w:tcPr>
            <w:tcW w:w="969" w:type="dxa"/>
            <w:vAlign w:val="center"/>
            <w:textDirection w:val="lrTb"/>
            <w:noWrap w:val="false"/>
          </w:tcPr>
          <w:p>
            <w:pPr>
              <w:jc w:val="center"/>
              <w:spacing w:line="300" w:lineRule="auto"/>
              <w:widowControl/>
              <w:rPr>
                <w:rFonts w:hint="default" w:ascii="宋体" w:hAnsi="宋体" w:cs="宋体"/>
                <w:szCs w:val="21"/>
                <w:lang w:val="en-US" w:eastAsia="zh-CN"/>
              </w:rPr>
            </w:pPr>
            <w:r>
              <w:rPr>
                <w:rFonts w:hint="eastAsia" w:ascii="宋体" w:hAnsi="宋体" w:cs="宋体"/>
                <w:szCs w:val="21"/>
                <w:lang w:val="en-US" w:eastAsia="zh-CN"/>
              </w:rPr>
              <w:t xml:space="preserve">4</w:t>
            </w:r>
            <w:r/>
          </w:p>
        </w:tc>
      </w:tr>
    </w:tbl>
    <w:p>
      <w:pPr>
        <w:jc w:val="left"/>
        <w:spacing w:line="300"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spacing w:line="400" w:lineRule="exact"/>
        <w:rPr>
          <w:rFonts w:hint="eastAsia" w:ascii="宋体" w:hAnsi="宋体" w:cs="宋体"/>
          <w:b/>
          <w:bCs/>
          <w:szCs w:val="21"/>
        </w:rPr>
      </w:pPr>
      <w:r>
        <w:rPr>
          <w:rFonts w:hint="eastAsia" w:ascii="宋体" w:hAnsi="宋体" w:cs="宋体"/>
          <w:b/>
          <w:bCs/>
          <w:szCs w:val="21"/>
        </w:rPr>
        <w:t xml:space="preserve">注：1、评委应对以上各得分项独立评分，供应商最终得分为所有评委评分汇总的平均值。</w:t>
      </w:r>
      <w:r/>
    </w:p>
    <w:p>
      <w:pPr>
        <w:ind w:firstLine="420"/>
        <w:spacing w:line="400" w:lineRule="exact"/>
        <w:rPr>
          <w:rFonts w:hint="eastAsia" w:ascii="宋体" w:hAnsi="宋体" w:cs="宋体"/>
          <w:b/>
          <w:bCs/>
          <w:szCs w:val="21"/>
        </w:rPr>
      </w:pPr>
      <w:r>
        <w:rPr>
          <w:rFonts w:hint="eastAsia" w:ascii="宋体" w:hAnsi="宋体" w:cs="宋体"/>
          <w:b/>
          <w:bCs/>
          <w:szCs w:val="21"/>
        </w:rPr>
        <w:t xml:space="preserve">2、以上参与评分的相关证明材料均须提供原件扫描件，如不能提供原件扫描件的，则相应评分项不予得分。</w:t>
      </w:r>
      <w:r/>
    </w:p>
    <w:p>
      <w:pPr>
        <w:pStyle w:val="734"/>
        <w:jc w:val="center"/>
        <w:rPr>
          <w:rFonts w:hint="eastAsia" w:ascii="宋体" w:hAnsi="宋体"/>
          <w:color w:val="000000" w:themeColor="text1"/>
          <w14:textFill>
            <w14:solidFill>
              <w14:schemeClr w14:val="tx1"/>
            </w14:solidFill>
          </w14:textFill>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themeColor="text1"/>
          <w14:textFill>
            <w14:solidFill>
              <w14:schemeClr w14:val="tx1"/>
            </w14:solidFill>
          </w14:textFill>
        </w:rPr>
      </w:r>
      <w:r/>
    </w:p>
    <w:p>
      <w:pPr>
        <w:pStyle w:val="734"/>
        <w:jc w:val="center"/>
        <w:rPr>
          <w:rFonts w:hint="eastAsia" w:ascii="宋体" w:hAnsi="宋体"/>
          <w:color w:val="000000" w:themeColor="text1"/>
          <w14:textFill>
            <w14:solidFill>
              <w14:schemeClr w14:val="tx1"/>
            </w14:solidFill>
          </w14:textFill>
        </w:rPr>
      </w:pPr>
      <w:r/>
      <w:bookmarkStart w:id="69" w:name="_Toc190211629"/>
      <w:r>
        <w:rPr>
          <w:rFonts w:hint="eastAsia" w:ascii="宋体" w:hAnsi="宋体"/>
          <w:color w:val="000000" w:themeColor="text1"/>
          <w14:textFill>
            <w14:solidFill>
              <w14:schemeClr w14:val="tx1"/>
            </w14:solidFill>
          </w14:textFill>
        </w:rPr>
        <w:t xml:space="preserve">第六章 投标文件格式</w:t>
      </w:r>
      <w:bookmarkEnd w:id="69"/>
      <w:r>
        <w:rPr>
          <w:rFonts w:hint="eastAsia" w:ascii="宋体" w:hAnsi="宋体"/>
          <w:color w:val="000000" w:themeColor="text1"/>
          <w14:textFill>
            <w14:solidFill>
              <w14:schemeClr w14:val="tx1"/>
            </w14:solidFill>
          </w14:textFill>
        </w:rPr>
        <w:t xml:space="preserve"> </w:t>
      </w:r>
      <w:r/>
    </w:p>
    <w:p>
      <w:pPr>
        <w:rPr>
          <w:rFonts w:hint="eastAsia" w:ascii="宋体" w:hAnsi="宋体"/>
          <w:bCs/>
          <w:color w:val="000000" w:themeColor="text1"/>
          <w:sz w:val="44"/>
          <w14:textFill>
            <w14:solidFill>
              <w14:schemeClr w14:val="tx1"/>
            </w14:solidFill>
          </w14:textFill>
        </w:rPr>
      </w:pPr>
      <w:r>
        <w:rPr>
          <w:rFonts w:hint="eastAsia" w:ascii="宋体" w:hAnsi="宋体"/>
          <w:bCs/>
          <w:color w:val="000000" w:themeColor="text1"/>
          <w:sz w:val="44"/>
          <w14:textFill>
            <w14:solidFill>
              <w14:schemeClr w14:val="tx1"/>
            </w14:solidFill>
          </w14:textFill>
        </w:rPr>
      </w:r>
      <w:r/>
    </w:p>
    <w:p>
      <w:pPr>
        <w:jc w:val="center"/>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 xml:space="preserve">投  标  文  件</w:t>
      </w:r>
      <w:r/>
    </w:p>
    <w:p>
      <w:pPr>
        <w:jc w:val="center"/>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r>
      <w:r/>
    </w:p>
    <w:p>
      <w:pPr>
        <w:jc w:val="center"/>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ind w:firstLine="1084"/>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名 称：</w:t>
      </w:r>
      <w:r>
        <w:rPr>
          <w:rFonts w:hint="eastAsia" w:ascii="宋体" w:hAnsi="宋体"/>
          <w:b/>
          <w:color w:val="000000" w:themeColor="text1"/>
          <w:sz w:val="36"/>
          <w:u w:val="single"/>
          <w14:textFill>
            <w14:solidFill>
              <w14:schemeClr w14:val="tx1"/>
            </w14:solidFill>
          </w14:textFill>
        </w:rPr>
        <w:t xml:space="preserve">               </w:t>
      </w:r>
      <w:r/>
    </w:p>
    <w:p>
      <w:pPr>
        <w:ind w:firstLine="1084"/>
        <w:rPr>
          <w:rFonts w:hint="eastAsia"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招 标 编 号：</w:t>
      </w:r>
      <w:r>
        <w:rPr>
          <w:rFonts w:hint="eastAsia" w:ascii="宋体" w:hAnsi="宋体"/>
          <w:b/>
          <w:color w:val="000000" w:themeColor="text1"/>
          <w:sz w:val="36"/>
          <w:u w:val="single"/>
          <w14:textFill>
            <w14:solidFill>
              <w14:schemeClr w14:val="tx1"/>
            </w14:solidFill>
          </w14:textFill>
        </w:rPr>
        <w:t xml:space="preserve">               </w:t>
      </w:r>
      <w:r/>
    </w:p>
    <w:p>
      <w:pPr>
        <w:rPr>
          <w:rFonts w:hint="eastAsia"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投标人名称 ：</w:t>
      </w:r>
      <w:r>
        <w:rPr>
          <w:rFonts w:hint="eastAsia" w:ascii="宋体" w:hAnsi="宋体"/>
          <w:b/>
          <w:color w:val="000000" w:themeColor="text1"/>
          <w:sz w:val="36"/>
          <w:u w:val="single"/>
          <w14:textFill>
            <w14:solidFill>
              <w14:schemeClr w14:val="tx1"/>
            </w14:solidFill>
          </w14:textFill>
        </w:rPr>
        <w:t xml:space="preserve">               </w:t>
      </w:r>
      <w:r/>
    </w:p>
    <w:p>
      <w:pPr>
        <w:rPr>
          <w:rFonts w:hint="eastAsia"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日      期 ：</w:t>
      </w:r>
      <w:r>
        <w:rPr>
          <w:rFonts w:hint="eastAsia" w:ascii="宋体" w:hAnsi="宋体"/>
          <w:b/>
          <w:color w:val="000000" w:themeColor="text1"/>
          <w:sz w:val="36"/>
          <w:u w:val="single"/>
          <w14:textFill>
            <w14:solidFill>
              <w14:schemeClr w14:val="tx1"/>
            </w14:solidFill>
          </w14:textFill>
        </w:rPr>
        <w:t xml:space="preserve">               </w:t>
      </w:r>
      <w:r/>
    </w:p>
    <w:p>
      <w:pPr>
        <w:ind w:firstLine="1084"/>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投  标  人：</w:t>
      </w:r>
      <w:r>
        <w:rPr>
          <w:rFonts w:hint="eastAsia" w:ascii="宋体" w:hAnsi="宋体"/>
          <w:b/>
          <w:color w:val="000000" w:themeColor="text1"/>
          <w:sz w:val="36"/>
          <w:u w:val="single"/>
          <w14:textFill>
            <w14:solidFill>
              <w14:schemeClr w14:val="tx1"/>
            </w14:solidFill>
          </w14:textFill>
        </w:rPr>
        <w:t xml:space="preserve">         </w:t>
      </w:r>
      <w:r>
        <w:rPr>
          <w:rFonts w:hint="eastAsia" w:ascii="宋体" w:hAnsi="宋体"/>
          <w:b/>
          <w:color w:val="000000" w:themeColor="text1"/>
          <w:sz w:val="36"/>
          <w14:textFill>
            <w14:solidFill>
              <w14:schemeClr w14:val="tx1"/>
            </w14:solidFill>
          </w14:textFill>
        </w:rPr>
        <w:t xml:space="preserve">（电子签章）</w:t>
      </w:r>
      <w:r/>
    </w:p>
    <w:p>
      <w:pPr>
        <w:jc w:val="center"/>
        <w:spacing w:line="44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jc w:val="center"/>
        <w:spacing w:line="44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spacing w:line="44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jc w:val="center"/>
        <w:spacing w:line="440" w:lineRule="exact"/>
        <w:rPr>
          <w:rFonts w:hint="eastAsia"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br w:type="page" w:clear="all"/>
      </w:r>
      <w:r>
        <w:rPr>
          <w:rFonts w:hint="eastAsia" w:ascii="宋体" w:hAnsi="宋体"/>
          <w:b/>
          <w:bCs/>
          <w:color w:val="000000" w:themeColor="text1"/>
          <w:sz w:val="32"/>
          <w:szCs w:val="32"/>
          <w14:textFill>
            <w14:solidFill>
              <w14:schemeClr w14:val="tx1"/>
            </w14:solidFill>
          </w14:textFill>
        </w:rPr>
        <w:t xml:space="preserve">投标主要文件目录</w:t>
      </w:r>
      <w:r/>
    </w:p>
    <w:p>
      <w:pPr>
        <w:jc w:val="center"/>
        <w:spacing w:line="44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一、资格审查响应对照表</w:t>
      </w:r>
      <w:r/>
    </w:p>
    <w:p>
      <w:pPr>
        <w:ind w:left="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二、符合性审查响应对照表</w:t>
      </w:r>
      <w:r/>
    </w:p>
    <w:p>
      <w:pPr>
        <w:ind w:left="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三、非实质性响应对照表</w:t>
      </w:r>
      <w:r/>
    </w:p>
    <w:p>
      <w:pPr>
        <w:ind w:firstLine="480"/>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四</w:t>
      </w:r>
      <w:r>
        <w:rPr>
          <w:rFonts w:hint="eastAsia" w:ascii="宋体" w:hAnsi="宋体"/>
          <w:b/>
          <w:bCs/>
          <w:color w:val="000000" w:themeColor="text1"/>
          <w:sz w:val="24"/>
          <w14:textFill>
            <w14:solidFill>
              <w14:schemeClr w14:val="tx1"/>
            </w14:solidFill>
          </w14:textFill>
        </w:rPr>
        <w:t xml:space="preserve">、</w:t>
      </w:r>
      <w:r>
        <w:rPr>
          <w:rFonts w:hint="eastAsia" w:ascii="宋体" w:hAnsi="宋体"/>
          <w:i/>
          <w:color w:val="000000" w:themeColor="text1"/>
          <w:sz w:val="24"/>
          <w:u w:val="single"/>
          <w14:textFill>
            <w14:solidFill>
              <w14:schemeClr w14:val="tx1"/>
            </w14:solidFill>
          </w14:textFill>
        </w:rPr>
        <w:t xml:space="preserve">开标一览表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五、分项报价表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六</w:t>
      </w:r>
      <w:r>
        <w:rPr>
          <w:rFonts w:hint="eastAsia" w:ascii="宋体" w:hAnsi="宋体" w:cs="Courier New"/>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技术参数响应及偏离表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七、商务条款响应及偏离表</w:t>
      </w:r>
      <w:r/>
    </w:p>
    <w:p>
      <w:pPr>
        <w:ind w:firstLine="480"/>
        <w:spacing w:line="360" w:lineRule="auto"/>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八、其他 （投标人认为有必要提供的声明和文件，如有自拟并自行添加）</w:t>
      </w:r>
      <w:r/>
    </w:p>
    <w:p>
      <w:pPr>
        <w:contextualSpacing/>
        <w:jc w:val="center"/>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r>
      <w:r/>
    </w:p>
    <w:p>
      <w:pPr>
        <w:contextualSpacing/>
        <w:jc w:val="center"/>
        <w:spacing w:line="600" w:lineRule="exact"/>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r>
      <w:r/>
    </w:p>
    <w:p>
      <w:pPr>
        <w:contextualSpacing/>
        <w:jc w:val="center"/>
        <w:spacing w:line="600" w:lineRule="exact"/>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r>
      <w:r/>
    </w:p>
    <w:p>
      <w:pPr>
        <w:contextualSpacing/>
        <w:spacing w:line="60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contextualSpacing/>
        <w:spacing w:line="60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contextualSpacing/>
        <w:spacing w:line="60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contextualSpacing/>
        <w:spacing w:line="60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contextualSpacing/>
        <w:spacing w:line="60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contextualSpacing/>
        <w:spacing w:line="60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contextualSpacing/>
        <w:spacing w:line="60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735"/>
        <w:rPr>
          <w:rFonts w:hint="eastAsia" w:ascii="宋体" w:hAnsi="宋体" w:eastAsia="宋体"/>
          <w:b w:val="0"/>
          <w:color w:val="000000" w:themeColor="text1"/>
          <w:sz w:val="32"/>
          <w:szCs w:val="32"/>
          <w14:textFill>
            <w14:solidFill>
              <w14:schemeClr w14:val="tx1"/>
            </w14:solidFill>
          </w14:textFill>
        </w:rPr>
      </w:pPr>
      <w:r>
        <w:rPr>
          <w:rFonts w:hint="eastAsia" w:ascii="宋体" w:hAnsi="宋体" w:eastAsia="宋体"/>
          <w:color w:val="000000" w:themeColor="text1"/>
          <w:sz w:val="32"/>
          <w:szCs w:val="32"/>
          <w14:textFill>
            <w14:solidFill>
              <w14:schemeClr w14:val="tx1"/>
            </w14:solidFill>
          </w14:textFill>
        </w:rPr>
        <w:br w:type="page" w:clear="all"/>
      </w:r>
      <w:bookmarkStart w:id="70" w:name="_Toc190211630"/>
      <w:r>
        <w:rPr>
          <w:rFonts w:hint="eastAsia" w:ascii="宋体" w:hAnsi="宋体" w:eastAsia="宋体"/>
          <w:color w:val="000000" w:themeColor="text1"/>
          <w:sz w:val="32"/>
          <w14:textFill>
            <w14:solidFill>
              <w14:schemeClr w14:val="tx1"/>
            </w14:solidFill>
          </w14:textFill>
        </w:rPr>
        <w:t xml:space="preserve">一、资格审查响应对照表</w:t>
      </w:r>
      <w:bookmarkEnd w:id="70"/>
      <w:r/>
      <w:r/>
    </w:p>
    <w:tbl>
      <w:tblPr>
        <w:tblStyle w:val="744"/>
        <w:tblW w:w="84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403"/>
        <w:gridCol w:w="1418"/>
      </w:tblGrid>
      <w:tr>
        <w:trPr>
          <w:trHeight w:val="647"/>
        </w:trPr>
        <w:tc>
          <w:tcPr>
            <w:tcW w:w="646" w:type="dxa"/>
            <w:vAlign w:val="center"/>
            <w:textDirection w:val="lrTb"/>
            <w:noWrap w:val="false"/>
          </w:tcPr>
          <w:p>
            <w:pPr>
              <w:jc w:val="center"/>
              <w:spacing w:line="240" w:lineRule="atLeas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序号</w:t>
            </w:r>
            <w:r/>
          </w:p>
        </w:tc>
        <w:tc>
          <w:tcPr>
            <w:tcW w:w="6403" w:type="dxa"/>
            <w:vAlign w:val="center"/>
            <w:textDirection w:val="lrTb"/>
            <w:noWrap w:val="false"/>
          </w:tcPr>
          <w:p>
            <w:pPr>
              <w:jc w:val="center"/>
              <w:spacing w:line="240" w:lineRule="atLeas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资格审查响应内容</w:t>
            </w:r>
            <w:r/>
          </w:p>
        </w:tc>
        <w:tc>
          <w:tcPr>
            <w:tcW w:w="1418" w:type="dxa"/>
            <w:vAlign w:val="center"/>
            <w:textDirection w:val="lrTb"/>
            <w:noWrap w:val="false"/>
          </w:tcPr>
          <w:p>
            <w:pPr>
              <w:jc w:val="center"/>
              <w:spacing w:line="240" w:lineRule="atLeas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是否响应</w:t>
            </w:r>
            <w:r/>
          </w:p>
          <w:p>
            <w:pPr>
              <w:jc w:val="center"/>
              <w:spacing w:line="240" w:lineRule="atLeas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（填是或者否）</w:t>
            </w:r>
            <w:r/>
          </w:p>
        </w:tc>
      </w:tr>
      <w:tr>
        <w:trPr>
          <w:trHeight w:val="335"/>
        </w:trPr>
        <w:tc>
          <w:tcPr>
            <w:gridSpan w:val="3"/>
            <w:tcW w:w="8467" w:type="dxa"/>
            <w:vAlign w:val="center"/>
            <w:textDirection w:val="lrTb"/>
            <w:noWrap w:val="false"/>
          </w:tcPr>
          <w:p>
            <w:pP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通用资格条件</w:t>
            </w:r>
            <w:r/>
          </w:p>
        </w:tc>
      </w:tr>
      <w:tr>
        <w:trPr>
          <w:trHeight w:val="761"/>
        </w:trPr>
        <w:tc>
          <w:tcPr>
            <w:tcW w:w="646" w:type="dxa"/>
            <w:vAlign w:val="center"/>
            <w:textDirection w:val="lrTb"/>
            <w:noWrap w:val="false"/>
          </w:tcPr>
          <w:p>
            <w:pPr>
              <w:jc w:val="center"/>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6403" w:type="dxa"/>
            <w:vAlign w:val="center"/>
            <w:textDirection w:val="lrTb"/>
            <w:noWrap w:val="false"/>
          </w:tcPr>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法人或者其他组织的营业执照等证明文件，自然人的身份证明（身份证为正、反面）</w:t>
            </w:r>
            <w:r/>
          </w:p>
        </w:tc>
        <w:tc>
          <w:tcPr>
            <w:tcW w:w="1418" w:type="dxa"/>
            <w:vAlign w:val="center"/>
            <w:textDirection w:val="lrTb"/>
            <w:noWrap w:val="false"/>
          </w:tcPr>
          <w:p>
            <w:pP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tc>
      </w:tr>
      <w:tr>
        <w:trPr>
          <w:trHeight w:val="585"/>
        </w:trPr>
        <w:tc>
          <w:tcPr>
            <w:tcW w:w="64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6403" w:type="dxa"/>
            <w:vAlign w:val="center"/>
            <w:textDirection w:val="lrTb"/>
            <w:noWrap w:val="false"/>
          </w:tcPr>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依法缴纳职工社会保障资金的证明材料（可提供“基本资格条件承诺函”）</w:t>
            </w:r>
            <w:r/>
          </w:p>
        </w:tc>
        <w:tc>
          <w:tcPr>
            <w:tcW w:w="141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585"/>
        </w:trPr>
        <w:tc>
          <w:tcPr>
            <w:tcW w:w="64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6403" w:type="dxa"/>
            <w:vAlign w:val="center"/>
            <w:textDirection w:val="lrTb"/>
            <w:noWrap w:val="false"/>
          </w:tcPr>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依法纳税的缴款凭证（可提供“基本资格条件承诺函”）</w:t>
            </w:r>
            <w:r/>
          </w:p>
        </w:tc>
        <w:tc>
          <w:tcPr>
            <w:tcW w:w="141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17"/>
        </w:trPr>
        <w:tc>
          <w:tcPr>
            <w:tcW w:w="64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6403" w:type="dxa"/>
            <w:vAlign w:val="center"/>
            <w:textDirection w:val="lrTb"/>
            <w:noWrap w:val="false"/>
          </w:tcPr>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具有良好的商业信誉和健全的财务会计制度（可提供“基本资格条件承诺函”）</w:t>
            </w:r>
            <w:r/>
          </w:p>
        </w:tc>
        <w:tc>
          <w:tcPr>
            <w:tcW w:w="141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780"/>
        </w:trPr>
        <w:tc>
          <w:tcPr>
            <w:tcW w:w="64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6403" w:type="dxa"/>
            <w:vAlign w:val="center"/>
            <w:textDirection w:val="lrTb"/>
            <w:noWrap w:val="false"/>
          </w:tcPr>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具备履行合同所必需的设备和专业技术能力的证明材料（可提供“基本资格条件承诺函”）</w:t>
            </w:r>
            <w:r/>
          </w:p>
        </w:tc>
        <w:tc>
          <w:tcPr>
            <w:tcW w:w="141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780"/>
        </w:trPr>
        <w:tc>
          <w:tcPr>
            <w:tcW w:w="64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W w:w="6403" w:type="dxa"/>
            <w:vAlign w:val="center"/>
            <w:textDirection w:val="lrTb"/>
            <w:noWrap w:val="false"/>
          </w:tcPr>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参加本次政府采购活动前3年内在经营活动中没有重大违法记录的书面声明（可提供“基本资格条件承诺函”）</w:t>
            </w:r>
            <w:r/>
          </w:p>
        </w:tc>
        <w:tc>
          <w:tcPr>
            <w:tcW w:w="141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780"/>
        </w:trPr>
        <w:tc>
          <w:tcPr>
            <w:tcW w:w="64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W w:w="6403"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141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780"/>
        </w:trPr>
        <w:tc>
          <w:tcPr>
            <w:tcW w:w="64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tcW w:w="6403"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供应商信用承诺函</w:t>
            </w:r>
            <w:r/>
          </w:p>
        </w:tc>
        <w:tc>
          <w:tcPr>
            <w:tcW w:w="141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90"/>
        </w:trPr>
        <w:tc>
          <w:tcPr>
            <w:gridSpan w:val="3"/>
            <w:tcW w:w="8467"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落实政府采购政策需满足的资格要求</w:t>
            </w:r>
            <w:r/>
          </w:p>
        </w:tc>
      </w:tr>
      <w:tr>
        <w:trPr>
          <w:trHeight w:val="1321"/>
        </w:trPr>
        <w:tc>
          <w:tcPr>
            <w:tcW w:w="64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tcW w:w="6403" w:type="dxa"/>
            <w:vAlign w:val="center"/>
            <w:textDirection w:val="lrTb"/>
            <w:noWrap w:val="false"/>
          </w:tcPr>
          <w:p>
            <w:pPr>
              <w:spacing w:line="360" w:lineRule="auto"/>
              <w:rPr>
                <w:rFonts w:hint="eastAsia" w:ascii="宋体" w:hAnsi="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根据《政府采购促进中小企业发展管理办法》的规定，本项目专门面向中小企业采购，投标人投标时须提供《中小企业声明函》，《中小企业声明函》不符合要求或未提供的，投标文件无效。</w:t>
            </w:r>
            <w:r/>
          </w:p>
        </w:tc>
        <w:tc>
          <w:tcPr>
            <w:tcW w:w="141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00"/>
        </w:trPr>
        <w:tc>
          <w:tcPr>
            <w:gridSpan w:val="3"/>
            <w:tcW w:w="8467" w:type="dxa"/>
            <w:vAlign w:val="center"/>
            <w:textDirection w:val="lrTb"/>
            <w:noWrap w:val="false"/>
          </w:tcPr>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特定资格条件</w:t>
            </w:r>
            <w:r/>
          </w:p>
        </w:tc>
      </w:tr>
      <w:tr>
        <w:trPr>
          <w:trHeight w:val="389"/>
        </w:trPr>
        <w:tc>
          <w:tcPr>
            <w:tcW w:w="64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p>
        </w:tc>
        <w:tc>
          <w:tcPr>
            <w:tcW w:w="6403" w:type="dxa"/>
            <w:vAlign w:val="center"/>
            <w:textDirection w:val="lrTb"/>
            <w:noWrap w:val="false"/>
          </w:tcPr>
          <w:p>
            <w:pPr>
              <w:spacing w:line="360" w:lineRule="auto"/>
              <w:rPr>
                <w:rFonts w:hint="eastAsia"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无</w:t>
            </w:r>
            <w:r/>
          </w:p>
        </w:tc>
        <w:tc>
          <w:tcPr>
            <w:tcW w:w="141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00"/>
        </w:trPr>
        <w:tc>
          <w:tcPr>
            <w:gridSpan w:val="3"/>
            <w:tcW w:w="8467"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其他资格条件</w:t>
            </w:r>
            <w:r/>
          </w:p>
        </w:tc>
      </w:tr>
      <w:tr>
        <w:trPr>
          <w:trHeight w:val="400"/>
        </w:trPr>
        <w:tc>
          <w:tcPr>
            <w:tcW w:w="64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p>
        </w:tc>
        <w:tc>
          <w:tcPr>
            <w:tcW w:w="6403" w:type="dxa"/>
            <w:vAlign w:val="center"/>
            <w:textDirection w:val="lrTb"/>
            <w:noWrap w:val="false"/>
          </w:tcPr>
          <w:p>
            <w:pPr>
              <w:jc w:val="left"/>
              <w:spacing w:line="0" w:lineRule="atLeast"/>
              <w:rPr>
                <w:rFonts w:hint="eastAsia"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投标函</w:t>
            </w:r>
            <w:r/>
          </w:p>
        </w:tc>
        <w:tc>
          <w:tcPr>
            <w:tcW w:w="141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00"/>
        </w:trPr>
        <w:tc>
          <w:tcPr>
            <w:tcW w:w="64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p>
        </w:tc>
        <w:tc>
          <w:tcPr>
            <w:tcW w:w="6403" w:type="dxa"/>
            <w:vAlign w:val="center"/>
            <w:textDirection w:val="lrTb"/>
            <w:noWrap w:val="false"/>
          </w:tcPr>
          <w:p>
            <w:pPr>
              <w:jc w:val="left"/>
              <w:spacing w:line="0" w:lineRule="atLeast"/>
              <w:rPr>
                <w:rFonts w:hint="eastAsia"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法人授权书</w:t>
            </w:r>
            <w:r/>
          </w:p>
        </w:tc>
        <w:tc>
          <w:tcPr>
            <w:tcW w:w="141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firstLine="1476"/>
        <w:spacing w:before="156" w:after="156" w:line="360" w:lineRule="auto"/>
        <w:rPr>
          <w:rFonts w:hint="eastAsia" w:ascii="宋体" w:hAnsi="宋体"/>
          <w:b/>
          <w:bCs/>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themeColor="text1"/>
          <w14:textFill>
            <w14:solidFill>
              <w14:schemeClr w14:val="tx1"/>
            </w14:solidFill>
          </w14:textFill>
        </w:rPr>
      </w:r>
      <w:r/>
    </w:p>
    <w:p>
      <w:pPr>
        <w:jc w:val="center"/>
        <w:spacing w:line="530" w:lineRule="exact"/>
        <w:tabs>
          <w:tab w:val="left" w:pos="6300" w:leader="none"/>
        </w:tabs>
        <w:rPr>
          <w:rFonts w:hint="eastAsia" w:ascii="宋体" w:hAnsi="宋体"/>
          <w:color w:val="000000" w:themeColor="text1"/>
          <w:sz w:val="44"/>
          <w14:textFill>
            <w14:solidFill>
              <w14:schemeClr w14:val="tx1"/>
            </w14:solidFill>
          </w14:textFill>
        </w:rPr>
      </w:pPr>
      <w:r/>
      <w:bookmarkStart w:id="71" w:name="OLE_LINK10"/>
      <w:r>
        <w:rPr>
          <w:rFonts w:hint="eastAsia" w:ascii="宋体" w:hAnsi="宋体"/>
          <w:b/>
          <w:color w:val="000000" w:themeColor="text1"/>
          <w14:textFill>
            <w14:solidFill>
              <w14:schemeClr w14:val="tx1"/>
            </w14:solidFill>
          </w14:textFill>
        </w:rPr>
        <w:t xml:space="preserve">基本资格条件承诺函</w:t>
      </w:r>
      <w:bookmarkEnd w:id="71"/>
      <w:r/>
      <w:r/>
    </w:p>
    <w:p>
      <w:pPr>
        <w:spacing w:line="530" w:lineRule="exact"/>
        <w:tabs>
          <w:tab w:val="left" w:pos="630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360" w:lineRule="auto"/>
        <w:tabs>
          <w:tab w:val="left" w:pos="6300" w:leader="none"/>
        </w:tabs>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致</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（采购代理机构名称）：</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我公司自愿参加</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项目</w:t>
      </w:r>
      <w:r>
        <w:rPr>
          <w:rFonts w:ascii="宋体" w:hAnsi="宋体"/>
          <w:color w:val="000000" w:themeColor="text1"/>
          <w:szCs w:val="21"/>
          <w14:textFill>
            <w14:solidFill>
              <w14:schemeClr w14:val="tx1"/>
            </w14:solidFill>
          </w14:textFill>
        </w:rPr>
        <w:t xml:space="preserve">名称）</w:t>
      </w:r>
      <w:r>
        <w:rPr>
          <w:rFonts w:hint="eastAsia" w:ascii="宋体" w:hAnsi="宋体"/>
          <w:color w:val="000000" w:themeColor="text1"/>
          <w:szCs w:val="21"/>
          <w14:textFill>
            <w14:solidFill>
              <w14:schemeClr w14:val="tx1"/>
            </w14:solidFill>
          </w14:textFill>
        </w:rPr>
        <w:t xml:space="preserve">政府采购活动，并</w:t>
      </w:r>
      <w:r>
        <w:rPr>
          <w:rFonts w:ascii="宋体" w:hAnsi="宋体"/>
          <w:color w:val="000000" w:themeColor="text1"/>
          <w:szCs w:val="21"/>
          <w14:textFill>
            <w14:solidFill>
              <w14:schemeClr w14:val="tx1"/>
            </w14:solidFill>
          </w14:textFill>
        </w:rPr>
        <w:t xml:space="preserve">郑重承诺：</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1.我方具有良好的商业信誉和健全的财务会计制度，具有履行合同所必需的设备和专业技术能力，具有依法缴纳税收和社会保障金的良好记录，参加本项目采购活动前三年内无重大违法活动记录。</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我方对以上承诺负全部法律责任。</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特此承诺。</w:t>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法定代表人（签章）：</w:t>
      </w:r>
      <w:r/>
    </w:p>
    <w:p>
      <w:pPr>
        <w:jc w:val="cente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供应商名称（签章）：</w:t>
      </w:r>
      <w:r/>
    </w:p>
    <w:p>
      <w:pPr>
        <w:jc w:val="cente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年   月   日</w:t>
      </w:r>
      <w:r/>
    </w:p>
    <w:p>
      <w:pPr>
        <w:jc w:val="center"/>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r>
      <w:r/>
    </w:p>
    <w:p>
      <w:pPr>
        <w:jc w:val="center"/>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r>
      <w:r/>
    </w:p>
    <w:p>
      <w:pPr>
        <w:jc w:val="center"/>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r>
      <w:r/>
    </w:p>
    <w:p>
      <w:pPr>
        <w:jc w:val="center"/>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r>
      <w:r/>
    </w:p>
    <w:p>
      <w:pPr>
        <w:jc w:val="center"/>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r>
      <w:r/>
    </w:p>
    <w:p>
      <w:pPr>
        <w:jc w:val="center"/>
        <w:spacing w:line="500" w:lineRule="exact"/>
        <w:rPr>
          <w:rFonts w:hint="eastAsia" w:ascii="宋体" w:hAnsi="宋体"/>
          <w:b/>
          <w:color w:val="000000" w:themeColor="text1"/>
          <w:szCs w:val="21"/>
          <w14:textFill>
            <w14:solidFill>
              <w14:schemeClr w14:val="tx1"/>
            </w14:solidFill>
          </w14:textFill>
        </w:rPr>
      </w:pPr>
      <w:r>
        <w:rPr>
          <w:rFonts w:hint="eastAsia" w:ascii="宋体" w:hAnsi="宋体"/>
          <w:b/>
          <w:bCs/>
          <w:color w:val="000000" w:themeColor="text1"/>
          <w14:textFill>
            <w14:solidFill>
              <w14:schemeClr w14:val="tx1"/>
            </w14:solidFill>
          </w14:textFill>
        </w:rPr>
        <w:br w:type="page" w:clear="all"/>
      </w:r>
      <w:r>
        <w:rPr>
          <w:rFonts w:hint="eastAsia" w:ascii="宋体" w:hAnsi="宋体"/>
          <w:b/>
          <w:color w:val="000000" w:themeColor="text1"/>
          <w:szCs w:val="21"/>
          <w14:textFill>
            <w14:solidFill>
              <w14:schemeClr w14:val="tx1"/>
            </w14:solidFill>
          </w14:textFill>
        </w:rPr>
        <w:t xml:space="preserve">供应商信用承诺书</w:t>
      </w:r>
      <w:r/>
    </w:p>
    <w:p>
      <w:pPr>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承诺主体名称：</w:t>
      </w:r>
      <w:r/>
    </w:p>
    <w:p>
      <w:pPr>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统一社会信用代码：</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四、自觉接受行政管理部门、行业组织、社会公众、新闻舆论的监督；</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七、严格遵守信用信息公示相关规定，向社会公示信用信息；</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八、在“信用中国”和“中国政府采购网”网站中无违法违规、较重或严重失信记录；</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十、本承诺书自签订之日起生效。</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（注：法定代表人或负责人、主体名称发生变更的应当重新做出承诺。）</w:t>
      </w:r>
      <w:r/>
    </w:p>
    <w:p>
      <w:pPr>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承诺单位（签章）：           </w:t>
      </w:r>
      <w:r/>
    </w:p>
    <w:p>
      <w:pPr>
        <w:jc w:val="center"/>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法定代表人（负责人）：</w:t>
      </w:r>
      <w:r/>
    </w:p>
    <w:p>
      <w:pPr>
        <w:jc w:val="center"/>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年    月    日</w:t>
      </w:r>
      <w:r/>
    </w:p>
    <w:p>
      <w:pPr>
        <w:jc w:val="center"/>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r>
      <w:r/>
    </w:p>
    <w:p>
      <w:pPr>
        <w:jc w:val="center"/>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投标函格式</w:t>
      </w:r>
      <w:r/>
    </w:p>
    <w:p>
      <w:pPr>
        <w:pStyle w:val="973"/>
        <w:ind w:firstLine="0"/>
        <w:spacing w:before="0" w:after="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致：</w:t>
      </w:r>
      <w:r>
        <w:rPr>
          <w:rFonts w:hint="eastAsia" w:ascii="宋体" w:hAnsi="宋体"/>
          <w:color w:val="000000" w:themeColor="text1"/>
          <w:sz w:val="21"/>
          <w14:textFill>
            <w14:solidFill>
              <w14:schemeClr w14:val="tx1"/>
            </w14:solidFill>
          </w14:textFill>
        </w:rPr>
        <w:t xml:space="preserve">江苏富华工程造价咨询有限公司</w:t>
      </w:r>
      <w:r/>
    </w:p>
    <w:p>
      <w:pPr>
        <w:pStyle w:val="973"/>
        <w:ind w:firstLine="420"/>
        <w:spacing w:before="0" w:after="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根据贵方的（）号招标文件，正式授权下述签字人_________________(姓名)代表我方______________（投标人的名称），全权处理本次项目投标的有关事宜。</w:t>
      </w:r>
      <w:r/>
    </w:p>
    <w:p>
      <w:pPr>
        <w:pStyle w:val="973"/>
        <w:ind w:firstLine="420"/>
        <w:spacing w:before="0" w:after="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据此函，__________签字人（姓名）兹宣布同意如下：</w:t>
      </w:r>
      <w:r/>
    </w:p>
    <w:p>
      <w:pPr>
        <w:pStyle w:val="973"/>
        <w:ind w:firstLine="420"/>
        <w:spacing w:before="0" w:after="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1.按招标文件规定的各项要求，向买方提供所需货物与服务。</w:t>
      </w:r>
      <w:r/>
    </w:p>
    <w:p>
      <w:pPr>
        <w:pStyle w:val="973"/>
        <w:ind w:firstLine="420"/>
        <w:spacing w:before="0" w:after="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2.我们完全理解贵方不一定将合同授予最低报价的投标人。</w:t>
      </w:r>
      <w:r/>
    </w:p>
    <w:p>
      <w:pPr>
        <w:pStyle w:val="973"/>
        <w:ind w:firstLine="420"/>
        <w:spacing w:before="0" w:after="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3.我们已详细审核全部招标文件及其有效补充文件，我们知道必须放弃提出含糊不清或误解问题的权利。</w:t>
      </w:r>
      <w:r/>
    </w:p>
    <w:p>
      <w:pPr>
        <w:pStyle w:val="973"/>
        <w:spacing w:before="0" w:after="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4.我们同意从规定的开标日期起遵循本投标文件，并在规定的投标有效期期满之前均具有约束力。</w:t>
      </w:r>
      <w:r/>
    </w:p>
    <w:p>
      <w:pPr>
        <w:pStyle w:val="973"/>
        <w:spacing w:before="0" w:after="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973"/>
        <w:spacing w:before="0" w:after="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973"/>
        <w:ind w:left="425" w:firstLine="105"/>
        <w:spacing w:before="0" w:after="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7.与本投标有关的正式通讯地址为：</w:t>
      </w:r>
      <w:r/>
    </w:p>
    <w:p>
      <w:pPr>
        <w:pStyle w:val="973"/>
        <w:ind w:firstLine="478"/>
        <w:spacing w:before="0" w:after="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地 址：</w:t>
      </w:r>
      <w:r/>
    </w:p>
    <w:p>
      <w:pPr>
        <w:pStyle w:val="973"/>
        <w:ind w:firstLine="478"/>
        <w:spacing w:before="0" w:after="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邮 编：</w:t>
      </w:r>
      <w:r/>
    </w:p>
    <w:p>
      <w:pPr>
        <w:pStyle w:val="973"/>
        <w:ind w:firstLine="478"/>
        <w:spacing w:before="0" w:after="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电 话： </w:t>
      </w:r>
      <w:r/>
    </w:p>
    <w:p>
      <w:pPr>
        <w:pStyle w:val="973"/>
        <w:ind w:firstLine="478"/>
        <w:spacing w:before="0" w:after="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传 真： </w:t>
      </w:r>
      <w:r/>
    </w:p>
    <w:p>
      <w:pPr>
        <w:pStyle w:val="973"/>
        <w:ind w:firstLine="478"/>
        <w:spacing w:before="0" w:after="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投标人开户行：</w:t>
      </w:r>
      <w:r/>
    </w:p>
    <w:p>
      <w:pPr>
        <w:pStyle w:val="973"/>
        <w:ind w:firstLine="478"/>
        <w:spacing w:before="0" w:after="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账 户： </w:t>
      </w:r>
      <w:r/>
    </w:p>
    <w:p>
      <w:pPr>
        <w:pStyle w:val="973"/>
        <w:ind w:firstLine="478"/>
        <w:spacing w:before="0" w:after="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行 号：</w:t>
      </w:r>
      <w:r/>
    </w:p>
    <w:p>
      <w:pPr>
        <w:pStyle w:val="973"/>
        <w:ind w:firstLine="478"/>
        <w:spacing w:before="0" w:after="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日 期：________年____月____日</w:t>
      </w:r>
      <w:r/>
    </w:p>
    <w:p>
      <w:pPr>
        <w:contextualSpacing/>
        <w:spacing w:line="60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clear="all"/>
      </w:r>
      <w:r/>
    </w:p>
    <w:p>
      <w:pPr>
        <w:pStyle w:val="974"/>
        <w:ind w:firstLine="422"/>
        <w:jc w:val="center"/>
        <w:spacing w:after="312" w:line="360" w:lineRule="auto"/>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法人授权书</w:t>
      </w:r>
      <w:r/>
    </w:p>
    <w:p>
      <w:pPr>
        <w:pStyle w:val="974"/>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本授权书声明：</w:t>
      </w:r>
      <w:r>
        <w:rPr>
          <w:rFonts w:ascii="宋体" w:hAnsi="宋体"/>
          <w:color w:val="000000" w:themeColor="text1"/>
          <w:sz w:val="21"/>
          <w:szCs w:val="21"/>
          <w14:textFill>
            <w14:solidFill>
              <w14:schemeClr w14:val="tx1"/>
            </w14:solidFill>
          </w14:textFill>
        </w:rPr>
        <w:t xml:space="preserve">________________</w:t>
      </w:r>
      <w:r>
        <w:rPr>
          <w:rFonts w:hint="eastAsia" w:ascii="宋体" w:hAnsi="宋体"/>
          <w:color w:val="000000" w:themeColor="text1"/>
          <w:sz w:val="21"/>
          <w:szCs w:val="21"/>
          <w14:textFill>
            <w14:solidFill>
              <w14:schemeClr w14:val="tx1"/>
            </w14:solidFill>
          </w14:textFill>
        </w:rPr>
        <w:t xml:space="preserve">（投标人名称）授权</w:t>
      </w:r>
      <w:r>
        <w:rPr>
          <w:rFonts w:ascii="宋体" w:hAnsi="宋体"/>
          <w:color w:val="000000" w:themeColor="text1"/>
          <w:sz w:val="21"/>
          <w:szCs w:val="21"/>
          <w14:textFill>
            <w14:solidFill>
              <w14:schemeClr w14:val="tx1"/>
            </w14:solidFill>
          </w14:textFill>
        </w:rPr>
        <w:t xml:space="preserve">________________</w:t>
      </w:r>
      <w:r>
        <w:rPr>
          <w:rFonts w:hint="eastAsia" w:ascii="宋体" w:hAnsi="宋体"/>
          <w:color w:val="000000" w:themeColor="text1"/>
          <w:sz w:val="21"/>
          <w:szCs w:val="21"/>
          <w14:textFill>
            <w14:solidFill>
              <w14:schemeClr w14:val="tx1"/>
            </w14:solidFill>
          </w14:textFill>
        </w:rPr>
        <w:t xml:space="preserve">（被授权人的姓名）为我方就（项目编号）号（项目名称）项目采购活动的合法代理人，以本公司名义全权处理一切与该项目采购有关的事务。</w:t>
      </w:r>
      <w:r/>
    </w:p>
    <w:p>
      <w:pPr>
        <w:pStyle w:val="974"/>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本授权书于</w:t>
      </w:r>
      <w:r>
        <w:rPr>
          <w:rFonts w:ascii="宋体" w:hAnsi="宋体"/>
          <w:color w:val="000000" w:themeColor="text1"/>
          <w:sz w:val="21"/>
          <w:szCs w:val="21"/>
          <w14:textFill>
            <w14:solidFill>
              <w14:schemeClr w14:val="tx1"/>
            </w14:solidFill>
          </w14:textFill>
        </w:rPr>
        <w:t xml:space="preserve">______</w:t>
      </w:r>
      <w:r>
        <w:rPr>
          <w:rFonts w:hint="eastAsia" w:ascii="宋体" w:hAnsi="宋体"/>
          <w:color w:val="000000" w:themeColor="text1"/>
          <w:sz w:val="21"/>
          <w:szCs w:val="21"/>
          <w14:textFill>
            <w14:solidFill>
              <w14:schemeClr w14:val="tx1"/>
            </w14:solidFill>
          </w14:textFill>
        </w:rPr>
        <w:t xml:space="preserve">年</w:t>
      </w:r>
      <w:r>
        <w:rPr>
          <w:rFonts w:ascii="宋体" w:hAnsi="宋体"/>
          <w:color w:val="000000" w:themeColor="text1"/>
          <w:sz w:val="21"/>
          <w:szCs w:val="21"/>
          <w14:textFill>
            <w14:solidFill>
              <w14:schemeClr w14:val="tx1"/>
            </w14:solidFill>
          </w14:textFill>
        </w:rPr>
        <w:t xml:space="preserve">____</w:t>
      </w:r>
      <w:r>
        <w:rPr>
          <w:rFonts w:hint="eastAsia" w:ascii="宋体" w:hAnsi="宋体"/>
          <w:color w:val="000000" w:themeColor="text1"/>
          <w:sz w:val="21"/>
          <w:szCs w:val="21"/>
          <w14:textFill>
            <w14:solidFill>
              <w14:schemeClr w14:val="tx1"/>
            </w14:solidFill>
          </w14:textFill>
        </w:rPr>
        <w:t xml:space="preserve">月</w:t>
      </w:r>
      <w:r>
        <w:rPr>
          <w:rFonts w:ascii="宋体" w:hAnsi="宋体"/>
          <w:color w:val="000000" w:themeColor="text1"/>
          <w:sz w:val="21"/>
          <w:szCs w:val="21"/>
          <w14:textFill>
            <w14:solidFill>
              <w14:schemeClr w14:val="tx1"/>
            </w14:solidFill>
          </w14:textFill>
        </w:rPr>
        <w:t xml:space="preserve">____</w:t>
      </w:r>
      <w:r>
        <w:rPr>
          <w:rFonts w:hint="eastAsia" w:ascii="宋体" w:hAnsi="宋体"/>
          <w:color w:val="000000" w:themeColor="text1"/>
          <w:sz w:val="21"/>
          <w:szCs w:val="21"/>
          <w14:textFill>
            <w14:solidFill>
              <w14:schemeClr w14:val="tx1"/>
            </w14:solidFill>
          </w14:textFill>
        </w:rPr>
        <w:t xml:space="preserve">日起生效，特此声明。</w:t>
      </w:r>
      <w:r/>
    </w:p>
    <w:p>
      <w:pPr>
        <w:pStyle w:val="974"/>
        <w:ind w:firstLine="0"/>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    </w:t>
      </w:r>
      <w:r/>
    </w:p>
    <w:p>
      <w:pPr>
        <w:pStyle w:val="974"/>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被授权人姓名：</w:t>
      </w:r>
      <w:r>
        <w:rPr>
          <w:rFonts w:ascii="宋体" w:hAnsi="宋体"/>
          <w:color w:val="000000" w:themeColor="text1"/>
          <w:sz w:val="21"/>
          <w:szCs w:val="21"/>
          <w14:textFill>
            <w14:solidFill>
              <w14:schemeClr w14:val="tx1"/>
            </w14:solidFill>
          </w14:textFill>
        </w:rPr>
        <w:t xml:space="preserve">_____________________</w:t>
      </w:r>
      <w:r>
        <w:rPr>
          <w:rFonts w:hint="eastAsia"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__</w:t>
      </w:r>
      <w:r>
        <w:rPr>
          <w:rFonts w:hint="eastAsia" w:ascii="宋体" w:hAnsi="宋体"/>
          <w:color w:val="000000" w:themeColor="text1"/>
          <w:sz w:val="21"/>
          <w:szCs w:val="21"/>
          <w14:textFill>
            <w14:solidFill>
              <w14:schemeClr w14:val="tx1"/>
            </w14:solidFill>
          </w14:textFill>
        </w:rPr>
        <w:t xml:space="preserve">     </w:t>
      </w:r>
      <w:r/>
    </w:p>
    <w:p>
      <w:pPr>
        <w:pStyle w:val="974"/>
        <w:ind w:firstLine="420"/>
        <w:spacing w:line="360" w:lineRule="auto"/>
        <w:rPr>
          <w:rFonts w:hint="eastAsia" w:ascii="宋体" w:hAnsi="宋体"/>
          <w:color w:val="000000" w:themeColor="text1"/>
          <w:sz w:val="21"/>
          <w:szCs w:val="21"/>
          <w:u w:val="single"/>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联系电话（手机）：</w:t>
      </w:r>
      <w:r>
        <w:rPr>
          <w:rFonts w:hint="eastAsia" w:ascii="宋体" w:hAnsi="宋体"/>
          <w:color w:val="000000" w:themeColor="text1"/>
          <w:sz w:val="21"/>
          <w:szCs w:val="21"/>
          <w:u w:val="single"/>
          <w14:textFill>
            <w14:solidFill>
              <w14:schemeClr w14:val="tx1"/>
            </w14:solidFill>
          </w14:textFill>
        </w:rPr>
        <w:t xml:space="preserve">                             </w:t>
      </w:r>
      <w:r/>
    </w:p>
    <w:p>
      <w:pPr>
        <w:pStyle w:val="974"/>
        <w:ind w:firstLine="0"/>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单位名称：</w:t>
      </w:r>
      <w:r>
        <w:rPr>
          <w:rFonts w:ascii="宋体" w:hAnsi="宋体"/>
          <w:color w:val="000000" w:themeColor="text1"/>
          <w:sz w:val="21"/>
          <w:szCs w:val="21"/>
          <w14:textFill>
            <w14:solidFill>
              <w14:schemeClr w14:val="tx1"/>
            </w14:solidFill>
          </w14:textFill>
        </w:rPr>
        <w:t xml:space="preserve">____________________________________</w:t>
      </w:r>
      <w:r/>
    </w:p>
    <w:p>
      <w:pPr>
        <w:pStyle w:val="974"/>
        <w:ind w:firstLine="420"/>
        <w:spacing w:line="360" w:lineRule="auto"/>
        <w:rPr>
          <w:rFonts w:hint="eastAsia" w:ascii="宋体" w:hAnsi="宋体"/>
          <w:color w:val="000000" w:themeColor="text1"/>
          <w:sz w:val="21"/>
          <w:szCs w:val="21"/>
          <w:u w:val="single"/>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单位地址：</w:t>
      </w:r>
      <w:r>
        <w:rPr>
          <w:rFonts w:ascii="宋体" w:hAnsi="宋体"/>
          <w:color w:val="000000" w:themeColor="text1"/>
          <w:sz w:val="21"/>
          <w:szCs w:val="21"/>
          <w:u w:val="single"/>
          <w14:textFill>
            <w14:solidFill>
              <w14:schemeClr w14:val="tx1"/>
            </w14:solidFill>
          </w14:textFill>
        </w:rPr>
        <w:t xml:space="preserve">                                         </w:t>
      </w:r>
      <w:r/>
    </w:p>
    <w:p>
      <w:pPr>
        <w:pStyle w:val="974"/>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日期：</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 </w:t>
      </w:r>
      <w:r/>
    </w:p>
    <w:p>
      <w:pPr>
        <w:spacing w:line="460" w:lineRule="exact"/>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420"/>
        <w:jc w:val="left"/>
        <w:spacing w:line="460" w:lineRule="exact"/>
        <w:rPr>
          <w:rFonts w:hint="eastAsia" w:ascii="宋体" w:hAnsi="宋体"/>
          <w:bCs/>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14:textFill>
            <w14:solidFill>
              <w14:schemeClr w14:val="tx1"/>
            </w14:solidFill>
          </w14:textFill>
        </w:rPr>
        <w:t xml:space="preserve">被授权人身份证复印件</w:t>
      </w:r>
      <w:r/>
    </w:p>
    <w:p>
      <w:pPr>
        <w:pStyle w:val="735"/>
        <w:rPr>
          <w:rFonts w:hint="eastAsia" w:ascii="宋体" w:hAnsi="宋体" w:eastAsia="宋体"/>
          <w:color w:val="000000" w:themeColor="text1"/>
          <w:sz w:val="32"/>
          <w14:textFill>
            <w14:solidFill>
              <w14:schemeClr w14:val="tx1"/>
            </w14:solidFill>
          </w14:textFill>
        </w:rPr>
      </w:pPr>
      <w:r/>
      <w:bookmarkStart w:id="72" w:name="_Toc190211632"/>
      <w:r>
        <w:rPr>
          <w:rFonts w:hint="eastAsia" w:ascii="宋体" w:hAnsi="宋体" w:eastAsia="宋体"/>
          <w:color w:val="000000" w:themeColor="text1"/>
          <w:sz w:val="32"/>
          <w14:textFill>
            <w14:solidFill>
              <w14:schemeClr w14:val="tx1"/>
            </w14:solidFill>
          </w14:textFill>
        </w:rPr>
        <w:t xml:space="preserve">二、符合性审查响应对照表</w:t>
      </w:r>
      <w:bookmarkEnd w:id="72"/>
      <w:r/>
      <w:r/>
    </w:p>
    <w:p>
      <w:pP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tbl>
      <w:tblPr>
        <w:tblStyle w:val="744"/>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hint="eastAsia" w:ascii="宋体" w:hAnsi="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序号</w:t>
            </w:r>
            <w:r/>
          </w:p>
        </w:tc>
        <w:tc>
          <w:tcPr>
            <w:tcW w:w="5447" w:type="dxa"/>
            <w:vAlign w:val="center"/>
            <w:textDirection w:val="lrTb"/>
            <w:noWrap w:val="false"/>
          </w:tcPr>
          <w:p>
            <w:pPr>
              <w:jc w:val="center"/>
              <w:spacing w:line="240" w:lineRule="atLeast"/>
              <w:rPr>
                <w:rFonts w:hint="eastAsia" w:ascii="宋体" w:hAnsi="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符合性审查响应内容</w:t>
            </w:r>
            <w:r/>
          </w:p>
        </w:tc>
        <w:tc>
          <w:tcPr>
            <w:tcW w:w="1680" w:type="dxa"/>
            <w:vAlign w:val="center"/>
            <w:textDirection w:val="lrTb"/>
            <w:noWrap w:val="false"/>
          </w:tcPr>
          <w:p>
            <w:pPr>
              <w:jc w:val="center"/>
              <w:spacing w:line="240" w:lineRule="atLeas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是否响应</w:t>
            </w:r>
            <w:r/>
          </w:p>
          <w:p>
            <w:pPr>
              <w:jc w:val="center"/>
              <w:spacing w:line="240" w:lineRule="atLeast"/>
              <w:rPr>
                <w:rFonts w:hint="eastAsia" w:ascii="宋体" w:hAnsi="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（填是或者否）</w:t>
            </w:r>
            <w:r/>
          </w:p>
        </w:tc>
        <w:tc>
          <w:tcPr>
            <w:tcW w:w="1308" w:type="dxa"/>
            <w:vAlign w:val="center"/>
            <w:textDirection w:val="lrTb"/>
            <w:noWrap w:val="false"/>
          </w:tcPr>
          <w:p>
            <w:pPr>
              <w:jc w:val="center"/>
              <w:spacing w:line="240" w:lineRule="atLeast"/>
              <w:rPr>
                <w:rFonts w:hint="eastAsia" w:ascii="宋体" w:hAnsi="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w:t>
            </w:r>
            <w:r/>
          </w:p>
        </w:tc>
        <w:tc>
          <w:tcPr>
            <w:tcW w:w="5447" w:type="dxa"/>
            <w:vAlign w:val="center"/>
            <w:textDirection w:val="lrTb"/>
            <w:noWrap w:val="false"/>
          </w:tcPr>
          <w:p>
            <w:pPr>
              <w:spacing w:line="0" w:lineRule="atLeast"/>
              <w:rPr>
                <w:rFonts w:hint="eastAsia"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采购需求中必须满足的实质性要求（即加斜体下划线内容，每条详细列出）</w:t>
            </w:r>
            <w:r/>
          </w:p>
        </w:tc>
        <w:tc>
          <w:tcPr>
            <w:tcW w:w="1680" w:type="dxa"/>
            <w:vAlign w:val="center"/>
            <w:textDirection w:val="lrTb"/>
            <w:noWrap w:val="false"/>
          </w:tcPr>
          <w:p>
            <w:pP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tc>
        <w:tc>
          <w:tcPr>
            <w:tcW w:w="1308" w:type="dxa"/>
            <w:vAlign w:val="center"/>
            <w:textDirection w:val="lrTb"/>
            <w:noWrap w:val="false"/>
          </w:tcPr>
          <w:p>
            <w:pP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tc>
      </w:tr>
      <w:tr>
        <w:trPr>
          <w:trHeight w:val="585"/>
        </w:trPr>
        <w:tc>
          <w:tcPr>
            <w:tcW w:w="646" w:type="dxa"/>
            <w:vAlign w:val="center"/>
            <w:textDirection w:val="lrTb"/>
            <w:noWrap w:val="false"/>
          </w:tcPr>
          <w:p>
            <w:pPr>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p>
        </w:tc>
        <w:tc>
          <w:tcPr>
            <w:tcW w:w="5447" w:type="dxa"/>
            <w:vAlign w:val="center"/>
            <w:textDirection w:val="lrTb"/>
            <w:noWrap w:val="false"/>
          </w:tcPr>
          <w:p>
            <w:pPr>
              <w:spacing w:line="0" w:lineRule="atLeast"/>
              <w:rPr>
                <w:rFonts w:hint="eastAsia"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r>
            <w:r/>
          </w:p>
        </w:tc>
        <w:tc>
          <w:tcPr>
            <w:tcW w:w="1680"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30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585"/>
        </w:trPr>
        <w:tc>
          <w:tcPr>
            <w:tcW w:w="646" w:type="dxa"/>
            <w:vAlign w:val="center"/>
            <w:textDirection w:val="lrTb"/>
            <w:noWrap w:val="false"/>
          </w:tcPr>
          <w:p>
            <w:pPr>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p>
        </w:tc>
        <w:tc>
          <w:tcPr>
            <w:tcW w:w="5447" w:type="dxa"/>
            <w:vAlign w:val="center"/>
            <w:textDirection w:val="lrTb"/>
            <w:noWrap w:val="false"/>
          </w:tcPr>
          <w:p>
            <w:pPr>
              <w:spacing w:line="0" w:lineRule="atLeast"/>
              <w:rPr>
                <w:rFonts w:hint="eastAsia"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r>
            <w:r/>
          </w:p>
        </w:tc>
        <w:tc>
          <w:tcPr>
            <w:tcW w:w="1680"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30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17"/>
        </w:trPr>
        <w:tc>
          <w:tcPr>
            <w:tcW w:w="646" w:type="dxa"/>
            <w:vAlign w:val="center"/>
            <w:textDirection w:val="lrTb"/>
            <w:noWrap w:val="false"/>
          </w:tcPr>
          <w:p>
            <w:pPr>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w:t>
            </w:r>
            <w:r/>
          </w:p>
        </w:tc>
        <w:tc>
          <w:tcPr>
            <w:tcW w:w="5447" w:type="dxa"/>
            <w:vAlign w:val="center"/>
            <w:textDirection w:val="lrTb"/>
            <w:noWrap w:val="false"/>
          </w:tcPr>
          <w:p>
            <w:pPr>
              <w:spacing w:line="0" w:lineRule="atLeast"/>
              <w:rPr>
                <w:rFonts w:hint="eastAsia"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r>
            <w:r/>
          </w:p>
        </w:tc>
        <w:tc>
          <w:tcPr>
            <w:tcW w:w="1680"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30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780"/>
        </w:trPr>
        <w:tc>
          <w:tcPr>
            <w:tcW w:w="646" w:type="dxa"/>
            <w:vAlign w:val="center"/>
            <w:textDirection w:val="lrTb"/>
            <w:noWrap w:val="false"/>
          </w:tcPr>
          <w:p>
            <w:pPr>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w:t>
            </w:r>
            <w:r/>
          </w:p>
        </w:tc>
        <w:tc>
          <w:tcPr>
            <w:tcW w:w="5447" w:type="dxa"/>
            <w:vAlign w:val="center"/>
            <w:textDirection w:val="lrTb"/>
            <w:noWrap w:val="false"/>
          </w:tcPr>
          <w:p>
            <w:pPr>
              <w:spacing w:line="0" w:lineRule="atLeast"/>
              <w:rPr>
                <w:rFonts w:hint="eastAsia"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t xml:space="preserve">……</w:t>
            </w:r>
            <w:r/>
          </w:p>
        </w:tc>
        <w:tc>
          <w:tcPr>
            <w:tcW w:w="1680"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30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contextualSpacing/>
        <w:jc w:val="center"/>
        <w:spacing w:line="60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contextualSpacing/>
        <w:spacing w:line="60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pStyle w:val="735"/>
        <w:rPr>
          <w:rFonts w:hint="eastAsia" w:ascii="宋体" w:hAnsi="宋体" w:eastAsia="宋体"/>
          <w:color w:val="000000" w:themeColor="text1"/>
          <w:sz w:val="32"/>
          <w14:textFill>
            <w14:solidFill>
              <w14:schemeClr w14:val="tx1"/>
            </w14:solidFill>
          </w14:textFill>
        </w:rPr>
      </w:pPr>
      <w:r/>
      <w:bookmarkStart w:id="73" w:name="_Toc190211633"/>
      <w:r>
        <w:rPr>
          <w:rFonts w:hint="eastAsia" w:ascii="宋体" w:hAnsi="宋体" w:eastAsia="宋体"/>
          <w:color w:val="000000" w:themeColor="text1"/>
          <w:sz w:val="32"/>
          <w14:textFill>
            <w14:solidFill>
              <w14:schemeClr w14:val="tx1"/>
            </w14:solidFill>
          </w14:textFill>
        </w:rPr>
        <w:t xml:space="preserve">三、非实质性响应对照表</w:t>
      </w:r>
      <w:bookmarkEnd w:id="73"/>
      <w:r/>
      <w:r/>
    </w:p>
    <w:p>
      <w:pP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tbl>
      <w:tblPr>
        <w:tblStyle w:val="744"/>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hint="eastAsia" w:ascii="宋体" w:hAnsi="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序号</w:t>
            </w:r>
            <w:r/>
          </w:p>
        </w:tc>
        <w:tc>
          <w:tcPr>
            <w:tcW w:w="5447" w:type="dxa"/>
            <w:vAlign w:val="center"/>
            <w:textDirection w:val="lrTb"/>
            <w:noWrap w:val="false"/>
          </w:tcPr>
          <w:p>
            <w:pPr>
              <w:jc w:val="center"/>
              <w:spacing w:line="240" w:lineRule="atLeast"/>
              <w:rPr>
                <w:rFonts w:hint="eastAsia" w:ascii="宋体" w:hAnsi="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非实质性响应内容</w:t>
            </w:r>
            <w:r/>
          </w:p>
        </w:tc>
        <w:tc>
          <w:tcPr>
            <w:tcW w:w="1680" w:type="dxa"/>
            <w:vAlign w:val="center"/>
            <w:textDirection w:val="lrTb"/>
            <w:noWrap w:val="false"/>
          </w:tcPr>
          <w:p>
            <w:pPr>
              <w:jc w:val="center"/>
              <w:spacing w:line="240" w:lineRule="atLeas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是否响应</w:t>
            </w:r>
            <w:r/>
          </w:p>
          <w:p>
            <w:pPr>
              <w:jc w:val="center"/>
              <w:spacing w:line="240" w:lineRule="atLeast"/>
              <w:rPr>
                <w:rFonts w:hint="eastAsia" w:ascii="宋体" w:hAnsi="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（填是或者否）</w:t>
            </w:r>
            <w:r/>
          </w:p>
        </w:tc>
        <w:tc>
          <w:tcPr>
            <w:tcW w:w="1308" w:type="dxa"/>
            <w:vAlign w:val="center"/>
            <w:textDirection w:val="lrTb"/>
            <w:noWrap w:val="false"/>
          </w:tcPr>
          <w:p>
            <w:pPr>
              <w:jc w:val="center"/>
              <w:spacing w:line="240" w:lineRule="atLeas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5447" w:type="dxa"/>
            <w:vAlign w:val="center"/>
            <w:textDirection w:val="lrTb"/>
            <w:noWrap w:val="false"/>
          </w:tcPr>
          <w:p>
            <w:pPr>
              <w:spacing w:line="0" w:lineRule="atLeast"/>
              <w:rPr>
                <w:rFonts w:hint="eastAsia"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《残疾人福利性单位声明函》</w:t>
            </w:r>
            <w:r/>
          </w:p>
        </w:tc>
        <w:tc>
          <w:tcPr>
            <w:tcW w:w="1680" w:type="dxa"/>
            <w:vAlign w:val="center"/>
            <w:textDirection w:val="lrTb"/>
            <w:noWrap w:val="false"/>
          </w:tcPr>
          <w:p>
            <w:pP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tc>
        <w:tc>
          <w:tcPr>
            <w:tcW w:w="1308" w:type="dxa"/>
            <w:vAlign w:val="center"/>
            <w:textDirection w:val="lrTb"/>
            <w:noWrap w:val="false"/>
          </w:tcPr>
          <w:p>
            <w:pP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tc>
      </w:tr>
      <w:tr>
        <w:trPr>
          <w:trHeight w:val="585"/>
        </w:trPr>
        <w:tc>
          <w:tcPr>
            <w:tcW w:w="64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5447" w:type="dxa"/>
            <w:vAlign w:val="center"/>
            <w:textDirection w:val="lrTb"/>
            <w:noWrap w:val="false"/>
          </w:tcPr>
          <w:p>
            <w:pPr>
              <w:spacing w:line="0" w:lineRule="atLeast"/>
              <w:rPr>
                <w:rFonts w:hint="eastAsia"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t xml:space="preserve">……</w:t>
            </w:r>
            <w:r/>
          </w:p>
        </w:tc>
        <w:tc>
          <w:tcPr>
            <w:tcW w:w="1680"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30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780"/>
        </w:trPr>
        <w:tc>
          <w:tcPr>
            <w:tcW w:w="646"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5447" w:type="dxa"/>
            <w:vAlign w:val="center"/>
            <w:textDirection w:val="lrTb"/>
            <w:noWrap w:val="false"/>
          </w:tcPr>
          <w:p>
            <w:pPr>
              <w:spacing w:line="0" w:lineRule="atLeast"/>
              <w:rPr>
                <w:rFonts w:hint="eastAsia"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t xml:space="preserve">……</w:t>
            </w:r>
            <w:r/>
          </w:p>
        </w:tc>
        <w:tc>
          <w:tcPr>
            <w:tcW w:w="1680"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30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contextualSpacing/>
        <w:jc w:val="center"/>
        <w:spacing w:line="60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pStyle w:val="735"/>
        <w:spacing w:before="300" w:after="300" w:line="360" w:lineRule="auto"/>
        <w:widowControl/>
        <w:rPr>
          <w:rFonts w:hint="eastAsia" w:ascii="宋体" w:hAnsi="宋体" w:eastAsia="宋体"/>
          <w:b w:val="0"/>
          <w:bCs w:val="0"/>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br w:type="page" w:clear="all"/>
      </w:r>
      <w:bookmarkStart w:id="74" w:name="_Toc190211634"/>
      <w:r>
        <w:rPr>
          <w:rFonts w:hint="eastAsia" w:ascii="宋体" w:hAnsi="宋体" w:eastAsia="宋体" w:cs="微软雅黑"/>
          <w:bCs w:val="0"/>
          <w:color w:val="000000" w:themeColor="text1"/>
          <w:sz w:val="21"/>
          <w:szCs w:val="21"/>
          <w14:textFill>
            <w14:solidFill>
              <w14:schemeClr w14:val="tx1"/>
            </w14:solidFill>
          </w14:textFill>
        </w:rPr>
        <w:t xml:space="preserve">中小企业声明函（货物）</w:t>
      </w:r>
      <w:bookmarkEnd w:id="74"/>
      <w:r/>
      <w:r/>
    </w:p>
    <w:p>
      <w:pPr>
        <w:ind w:firstLine="420"/>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olor w:val="000000" w:themeColor="text1"/>
          <w:u w:val="single"/>
          <w14:textFill>
            <w14:solidFill>
              <w14:schemeClr w14:val="tx1"/>
            </w14:solidFill>
          </w14:textFill>
        </w:rPr>
        <w:t xml:space="preserve">（单位名称）</w:t>
      </w:r>
      <w:r>
        <w:rPr>
          <w:rFonts w:hint="eastAsia" w:ascii="宋体" w:hAnsi="宋体"/>
          <w:color w:val="000000" w:themeColor="text1"/>
          <w14:textFill>
            <w14:solidFill>
              <w14:schemeClr w14:val="tx1"/>
            </w14:solidFill>
          </w14:textFill>
        </w:rPr>
        <w:t xml:space="preserve">的</w:t>
      </w:r>
      <w:r>
        <w:rPr>
          <w:rFonts w:hint="eastAsia" w:ascii="宋体" w:hAnsi="宋体"/>
          <w:color w:val="000000" w:themeColor="text1"/>
          <w:u w:val="single"/>
          <w14:textFill>
            <w14:solidFill>
              <w14:schemeClr w14:val="tx1"/>
            </w14:solidFill>
          </w14:textFill>
        </w:rPr>
        <w:t xml:space="preserve">（项目名称）</w:t>
      </w:r>
      <w:r>
        <w:rPr>
          <w:rFonts w:hint="eastAsia" w:ascii="宋体" w:hAnsi="宋体"/>
          <w:color w:val="000000" w:themeColor="text1"/>
          <w14:textFill>
            <w14:solidFill>
              <w14:schemeClr w14:val="tx1"/>
            </w14:solidFill>
          </w14:textFill>
        </w:rPr>
        <w:t xml:space="preserve">采购活动，提供的货物全部为符合政策要求的中小企业制造。相关企业（含联合体中的中小企业、签订分包意向协议的中小企业）的具体情况如下：</w:t>
      </w:r>
      <w:r/>
    </w:p>
    <w:p>
      <w:pPr>
        <w:ind w:firstLine="420"/>
        <w:jc w:val="left"/>
        <w:spacing w:line="360" w:lineRule="auto"/>
        <w:rPr>
          <w:rFonts w:hint="eastAsia" w:ascii="宋体" w:hAnsi="宋体"/>
          <w:color w:val="000000" w:themeColor="text1"/>
          <w:u w:val="single"/>
          <w14:textFill>
            <w14:solidFill>
              <w14:schemeClr w14:val="tx1"/>
            </w14:solidFill>
          </w14:textFill>
        </w:rPr>
      </w:pPr>
      <w:r>
        <w:rPr>
          <w:rFonts w:hint="eastAsia" w:ascii="宋体" w:hAnsi="宋体"/>
          <w:color w:val="000000" w:themeColor="text1"/>
          <w14:textFill>
            <w14:solidFill>
              <w14:schemeClr w14:val="tx1"/>
            </w14:solidFill>
          </w14:textFill>
        </w:rPr>
        <w:t xml:space="preserve">1. </w:t>
      </w:r>
      <w:r>
        <w:rPr>
          <w:rFonts w:hint="eastAsia" w:ascii="宋体" w:hAnsi="宋体"/>
          <w:color w:val="000000" w:themeColor="text1"/>
          <w:u w:val="single"/>
          <w14:textFill>
            <w14:solidFill>
              <w14:schemeClr w14:val="tx1"/>
            </w14:solidFill>
          </w14:textFill>
        </w:rPr>
        <w:t xml:space="preserve">（标的名称） </w:t>
      </w:r>
      <w:r>
        <w:rPr>
          <w:rFonts w:hint="eastAsia" w:ascii="宋体" w:hAnsi="宋体"/>
          <w:color w:val="000000" w:themeColor="text1"/>
          <w14:textFill>
            <w14:solidFill>
              <w14:schemeClr w14:val="tx1"/>
            </w14:solidFill>
          </w14:textFill>
        </w:rPr>
        <w:t xml:space="preserve">，属于</w:t>
      </w:r>
      <w:r>
        <w:rPr>
          <w:rFonts w:hint="eastAsia" w:ascii="宋体" w:hAnsi="宋体"/>
          <w:b/>
          <w:bCs/>
          <w:color w:val="000000" w:themeColor="text1"/>
          <w:u w:val="single"/>
          <w14:textFill>
            <w14:solidFill>
              <w14:schemeClr w14:val="tx1"/>
            </w14:solidFill>
          </w14:textFill>
        </w:rPr>
        <w:t xml:space="preserve">（工业）（不得对行业类别修改）</w:t>
      </w:r>
      <w:r>
        <w:rPr>
          <w:rFonts w:hint="eastAsia" w:ascii="宋体" w:hAnsi="宋体"/>
          <w:color w:val="000000" w:themeColor="text1"/>
          <w14:textFill>
            <w14:solidFill>
              <w14:schemeClr w14:val="tx1"/>
            </w14:solidFill>
          </w14:textFill>
        </w:rPr>
        <w:t xml:space="preserve">；制造商为</w:t>
      </w:r>
      <w:r>
        <w:rPr>
          <w:rFonts w:hint="eastAsia" w:ascii="宋体" w:hAnsi="宋体"/>
          <w:color w:val="000000" w:themeColor="text1"/>
          <w:u w:val="single"/>
          <w14:textFill>
            <w14:solidFill>
              <w14:schemeClr w14:val="tx1"/>
            </w14:solidFill>
          </w14:textFill>
        </w:rPr>
        <w:t xml:space="preserve">（企业名称）</w:t>
      </w:r>
      <w:r>
        <w:rPr>
          <w:rFonts w:hint="eastAsia" w:ascii="宋体" w:hAnsi="宋体"/>
          <w:color w:val="000000" w:themeColor="text1"/>
          <w14:textFill>
            <w14:solidFill>
              <w14:schemeClr w14:val="tx1"/>
            </w14:solidFill>
          </w14:textFill>
        </w:rPr>
        <w:t xml:space="preserve">，从业人员</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人，营业收入为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万元，资产总额为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万元</w:t>
      </w:r>
      <w:r>
        <w:fldChar w:fldCharType="begin"/>
      </w:r>
      <w:r>
        <w:instrText xml:space="preserve"> HYPERLINK \l "br1" \o "#br1" </w:instrText>
      </w:r>
      <w:r>
        <w:fldChar w:fldCharType="separate"/>
      </w:r>
      <w:r>
        <w:rPr>
          <w:rFonts w:ascii="宋体" w:hAnsi="宋体"/>
          <w:color w:val="000000" w:themeColor="text1"/>
          <w:spacing w:val="-1"/>
          <w:vertAlign w:val="superscript"/>
          <w14:textFill>
            <w14:solidFill>
              <w14:schemeClr w14:val="tx1"/>
            </w14:solidFill>
          </w14:textFill>
        </w:rPr>
        <w:t xml:space="preserve">1</w:t>
      </w:r>
      <w:r>
        <w:rPr>
          <w:rFonts w:ascii="宋体" w:hAnsi="宋体"/>
          <w:color w:val="000000" w:themeColor="text1"/>
          <w:spacing w:val="-1"/>
          <w:vertAlign w:val="superscript"/>
          <w14:textFill>
            <w14:solidFill>
              <w14:schemeClr w14:val="tx1"/>
            </w14:solidFill>
          </w14:textFill>
        </w:rPr>
        <w:fldChar w:fldCharType="end"/>
      </w:r>
      <w:r>
        <w:rPr>
          <w:rFonts w:hint="eastAsia" w:ascii="宋体" w:hAnsi="宋体"/>
          <w:color w:val="000000" w:themeColor="text1"/>
          <w14:textFill>
            <w14:solidFill>
              <w14:schemeClr w14:val="tx1"/>
            </w14:solidFill>
          </w14:textFill>
        </w:rPr>
        <w:t xml:space="preserve">，属于</w:t>
      </w:r>
      <w:r>
        <w:rPr>
          <w:rFonts w:hint="eastAsia" w:ascii="宋体" w:hAnsi="宋体"/>
          <w:color w:val="000000" w:themeColor="text1"/>
          <w:u w:val="single"/>
          <w14:textFill>
            <w14:solidFill>
              <w14:schemeClr w14:val="tx1"/>
            </w14:solidFill>
          </w14:textFill>
        </w:rPr>
        <w:t xml:space="preserve">（中型企业、小型企业、微型企业）；</w:t>
      </w:r>
      <w:r/>
    </w:p>
    <w:p>
      <w:pPr>
        <w:ind w:firstLine="420"/>
        <w:jc w:val="left"/>
        <w:spacing w:line="360" w:lineRule="auto"/>
        <w:rPr>
          <w:rFonts w:hint="eastAsia" w:ascii="宋体" w:hAnsi="宋体"/>
          <w:color w:val="000000" w:themeColor="text1"/>
          <w:u w:val="single"/>
          <w14:textFill>
            <w14:solidFill>
              <w14:schemeClr w14:val="tx1"/>
            </w14:solidFill>
          </w14:textFill>
        </w:rPr>
      </w:pPr>
      <w:r>
        <w:rPr>
          <w:rFonts w:hint="eastAsia" w:ascii="宋体" w:hAnsi="宋体"/>
          <w:color w:val="000000" w:themeColor="text1"/>
          <w14:textFill>
            <w14:solidFill>
              <w14:schemeClr w14:val="tx1"/>
            </w14:solidFill>
          </w14:textFill>
        </w:rPr>
        <w:t xml:space="preserve">2. </w:t>
      </w:r>
      <w:r>
        <w:rPr>
          <w:rFonts w:hint="eastAsia" w:ascii="宋体" w:hAnsi="宋体"/>
          <w:color w:val="000000" w:themeColor="text1"/>
          <w:u w:val="single"/>
          <w14:textFill>
            <w14:solidFill>
              <w14:schemeClr w14:val="tx1"/>
            </w14:solidFill>
          </w14:textFill>
        </w:rPr>
        <w:t xml:space="preserve">（标的名称）</w:t>
      </w:r>
      <w:r>
        <w:rPr>
          <w:rFonts w:hint="eastAsia" w:ascii="宋体" w:hAnsi="宋体"/>
          <w:color w:val="000000" w:themeColor="text1"/>
          <w14:textFill>
            <w14:solidFill>
              <w14:schemeClr w14:val="tx1"/>
            </w14:solidFill>
          </w14:textFill>
        </w:rPr>
        <w:t xml:space="preserve"> ，属于</w:t>
      </w:r>
      <w:r>
        <w:rPr>
          <w:rFonts w:hint="eastAsia" w:ascii="宋体" w:hAnsi="宋体"/>
          <w:b/>
          <w:bCs/>
          <w:color w:val="000000" w:themeColor="text1"/>
          <w:u w:val="single"/>
          <w14:textFill>
            <w14:solidFill>
              <w14:schemeClr w14:val="tx1"/>
            </w14:solidFill>
          </w14:textFill>
        </w:rPr>
        <w:t xml:space="preserve">（工业）（不得对行业类别修改）</w:t>
      </w:r>
      <w:r>
        <w:rPr>
          <w:rFonts w:hint="eastAsia" w:ascii="宋体" w:hAnsi="宋体"/>
          <w:color w:val="000000" w:themeColor="text1"/>
          <w14:textFill>
            <w14:solidFill>
              <w14:schemeClr w14:val="tx1"/>
            </w14:solidFill>
          </w14:textFill>
        </w:rPr>
        <w:t xml:space="preserve">；制造商为</w:t>
      </w:r>
      <w:r>
        <w:rPr>
          <w:rFonts w:hint="eastAsia" w:ascii="宋体" w:hAnsi="宋体"/>
          <w:color w:val="000000" w:themeColor="text1"/>
          <w:u w:val="single"/>
          <w14:textFill>
            <w14:solidFill>
              <w14:schemeClr w14:val="tx1"/>
            </w14:solidFill>
          </w14:textFill>
        </w:rPr>
        <w:t xml:space="preserve">（企业名称）</w:t>
      </w:r>
      <w:r>
        <w:rPr>
          <w:rFonts w:hint="eastAsia" w:ascii="宋体" w:hAnsi="宋体"/>
          <w:color w:val="000000" w:themeColor="text1"/>
          <w14:textFill>
            <w14:solidFill>
              <w14:schemeClr w14:val="tx1"/>
            </w14:solidFill>
          </w14:textFill>
        </w:rPr>
        <w:t xml:space="preserve">，从业人员</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人，营业收入为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万元，资产总额为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万元，属于</w:t>
      </w:r>
      <w:r>
        <w:rPr>
          <w:rFonts w:hint="eastAsia" w:ascii="宋体" w:hAnsi="宋体"/>
          <w:color w:val="000000" w:themeColor="text1"/>
          <w:u w:val="single"/>
          <w14:textFill>
            <w14:solidFill>
              <w14:schemeClr w14:val="tx1"/>
            </w14:solidFill>
          </w14:textFill>
        </w:rPr>
        <w:t xml:space="preserve">（中型企业、小型企业、微型企业）；</w:t>
      </w:r>
      <w:r/>
    </w:p>
    <w:p>
      <w:pPr>
        <w:ind w:firstLine="420"/>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w:t>
      </w:r>
      <w:r/>
    </w:p>
    <w:p>
      <w:pPr>
        <w:ind w:firstLine="420"/>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本企业对上述声明内容的真实性负责。如有虚假，将依法承担相应责任。</w:t>
      </w:r>
      <w:r/>
    </w:p>
    <w:p>
      <w:pPr>
        <w:ind w:firstLine="420"/>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注：1、从业人员（不仅指在职职工）、营业收入、资产总额填报上一年度数据，无上一年度数据的新成立企业可不填报。</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2、供应商如不提供此声明函，价格将不做相应扣除。</w:t>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3、企业声明函请完整填写，中标后将公示。</w:t>
      </w:r>
      <w:r/>
    </w:p>
    <w:p>
      <w:pPr>
        <w:ind w:firstLine="420"/>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企业名称（盖章）：</w:t>
      </w:r>
      <w:r/>
    </w:p>
    <w:p>
      <w:pPr>
        <w:ind w:firstLine="4620"/>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日 期：</w:t>
      </w:r>
      <w:r/>
    </w:p>
    <w:p>
      <w:pPr>
        <w:pStyle w:val="735"/>
        <w:spacing w:before="300" w:after="300" w:line="360" w:lineRule="auto"/>
        <w:widowControl/>
        <w:rPr>
          <w:rFonts w:hint="eastAsia" w:ascii="宋体" w:hAnsi="宋体" w:eastAsia="宋体"/>
          <w:color w:val="000000" w:themeColor="text1"/>
          <w:sz w:val="21"/>
          <w:szCs w:val="21"/>
          <w14:textFill>
            <w14:solidFill>
              <w14:schemeClr w14:val="tx1"/>
            </w14:solidFill>
          </w14:textFill>
        </w:rPr>
      </w:pPr>
      <w:r/>
      <w:bookmarkStart w:id="75" w:name="_Toc190211635"/>
      <w:r>
        <w:rPr>
          <w:rFonts w:hint="eastAsia" w:ascii="宋体" w:hAnsi="宋体" w:eastAsia="宋体" w:cs="微软雅黑"/>
          <w:bCs w:val="0"/>
          <w:color w:val="000000" w:themeColor="text1"/>
          <w:sz w:val="21"/>
          <w:szCs w:val="21"/>
          <w14:textFill>
            <w14:solidFill>
              <w14:schemeClr w14:val="tx1"/>
            </w14:solidFill>
          </w14:textFill>
        </w:rPr>
        <w:t xml:space="preserve">中小微企业划型标准</w:t>
      </w:r>
      <w:bookmarkEnd w:id="75"/>
      <w:r>
        <w:rPr>
          <w:rFonts w:hint="eastAsia" w:ascii="宋体" w:hAnsi="宋体" w:eastAsia="宋体" w:cs="微软雅黑"/>
          <w:bCs w:val="0"/>
          <w:color w:val="000000" w:themeColor="text1"/>
          <w:sz w:val="21"/>
          <w:szCs w:val="21"/>
          <w14:textFill>
            <w14:solidFill>
              <w14:schemeClr w14:val="tx1"/>
            </w14:solidFill>
          </w14:textFill>
        </w:rPr>
        <w:t xml:space="preserve"> </w:t>
      </w:r>
      <w:r/>
    </w:p>
    <w:p>
      <w:pPr>
        <w:pStyle w:val="771"/>
        <w:ind w:firstLine="420"/>
        <w:spacing w:before="300" w:after="452" w:line="360" w:lineRule="auto"/>
        <w:widowControl/>
        <w:rPr>
          <w:rFonts w:hint="eastAsia" w:ascii="宋体" w:hAnsi="宋体"/>
          <w:color w:val="000000" w:themeColor="text1"/>
          <w:sz w:val="21"/>
          <w:szCs w:val="21"/>
          <w14:textFill>
            <w14:solidFill>
              <w14:schemeClr w14:val="tx1"/>
            </w14:solidFill>
          </w14:textFill>
        </w:rPr>
      </w:pPr>
      <w:r>
        <w:rPr>
          <w:rFonts w:hint="eastAsia" w:ascii="宋体" w:hAnsi="宋体" w:cs="仿宋"/>
          <w:color w:val="000000" w:themeColor="text1"/>
          <w:sz w:val="21"/>
          <w:szCs w:val="21"/>
          <w14:textFill>
            <w14:solidFill>
              <w14:schemeClr w14:val="tx1"/>
            </w14:solidFill>
          </w14:textFill>
        </w:rPr>
        <w:t xml:space="preserve">    </w:t>
      </w:r>
      <w:r>
        <w:rPr>
          <w:rStyle w:val="775"/>
          <w:rFonts w:hint="eastAsia" w:ascii="宋体" w:hAnsi="宋体" w:cs="仿宋"/>
          <w:color w:val="000000" w:themeColor="text1"/>
          <w:sz w:val="21"/>
          <w:szCs w:val="21"/>
          <w14:textFill>
            <w14:solidFill>
              <w14:schemeClr w14:val="tx1"/>
            </w14:solidFill>
          </w14:textFill>
        </w:rPr>
        <w:t xml:space="preserve">中小微企业划型标准如下：</w:t>
      </w:r>
      <w:r/>
    </w:p>
    <w:tbl>
      <w:tblPr>
        <w:tblStyle w:val="744"/>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771"/>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行业名称</w:t>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指标名称</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计量单位</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中型</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小型</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农、林、牧、渔</w:t>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500≤Y＜20000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50≤Y＜500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工业</w:t>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300≤X＜1000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20≤X＜300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2000≤Y＜40000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300≤Y＜2000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建筑业</w:t>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6000≤Y＜80000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300≤Y＜6000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资产总额（Z）</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5000≤Z＜80000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300≤Z＜5000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批发业</w:t>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20≤X＜200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5≤X＜20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5000≤Y＜40000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1000≤Y＜5000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零售业</w:t>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50≤X＜300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10≤X＜50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500≤Y＜20000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100≤Y＜500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交通运输业</w:t>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300≤X＜1000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20≤X＜300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3000≤Y＜30000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200≤Y＜3000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仓储业</w:t>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100≤X＜200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20≤X＜100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1000≤Y＜30000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100≤Y＜1000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邮政业</w:t>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300≤X＜1000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20≤X＜300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2000≤Y＜30000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100≤Y＜2000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住宿业</w:t>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pStyle w:val="771"/>
              <w:ind w:firstLine="420"/>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2000≤Y＜10000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100≤Y＜2000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餐饮业</w:t>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2000≤Y＜10000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100≤Y＜2000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信息传输业</w:t>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100≤X＜2000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1000≤Y＜100000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100≤Y＜1000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1000≤Y＜10000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50≤Y＜1000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房地产开发经营</w:t>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1000≤Y＜200000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100≤X＜1000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资产总额（Z）</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5000≤Z＜10000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2000≤Y＜5000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物业管理</w:t>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300≤X＜1000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100≤X＜300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1000≤Y＜5000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500≤Y＜1000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租赁和商务服务业</w:t>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资产总额（Z）</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8000≤Z＜120000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100≤Z＜8000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其他未列明行业</w:t>
            </w:r>
            <w:r/>
          </w:p>
        </w:tc>
        <w:tc>
          <w:tcPr>
            <w:tcMar>
              <w:left w:w="105" w:type="dxa"/>
              <w:top w:w="0" w:type="dxa"/>
              <w:right w:w="105" w:type="dxa"/>
              <w:bottom w:w="0" w:type="dxa"/>
            </w:tcMar>
            <w:tcW w:w="170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1151"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383"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pStyle w:val="771"/>
              <w:jc w:val="center"/>
              <w:spacing w:after="150" w:line="360" w:lineRule="auto"/>
              <w:widowControl/>
              <w:rPr>
                <w:rFonts w:hint="eastAsia" w:ascii="宋体" w:hAnsi="宋体"/>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X＜10</w:t>
            </w:r>
            <w:r/>
          </w:p>
        </w:tc>
      </w:tr>
    </w:tbl>
    <w:p>
      <w:pPr>
        <w:pStyle w:val="771"/>
        <w:ind w:firstLine="810"/>
        <w:spacing w:before="300" w:after="452" w:line="360" w:lineRule="auto"/>
        <w:widowControl/>
        <w:rPr>
          <w:rStyle w:val="775"/>
          <w:rFonts w:hint="eastAsia" w:ascii="宋体" w:hAnsi="宋体" w:cs="仿宋"/>
          <w:color w:val="000000" w:themeColor="text1"/>
          <w:sz w:val="21"/>
          <w:szCs w:val="21"/>
          <w14:textFill>
            <w14:solidFill>
              <w14:schemeClr w14:val="tx1"/>
            </w14:solidFill>
          </w14:textFill>
        </w:rPr>
      </w:pPr>
      <w:r>
        <w:rPr>
          <w:rStyle w:val="775"/>
          <w:rFonts w:hint="eastAsia" w:ascii="宋体" w:hAnsi="宋体" w:cs="仿宋"/>
          <w:color w:val="000000" w:themeColor="text1"/>
          <w:sz w:val="21"/>
          <w:szCs w:val="21"/>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jc w:val="left"/>
        <w:widowControl/>
        <w:rPr>
          <w:rFonts w:hint="eastAsia" w:ascii="宋体" w:hAnsi="宋体" w:cs="Arial"/>
          <w:b/>
          <w:bCs/>
          <w:color w:val="000000" w:themeColor="text1"/>
          <w14:textFill>
            <w14:solidFill>
              <w14:schemeClr w14:val="tx1"/>
            </w14:solidFill>
          </w14:textFill>
        </w:rPr>
      </w:pPr>
      <w:r>
        <w:rPr>
          <w:rFonts w:hint="eastAsia" w:ascii="宋体" w:hAnsi="宋体" w:cs="Arial"/>
          <w:b/>
          <w:bCs/>
          <w:color w:val="000000" w:themeColor="text1"/>
          <w14:textFill>
            <w14:solidFill>
              <w14:schemeClr w14:val="tx1"/>
            </w14:solidFill>
          </w14:textFill>
        </w:rPr>
      </w:r>
      <w:r/>
    </w:p>
    <w:p>
      <w:pPr>
        <w:pStyle w:val="736"/>
        <w:rPr>
          <w:rStyle w:val="775"/>
          <w:rFonts w:hint="eastAsia" w:ascii="宋体" w:hAnsi="宋体" w:cs="仿宋"/>
          <w:b w:val="0"/>
          <w:color w:val="000000" w:themeColor="text1"/>
          <w:sz w:val="21"/>
          <w:szCs w:val="21"/>
          <w14:textFill>
            <w14:solidFill>
              <w14:schemeClr w14:val="tx1"/>
            </w14:solidFill>
          </w14:textFill>
        </w:rPr>
      </w:pPr>
      <w:r>
        <w:rPr>
          <w:rFonts w:hint="eastAsia" w:ascii="宋体" w:hAnsi="宋体" w:cs="仿宋"/>
          <w:b w:val="0"/>
          <w:color w:val="000000" w:themeColor="text1"/>
          <w:sz w:val="21"/>
          <w:szCs w:val="21"/>
          <w14:textFill>
            <w14:solidFill>
              <w14:schemeClr w14:val="tx1"/>
            </w14:solidFill>
          </w14:textFill>
        </w:rPr>
      </w:r>
      <w:r/>
    </w:p>
    <w:p>
      <w:pPr>
        <w:jc w:val="lef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br w:type="page" w:clear="all"/>
      </w:r>
      <w:r/>
    </w:p>
    <w:p>
      <w:pPr>
        <w:jc w:val="center"/>
        <w:rPr>
          <w:rFonts w:hint="eastAsia" w:ascii="宋体" w:hAnsi="宋体"/>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残疾人福利性单位声明函</w:t>
      </w:r>
      <w:r/>
    </w:p>
    <w:p>
      <w:pPr>
        <w:ind w:firstLine="624"/>
        <w:spacing w:line="588" w:lineRule="exact"/>
        <w:rPr>
          <w:rFonts w:hint="eastAsia" w:ascii="宋体" w:hAnsi="宋体"/>
          <w:color w:val="000000" w:themeColor="text1"/>
          <w:spacing w:val="6"/>
          <w:sz w:val="30"/>
          <w:szCs w:val="30"/>
          <w14:textFill>
            <w14:solidFill>
              <w14:schemeClr w14:val="tx1"/>
            </w14:solidFill>
          </w14:textFill>
        </w:rPr>
      </w:pPr>
      <w:r>
        <w:rPr>
          <w:rFonts w:hint="eastAsia" w:ascii="宋体" w:hAnsi="宋体"/>
          <w:color w:val="000000" w:themeColor="text1"/>
          <w:spacing w:val="6"/>
          <w:sz w:val="30"/>
          <w:szCs w:val="30"/>
          <w14:textFill>
            <w14:solidFill>
              <w14:schemeClr w14:val="tx1"/>
            </w14:solidFill>
          </w14:textFill>
        </w:rPr>
      </w:r>
      <w:r/>
    </w:p>
    <w:p>
      <w:pPr>
        <w:ind w:firstLine="420"/>
        <w:spacing w:line="588"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本单位在本次政府采购活动中提供的残疾人福利单位产品报价合计为人民币（大写）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圆整（￥：     ）。</w:t>
      </w:r>
      <w:r/>
    </w:p>
    <w:p>
      <w:pPr>
        <w:ind w:firstLine="420"/>
        <w:spacing w:line="588"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本单位对上述声明的真实性负责。如有虚假，将依法承担相应责任。</w:t>
      </w:r>
      <w:r/>
    </w:p>
    <w:p>
      <w:pPr>
        <w:ind w:firstLine="420"/>
        <w:spacing w:line="588"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588"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hint="eastAsia"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r>
      <w:r/>
    </w:p>
    <w:p>
      <w:pPr>
        <w:ind w:right="1560" w:firstLine="444"/>
        <w:jc w:val="center"/>
        <w:spacing w:line="588" w:lineRule="exact"/>
        <w:tabs>
          <w:tab w:val="left" w:pos="486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供应商全称（盖章）：</w:t>
      </w:r>
      <w:r/>
    </w:p>
    <w:p>
      <w:pPr>
        <w:ind w:right="1560" w:firstLine="420"/>
        <w:jc w:val="center"/>
        <w:spacing w:line="588" w:lineRule="exact"/>
        <w:tabs>
          <w:tab w:val="left" w:pos="486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日  期：</w:t>
      </w:r>
      <w:r/>
    </w:p>
    <w:p>
      <w:pPr>
        <w:ind w:right="1560" w:firstLine="420"/>
        <w:jc w:val="center"/>
        <w:spacing w:line="588" w:lineRule="exact"/>
        <w:tabs>
          <w:tab w:val="left" w:pos="486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日  期：</w:t>
      </w:r>
      <w:r/>
    </w:p>
    <w:p>
      <w:pPr>
        <w:jc w:val="center"/>
        <w:spacing w:line="360" w:lineRule="auto"/>
        <w:rPr>
          <w:rFonts w:hint="eastAsia" w:ascii="宋体" w:hAnsi="宋体" w:cs="宋体"/>
          <w:sz w:val="24"/>
          <w:szCs w:val="24"/>
        </w:rPr>
      </w:pPr>
      <w:r>
        <w:rPr>
          <w:rFonts w:hint="eastAsia"/>
        </w:rPr>
        <w:br w:type="page" w:clear="all"/>
      </w:r>
      <w:r>
        <w:rPr>
          <w:rFonts w:hint="eastAsia" w:ascii="宋体" w:hAnsi="宋体" w:cs="宋体"/>
          <w:b/>
          <w:sz w:val="24"/>
          <w:szCs w:val="24"/>
        </w:rPr>
        <w:t xml:space="preserve">关于符合本国产品标准的声明函</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sz w:val="24"/>
          <w:szCs w:val="2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left</wp:align>
                </wp:positionH>
                <wp:positionV relativeFrom="paragraph">
                  <wp:posOffset>654050</wp:posOffset>
                </wp:positionV>
                <wp:extent cx="565785" cy="130810"/>
                <wp:effectExtent l="0" t="0" r="24765" b="21590"/>
                <wp:wrapNone/>
                <wp:docPr id="8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7" o:spid="_x0000_s87" o:spt="32" type="#_x0000_t32" style="position:absolute;z-index:251670528;o:allowoverlap:true;o:allowincell:true;mso-position-horizontal-relative:margin;mso-position-horizontal:left;mso-position-vertical-relative:text;margin-top:51.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89"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8" o:spid="_x0000_s88" o:spt="32" type="#_x0000_t32" style="position:absolute;z-index:251668480;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90"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9" o:spid="_x0000_s89" o:spt="32" type="#_x0000_t32" style="position:absolute;z-index:251661312;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91"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0" o:spid="_x0000_s90" o:spt="32" type="#_x0000_t32" style="position:absolute;z-index:251669504;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92"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1" o:spid="_x0000_s91" o:spt="32" type="#_x0000_t32" style="position:absolute;z-index:251660288;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93"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2" o:spid="_x0000_s92" o:spt="32" type="#_x0000_t32" style="position:absolute;z-index:251659264;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94"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3" o:spid="_x0000_s93" o:spt="32" type="#_x0000_t32" style="position:absolute;z-index:251667456;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95"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4" o:spid="_x0000_s94" o:spt="32" type="#_x0000_t32" style="position:absolute;z-index:251666432;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shd w:val="clear" w:color="auto" w:fill="ffffff"/>
        </w:rPr>
        <w:t xml:space="preserve">1.</w:t>
      </w:r>
      <w:r>
        <w:rPr>
          <w:rFonts w:hint="eastAsia" w:ascii="宋体" w:hAnsi="宋体" w:cs="宋体"/>
          <w:i/>
          <w:sz w:val="24"/>
          <w:szCs w:val="24"/>
          <w:u w:val="single"/>
          <w:shd w:val="clear" w:color="auto" w:fill="ffffff"/>
        </w:rPr>
        <w:t xml:space="preserve">（产品名称1）</w:t>
      </w:r>
      <w:r>
        <w:rPr>
          <w:rFonts w:hint="eastAsia" w:ascii="宋体" w:hAnsi="宋体" w:cs="宋体"/>
          <w:i/>
          <w:sz w:val="24"/>
          <w:szCs w:val="24"/>
          <w:shd w:val="clear" w:color="auto" w:fill="ffffff"/>
          <w:vertAlign w:val="superscript"/>
        </w:rPr>
        <w:t xml:space="preserve">1</w:t>
      </w:r>
      <w:r>
        <w:rPr>
          <w:rFonts w:hint="eastAsia" w:ascii="宋体" w:hAnsi="宋体" w:cs="宋体"/>
          <w:sz w:val="24"/>
          <w:szCs w:val="24"/>
          <w:shd w:val="clear" w:color="auto" w:fill="ffffff"/>
        </w:rPr>
        <w:t xml:space="preserve">，生产厂为</w:t>
      </w:r>
      <w:r>
        <w:rPr>
          <w:rFonts w:hint="eastAsia" w:ascii="宋体" w:hAnsi="宋体" w:cs="宋体"/>
          <w:i/>
          <w:sz w:val="24"/>
          <w:szCs w:val="24"/>
          <w:u w:val="single"/>
          <w:shd w:val="clear" w:color="auto" w:fill="ffffff"/>
        </w:rPr>
        <w:t xml:space="preserve">（厂名）</w:t>
      </w:r>
      <w:r>
        <w:rPr>
          <w:rFonts w:hint="eastAsia" w:ascii="宋体" w:hAnsi="宋体" w:cs="宋体"/>
          <w:i/>
          <w:sz w:val="24"/>
          <w:szCs w:val="24"/>
          <w:shd w:val="clear" w:color="auto" w:fill="ffffff"/>
          <w:vertAlign w:val="superscript"/>
        </w:rPr>
        <w:t xml:space="preserve">2</w:t>
      </w:r>
      <w:r>
        <w:rPr>
          <w:rFonts w:hint="eastAsia" w:ascii="宋体" w:hAnsi="宋体" w:cs="宋体"/>
          <w:sz w:val="24"/>
          <w:szCs w:val="24"/>
          <w:shd w:val="clear" w:color="auto" w:fill="ffffff"/>
        </w:rPr>
        <w:t xml:space="preserve">，厂址为</w:t>
      </w:r>
      <w:r>
        <w:rPr>
          <w:rFonts w:hint="eastAsia" w:ascii="宋体" w:hAnsi="宋体" w:cs="宋体"/>
          <w:i/>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Fonts w:hint="eastAsia" w:ascii="宋体" w:hAnsi="宋体" w:cs="宋体"/>
          <w:i/>
          <w:sz w:val="24"/>
          <w:szCs w:val="24"/>
          <w:u w:val="single"/>
          <w:shd w:val="clear" w:color="auto" w:fill="ffffff"/>
        </w:rPr>
        <w:t xml:space="preserve">（产品名称1） </w:t>
      </w:r>
      <w:r>
        <w:rPr>
          <w:rFonts w:hint="eastAsia" w:ascii="宋体" w:hAnsi="宋体" w:cs="宋体"/>
          <w:sz w:val="24"/>
          <w:szCs w:val="24"/>
          <w:shd w:val="clear" w:color="auto" w:fill="ffffff"/>
        </w:rPr>
        <w:t xml:space="preserve">的中国境内生产的组件成本占比≥</w:t>
      </w:r>
      <w:r>
        <w:rPr>
          <w:rFonts w:hint="eastAsia" w:ascii="宋体" w:hAnsi="宋体" w:cs="宋体"/>
          <w:i/>
          <w:sz w:val="24"/>
          <w:szCs w:val="24"/>
          <w:u w:val="single"/>
          <w:shd w:val="clear" w:color="auto" w:fill="ffffff"/>
        </w:rPr>
        <w:t xml:space="preserve">（规定比例）</w:t>
      </w:r>
      <w:r>
        <w:rPr>
          <w:rFonts w:hint="eastAsia" w:ascii="宋体" w:hAnsi="宋体" w:cs="宋体"/>
          <w:i/>
          <w:sz w:val="24"/>
          <w:szCs w:val="24"/>
          <w:shd w:val="clear" w:color="auto" w:fill="ffffff"/>
          <w:vertAlign w:val="superscript"/>
        </w:rPr>
        <w:t xml:space="preserve">3</w:t>
      </w:r>
      <w:r>
        <w:rPr>
          <w:rFonts w:hint="eastAsia" w:ascii="宋体" w:hAnsi="宋体" w:cs="宋体"/>
          <w:sz w:val="24"/>
          <w:szCs w:val="24"/>
          <w:shd w:val="clear" w:color="auto" w:fill="ffffff"/>
        </w:rPr>
        <w:t xml:space="preserve">。</w:t>
      </w:r>
      <w:r>
        <w:rPr>
          <w:rFonts w:hint="eastAsia" w:ascii="宋体" w:hAnsi="宋体" w:cs="宋体"/>
          <w:i/>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Fonts w:hint="eastAsia" w:ascii="宋体" w:hAnsi="宋体" w:cs="宋体"/>
          <w:i/>
          <w:sz w:val="24"/>
          <w:szCs w:val="24"/>
          <w:u w:val="single"/>
          <w:shd w:val="clear" w:color="auto" w:fill="ffffff"/>
        </w:rPr>
        <w:t xml:space="preserve">（关键组件）</w:t>
      </w:r>
      <w:r>
        <w:rPr>
          <w:rFonts w:hint="eastAsia" w:ascii="宋体" w:hAnsi="宋体" w:cs="宋体"/>
          <w:i/>
          <w:sz w:val="24"/>
          <w:szCs w:val="24"/>
          <w:shd w:val="clear" w:color="auto" w:fill="ffffff"/>
          <w:vertAlign w:val="superscript"/>
        </w:rPr>
        <w:t xml:space="preserve">4</w:t>
      </w:r>
      <w:r>
        <w:rPr>
          <w:rFonts w:hint="eastAsia" w:ascii="宋体" w:hAnsi="宋体" w:cs="宋体"/>
          <w:sz w:val="24"/>
          <w:szCs w:val="24"/>
          <w:shd w:val="clear" w:color="auto" w:fill="ffffff"/>
        </w:rPr>
        <w:t xml:space="preserve">在中国境内生产。</w:t>
      </w:r>
      <w:r>
        <w:rPr>
          <w:rFonts w:hint="eastAsia" w:ascii="宋体" w:hAnsi="宋体" w:cs="宋体"/>
          <w:i/>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Fonts w:hint="eastAsia" w:ascii="宋体" w:hAnsi="宋体" w:cs="宋体"/>
          <w:i/>
          <w:sz w:val="24"/>
          <w:szCs w:val="24"/>
          <w:u w:val="single"/>
          <w:shd w:val="clear" w:color="auto" w:fill="ffffff"/>
        </w:rPr>
        <w:t xml:space="preserve">（关键工序）</w:t>
      </w:r>
      <w:r>
        <w:rPr>
          <w:rFonts w:hint="eastAsia" w:ascii="宋体" w:hAnsi="宋体" w:cs="宋体"/>
          <w:i/>
          <w:sz w:val="24"/>
          <w:szCs w:val="24"/>
          <w:shd w:val="clear" w:color="auto" w:fill="ffffff"/>
          <w:vertAlign w:val="superscript"/>
        </w:rPr>
        <w:t xml:space="preserve">5</w:t>
      </w:r>
      <w:r>
        <w:rPr>
          <w:rFonts w:hint="eastAsia" w:ascii="宋体" w:hAnsi="宋体" w:cs="宋体"/>
          <w:sz w:val="24"/>
          <w:szCs w:val="24"/>
          <w:shd w:val="clear" w:color="auto" w:fill="ffffff"/>
        </w:rPr>
        <w:t xml:space="preserve">在中国境内完成。</w:t>
      </w:r>
      <w:bookmarkStart w:id="89" w:name="_GoBack"/>
      <w:r/>
      <w:bookmarkEnd w:id="89"/>
      <w:r/>
      <w:r/>
    </w:p>
    <w:p>
      <w:pPr>
        <w:ind w:firstLine="420"/>
        <w:jc w:val="left"/>
        <w:spacing w:before="30" w:after="30" w:line="360" w:lineRule="auto"/>
        <w:widowControl/>
        <w:rPr>
          <w:rFonts w:hint="eastAsia" w:ascii="宋体" w:hAnsi="宋体" w:cs="宋体"/>
          <w:sz w:val="24"/>
          <w:szCs w:val="2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96"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5" o:spid="_x0000_s95" o:spt="32" type="#_x0000_t32" style="position:absolute;z-index:251674624;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97"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6" o:spid="_x0000_s96" o:spt="32" type="#_x0000_t32" style="position:absolute;z-index:251672576;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98"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7" o:spid="_x0000_s97" o:spt="32" type="#_x0000_t32" style="position:absolute;z-index:251673600;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99"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8" o:spid="_x0000_s98" o:spt="32" type="#_x0000_t32" style="position:absolute;z-index:251663360;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00"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9" o:spid="_x0000_s99" o:spt="32" type="#_x0000_t32" style="position:absolute;z-index:251665408;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01"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0" o:spid="_x0000_s100" o:spt="32" type="#_x0000_t32" style="position:absolute;z-index:251662336;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02"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1" o:spid="_x0000_s101" o:spt="32" type="#_x0000_t32" style="position:absolute;z-index:251664384;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103"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2" o:spid="_x0000_s102" o:spt="32" type="#_x0000_t32" style="position:absolute;z-index:251671552;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shd w:val="clear" w:color="auto" w:fill="ffffff"/>
        </w:rPr>
        <w:t xml:space="preserve">2.</w:t>
      </w:r>
      <w:r>
        <w:rPr>
          <w:rFonts w:hint="eastAsia" w:ascii="宋体" w:hAnsi="宋体" w:cs="宋体"/>
          <w:i/>
          <w:sz w:val="24"/>
          <w:szCs w:val="24"/>
          <w:u w:val="single"/>
          <w:shd w:val="clear" w:color="auto" w:fill="ffffff"/>
        </w:rPr>
        <w:t xml:space="preserve">（产品名称2）</w:t>
      </w:r>
      <w:r>
        <w:rPr>
          <w:rFonts w:hint="eastAsia" w:ascii="宋体" w:hAnsi="宋体" w:cs="宋体"/>
          <w:sz w:val="24"/>
          <w:szCs w:val="24"/>
          <w:shd w:val="clear" w:color="auto" w:fill="ffffff"/>
        </w:rPr>
        <w:t xml:space="preserve">，生产厂为</w:t>
      </w:r>
      <w:r>
        <w:rPr>
          <w:rFonts w:hint="eastAsia" w:ascii="宋体" w:hAnsi="宋体" w:cs="宋体"/>
          <w:i/>
          <w:sz w:val="24"/>
          <w:szCs w:val="24"/>
          <w:u w:val="single"/>
          <w:shd w:val="clear" w:color="auto" w:fill="ffffff"/>
        </w:rPr>
        <w:t xml:space="preserve">（厂名）</w:t>
      </w:r>
      <w:r>
        <w:rPr>
          <w:rFonts w:hint="eastAsia" w:ascii="宋体" w:hAnsi="宋体" w:cs="宋体"/>
          <w:sz w:val="24"/>
          <w:szCs w:val="24"/>
          <w:shd w:val="clear" w:color="auto" w:fill="ffffff"/>
        </w:rPr>
        <w:t xml:space="preserve">，厂址为</w:t>
      </w:r>
      <w:r>
        <w:rPr>
          <w:rFonts w:hint="eastAsia" w:ascii="宋体" w:hAnsi="宋体" w:cs="宋体"/>
          <w:i/>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i/>
          <w:sz w:val="24"/>
          <w:szCs w:val="24"/>
          <w:u w:val="single"/>
          <w:shd w:val="clear" w:color="auto" w:fill="ffffff"/>
        </w:rPr>
        <w:t xml:space="preserve">（产品名称2）</w:t>
      </w:r>
      <w:r>
        <w:rPr>
          <w:rFonts w:hint="eastAsia" w:ascii="宋体" w:hAnsi="宋体" w:cs="宋体"/>
          <w:sz w:val="24"/>
          <w:szCs w:val="24"/>
          <w:shd w:val="clear" w:color="auto" w:fill="ffffff"/>
        </w:rPr>
        <w:t xml:space="preserve">的中国境内生产的组件成本占比≥</w:t>
      </w:r>
      <w:r>
        <w:rPr>
          <w:rFonts w:hint="eastAsia" w:ascii="宋体" w:hAnsi="宋体" w:cs="宋体"/>
          <w:i/>
          <w:sz w:val="24"/>
          <w:szCs w:val="24"/>
          <w:u w:val="single"/>
          <w:shd w:val="clear" w:color="auto" w:fill="ffffff"/>
        </w:rPr>
        <w:t xml:space="preserve">（规定比例）</w:t>
      </w:r>
      <w:r>
        <w:rPr>
          <w:rFonts w:hint="eastAsia" w:ascii="宋体" w:hAnsi="宋体" w:cs="宋体"/>
          <w:sz w:val="24"/>
          <w:szCs w:val="24"/>
          <w:shd w:val="clear" w:color="auto" w:fill="ffffff"/>
        </w:rPr>
        <w:t xml:space="preserve">。</w:t>
      </w:r>
      <w:r>
        <w:rPr>
          <w:rFonts w:hint="eastAsia" w:ascii="宋体" w:hAnsi="宋体" w:cs="宋体"/>
          <w:i/>
          <w:sz w:val="24"/>
          <w:szCs w:val="24"/>
          <w:u w:val="single"/>
          <w:shd w:val="clear" w:color="auto" w:fill="ffffff"/>
        </w:rPr>
        <w:t xml:space="preserve">（产品名称2）</w:t>
      </w:r>
      <w:r>
        <w:rPr>
          <w:rFonts w:hint="eastAsia" w:ascii="宋体" w:hAnsi="宋体" w:cs="宋体"/>
          <w:sz w:val="24"/>
          <w:szCs w:val="24"/>
          <w:shd w:val="clear" w:color="auto" w:fill="ffffff"/>
        </w:rPr>
        <w:t xml:space="preserve">的</w:t>
      </w:r>
      <w:r>
        <w:rPr>
          <w:rFonts w:hint="eastAsia" w:ascii="宋体" w:hAnsi="宋体" w:cs="宋体"/>
          <w:i/>
          <w:sz w:val="24"/>
          <w:szCs w:val="24"/>
          <w:u w:val="single"/>
          <w:shd w:val="clear" w:color="auto" w:fill="ffffff"/>
        </w:rPr>
        <w:t xml:space="preserve">（关键组件）</w:t>
      </w:r>
      <w:r>
        <w:rPr>
          <w:rFonts w:hint="eastAsia" w:ascii="宋体" w:hAnsi="宋体" w:cs="宋体"/>
          <w:sz w:val="24"/>
          <w:szCs w:val="24"/>
          <w:shd w:val="clear" w:color="auto" w:fill="ffffff"/>
        </w:rPr>
        <w:t xml:space="preserve">在中国境内生产。</w:t>
      </w:r>
      <w:r>
        <w:rPr>
          <w:rFonts w:hint="eastAsia" w:ascii="宋体" w:hAnsi="宋体" w:cs="宋体"/>
          <w:i/>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Fonts w:hint="eastAsia" w:ascii="宋体" w:hAnsi="宋体" w:cs="宋体"/>
          <w:i/>
          <w:sz w:val="24"/>
          <w:szCs w:val="24"/>
          <w:u w:val="single"/>
          <w:shd w:val="clear" w:color="auto" w:fill="ffffff"/>
        </w:rPr>
        <w:t xml:space="preserve">（关键工序）</w:t>
      </w:r>
      <w:r>
        <w:rPr>
          <w:rFonts w:hint="eastAsia" w:ascii="宋体" w:hAnsi="宋体" w:cs="宋体"/>
          <w:sz w:val="24"/>
          <w:szCs w:val="24"/>
          <w:shd w:val="clear" w:color="auto" w:fill="ffffff"/>
        </w:rPr>
        <w:t xml:space="preserve">在中国境内完成。</w:t>
      </w:r>
      <w:r/>
    </w:p>
    <w:p>
      <w:pPr>
        <w:ind w:firstLine="420"/>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w:t>
      </w:r>
      <w:r/>
    </w:p>
    <w:p>
      <w:pPr>
        <w:ind w:firstLine="420"/>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本公司（单位）对上述声明内容的真实性负责。如有虚假，愿承担相应法律责任。</w:t>
      </w:r>
      <w:r/>
    </w:p>
    <w:p>
      <w:pPr>
        <w:jc w:val="left"/>
        <w:spacing w:before="30" w:after="30" w:line="360" w:lineRule="auto"/>
        <w:widowControl/>
        <w:rPr>
          <w:rFonts w:hint="eastAsia" w:ascii="宋体" w:hAnsi="宋体" w:cs="宋体"/>
          <w:sz w:val="24"/>
          <w:szCs w:val="24"/>
        </w:rPr>
      </w:pPr>
      <w:r>
        <w:rPr>
          <w:rFonts w:hint="eastAsia" w:ascii="宋体" w:hAnsi="宋体" w:cs="宋体"/>
          <w:sz w:val="24"/>
          <w:szCs w:val="24"/>
        </w:rPr>
      </w:r>
      <w:r/>
    </w:p>
    <w:p>
      <w:pPr>
        <w:ind w:right="480" w:firstLine="3720"/>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公司（单位）名称（盖章）：　     </w:t>
      </w:r>
      <w:r/>
    </w:p>
    <w:p>
      <w:pPr>
        <w:jc w:val="center"/>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                            日期：　   年　  月　  日         </w:t>
      </w:r>
      <w:r/>
    </w:p>
    <w:p>
      <w:pPr>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p>
    <w:p>
      <w:pPr>
        <w:pStyle w:val="736"/>
      </w:pPr>
      <w:r/>
      <w:r/>
    </w:p>
    <w:p>
      <w:pPr>
        <w:ind w:right="1560" w:firstLine="420"/>
        <w:jc w:val="center"/>
        <w:spacing w:line="588" w:lineRule="exact"/>
        <w:tabs>
          <w:tab w:val="left" w:pos="486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735"/>
        <w:ind w:firstLine="3213"/>
        <w:jc w:val="both"/>
        <w:spacing w:line="360" w:lineRule="auto"/>
        <w:rPr>
          <w:rFonts w:hint="eastAsia" w:ascii="宋体" w:hAnsi="宋体" w:eastAsia="宋体" w:cs="宋体"/>
          <w:color w:val="000000" w:themeColor="text1"/>
          <w:sz w:val="24"/>
          <w:szCs w:val="20"/>
          <w14:textFill>
            <w14:solidFill>
              <w14:schemeClr w14:val="tx1"/>
            </w14:solidFill>
          </w14:textFill>
        </w:rPr>
      </w:pPr>
      <w:r/>
      <w:bookmarkStart w:id="76" w:name="_Toc190211636"/>
      <w:r>
        <w:rPr>
          <w:rFonts w:hint="eastAsia" w:ascii="宋体" w:hAnsi="宋体" w:eastAsia="宋体" w:cs="宋体"/>
          <w:bCs w:val="0"/>
          <w:color w:val="000000" w:themeColor="text1"/>
          <w:sz w:val="32"/>
          <w:szCs w:val="32"/>
          <w14:textFill>
            <w14:solidFill>
              <w14:schemeClr w14:val="tx1"/>
            </w14:solidFill>
          </w14:textFill>
        </w:rPr>
        <w:t xml:space="preserve">四、</w:t>
      </w:r>
      <w:r>
        <w:rPr>
          <w:rFonts w:hint="eastAsia" w:ascii="宋体" w:hAnsi="宋体" w:eastAsia="宋体" w:cs="宋体"/>
          <w:color w:val="000000" w:themeColor="text1"/>
          <w:sz w:val="32"/>
          <w:szCs w:val="32"/>
          <w14:textFill>
            <w14:solidFill>
              <w14:schemeClr w14:val="tx1"/>
            </w14:solidFill>
          </w14:textFill>
        </w:rPr>
        <w:t xml:space="preserve">开标一览表</w:t>
      </w:r>
      <w:bookmarkEnd w:id="76"/>
      <w:r/>
      <w:r/>
    </w:p>
    <w:p>
      <w:pPr>
        <w:ind w:firstLine="48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p>
    <w:p>
      <w:pPr>
        <w:ind w:firstLine="48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项目编号：</w:t>
      </w:r>
      <w:r/>
    </w:p>
    <w:p>
      <w:pPr>
        <w:ind w:firstLine="48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分包号(如有)： </w:t>
      </w:r>
      <w:r/>
    </w:p>
    <w:p>
      <w:pPr>
        <w:ind w:firstLine="48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p>
    <w:tbl>
      <w:tblPr>
        <w:tblStyle w:val="7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728"/>
      </w:tblGrid>
      <w:tr>
        <w:trPr>
          <w:cantSplit/>
          <w:trHeight w:val="1098"/>
        </w:trPr>
        <w:tc>
          <w:tcPr>
            <w:tcW w:w="2481" w:type="dxa"/>
            <w:vAlign w:val="center"/>
            <w:textDirection w:val="lrTb"/>
            <w:noWrap w:val="false"/>
          </w:tcPr>
          <w:p>
            <w:pPr>
              <w:pStyle w:val="749"/>
              <w:spacing w:line="3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投标服务或产品名称</w:t>
            </w:r>
            <w:r/>
          </w:p>
        </w:tc>
        <w:tc>
          <w:tcPr>
            <w:tcW w:w="6728"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投标</w:t>
            </w:r>
            <w:r>
              <w:rPr>
                <w:rFonts w:hint="eastAsia" w:ascii="宋体" w:hAnsi="宋体"/>
                <w:color w:val="000000" w:themeColor="text1"/>
                <w:szCs w:val="21"/>
                <w14:textFill>
                  <w14:solidFill>
                    <w14:schemeClr w14:val="tx1"/>
                  </w14:solidFill>
                </w14:textFill>
              </w:rPr>
              <w:t xml:space="preserve">单价</w:t>
            </w:r>
            <w:r/>
          </w:p>
        </w:tc>
      </w:tr>
      <w:tr>
        <w:trPr>
          <w:cantSplit/>
          <w:trHeight w:val="1697"/>
        </w:trPr>
        <w:tc>
          <w:tcPr>
            <w:tcW w:w="2481" w:type="dxa"/>
            <w:vAlign w:val="center"/>
            <w:textDirection w:val="lrTb"/>
            <w:noWrap w:val="false"/>
          </w:tcPr>
          <w:p>
            <w:pPr>
              <w:pStyle w:val="749"/>
              <w:jc w:val="center"/>
              <w:spacing w:line="3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6728" w:type="dxa"/>
            <w:vAlign w:val="center"/>
            <w:textDirection w:val="lrTb"/>
            <w:noWrap w:val="false"/>
          </w:tcPr>
          <w:p>
            <w:pPr>
              <w:pStyle w:val="973"/>
              <w:ind w:firstLine="0"/>
              <w:spacing w:before="0" w:after="0" w:line="500" w:lineRule="exac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小写：                             （人民币：元）</w:t>
            </w:r>
            <w:r/>
          </w:p>
        </w:tc>
      </w:tr>
    </w:tbl>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8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日期：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pStyle w:val="735"/>
        <w:rPr>
          <w:rFonts w:hint="eastAsia" w:ascii="宋体" w:hAnsi="宋体" w:eastAsia="宋体" w:cs="宋体"/>
          <w:bCs w:val="0"/>
          <w:color w:val="000000" w:themeColor="text1"/>
          <w:sz w:val="21"/>
          <w:szCs w:val="21"/>
          <w14:textFill>
            <w14:solidFill>
              <w14:schemeClr w14:val="tx1"/>
            </w14:solidFill>
          </w14:textFill>
        </w:rPr>
      </w:pPr>
      <w:r/>
      <w:bookmarkStart w:id="77" w:name="_Toc113352361"/>
      <w:r/>
      <w:r/>
    </w:p>
    <w:p>
      <w:pPr>
        <w:pStyle w:val="735"/>
        <w:rPr>
          <w:rFonts w:hint="eastAsia" w:ascii="宋体" w:hAnsi="宋体" w:eastAsia="宋体" w:cs="宋体"/>
          <w:bCs w:val="0"/>
          <w:color w:val="000000" w:themeColor="text1"/>
          <w:sz w:val="21"/>
          <w:szCs w:val="21"/>
          <w14:textFill>
            <w14:solidFill>
              <w14:schemeClr w14:val="tx1"/>
            </w14:solidFill>
          </w14:textFill>
        </w:rPr>
      </w:pPr>
      <w:r>
        <w:rPr>
          <w:rFonts w:hint="eastAsia" w:ascii="宋体" w:hAnsi="宋体" w:eastAsia="宋体" w:cs="宋体"/>
          <w:bCs w:val="0"/>
          <w:color w:val="000000" w:themeColor="text1"/>
          <w:sz w:val="21"/>
          <w:szCs w:val="21"/>
          <w14:textFill>
            <w14:solidFill>
              <w14:schemeClr w14:val="tx1"/>
            </w14:solidFill>
          </w14:textFill>
        </w:rPr>
        <w:br w:type="page" w:clear="all"/>
      </w:r>
      <w:bookmarkStart w:id="78" w:name="_Toc190211637"/>
      <w:r>
        <w:rPr>
          <w:rFonts w:hint="eastAsia" w:ascii="宋体" w:hAnsi="宋体" w:eastAsia="宋体"/>
          <w:color w:val="000000" w:themeColor="text1"/>
          <w:sz w:val="32"/>
          <w14:textFill>
            <w14:solidFill>
              <w14:schemeClr w14:val="tx1"/>
            </w14:solidFill>
          </w14:textFill>
        </w:rPr>
        <w:t xml:space="preserve">五、</w:t>
      </w:r>
      <w:bookmarkStart w:id="79" w:name="OLE_LINK11"/>
      <w:r>
        <w:rPr>
          <w:rFonts w:hint="eastAsia" w:asciiTheme="minorEastAsia" w:hAnsiTheme="minorEastAsia" w:eastAsiaTheme="minorEastAsia"/>
          <w:color w:val="auto"/>
          <w:sz w:val="32"/>
          <w:highlight w:val="none"/>
        </w:rPr>
        <w:t xml:space="preserve">投标产品配置及</w:t>
      </w:r>
      <w:r>
        <w:rPr>
          <w:rFonts w:hint="eastAsia" w:ascii="宋体" w:hAnsi="宋体" w:eastAsia="宋体"/>
          <w:color w:val="000000" w:themeColor="text1"/>
          <w:sz w:val="32"/>
          <w14:textFill>
            <w14:solidFill>
              <w14:schemeClr w14:val="tx1"/>
            </w14:solidFill>
          </w14:textFill>
        </w:rPr>
        <w:t xml:space="preserve">分项报价表</w:t>
      </w:r>
      <w:bookmarkEnd w:id="77"/>
      <w:r/>
      <w:bookmarkEnd w:id="78"/>
      <w:r/>
      <w:bookmarkEnd w:id="79"/>
      <w:r/>
      <w:r/>
    </w:p>
    <w:tbl>
      <w:tblPr>
        <w:tblStyle w:val="744"/>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序号</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w:t>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w:t>
            </w:r>
            <w:r/>
          </w:p>
        </w:tc>
        <w:tc>
          <w:tcPr>
            <w:tcW w:w="110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ascii="宋体" w:hAnsi="宋体"/>
                <w:color w:val="auto"/>
                <w:sz w:val="24"/>
                <w:szCs w:val="24"/>
                <w:highlight w:val="none"/>
              </w:rPr>
              <w:t xml:space="preserve">5</w:t>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6</w:t>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7</w:t>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8</w:t>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9</w:t>
            </w:r>
            <w:r/>
          </w:p>
        </w:tc>
      </w:tr>
      <w:tr>
        <w:trPr>
          <w:cantSplit/>
          <w:trHeight w:val="294"/>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产品</w:t>
            </w:r>
            <w:r/>
          </w:p>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名称</w:t>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规格</w:t>
            </w:r>
            <w:r/>
          </w:p>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型号</w:t>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制造商名称</w:t>
            </w:r>
            <w:r/>
          </w:p>
        </w:tc>
        <w:tc>
          <w:tcPr>
            <w:tcW w:w="110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产地</w:t>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交付期</w:t>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数量</w:t>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olor w:val="auto"/>
                <w:sz w:val="24"/>
                <w:szCs w:val="24"/>
                <w:highlight w:val="none"/>
              </w:rPr>
              <w:suppressLineNumbers w:val="0"/>
            </w:pPr>
            <w:r>
              <w:rPr>
                <w:rFonts w:hint="eastAsia" w:ascii="宋体" w:hAnsi="宋体"/>
                <w:color w:val="auto"/>
                <w:sz w:val="24"/>
                <w:szCs w:val="24"/>
                <w:highlight w:val="none"/>
              </w:rPr>
              <w:t xml:space="preserve">分项</w:t>
            </w:r>
            <w:r/>
          </w:p>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单价</w:t>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olor w:val="auto"/>
                <w:sz w:val="24"/>
                <w:szCs w:val="24"/>
                <w:highlight w:val="none"/>
              </w:rPr>
              <w:suppressLineNumbers w:val="0"/>
            </w:pPr>
            <w:r>
              <w:rPr>
                <w:rFonts w:hint="eastAsia" w:ascii="宋体" w:hAnsi="宋体"/>
                <w:color w:val="auto"/>
                <w:sz w:val="24"/>
                <w:szCs w:val="24"/>
                <w:highlight w:val="none"/>
              </w:rPr>
              <w:t xml:space="preserve">分项</w:t>
            </w:r>
            <w:r/>
          </w:p>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总价</w:t>
            </w:r>
            <w:r/>
          </w:p>
        </w:tc>
      </w:tr>
      <w:tr>
        <w:trPr>
          <w:cantSplit/>
          <w:trHeight w:val="696"/>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u w:val="single"/>
              </w:rPr>
              <w:suppressLineNumbers w:val="0"/>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724"/>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580"/>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olor w:val="auto"/>
                <w:sz w:val="24"/>
                <w:szCs w:val="24"/>
                <w:highlight w:val="none"/>
              </w:rPr>
              <w:suppressLineNumbers w:val="0"/>
            </w:pPr>
            <w:r>
              <w:rPr>
                <w:rFonts w:ascii="宋体" w:hAnsi="宋体"/>
                <w:color w:val="auto"/>
                <w:sz w:val="24"/>
                <w:szCs w:val="24"/>
                <w:highlight w:val="none"/>
              </w:rPr>
              <w:t xml:space="preserve">…</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ascii="宋体" w:hAnsi="宋体"/>
                <w:color w:val="auto"/>
                <w:sz w:val="24"/>
                <w:szCs w:val="24"/>
                <w:highlight w:val="none"/>
              </w:rPr>
              <w:t xml:space="preserve">……</w:t>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580"/>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olor w:val="auto"/>
                <w:sz w:val="24"/>
                <w:szCs w:val="24"/>
                <w:highlight w:val="none"/>
              </w:rPr>
              <w:suppressLineNumbers w:val="0"/>
            </w:pPr>
            <w:r>
              <w:rPr>
                <w:rFonts w:ascii="宋体" w:hAnsi="宋体"/>
                <w:color w:val="auto"/>
                <w:sz w:val="24"/>
                <w:szCs w:val="24"/>
                <w:highlight w:val="none"/>
              </w:rPr>
            </w:r>
            <w:r/>
          </w:p>
        </w:tc>
        <w:tc>
          <w:tcPr>
            <w:gridSpan w:val="8"/>
            <w:tcW w:w="8035"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eastAsia="宋体"/>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投标总报价（人民币：元）</w:t>
            </w:r>
            <w:r/>
          </w:p>
        </w:tc>
      </w:tr>
      <w:tr>
        <w:trPr>
          <w:trHeight w:val="580"/>
        </w:trPr>
        <w:tc>
          <w:tcPr>
            <w:gridSpan w:val="9"/>
            <w:tcW w:w="8535" w:type="dxa"/>
            <w:vAlign w:val="center"/>
            <w:vMerge w:val="restart"/>
            <w:textDirection w:val="lrTb"/>
            <w:noWrap w:val="false"/>
          </w:tcPr>
          <w:p>
            <w:pPr>
              <w:ind w:left="0" w:right="0"/>
              <w:jc w:val="left"/>
              <w:keepLines w:val="0"/>
              <w:keepNext w:val="0"/>
              <w:spacing w:before="0" w:beforeAutospacing="0" w:after="0" w:afterAutospacing="0" w:line="0" w:lineRule="atLeast"/>
              <w:rPr>
                <w:rFonts w:hint="eastAsia" w:ascii="宋体" w:hAnsi="宋体"/>
                <w:color w:val="auto"/>
                <w:sz w:val="24"/>
                <w:szCs w:val="24"/>
                <w:highlight w:val="none"/>
                <w:lang w:val="en-US" w:eastAsia="zh-CN"/>
              </w:rPr>
              <w:suppressLineNumbers w:val="0"/>
            </w:pPr>
            <w:r>
              <w:rPr>
                <w:rFonts w:hint="eastAsia" w:ascii="宋体" w:hAnsi="宋体"/>
                <w:color w:val="auto"/>
                <w:sz w:val="24"/>
                <w:szCs w:val="24"/>
                <w:highlight w:val="none"/>
                <w:lang w:val="en-US" w:eastAsia="zh-CN"/>
              </w:rPr>
            </w:r>
            <w:r>
              <w:rPr>
                <w:rFonts w:ascii="SimSun" w:hAnsi="SimSun" w:eastAsia="SimSun" w:cs="SimSun"/>
                <w:color w:val="000000"/>
                <w:sz w:val="24"/>
              </w:rPr>
              <w:t xml:space="preserve">本采购包中提供的符合本国产品标准的产品成本之和占该采购包提供的全部产品成本之和的比例为_%。</w:t>
            </w:r>
            <w:r>
              <w:rPr>
                <w:rFonts w:hint="eastAsia" w:ascii="宋体" w:hAnsi="宋体"/>
                <w:color w:val="auto"/>
                <w:sz w:val="24"/>
                <w:szCs w:val="24"/>
                <w:highlight w:val="none"/>
                <w:lang w:val="en-US" w:eastAsia="zh-CN"/>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rPr>
          <w:rFonts w:ascii="宋体" w:hAnsi="宋体"/>
          <w:color w:val="auto"/>
          <w:sz w:val="24"/>
          <w:szCs w:val="21"/>
          <w:highlight w:val="none"/>
        </w:rPr>
      </w:pPr>
      <w:r>
        <w:rPr>
          <w:rFonts w:hint="eastAsia" w:ascii="宋体" w:hAnsi="宋体"/>
          <w:color w:val="auto"/>
          <w:sz w:val="24"/>
          <w:szCs w:val="24"/>
          <w:highlight w:val="none"/>
        </w:rPr>
        <w:t xml:space="preserve">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及其他有关的为完成本项目发生的所有费用，招标文件中另有规定的除外。</w:t>
      </w:r>
      <w:r/>
    </w:p>
    <w:p>
      <w:pPr>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投标分项报价表</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1"/>
          <w:highlight w:val="none"/>
        </w:rPr>
        <w:t xml:space="preserve">3.投标人需认真填写本报价表，尤其注意规格型号的准确填写。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hd w:val="nil" w:color="auto"/>
        <w:rPr>
          <w:rFonts w:hint="eastAsia" w:ascii="宋体" w:hAnsi="宋体" w:eastAsia="宋体"/>
          <w:sz w:val="32"/>
          <w:szCs w:val="32"/>
          <w14:textFill>
            <w14:solidFill>
              <w14:schemeClr w14:val="tx1"/>
            </w14:solidFill>
          </w14:textFill>
        </w:rPr>
      </w:pPr>
      <w:r>
        <w:rPr>
          <w:highlight w:val="none"/>
        </w:rPr>
        <w:br w:type="page" w:clear="all"/>
      </w:r>
      <w:r>
        <w:rPr>
          <w:highlight w:val="none"/>
        </w:rPr>
      </w:r>
      <w:r/>
    </w:p>
    <w:p>
      <w:pPr>
        <w:pStyle w:val="735"/>
        <w:rPr>
          <w:highlight w:val="none"/>
        </w:rPr>
      </w:pPr>
      <w:r/>
      <w:bookmarkStart w:id="80" w:name="_Toc190211638"/>
      <w:r>
        <w:rPr>
          <w:rFonts w:hint="eastAsia" w:ascii="宋体" w:hAnsi="宋体" w:eastAsia="宋体"/>
          <w:color w:val="000000" w:themeColor="text1"/>
          <w:sz w:val="32"/>
          <w14:textFill>
            <w14:solidFill>
              <w14:schemeClr w14:val="tx1"/>
            </w14:solidFill>
          </w14:textFill>
        </w:rPr>
        <w:t xml:space="preserve">六、技术参数响应及偏离表</w:t>
      </w:r>
      <w:bookmarkEnd w:id="80"/>
      <w:r/>
      <w:r/>
    </w:p>
    <w:tbl>
      <w:tblPr>
        <w:tblStyle w:val="744"/>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28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招标要求</w:t>
            </w:r>
            <w:r/>
          </w:p>
        </w:tc>
        <w:tc>
          <w:tcPr>
            <w:tcW w:w="285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投标响应</w:t>
            </w:r>
            <w:r/>
          </w:p>
        </w:tc>
        <w:tc>
          <w:tcPr>
            <w:tcW w:w="130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超出、符合或偏离</w:t>
            </w:r>
            <w:r/>
          </w:p>
        </w:tc>
        <w:tc>
          <w:tcPr>
            <w:tcW w:w="1173"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证明材料</w:t>
            </w:r>
            <w:r/>
          </w:p>
        </w:tc>
      </w:tr>
      <w:tr>
        <w:trPr>
          <w:cantSplit/>
          <w:trHeight w:val="640"/>
        </w:trPr>
        <w:tc>
          <w:tcPr>
            <w:tcW w:w="984"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308"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173"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308"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173"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308"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173"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308"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173"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308"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173"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308"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173"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308"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173"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852"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308"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173" w:type="dxa"/>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注：1、按照基本技术要求详细填列。</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2、行数不够，可自行添加。</w:t>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rPr>
          <w:rFonts w:hint="eastAsia"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r>
      <w:r/>
    </w:p>
    <w:p>
      <w:pPr>
        <w:rPr>
          <w:rFonts w:hint="eastAsia"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r>
      <w:r/>
    </w:p>
    <w:p>
      <w:pPr>
        <w:rPr>
          <w:rFonts w:hint="eastAsia"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br w:type="page" w:clear="all"/>
      </w:r>
      <w:r/>
    </w:p>
    <w:p>
      <w:pPr>
        <w:pStyle w:val="735"/>
        <w:rPr>
          <w:rFonts w:hint="eastAsia" w:ascii="宋体" w:hAnsi="宋体" w:eastAsia="宋体" w:cs="Times New Roman"/>
          <w:bCs w:val="0"/>
          <w:color w:val="000000" w:themeColor="text1"/>
          <w:sz w:val="32"/>
          <w:szCs w:val="32"/>
          <w14:textFill>
            <w14:solidFill>
              <w14:schemeClr w14:val="tx1"/>
            </w14:solidFill>
          </w14:textFill>
        </w:rPr>
      </w:pPr>
      <w:r/>
      <w:bookmarkStart w:id="81" w:name="_Hlt26955054"/>
      <w:r/>
      <w:bookmarkEnd w:id="81"/>
      <w:r/>
      <w:bookmarkStart w:id="82" w:name="_Toc113352363"/>
      <w:r/>
      <w:bookmarkStart w:id="83" w:name="_Toc190211639"/>
      <w:r>
        <w:rPr>
          <w:rFonts w:hint="eastAsia" w:ascii="宋体" w:hAnsi="宋体" w:eastAsia="宋体" w:cs="Times New Roman"/>
          <w:bCs w:val="0"/>
          <w:color w:val="000000" w:themeColor="text1"/>
          <w:sz w:val="32"/>
          <w:szCs w:val="32"/>
          <w14:textFill>
            <w14:solidFill>
              <w14:schemeClr w14:val="tx1"/>
            </w14:solidFill>
          </w14:textFill>
        </w:rPr>
        <w:t xml:space="preserve">七、商务条款响应及偏离表</w:t>
      </w:r>
      <w:bookmarkEnd w:id="82"/>
      <w:r/>
      <w:bookmarkEnd w:id="83"/>
      <w:r/>
      <w:r/>
    </w:p>
    <w:tbl>
      <w:tblPr>
        <w:tblStyle w:val="744"/>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w:t>
            </w:r>
            <w:r>
              <w:rPr>
                <w:rFonts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spacing w:line="480" w:lineRule="auto"/>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bookmarkStart w:id="84" w:name="_Hlt26609389"/>
      <w:r/>
      <w:bookmarkEnd w:id="84"/>
      <w:r/>
      <w:bookmarkStart w:id="85" w:name="_Hlt26671374"/>
      <w:r/>
      <w:bookmarkEnd w:id="85"/>
      <w:r/>
      <w:bookmarkStart w:id="86" w:name="_Hlt26955066"/>
      <w:r/>
      <w:bookmarkEnd w:id="86"/>
      <w:r/>
      <w:bookmarkStart w:id="87" w:name="_Toc462564146"/>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45"/>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bookmarkEnd w:id="87"/>
      <w:r/>
      <w:r/>
    </w:p>
    <w:p>
      <w:pPr>
        <w:jc w:val="left"/>
        <w:widowControl/>
        <w:rPr>
          <w:rFonts w:hint="eastAsia" w:ascii="宋体" w:hAnsi="宋体"/>
          <w:b/>
          <w:color w:val="000000" w:themeColor="text1"/>
          <w14:textFill>
            <w14:solidFill>
              <w14:schemeClr w14:val="tx1"/>
            </w14:solidFill>
          </w14:textFill>
        </w:rPr>
      </w:pPr>
      <w:r/>
      <w:bookmarkStart w:id="88" w:name="_格式2__法定代表人授权书"/>
      <w:r/>
      <w:bookmarkEnd w:id="88"/>
      <w:r/>
      <w:r/>
    </w:p>
    <w:p>
      <w:pPr>
        <w:jc w:val="center"/>
        <w:spacing w:before="312" w:line="360" w:lineRule="auto"/>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主要标的信息（中标后将公示）</w:t>
      </w:r>
      <w:r/>
    </w:p>
    <w:p>
      <w:pPr>
        <w:spacing w:after="312" w:line="360" w:lineRule="auto"/>
        <w:rPr>
          <w:rFonts w:hint="eastAsia" w:ascii="宋体" w:hAnsi="宋体"/>
          <w:b/>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投标人全称：</w:t>
      </w:r>
      <w:r/>
    </w:p>
    <w:tbl>
      <w:tblPr>
        <w:tblStyle w:val="744"/>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货物类</w:t>
            </w:r>
            <w:r/>
          </w:p>
        </w:tc>
        <w:tc>
          <w:tcPr>
            <w:tcW w:w="3780"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服务类</w:t>
            </w:r>
            <w:r/>
          </w:p>
        </w:tc>
      </w:tr>
      <w:tr>
        <w:trPr>
          <w:trHeight w:val="3810"/>
        </w:trPr>
        <w:tc>
          <w:tcPr>
            <w:tcW w:w="3901" w:type="dxa"/>
            <w:textDirection w:val="lrTb"/>
            <w:noWrap w:val="false"/>
          </w:tcPr>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名称：</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品牌（如有）：</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规格型号：</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数量：</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单价：</w:t>
            </w:r>
            <w:r/>
          </w:p>
        </w:tc>
        <w:tc>
          <w:tcPr>
            <w:tcW w:w="3780" w:type="dxa"/>
            <w:textDirection w:val="lrTb"/>
            <w:noWrap w:val="false"/>
          </w:tcPr>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名称：</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服务范围：</w:t>
            </w:r>
            <w:r/>
          </w:p>
          <w:p>
            <w:pPr>
              <w:spacing w:line="360" w:lineRule="auto"/>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服务要求：</w:t>
            </w:r>
            <w:r/>
          </w:p>
          <w:p>
            <w:pPr>
              <w:spacing w:line="360" w:lineRule="auto"/>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服务时间：</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服务标准：</w:t>
            </w:r>
            <w:r/>
          </w:p>
        </w:tc>
      </w:tr>
    </w:tbl>
    <w:p>
      <w:pPr>
        <w:jc w:val="left"/>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p>
    <w:p>
      <w:pPr>
        <w:ind w:firstLine="211"/>
        <w:jc w:val="center"/>
        <w:spacing w:line="360" w:lineRule="auto"/>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联合体协议（如有）</w:t>
      </w:r>
      <w:r/>
    </w:p>
    <w:p>
      <w:pPr>
        <w:ind w:firstLine="211"/>
        <w:jc w:val="center"/>
        <w:spacing w:line="360" w:lineRule="auto"/>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（联合体中各供应商全称）在此达成以下协议：</w:t>
      </w:r>
      <w:r/>
    </w:p>
    <w:p>
      <w:pPr>
        <w:ind w:firstLine="645"/>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1、我们自愿组成联合体，参加（代理机构）的采购编号为（项目编号）（项目全称）的政府采购活动。</w:t>
      </w:r>
      <w:r/>
    </w:p>
    <w:p>
      <w:pPr>
        <w:ind w:firstLine="645"/>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 </w:t>
      </w:r>
      <w:r/>
    </w:p>
    <w:p>
      <w:pPr>
        <w:ind w:firstLine="46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所有供应商全称：</w:t>
      </w:r>
      <w:r/>
    </w:p>
    <w:p>
      <w:pPr>
        <w:ind w:firstLine="645"/>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法定代表人：  </w:t>
      </w:r>
      <w:r/>
    </w:p>
    <w:p>
      <w:pPr>
        <w:ind w:firstLine="46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日期：</w:t>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汉仪书宋二S">
    <w:panose1 w:val="020B0503020202020204"/>
  </w:font>
  <w:font w:name="Symbol">
    <w:panose1 w:val="05050102010706020507"/>
  </w:font>
  <w:font w:name="华文楷体">
    <w:panose1 w:val="02010600040101010101"/>
  </w:font>
  <w:font w:name="Wingdings">
    <w:panose1 w:val="05000000000000000000"/>
  </w:font>
  <w:font w:name="Courier New">
    <w:panose1 w:val="02070309020205020404"/>
  </w:font>
  <w:font w:name="楷体_GB2312">
    <w:panose1 w:val="02010609060101010101"/>
  </w:font>
  <w:font w:name="仿宋_GB2312">
    <w:panose1 w:val="02010609060101010101"/>
  </w:font>
  <w:font w:name="华文中宋">
    <w:panose1 w:val="02010600040101010101"/>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fldChar w:fldCharType="begin"/>
    </w:r>
    <w:r>
      <w:instrText xml:space="preserve">PAGE   \* MERGEFORMAT</w:instrText>
    </w:r>
    <w:r>
      <w:fldChar w:fldCharType="separate"/>
    </w:r>
    <w:r>
      <w:rPr>
        <w:lang w:val="zh-CN"/>
      </w:rPr>
      <w:t xml:space="preserve">18</w:t>
    </w:r>
    <w:r>
      <w:fldChar w:fldCharType="end"/>
    </w:r>
    <w:r/>
  </w:p>
  <w:p>
    <w:pPr>
      <w:pStyle w:val="7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7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Pr>
        <w:rFonts w:hint="eastAsia"/>
        <w:lang w:eastAsia="zh-CN"/>
      </w:rPr>
      <w:t xml:space="preserve">JSZC-321012-JSFH-G2026-0027</w:t>
    </w:r>
    <w:r>
      <w:rPr>
        <w:rFonts w:hint="eastAsia"/>
      </w:rPr>
      <w:t xml:space="preserve">                 </w:t>
    </w:r>
    <w:r>
      <w:rPr>
        <w:rFonts w:hint="eastAsia"/>
        <w:lang w:val="en-US" w:eastAsia="zh-CN"/>
      </w:rPr>
      <w:t xml:space="preserve">       </w:t>
    </w:r>
    <w:r>
      <w:rPr>
        <w:rFonts w:hint="eastAsia"/>
      </w:rPr>
      <w:t xml:space="preserve">               江苏富华工程造价咨询有限公司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Pr>
        <w:rFonts w:hint="eastAsia"/>
        <w:lang w:eastAsia="zh-CN"/>
      </w:rPr>
      <w:t xml:space="preserve">JSZC-321012-JSFH-G2026-0027</w:t>
    </w:r>
    <w:r>
      <w:t xml:space="preserve"> </w:t>
    </w:r>
    <w:r>
      <w:rPr>
        <w:rFonts w:hint="eastAsia"/>
      </w:rPr>
      <w:t xml:space="preserve">                                 江苏富华工程造价咨询有限公司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both"/>
    </w:pPr>
    <w:r>
      <w:rPr>
        <w:rFonts w:hint="eastAsia"/>
        <w:lang w:eastAsia="zh-CN"/>
      </w:rPr>
      <w:t xml:space="preserve">JSZC-321012-JSFH-G2026-0027</w:t>
    </w:r>
    <w:r>
      <w:t xml:space="preserve"> </w:t>
    </w:r>
    <w:r>
      <w:rPr>
        <w:rFonts w:hint="eastAsia"/>
      </w:rPr>
      <w:t xml:space="preserve">                                    江苏富华工程造价咨询有限公司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1"/>
  </w:num>
  <w:num w:numId="4">
    <w:abstractNumId w:val="0"/>
  </w:num>
  <w:num w:numId="5">
    <w:abstractNumId w:val="4"/>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uiPriority w:val="0"/>
    <w:qFormat/>
    <w:pPr>
      <w:jc w:val="both"/>
      <w:widowControl w:val="off"/>
    </w:pPr>
    <w:rPr>
      <w:rFonts w:hint="default" w:ascii="Calibri" w:hAnsi="Calibri" w:eastAsia="宋体" w:cs="Times New Roman"/>
      <w:sz w:val="21"/>
      <w:szCs w:val="22"/>
    </w:rPr>
  </w:style>
  <w:style w:type="paragraph" w:styleId="734">
    <w:name w:val="Heading 1"/>
    <w:basedOn w:val="733"/>
    <w:next w:val="733"/>
    <w:link w:val="817"/>
    <w:uiPriority w:val="9"/>
    <w:qFormat/>
    <w:pPr>
      <w:keepLines/>
      <w:keepNext/>
      <w:spacing w:before="340" w:after="330" w:line="578" w:lineRule="auto"/>
      <w:outlineLvl w:val="0"/>
    </w:pPr>
    <w:rPr>
      <w:b/>
      <w:bCs/>
      <w:sz w:val="44"/>
      <w:szCs w:val="44"/>
    </w:rPr>
  </w:style>
  <w:style w:type="paragraph" w:styleId="735">
    <w:name w:val="Heading 2"/>
    <w:basedOn w:val="733"/>
    <w:next w:val="745"/>
    <w:link w:val="81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6">
    <w:name w:val="Heading 3"/>
    <w:basedOn w:val="733"/>
    <w:next w:val="733"/>
    <w:link w:val="819"/>
    <w:uiPriority w:val="0"/>
    <w:qFormat/>
    <w:pPr>
      <w:keepLines/>
      <w:keepNext/>
      <w:spacing w:before="260" w:after="260" w:line="416" w:lineRule="auto"/>
      <w:outlineLvl w:val="2"/>
    </w:pPr>
    <w:rPr>
      <w:b/>
      <w:bCs/>
      <w:sz w:val="32"/>
      <w:szCs w:val="32"/>
    </w:rPr>
  </w:style>
  <w:style w:type="paragraph" w:styleId="737">
    <w:name w:val="Heading 4"/>
    <w:basedOn w:val="733"/>
    <w:next w:val="733"/>
    <w:link w:val="820"/>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821"/>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822"/>
    <w:uiPriority w:val="9"/>
    <w:unhideWhenUsed/>
    <w:qFormat/>
    <w:pPr>
      <w:keepLines/>
      <w:keepNext/>
      <w:spacing w:before="320" w:after="200"/>
      <w:outlineLvl w:val="5"/>
    </w:pPr>
    <w:rPr>
      <w:rFonts w:ascii="Arial" w:hAnsi="Arial" w:eastAsia="Arial" w:cs="Arial"/>
      <w:b/>
      <w:bCs/>
      <w:sz w:val="22"/>
    </w:rPr>
  </w:style>
  <w:style w:type="paragraph" w:styleId="740">
    <w:name w:val="Heading 7"/>
    <w:basedOn w:val="733"/>
    <w:next w:val="733"/>
    <w:link w:val="823"/>
    <w:uiPriority w:val="9"/>
    <w:unhideWhenUsed/>
    <w:qFormat/>
    <w:pPr>
      <w:keepLines/>
      <w:keepNext/>
      <w:spacing w:before="320" w:after="200"/>
      <w:outlineLvl w:val="6"/>
    </w:pPr>
    <w:rPr>
      <w:rFonts w:ascii="Arial" w:hAnsi="Arial" w:eastAsia="Arial" w:cs="Arial"/>
      <w:b/>
      <w:bCs/>
      <w:i/>
      <w:iCs/>
      <w:sz w:val="22"/>
    </w:rPr>
  </w:style>
  <w:style w:type="paragraph" w:styleId="741">
    <w:name w:val="Heading 8"/>
    <w:basedOn w:val="733"/>
    <w:next w:val="733"/>
    <w:link w:val="824"/>
    <w:uiPriority w:val="9"/>
    <w:unhideWhenUsed/>
    <w:qFormat/>
    <w:pPr>
      <w:keepLines/>
      <w:keepNext/>
      <w:spacing w:before="320" w:after="200"/>
      <w:outlineLvl w:val="7"/>
    </w:pPr>
    <w:rPr>
      <w:rFonts w:ascii="Arial" w:hAnsi="Arial" w:eastAsia="Arial" w:cs="Arial"/>
      <w:i/>
      <w:iCs/>
      <w:sz w:val="22"/>
    </w:rPr>
  </w:style>
  <w:style w:type="paragraph" w:styleId="742">
    <w:name w:val="Heading 9"/>
    <w:basedOn w:val="733"/>
    <w:next w:val="733"/>
    <w:link w:val="825"/>
    <w:uiPriority w:val="9"/>
    <w:unhideWhenUsed/>
    <w:qFormat/>
    <w:pPr>
      <w:keepLines/>
      <w:keepNext/>
      <w:spacing w:before="320" w:after="200"/>
      <w:outlineLvl w:val="8"/>
    </w:pPr>
    <w:rPr>
      <w:rFonts w:ascii="Arial" w:hAnsi="Arial" w:eastAsia="Arial" w:cs="Arial"/>
      <w:i/>
      <w:iCs/>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Normal Indent"/>
    <w:basedOn w:val="733"/>
    <w:uiPriority w:val="0"/>
    <w:unhideWhenUsed/>
    <w:qFormat/>
    <w:pPr>
      <w:ind w:firstLine="420"/>
    </w:pPr>
  </w:style>
  <w:style w:type="paragraph" w:styleId="746">
    <w:name w:val="toc 7"/>
    <w:basedOn w:val="733"/>
    <w:next w:val="733"/>
    <w:uiPriority w:val="39"/>
    <w:unhideWhenUsed/>
    <w:qFormat/>
    <w:pPr>
      <w:ind w:left="1701"/>
      <w:spacing w:after="57"/>
    </w:pPr>
  </w:style>
  <w:style w:type="paragraph" w:styleId="747">
    <w:name w:val="Caption"/>
    <w:basedOn w:val="733"/>
    <w:next w:val="733"/>
    <w:uiPriority w:val="35"/>
    <w:semiHidden/>
    <w:unhideWhenUsed/>
    <w:qFormat/>
    <w:pPr>
      <w:spacing w:line="276" w:lineRule="auto"/>
    </w:pPr>
    <w:rPr>
      <w:b/>
      <w:bCs/>
      <w:color w:val="4f81bd"/>
      <w:sz w:val="18"/>
      <w:szCs w:val="18"/>
    </w:rPr>
  </w:style>
  <w:style w:type="paragraph" w:styleId="748">
    <w:name w:val="annotation text"/>
    <w:basedOn w:val="733"/>
    <w:uiPriority w:val="0"/>
    <w:qFormat/>
    <w:pPr>
      <w:jc w:val="left"/>
    </w:pPr>
  </w:style>
  <w:style w:type="paragraph" w:styleId="749">
    <w:name w:val="Body Text"/>
    <w:basedOn w:val="733"/>
    <w:uiPriority w:val="0"/>
    <w:qFormat/>
    <w:rPr>
      <w:rFonts w:ascii="楷体_GB2312" w:hAnsi="Arial" w:eastAsia="楷体_GB2312"/>
      <w:sz w:val="28"/>
      <w:szCs w:val="28"/>
    </w:rPr>
  </w:style>
  <w:style w:type="paragraph" w:styleId="750">
    <w:name w:val="Body Text Indent"/>
    <w:basedOn w:val="733"/>
    <w:link w:val="984"/>
    <w:uiPriority w:val="99"/>
    <w:unhideWhenUsed/>
    <w:qFormat/>
    <w:pPr>
      <w:ind w:firstLine="540"/>
      <w:spacing w:line="400" w:lineRule="exact"/>
    </w:pPr>
    <w:rPr>
      <w:sz w:val="24"/>
    </w:rPr>
  </w:style>
  <w:style w:type="paragraph" w:styleId="751">
    <w:name w:val="toc 5"/>
    <w:basedOn w:val="733"/>
    <w:next w:val="733"/>
    <w:uiPriority w:val="39"/>
    <w:unhideWhenUsed/>
    <w:qFormat/>
    <w:pPr>
      <w:ind w:left="1134"/>
      <w:spacing w:after="57"/>
    </w:pPr>
  </w:style>
  <w:style w:type="paragraph" w:styleId="752">
    <w:name w:val="toc 3"/>
    <w:basedOn w:val="733"/>
    <w:next w:val="733"/>
    <w:uiPriority w:val="39"/>
    <w:unhideWhenUsed/>
    <w:qFormat/>
    <w:pPr>
      <w:ind w:left="567"/>
      <w:spacing w:after="57"/>
    </w:pPr>
  </w:style>
  <w:style w:type="paragraph" w:styleId="753">
    <w:name w:val="Plain Text"/>
    <w:basedOn w:val="733"/>
    <w:link w:val="983"/>
    <w:uiPriority w:val="99"/>
    <w:qFormat/>
    <w:rPr>
      <w:rFonts w:ascii="宋体" w:hAnsi="Courier New"/>
      <w:sz w:val="20"/>
      <w:szCs w:val="21"/>
    </w:rPr>
  </w:style>
  <w:style w:type="paragraph" w:styleId="754">
    <w:name w:val="toc 8"/>
    <w:basedOn w:val="733"/>
    <w:next w:val="733"/>
    <w:uiPriority w:val="39"/>
    <w:unhideWhenUsed/>
    <w:qFormat/>
    <w:pPr>
      <w:ind w:left="1984"/>
      <w:spacing w:after="57"/>
    </w:pPr>
  </w:style>
  <w:style w:type="paragraph" w:styleId="755">
    <w:name w:val="Body Text Indent 2"/>
    <w:basedOn w:val="733"/>
    <w:uiPriority w:val="99"/>
    <w:unhideWhenUsed/>
    <w:qFormat/>
    <w:pPr>
      <w:ind w:left="420"/>
      <w:spacing w:after="120" w:line="480" w:lineRule="auto"/>
    </w:pPr>
  </w:style>
  <w:style w:type="paragraph" w:styleId="756">
    <w:name w:val="endnote text"/>
    <w:basedOn w:val="733"/>
    <w:link w:val="962"/>
    <w:uiPriority w:val="99"/>
    <w:semiHidden/>
    <w:unhideWhenUsed/>
    <w:qFormat/>
    <w:rPr>
      <w:sz w:val="20"/>
    </w:rPr>
  </w:style>
  <w:style w:type="paragraph" w:styleId="757">
    <w:name w:val="Balloon Text"/>
    <w:basedOn w:val="733"/>
    <w:link w:val="964"/>
    <w:uiPriority w:val="0"/>
    <w:qFormat/>
    <w:rPr>
      <w:sz w:val="18"/>
      <w:szCs w:val="18"/>
    </w:rPr>
  </w:style>
  <w:style w:type="paragraph" w:styleId="758">
    <w:name w:val="Footer"/>
    <w:basedOn w:val="733"/>
    <w:link w:val="835"/>
    <w:uiPriority w:val="99"/>
    <w:unhideWhenUsed/>
    <w:qFormat/>
    <w:pPr>
      <w:jc w:val="left"/>
      <w:tabs>
        <w:tab w:val="center" w:pos="4153" w:leader="none"/>
        <w:tab w:val="right" w:pos="8306" w:leader="none"/>
      </w:tabs>
    </w:pPr>
    <w:rPr>
      <w:sz w:val="18"/>
      <w:szCs w:val="18"/>
    </w:rPr>
  </w:style>
  <w:style w:type="paragraph" w:styleId="759">
    <w:name w:val="envelope return"/>
    <w:basedOn w:val="733"/>
    <w:uiPriority w:val="99"/>
    <w:unhideWhenUsed/>
    <w:qFormat/>
    <w:rPr>
      <w:rFonts w:ascii="Arial" w:hAnsi="Arial"/>
    </w:rPr>
  </w:style>
  <w:style w:type="paragraph" w:styleId="760">
    <w:name w:val="Header"/>
    <w:basedOn w:val="733"/>
    <w:link w:val="83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61">
    <w:name w:val="toc 1"/>
    <w:basedOn w:val="733"/>
    <w:next w:val="733"/>
    <w:uiPriority w:val="39"/>
    <w:unhideWhenUsed/>
    <w:qFormat/>
    <w:pPr>
      <w:spacing w:after="57"/>
    </w:pPr>
  </w:style>
  <w:style w:type="paragraph" w:styleId="762">
    <w:name w:val="toc 4"/>
    <w:basedOn w:val="733"/>
    <w:next w:val="733"/>
    <w:uiPriority w:val="39"/>
    <w:unhideWhenUsed/>
    <w:qFormat/>
    <w:pPr>
      <w:ind w:left="850"/>
      <w:spacing w:after="57"/>
    </w:pPr>
  </w:style>
  <w:style w:type="paragraph" w:styleId="763">
    <w:name w:val="Subtitle"/>
    <w:basedOn w:val="733"/>
    <w:next w:val="733"/>
    <w:link w:val="828"/>
    <w:uiPriority w:val="11"/>
    <w:qFormat/>
    <w:pPr>
      <w:spacing w:before="200" w:after="200"/>
    </w:pPr>
    <w:rPr>
      <w:sz w:val="24"/>
      <w:szCs w:val="24"/>
    </w:rPr>
  </w:style>
  <w:style w:type="paragraph" w:styleId="764">
    <w:name w:val="footnote text"/>
    <w:basedOn w:val="733"/>
    <w:link w:val="961"/>
    <w:uiPriority w:val="99"/>
    <w:semiHidden/>
    <w:unhideWhenUsed/>
    <w:qFormat/>
    <w:pPr>
      <w:spacing w:after="40"/>
    </w:pPr>
    <w:rPr>
      <w:sz w:val="18"/>
    </w:rPr>
  </w:style>
  <w:style w:type="paragraph" w:styleId="765">
    <w:name w:val="toc 6"/>
    <w:basedOn w:val="733"/>
    <w:next w:val="733"/>
    <w:uiPriority w:val="39"/>
    <w:unhideWhenUsed/>
    <w:qFormat/>
    <w:pPr>
      <w:ind w:left="1417"/>
      <w:spacing w:after="57"/>
    </w:pPr>
  </w:style>
  <w:style w:type="paragraph" w:styleId="766">
    <w:name w:val="table of figures"/>
    <w:basedOn w:val="733"/>
    <w:next w:val="733"/>
    <w:uiPriority w:val="99"/>
    <w:unhideWhenUsed/>
    <w:qFormat/>
  </w:style>
  <w:style w:type="paragraph" w:styleId="767">
    <w:name w:val="toc 2"/>
    <w:basedOn w:val="733"/>
    <w:next w:val="733"/>
    <w:uiPriority w:val="39"/>
    <w:unhideWhenUsed/>
    <w:qFormat/>
    <w:pPr>
      <w:ind w:left="283"/>
      <w:spacing w:after="57"/>
    </w:pPr>
  </w:style>
  <w:style w:type="paragraph" w:styleId="768">
    <w:name w:val="toc 9"/>
    <w:basedOn w:val="733"/>
    <w:next w:val="733"/>
    <w:uiPriority w:val="39"/>
    <w:unhideWhenUsed/>
    <w:qFormat/>
    <w:pPr>
      <w:ind w:left="2268"/>
      <w:spacing w:after="57"/>
    </w:pPr>
  </w:style>
  <w:style w:type="paragraph" w:styleId="769">
    <w:name w:val="Body Text 2"/>
    <w:basedOn w:val="733"/>
    <w:uiPriority w:val="0"/>
    <w:qFormat/>
    <w:pPr>
      <w:spacing w:after="120" w:line="480" w:lineRule="auto"/>
    </w:pPr>
  </w:style>
  <w:style w:type="paragraph" w:styleId="770">
    <w:name w:val="Message Header"/>
    <w:basedOn w:val="733"/>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71">
    <w:name w:val="Normal (Web)"/>
    <w:basedOn w:val="733"/>
    <w:uiPriority w:val="0"/>
    <w:qFormat/>
    <w:rPr>
      <w:rFonts w:ascii="Times New Roman" w:hAnsi="Times New Roman"/>
      <w:sz w:val="24"/>
    </w:rPr>
  </w:style>
  <w:style w:type="paragraph" w:styleId="772">
    <w:name w:val="Title"/>
    <w:basedOn w:val="733"/>
    <w:next w:val="733"/>
    <w:link w:val="827"/>
    <w:uiPriority w:val="10"/>
    <w:qFormat/>
    <w:pPr>
      <w:contextualSpacing/>
      <w:spacing w:before="300" w:after="200"/>
    </w:pPr>
    <w:rPr>
      <w:sz w:val="48"/>
      <w:szCs w:val="48"/>
    </w:rPr>
  </w:style>
  <w:style w:type="paragraph" w:styleId="773">
    <w:name w:val="Body Text First Indent 2"/>
    <w:basedOn w:val="750"/>
    <w:link w:val="985"/>
    <w:uiPriority w:val="99"/>
    <w:semiHidden/>
    <w:unhideWhenUsed/>
    <w:qFormat/>
    <w:pPr>
      <w:ind w:left="420" w:firstLine="420"/>
      <w:spacing w:after="120" w:line="240" w:lineRule="auto"/>
    </w:pPr>
    <w:rPr>
      <w:sz w:val="21"/>
    </w:rPr>
  </w:style>
  <w:style w:type="table" w:styleId="774">
    <w:name w:val="Table Grid"/>
    <w:basedOn w:val="7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Strong"/>
    <w:uiPriority w:val="0"/>
    <w:qFormat/>
    <w:rPr>
      <w:b/>
    </w:rPr>
  </w:style>
  <w:style w:type="character" w:styleId="776">
    <w:name w:val="endnote reference"/>
    <w:uiPriority w:val="99"/>
    <w:semiHidden/>
    <w:unhideWhenUsed/>
    <w:qFormat/>
    <w:rPr>
      <w:vertAlign w:val="superscript"/>
    </w:rPr>
  </w:style>
  <w:style w:type="character" w:styleId="777">
    <w:name w:val="Hyperlink"/>
    <w:uiPriority w:val="0"/>
    <w:qFormat/>
    <w:rPr>
      <w:color w:val="0000ff"/>
      <w:u w:val="single"/>
    </w:rPr>
  </w:style>
  <w:style w:type="character" w:styleId="778">
    <w:name w:val="annotation reference"/>
    <w:uiPriority w:val="0"/>
    <w:qFormat/>
    <w:rPr>
      <w:sz w:val="21"/>
      <w:szCs w:val="21"/>
    </w:rPr>
  </w:style>
  <w:style w:type="character" w:styleId="779">
    <w:name w:val="footnote reference"/>
    <w:uiPriority w:val="99"/>
    <w:unhideWhenUsed/>
    <w:qFormat/>
    <w:rPr>
      <w:vertAlign w:val="superscript"/>
    </w:rPr>
  </w:style>
  <w:style w:type="character" w:styleId="780" w:customStyle="1">
    <w:name w:val="Heading 1 Char"/>
    <w:basedOn w:val="743"/>
    <w:uiPriority w:val="9"/>
    <w:qFormat/>
    <w:rPr>
      <w:rFonts w:ascii="Arial" w:hAnsi="Arial" w:eastAsia="Arial" w:cs="Arial"/>
      <w:sz w:val="40"/>
      <w:szCs w:val="40"/>
    </w:rPr>
  </w:style>
  <w:style w:type="character" w:styleId="781" w:customStyle="1">
    <w:name w:val="Heading 2 Char"/>
    <w:basedOn w:val="743"/>
    <w:uiPriority w:val="9"/>
    <w:qFormat/>
    <w:rPr>
      <w:rFonts w:ascii="Arial" w:hAnsi="Arial" w:eastAsia="Arial" w:cs="Arial"/>
      <w:sz w:val="34"/>
    </w:rPr>
  </w:style>
  <w:style w:type="character" w:styleId="782" w:customStyle="1">
    <w:name w:val="Heading 3 Char"/>
    <w:basedOn w:val="743"/>
    <w:uiPriority w:val="9"/>
    <w:qFormat/>
    <w:rPr>
      <w:rFonts w:ascii="Arial" w:hAnsi="Arial" w:eastAsia="Arial" w:cs="Arial"/>
      <w:sz w:val="30"/>
      <w:szCs w:val="30"/>
    </w:rPr>
  </w:style>
  <w:style w:type="character" w:styleId="783" w:customStyle="1">
    <w:name w:val="Heading 4 Char"/>
    <w:basedOn w:val="743"/>
    <w:uiPriority w:val="9"/>
    <w:qFormat/>
    <w:rPr>
      <w:rFonts w:ascii="Arial" w:hAnsi="Arial" w:eastAsia="Arial" w:cs="Arial"/>
      <w:b/>
      <w:bCs/>
      <w:sz w:val="26"/>
      <w:szCs w:val="26"/>
    </w:rPr>
  </w:style>
  <w:style w:type="character" w:styleId="784" w:customStyle="1">
    <w:name w:val="Heading 5 Char"/>
    <w:basedOn w:val="743"/>
    <w:uiPriority w:val="9"/>
    <w:qFormat/>
    <w:rPr>
      <w:rFonts w:ascii="Arial" w:hAnsi="Arial" w:eastAsia="Arial" w:cs="Arial"/>
      <w:b/>
      <w:bCs/>
      <w:sz w:val="24"/>
      <w:szCs w:val="24"/>
    </w:rPr>
  </w:style>
  <w:style w:type="character" w:styleId="785" w:customStyle="1">
    <w:name w:val="Heading 6 Char"/>
    <w:basedOn w:val="743"/>
    <w:uiPriority w:val="9"/>
    <w:qFormat/>
    <w:rPr>
      <w:rFonts w:ascii="Arial" w:hAnsi="Arial" w:eastAsia="Arial" w:cs="Arial"/>
      <w:b/>
      <w:bCs/>
      <w:sz w:val="22"/>
      <w:szCs w:val="22"/>
    </w:rPr>
  </w:style>
  <w:style w:type="character" w:styleId="786" w:customStyle="1">
    <w:name w:val="Heading 7 Char"/>
    <w:basedOn w:val="743"/>
    <w:uiPriority w:val="9"/>
    <w:qFormat/>
    <w:rPr>
      <w:rFonts w:ascii="Arial" w:hAnsi="Arial" w:eastAsia="Arial" w:cs="Arial"/>
      <w:b/>
      <w:bCs/>
      <w:i/>
      <w:iCs/>
      <w:sz w:val="22"/>
      <w:szCs w:val="22"/>
    </w:rPr>
  </w:style>
  <w:style w:type="character" w:styleId="787" w:customStyle="1">
    <w:name w:val="Heading 8 Char"/>
    <w:basedOn w:val="743"/>
    <w:uiPriority w:val="9"/>
    <w:qFormat/>
    <w:rPr>
      <w:rFonts w:ascii="Arial" w:hAnsi="Arial" w:eastAsia="Arial" w:cs="Arial"/>
      <w:i/>
      <w:iCs/>
      <w:sz w:val="22"/>
      <w:szCs w:val="22"/>
    </w:rPr>
  </w:style>
  <w:style w:type="character" w:styleId="788" w:customStyle="1">
    <w:name w:val="Heading 9 Char"/>
    <w:basedOn w:val="743"/>
    <w:uiPriority w:val="9"/>
    <w:qFormat/>
    <w:rPr>
      <w:rFonts w:ascii="Arial" w:hAnsi="Arial" w:eastAsia="Arial" w:cs="Arial"/>
      <w:i/>
      <w:iCs/>
      <w:sz w:val="21"/>
      <w:szCs w:val="21"/>
    </w:rPr>
  </w:style>
  <w:style w:type="character" w:styleId="789" w:customStyle="1">
    <w:name w:val="Title Char"/>
    <w:basedOn w:val="743"/>
    <w:uiPriority w:val="10"/>
    <w:qFormat/>
    <w:rPr>
      <w:sz w:val="48"/>
      <w:szCs w:val="48"/>
    </w:rPr>
  </w:style>
  <w:style w:type="character" w:styleId="790" w:customStyle="1">
    <w:name w:val="Subtitle Char"/>
    <w:basedOn w:val="743"/>
    <w:uiPriority w:val="11"/>
    <w:qFormat/>
    <w:rPr>
      <w:sz w:val="24"/>
      <w:szCs w:val="24"/>
    </w:rPr>
  </w:style>
  <w:style w:type="character" w:styleId="791" w:customStyle="1">
    <w:name w:val="Quote Char"/>
    <w:uiPriority w:val="29"/>
    <w:qFormat/>
    <w:rPr>
      <w:i/>
    </w:rPr>
  </w:style>
  <w:style w:type="character" w:styleId="792" w:customStyle="1">
    <w:name w:val="Intense Quote Char"/>
    <w:uiPriority w:val="30"/>
    <w:qFormat/>
    <w:rPr>
      <w:i/>
    </w:rPr>
  </w:style>
  <w:style w:type="character" w:styleId="793" w:customStyle="1">
    <w:name w:val="Header Char"/>
    <w:basedOn w:val="743"/>
    <w:uiPriority w:val="99"/>
    <w:qFormat/>
  </w:style>
  <w:style w:type="character" w:styleId="794" w:customStyle="1">
    <w:name w:val="Caption Char"/>
    <w:uiPriority w:val="99"/>
    <w:qFormat/>
  </w:style>
  <w:style w:type="table" w:styleId="795" w:customStyle="1">
    <w:name w:val="Plain Table 1"/>
    <w:basedOn w:val="7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basedOn w:val="7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basedOn w:val="7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3"/>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7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5 Dark"/>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6 Colorful"/>
    <w:basedOn w:val="7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7 Colorful"/>
    <w:basedOn w:val="7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1 Light"/>
    <w:basedOn w:val="7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2"/>
    <w:basedOn w:val="7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3"/>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5 Dark"/>
    <w:basedOn w:val="7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basedOn w:val="7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7 Colorful"/>
    <w:basedOn w:val="7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paragraph" w:styleId="816" w:customStyle="1">
    <w:name w:val="TOC Heading"/>
    <w:uiPriority w:val="39"/>
    <w:unhideWhenUsed/>
    <w:qFormat/>
    <w:rPr>
      <w:rFonts w:hint="default" w:ascii="Times New Roman" w:hAnsi="Times New Roman" w:eastAsia="宋体" w:cs="Times New Roman"/>
    </w:rPr>
  </w:style>
  <w:style w:type="character" w:styleId="817" w:customStyle="1">
    <w:name w:val="标题 1 字符"/>
    <w:link w:val="734"/>
    <w:uiPriority w:val="9"/>
    <w:qFormat/>
    <w:rPr>
      <w:rFonts w:ascii="Arial" w:hAnsi="Arial" w:eastAsia="Arial" w:cs="Arial"/>
      <w:sz w:val="40"/>
      <w:szCs w:val="40"/>
    </w:rPr>
  </w:style>
  <w:style w:type="character" w:styleId="818" w:customStyle="1">
    <w:name w:val="标题 2 字符"/>
    <w:link w:val="735"/>
    <w:uiPriority w:val="9"/>
    <w:qFormat/>
    <w:rPr>
      <w:rFonts w:ascii="Arial" w:hAnsi="Arial" w:eastAsia="Arial" w:cs="Arial"/>
      <w:sz w:val="34"/>
    </w:rPr>
  </w:style>
  <w:style w:type="character" w:styleId="819" w:customStyle="1">
    <w:name w:val="标题 3 字符"/>
    <w:link w:val="736"/>
    <w:uiPriority w:val="9"/>
    <w:qFormat/>
    <w:rPr>
      <w:rFonts w:ascii="Arial" w:hAnsi="Arial" w:eastAsia="Arial" w:cs="Arial"/>
      <w:sz w:val="30"/>
      <w:szCs w:val="30"/>
    </w:rPr>
  </w:style>
  <w:style w:type="character" w:styleId="820" w:customStyle="1">
    <w:name w:val="标题 4 字符"/>
    <w:link w:val="737"/>
    <w:uiPriority w:val="9"/>
    <w:qFormat/>
    <w:rPr>
      <w:rFonts w:ascii="Arial" w:hAnsi="Arial" w:eastAsia="Arial" w:cs="Arial"/>
      <w:b/>
      <w:bCs/>
      <w:sz w:val="26"/>
      <w:szCs w:val="26"/>
    </w:rPr>
  </w:style>
  <w:style w:type="character" w:styleId="821" w:customStyle="1">
    <w:name w:val="标题 5 字符"/>
    <w:link w:val="738"/>
    <w:uiPriority w:val="9"/>
    <w:qFormat/>
    <w:rPr>
      <w:rFonts w:ascii="Arial" w:hAnsi="Arial" w:eastAsia="Arial" w:cs="Arial"/>
      <w:b/>
      <w:bCs/>
      <w:sz w:val="24"/>
      <w:szCs w:val="24"/>
    </w:rPr>
  </w:style>
  <w:style w:type="character" w:styleId="822" w:customStyle="1">
    <w:name w:val="标题 6 字符"/>
    <w:link w:val="739"/>
    <w:uiPriority w:val="9"/>
    <w:qFormat/>
    <w:rPr>
      <w:rFonts w:ascii="Arial" w:hAnsi="Arial" w:eastAsia="Arial" w:cs="Arial"/>
      <w:b/>
      <w:bCs/>
      <w:sz w:val="22"/>
      <w:szCs w:val="22"/>
    </w:rPr>
  </w:style>
  <w:style w:type="character" w:styleId="823" w:customStyle="1">
    <w:name w:val="标题 7 字符"/>
    <w:link w:val="740"/>
    <w:uiPriority w:val="9"/>
    <w:qFormat/>
    <w:rPr>
      <w:rFonts w:ascii="Arial" w:hAnsi="Arial" w:eastAsia="Arial" w:cs="Arial"/>
      <w:b/>
      <w:bCs/>
      <w:i/>
      <w:iCs/>
      <w:sz w:val="22"/>
      <w:szCs w:val="22"/>
    </w:rPr>
  </w:style>
  <w:style w:type="character" w:styleId="824" w:customStyle="1">
    <w:name w:val="标题 8 字符"/>
    <w:link w:val="741"/>
    <w:uiPriority w:val="9"/>
    <w:qFormat/>
    <w:rPr>
      <w:rFonts w:ascii="Arial" w:hAnsi="Arial" w:eastAsia="Arial" w:cs="Arial"/>
      <w:i/>
      <w:iCs/>
      <w:sz w:val="22"/>
      <w:szCs w:val="22"/>
    </w:rPr>
  </w:style>
  <w:style w:type="character" w:styleId="825" w:customStyle="1">
    <w:name w:val="标题 9 字符"/>
    <w:link w:val="742"/>
    <w:uiPriority w:val="9"/>
    <w:qFormat/>
    <w:rPr>
      <w:rFonts w:ascii="Arial" w:hAnsi="Arial" w:eastAsia="Arial" w:cs="Arial"/>
      <w:i/>
      <w:iCs/>
      <w:sz w:val="21"/>
      <w:szCs w:val="21"/>
    </w:rPr>
  </w:style>
  <w:style w:type="paragraph" w:styleId="826">
    <w:name w:val="No Spacing"/>
    <w:uiPriority w:val="1"/>
    <w:qFormat/>
    <w:rPr>
      <w:rFonts w:hint="default" w:ascii="Times New Roman" w:hAnsi="Times New Roman" w:eastAsia="宋体" w:cs="Times New Roman"/>
    </w:rPr>
  </w:style>
  <w:style w:type="character" w:styleId="827" w:customStyle="1">
    <w:name w:val="标题 字符"/>
    <w:link w:val="772"/>
    <w:uiPriority w:val="10"/>
    <w:qFormat/>
    <w:rPr>
      <w:sz w:val="48"/>
      <w:szCs w:val="48"/>
    </w:rPr>
  </w:style>
  <w:style w:type="character" w:styleId="828" w:customStyle="1">
    <w:name w:val="副标题 字符"/>
    <w:link w:val="763"/>
    <w:uiPriority w:val="11"/>
    <w:qFormat/>
    <w:rPr>
      <w:sz w:val="24"/>
      <w:szCs w:val="24"/>
    </w:rPr>
  </w:style>
  <w:style w:type="paragraph" w:styleId="829">
    <w:name w:val="Quote"/>
    <w:basedOn w:val="733"/>
    <w:next w:val="733"/>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33"/>
    <w:next w:val="733"/>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页眉 字符"/>
    <w:link w:val="760"/>
    <w:uiPriority w:val="99"/>
    <w:qFormat/>
  </w:style>
  <w:style w:type="character" w:styleId="834" w:customStyle="1">
    <w:name w:val="Footer Char"/>
    <w:uiPriority w:val="99"/>
    <w:qFormat/>
  </w:style>
  <w:style w:type="character" w:styleId="835" w:customStyle="1">
    <w:name w:val="页脚 字符"/>
    <w:link w:val="758"/>
    <w:uiPriority w:val="99"/>
    <w:qFormat/>
  </w:style>
  <w:style w:type="table" w:styleId="83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9" w:customStyle="1">
    <w:name w:val="无格式表格 31"/>
    <w:uiPriority w:val="99"/>
    <w:qFormat/>
    <w:tblPr>
      <w:tblCellMar>
        <w:left w:w="0" w:type="dxa"/>
        <w:top w:w="0" w:type="dxa"/>
        <w:right w:w="0" w:type="dxa"/>
        <w:bottom w:w="0" w:type="dxa"/>
      </w:tblCellMar>
    </w:tblPr>
  </w:style>
  <w:style w:type="table" w:styleId="840" w:customStyle="1">
    <w:name w:val="无格式表格 41"/>
    <w:uiPriority w:val="99"/>
    <w:qFormat/>
    <w:tblPr>
      <w:tblCellMar>
        <w:left w:w="0" w:type="dxa"/>
        <w:top w:w="0" w:type="dxa"/>
        <w:right w:w="0" w:type="dxa"/>
        <w:bottom w:w="0" w:type="dxa"/>
      </w:tblCellMar>
    </w:tblPr>
  </w:style>
  <w:style w:type="table" w:styleId="841" w:customStyle="1">
    <w:name w:val="无格式表格 51"/>
    <w:uiPriority w:val="99"/>
    <w:qFormat/>
    <w:tblPr>
      <w:tblCellMar>
        <w:left w:w="0" w:type="dxa"/>
        <w:top w:w="0" w:type="dxa"/>
        <w:right w:w="0" w:type="dxa"/>
        <w:bottom w:w="0" w:type="dxa"/>
      </w:tblCellMar>
    </w:tblPr>
  </w:style>
  <w:style w:type="table" w:styleId="84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1" w:customStyle="1">
    <w:name w:val="清单表 1 浅色1"/>
    <w:uiPriority w:val="99"/>
    <w:qFormat/>
    <w:tblPr>
      <w:tblCellMar>
        <w:left w:w="0" w:type="dxa"/>
        <w:top w:w="0" w:type="dxa"/>
        <w:right w:w="0" w:type="dxa"/>
        <w:bottom w:w="0" w:type="dxa"/>
      </w:tblCellMar>
    </w:tblPr>
  </w:style>
  <w:style w:type="table" w:styleId="892" w:customStyle="1">
    <w:name w:val="List Table 1 Light - Accent 1"/>
    <w:uiPriority w:val="99"/>
    <w:qFormat/>
    <w:tblPr>
      <w:tblCellMar>
        <w:left w:w="0" w:type="dxa"/>
        <w:top w:w="0" w:type="dxa"/>
        <w:right w:w="0" w:type="dxa"/>
        <w:bottom w:w="0" w:type="dxa"/>
      </w:tblCellMar>
    </w:tblPr>
  </w:style>
  <w:style w:type="table" w:styleId="893" w:customStyle="1">
    <w:name w:val="List Table 1 Light - Accent 2"/>
    <w:uiPriority w:val="99"/>
    <w:qFormat/>
    <w:tblPr>
      <w:tblCellMar>
        <w:left w:w="0" w:type="dxa"/>
        <w:top w:w="0" w:type="dxa"/>
        <w:right w:w="0" w:type="dxa"/>
        <w:bottom w:w="0" w:type="dxa"/>
      </w:tblCellMar>
    </w:tblPr>
  </w:style>
  <w:style w:type="table" w:styleId="894" w:customStyle="1">
    <w:name w:val="List Table 1 Light - Accent 3"/>
    <w:uiPriority w:val="99"/>
    <w:qFormat/>
    <w:tblPr>
      <w:tblCellMar>
        <w:left w:w="0" w:type="dxa"/>
        <w:top w:w="0" w:type="dxa"/>
        <w:right w:w="0" w:type="dxa"/>
        <w:bottom w:w="0" w:type="dxa"/>
      </w:tblCellMar>
    </w:tblPr>
  </w:style>
  <w:style w:type="table" w:styleId="895" w:customStyle="1">
    <w:name w:val="List Table 1 Light - Accent 4"/>
    <w:uiPriority w:val="99"/>
    <w:qFormat/>
    <w:tblPr>
      <w:tblCellMar>
        <w:left w:w="0" w:type="dxa"/>
        <w:top w:w="0" w:type="dxa"/>
        <w:right w:w="0" w:type="dxa"/>
        <w:bottom w:w="0" w:type="dxa"/>
      </w:tblCellMar>
    </w:tblPr>
  </w:style>
  <w:style w:type="table" w:styleId="896" w:customStyle="1">
    <w:name w:val="List Table 1 Light - Accent 5"/>
    <w:uiPriority w:val="99"/>
    <w:qFormat/>
    <w:tblPr>
      <w:tblCellMar>
        <w:left w:w="0" w:type="dxa"/>
        <w:top w:w="0" w:type="dxa"/>
        <w:right w:w="0" w:type="dxa"/>
        <w:bottom w:w="0" w:type="dxa"/>
      </w:tblCellMar>
    </w:tblPr>
  </w:style>
  <w:style w:type="table" w:styleId="897" w:customStyle="1">
    <w:name w:val="List Table 1 Light - Accent 6"/>
    <w:uiPriority w:val="99"/>
    <w:qFormat/>
    <w:tblPr>
      <w:tblCellMar>
        <w:left w:w="0" w:type="dxa"/>
        <w:top w:w="0" w:type="dxa"/>
        <w:right w:w="0" w:type="dxa"/>
        <w:bottom w:w="0" w:type="dxa"/>
      </w:tblCellMar>
    </w:tblPr>
  </w:style>
  <w:style w:type="table" w:styleId="89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0" w:customStyle="1">
    <w:name w:val="Lined - Accent"/>
    <w:uiPriority w:val="99"/>
    <w:qFormat/>
    <w:rPr>
      <w:color w:val="404040"/>
    </w:rPr>
    <w:tblPr>
      <w:tblCellMar>
        <w:left w:w="0" w:type="dxa"/>
        <w:top w:w="0" w:type="dxa"/>
        <w:right w:w="0" w:type="dxa"/>
        <w:bottom w:w="0" w:type="dxa"/>
      </w:tblCellMar>
    </w:tblPr>
  </w:style>
  <w:style w:type="table" w:styleId="941" w:customStyle="1">
    <w:name w:val="Lined - Accent 1"/>
    <w:uiPriority w:val="99"/>
    <w:qFormat/>
    <w:rPr>
      <w:color w:val="404040"/>
    </w:rPr>
    <w:tblPr>
      <w:tblCellMar>
        <w:left w:w="0" w:type="dxa"/>
        <w:top w:w="0" w:type="dxa"/>
        <w:right w:w="0" w:type="dxa"/>
        <w:bottom w:w="0" w:type="dxa"/>
      </w:tblCellMar>
    </w:tblPr>
  </w:style>
  <w:style w:type="table" w:styleId="942" w:customStyle="1">
    <w:name w:val="Lined - Accent 2"/>
    <w:uiPriority w:val="99"/>
    <w:qFormat/>
    <w:rPr>
      <w:color w:val="404040"/>
    </w:rPr>
    <w:tblPr>
      <w:tblCellMar>
        <w:left w:w="0" w:type="dxa"/>
        <w:top w:w="0" w:type="dxa"/>
        <w:right w:w="0" w:type="dxa"/>
        <w:bottom w:w="0" w:type="dxa"/>
      </w:tblCellMar>
    </w:tblPr>
  </w:style>
  <w:style w:type="table" w:styleId="943" w:customStyle="1">
    <w:name w:val="Lined - Accent 3"/>
    <w:uiPriority w:val="99"/>
    <w:qFormat/>
    <w:rPr>
      <w:color w:val="404040"/>
    </w:rPr>
    <w:tblPr>
      <w:tblCellMar>
        <w:left w:w="0" w:type="dxa"/>
        <w:top w:w="0" w:type="dxa"/>
        <w:right w:w="0" w:type="dxa"/>
        <w:bottom w:w="0" w:type="dxa"/>
      </w:tblCellMar>
    </w:tblPr>
  </w:style>
  <w:style w:type="table" w:styleId="944" w:customStyle="1">
    <w:name w:val="Lined - Accent 4"/>
    <w:uiPriority w:val="99"/>
    <w:qFormat/>
    <w:rPr>
      <w:color w:val="404040"/>
    </w:rPr>
    <w:tblPr>
      <w:tblCellMar>
        <w:left w:w="0" w:type="dxa"/>
        <w:top w:w="0" w:type="dxa"/>
        <w:right w:w="0" w:type="dxa"/>
        <w:bottom w:w="0" w:type="dxa"/>
      </w:tblCellMar>
    </w:tblPr>
  </w:style>
  <w:style w:type="table" w:styleId="945" w:customStyle="1">
    <w:name w:val="Lined - Accent 5"/>
    <w:uiPriority w:val="99"/>
    <w:qFormat/>
    <w:rPr>
      <w:color w:val="404040"/>
    </w:rPr>
    <w:tblPr>
      <w:tblCellMar>
        <w:left w:w="0" w:type="dxa"/>
        <w:top w:w="0" w:type="dxa"/>
        <w:right w:w="0" w:type="dxa"/>
        <w:bottom w:w="0" w:type="dxa"/>
      </w:tblCellMar>
    </w:tblPr>
  </w:style>
  <w:style w:type="table" w:styleId="946" w:customStyle="1">
    <w:name w:val="Lined - Accent 6"/>
    <w:uiPriority w:val="99"/>
    <w:qFormat/>
    <w:rPr>
      <w:color w:val="404040"/>
    </w:rPr>
    <w:tblPr>
      <w:tblCellMar>
        <w:left w:w="0" w:type="dxa"/>
        <w:top w:w="0" w:type="dxa"/>
        <w:right w:w="0" w:type="dxa"/>
        <w:bottom w:w="0" w:type="dxa"/>
      </w:tblCellMar>
    </w:tblPr>
  </w:style>
  <w:style w:type="table" w:styleId="94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1" w:customStyle="1">
    <w:name w:val="脚注文本 字符"/>
    <w:link w:val="764"/>
    <w:uiPriority w:val="99"/>
    <w:qFormat/>
    <w:rPr>
      <w:sz w:val="18"/>
    </w:rPr>
  </w:style>
  <w:style w:type="character" w:styleId="962" w:customStyle="1">
    <w:name w:val="尾注文本 字符"/>
    <w:link w:val="756"/>
    <w:uiPriority w:val="99"/>
    <w:qFormat/>
    <w:rPr>
      <w:sz w:val="20"/>
    </w:rPr>
  </w:style>
  <w:style w:type="paragraph" w:styleId="963" w:customStyle="1">
    <w:name w:val="TOC 标题1"/>
    <w:uiPriority w:val="39"/>
    <w:unhideWhenUsed/>
    <w:qFormat/>
    <w:rPr>
      <w:rFonts w:hint="default" w:ascii="Times New Roman" w:hAnsi="Times New Roman" w:eastAsia="宋体" w:cs="Times New Roman"/>
    </w:rPr>
  </w:style>
  <w:style w:type="character" w:styleId="964" w:customStyle="1">
    <w:name w:val="批注框文本 字符"/>
    <w:link w:val="757"/>
    <w:uiPriority w:val="0"/>
    <w:qFormat/>
    <w:rPr>
      <w:sz w:val="18"/>
      <w:szCs w:val="18"/>
    </w:rPr>
  </w:style>
  <w:style w:type="paragraph" w:styleId="965" w:customStyle="1">
    <w:name w:val="目录 11"/>
    <w:basedOn w:val="733"/>
    <w:next w:val="733"/>
    <w:uiPriority w:val="39"/>
    <w:unhideWhenUsed/>
    <w:qFormat/>
  </w:style>
  <w:style w:type="paragraph" w:styleId="966" w:customStyle="1">
    <w:name w:val="正文首行缩进 211"/>
    <w:basedOn w:val="750"/>
    <w:next w:val="733"/>
    <w:uiPriority w:val="0"/>
    <w:qFormat/>
    <w:pPr>
      <w:ind w:firstLine="420"/>
      <w:spacing w:before="100" w:beforeAutospacing="1"/>
    </w:pPr>
    <w:rPr>
      <w:rFonts w:ascii="Times New Roman" w:hAnsi="Times New Roman"/>
      <w:sz w:val="20"/>
      <w:szCs w:val="21"/>
    </w:rPr>
  </w:style>
  <w:style w:type="paragraph" w:styleId="967" w:customStyle="1">
    <w:name w:val="正文1"/>
    <w:basedOn w:val="733"/>
    <w:next w:val="968"/>
    <w:uiPriority w:val="0"/>
    <w:qFormat/>
    <w:pPr>
      <w:jc w:val="left"/>
      <w:spacing w:line="360" w:lineRule="atLeast"/>
    </w:pPr>
    <w:rPr>
      <w:rFonts w:ascii="宋体"/>
      <w:sz w:val="24"/>
      <w:szCs w:val="20"/>
    </w:rPr>
  </w:style>
  <w:style w:type="paragraph" w:styleId="968" w:customStyle="1">
    <w:name w:val="正文文本1"/>
    <w:basedOn w:val="967"/>
    <w:next w:val="969"/>
    <w:uiPriority w:val="0"/>
    <w:qFormat/>
    <w:pPr>
      <w:spacing w:after="120"/>
    </w:pPr>
    <w:rPr>
      <w:lang w:eastAsia="en-US"/>
    </w:rPr>
  </w:style>
  <w:style w:type="paragraph" w:styleId="969" w:customStyle="1">
    <w:name w:val="一级条标题"/>
    <w:basedOn w:val="970"/>
    <w:next w:val="9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0" w:customStyle="1">
    <w:name w:val="章标题"/>
    <w:next w:val="73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971" w:customStyle="1">
    <w:name w:val="段"/>
    <w:basedOn w:val="967"/>
    <w:next w:val="733"/>
    <w:uiPriority w:val="0"/>
    <w:qFormat/>
    <w:pPr>
      <w:ind w:firstLine="200"/>
      <w:widowControl/>
    </w:pPr>
    <w:rPr>
      <w:sz w:val="20"/>
    </w:rPr>
  </w:style>
  <w:style w:type="paragraph" w:styleId="972" w:customStyle="1">
    <w:name w:val="正文（缩进）"/>
    <w:basedOn w:val="733"/>
    <w:uiPriority w:val="0"/>
    <w:qFormat/>
    <w:pPr>
      <w:ind w:firstLine="480"/>
      <w:spacing w:before="156" w:after="156"/>
    </w:pPr>
  </w:style>
  <w:style w:type="paragraph" w:styleId="973" w:customStyle="1">
    <w:name w:val="普通正文"/>
    <w:basedOn w:val="733"/>
    <w:uiPriority w:val="0"/>
    <w:qFormat/>
    <w:pPr>
      <w:ind w:firstLine="480"/>
      <w:jc w:val="left"/>
      <w:spacing w:before="120" w:after="120" w:line="360" w:lineRule="auto"/>
    </w:pPr>
    <w:rPr>
      <w:rFonts w:ascii="Arial" w:hAnsi="Arial"/>
      <w:sz w:val="24"/>
      <w:szCs w:val="24"/>
    </w:rPr>
  </w:style>
  <w:style w:type="paragraph" w:styleId="974" w:customStyle="1">
    <w:name w:val="Char"/>
    <w:basedOn w:val="733"/>
    <w:uiPriority w:val="0"/>
    <w:qFormat/>
    <w:pPr>
      <w:ind w:firstLine="200"/>
      <w:tabs>
        <w:tab w:val="left" w:pos="360" w:leader="none"/>
      </w:tabs>
    </w:pPr>
    <w:rPr>
      <w:rFonts w:ascii="Times New Roman" w:hAnsi="Times New Roman"/>
      <w:sz w:val="28"/>
      <w:szCs w:val="30"/>
    </w:rPr>
  </w:style>
  <w:style w:type="paragraph" w:styleId="975" w:customStyle="1">
    <w:name w:val="正文空2格  1."/>
    <w:basedOn w:val="733"/>
    <w:uiPriority w:val="0"/>
    <w:qFormat/>
    <w:pPr>
      <w:ind w:firstLine="480"/>
    </w:pPr>
    <w:rPr>
      <w:rFonts w:cs="宋体"/>
      <w:sz w:val="28"/>
      <w:szCs w:val="20"/>
    </w:rPr>
  </w:style>
  <w:style w:type="paragraph" w:styleId="976" w:customStyle="1">
    <w:name w:val="Default"/>
    <w:uiPriority w:val="0"/>
    <w:qFormat/>
    <w:pPr>
      <w:widowControl w:val="off"/>
    </w:pPr>
    <w:rPr>
      <w:rFonts w:hint="default" w:ascii="黑体" w:hAnsi="Times New Roman" w:eastAsia="黑体" w:cs="Times New Roman"/>
    </w:rPr>
  </w:style>
  <w:style w:type="paragraph" w:styleId="977">
    <w:name w:val="List Paragraph"/>
    <w:basedOn w:val="733"/>
    <w:uiPriority w:val="34"/>
    <w:qFormat/>
    <w:pPr>
      <w:ind w:firstLine="420"/>
    </w:pPr>
  </w:style>
  <w:style w:type="paragraph" w:styleId="978" w:customStyle="1">
    <w:name w:val="正文首行缩进 21"/>
    <w:basedOn w:val="979"/>
    <w:uiPriority w:val="0"/>
    <w:qFormat/>
    <w:pPr>
      <w:ind w:left="420" w:firstLine="420"/>
      <w:spacing w:after="120"/>
    </w:pPr>
    <w:rPr>
      <w:sz w:val="20"/>
      <w:szCs w:val="24"/>
    </w:rPr>
  </w:style>
  <w:style w:type="paragraph" w:styleId="979" w:customStyle="1">
    <w:name w:val="正文文本缩进1"/>
    <w:basedOn w:val="733"/>
    <w:next w:val="980"/>
    <w:uiPriority w:val="99"/>
    <w:unhideWhenUsed/>
    <w:qFormat/>
    <w:pPr>
      <w:ind w:firstLine="540"/>
      <w:spacing w:line="400" w:lineRule="exact"/>
    </w:pPr>
    <w:rPr>
      <w:sz w:val="24"/>
    </w:rPr>
  </w:style>
  <w:style w:type="paragraph" w:styleId="980" w:customStyle="1">
    <w:name w:val="寄信人地址1"/>
    <w:basedOn w:val="733"/>
    <w:uiPriority w:val="99"/>
    <w:unhideWhenUsed/>
    <w:qFormat/>
    <w:rPr>
      <w:rFonts w:ascii="Arial" w:hAnsi="Arial"/>
    </w:rPr>
  </w:style>
  <w:style w:type="paragraph" w:styleId="981" w:customStyle="1">
    <w:name w:val="Table Paragraph"/>
    <w:basedOn w:val="733"/>
    <w:uiPriority w:val="1"/>
    <w:qFormat/>
  </w:style>
  <w:style w:type="paragraph" w:styleId="982" w:customStyle="1">
    <w:name w:val="列出段落1"/>
    <w:uiPriority w:val="0"/>
    <w:qFormat/>
    <w:pPr>
      <w:ind w:left="720" w:firstLine="360"/>
    </w:pPr>
    <w:rPr>
      <w:rFonts w:hint="default" w:ascii="Calibri" w:hAnsi="Calibri" w:eastAsia="宋体" w:cs="Times New Roman"/>
      <w:sz w:val="22"/>
      <w:szCs w:val="22"/>
      <w:lang w:eastAsia="en-US"/>
    </w:rPr>
  </w:style>
  <w:style w:type="character" w:styleId="983" w:customStyle="1">
    <w:name w:val="纯文本 字符"/>
    <w:link w:val="753"/>
    <w:uiPriority w:val="99"/>
    <w:qFormat/>
    <w:rPr>
      <w:rFonts w:ascii="宋体" w:hAnsi="Courier New"/>
      <w:szCs w:val="21"/>
    </w:rPr>
  </w:style>
  <w:style w:type="character" w:styleId="984" w:customStyle="1">
    <w:name w:val="正文文本缩进 字符"/>
    <w:basedOn w:val="743"/>
    <w:link w:val="750"/>
    <w:uiPriority w:val="99"/>
    <w:qFormat/>
    <w:rPr>
      <w:rFonts w:ascii="Calibri" w:hAnsi="Calibri"/>
      <w:sz w:val="24"/>
      <w:szCs w:val="22"/>
    </w:rPr>
  </w:style>
  <w:style w:type="character" w:styleId="985" w:customStyle="1">
    <w:name w:val="正文文本首行缩进 2 字符"/>
    <w:basedOn w:val="984"/>
    <w:link w:val="773"/>
    <w:uiPriority w:val="99"/>
    <w:semiHidden/>
    <w:qFormat/>
    <w:rPr>
      <w:rFonts w:ascii="Calibri" w:hAnsi="Calibri"/>
      <w:sz w:val="21"/>
      <w:szCs w:val="22"/>
    </w:rPr>
  </w:style>
  <w:style w:type="paragraph" w:styleId="986" w:customStyle="1">
    <w:name w:val="Revision"/>
    <w:hidden/>
    <w:uiPriority w:val="99"/>
    <w:unhideWhenUsed/>
    <w:qFormat/>
    <w:rPr>
      <w:rFonts w:hint="default" w:ascii="Calibri" w:hAnsi="Calibri" w:eastAsia="宋体" w:cs="Times New Roman"/>
      <w:sz w:val="21"/>
      <w:szCs w:val="22"/>
    </w:rPr>
  </w:style>
  <w:style w:type="paragraph" w:styleId="9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88" w:customStyle="1">
    <w:name w:val="font41"/>
    <w:basedOn w:val="743"/>
    <w:uiPriority w:val="0"/>
    <w:qFormat/>
    <w:rPr>
      <w:rFonts w:hint="eastAsia" w:ascii="微软雅黑" w:hAnsi="微软雅黑" w:eastAsia="微软雅黑" w:cs="微软雅黑"/>
      <w:color w:val="000000"/>
      <w:sz w:val="22"/>
      <w:szCs w:val="22"/>
      <w:u w:val="none"/>
    </w:rPr>
  </w:style>
  <w:style w:type="character" w:styleId="989" w:customStyle="1">
    <w:name w:val="font71"/>
    <w:basedOn w:val="743"/>
    <w:uiPriority w:val="0"/>
    <w:qFormat/>
    <w:rPr>
      <w:rFonts w:hint="eastAsia" w:ascii="微软雅黑" w:hAnsi="微软雅黑" w:eastAsia="微软雅黑" w:cs="微软雅黑"/>
      <w:b/>
      <w:bCs/>
      <w:color w:val="000000"/>
      <w:sz w:val="22"/>
      <w:szCs w:val="22"/>
      <w:u w:val="none"/>
    </w:rPr>
  </w:style>
  <w:style w:type="paragraph" w:styleId="990" w:customStyle="1">
    <w:name w:val="正文文本11"/>
    <w:basedOn w:val="733"/>
    <w:uiPriority w:val="0"/>
    <w:qFormat/>
    <w:pPr>
      <w:spacing w:line="60" w:lineRule="auto"/>
    </w:pPr>
    <w:rPr>
      <w:rFonts w:ascii="仿宋_GB2312" w:eastAsia="仿宋_GB2312"/>
      <w:sz w:val="32"/>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91807EF-0EEA-42D2-8CD3-DDE59FE7F80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孟寥廓</cp:lastModifiedBy>
  <cp:revision>1777</cp:revision>
  <dcterms:created xsi:type="dcterms:W3CDTF">2023-12-28T09:31:00Z</dcterms:created>
  <dcterms:modified xsi:type="dcterms:W3CDTF">2026-05-21T07:59:23Z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E0F14800C1E9469A9852348B8E14C8C4_13</vt:lpwstr>
  </property>
  <property fmtid="{D5CDD505-2E9C-101B-9397-08002B2CF9AE}" pid="4" name="KSOTemplateDocerSaveRecord">
    <vt:lpwstr>eyJoZGlkIjoiNTllMzA0OGJmMjA1NzYyMmVjOTJkNzcwMzgzZmJiZjUiLCJ1c2VySWQiOiIxMjIxNjA3MTA2In0=</vt:lpwstr>
  </property>
</Properties>
</file>