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JSZC-321000-SWGC-G2026-0071</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pacing w:val="-17"/>
          <w:sz w:val="36"/>
          <w:highlight w:val="none"/>
          <w:lang w:eastAsia="zh-CN"/>
        </w:rPr>
        <w:t xml:space="preserve">扬州市妇幼保健院托育综合服务中心室内外大型设施设备项目</w:t>
      </w:r>
      <w:r>
        <w:rPr>
          <w:rFonts w:hint="eastAsia" w:ascii="宋体" w:hAnsi="宋体" w:cs="宋体"/>
          <w:b/>
          <w:bCs/>
          <w:color w:val="auto"/>
          <w:sz w:val="36"/>
          <w:highlight w:val="none"/>
        </w:rPr>
        <w:t xml:space="preserve">公开招标文件</w:t>
      </w:r>
      <w:r/>
    </w:p>
    <w:p>
      <w:pPr>
        <w:pStyle w:val="97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88"/>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68"/>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68"/>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68"/>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68"/>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68"/>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68"/>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74"/>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45"/>
        <w:rPr>
          <w:rFonts w:hint="default" w:eastAsia="宋体"/>
          <w:color w:val="auto"/>
          <w:highlight w:val="none"/>
          <w:lang w:val="en-US" w:eastAsia="zh-CN"/>
        </w:rPr>
      </w:pPr>
      <w:r/>
      <w:bookmarkStart w:id="0" w:name="_Toc30208"/>
      <w:r/>
      <w:bookmarkStart w:id="1" w:name="_Toc55204177"/>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扬州市妇幼保健院</w:t>
      </w:r>
      <w:r>
        <w:rPr>
          <w:rFonts w:hint="eastAsia" w:ascii="宋体" w:hAnsi="宋体" w:cs="宋体"/>
          <w:color w:val="auto"/>
          <w:sz w:val="21"/>
          <w:szCs w:val="21"/>
          <w:highlight w:val="none"/>
        </w:rPr>
        <w:t xml:space="preserve">的委托，江苏苏维工程管理有限公司就</w:t>
      </w:r>
      <w:r>
        <w:rPr>
          <w:rFonts w:hint="eastAsia" w:ascii="宋体" w:hAnsi="宋体" w:cs="宋体"/>
          <w:color w:val="auto"/>
          <w:sz w:val="21"/>
          <w:szCs w:val="21"/>
          <w:highlight w:val="none"/>
          <w:lang w:eastAsia="zh-CN"/>
        </w:rPr>
        <w:t xml:space="preserve">扬州市妇幼保健院托育综合服务中心室内外大型设施设备项目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JSZC-321000-SWGC-G2026-0071</w:t>
      </w:r>
      <w:r>
        <w:rPr>
          <w:rFonts w:hint="eastAsia" w:ascii="宋体" w:hAnsi="宋体" w:cs="宋体"/>
          <w:color w:val="auto"/>
          <w:sz w:val="21"/>
          <w:szCs w:val="21"/>
          <w:highlight w:val="none"/>
        </w:rPr>
        <w:t xml:space="preserve">号)进行公开招标采购，欢迎符合条件的供应商投标。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扬州市妇幼保健院托育综合服务中心室内外大型设施设备项目JSZC-321000-SWGC-G2026-0071</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23</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28359002"/>
      <w:r/>
      <w:bookmarkStart w:id="3" w:name="_Toc28359079"/>
      <w:r/>
      <w:bookmarkStart w:id="4" w:name="_Toc35393790"/>
      <w:r/>
      <w:bookmarkStart w:id="5" w:name="_Toc38985263"/>
      <w:r/>
      <w:bookmarkStart w:id="6" w:name="_Toc35393621"/>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JSZC-321000-SWGC-G2026-0071</w:t>
      </w:r>
      <w:r>
        <w:rPr>
          <w:rFonts w:hint="eastAsia" w:ascii="宋体" w:hAnsi="宋体" w:cs="宋体"/>
          <w:color w:val="auto"/>
          <w:sz w:val="21"/>
          <w:szCs w:val="21"/>
          <w:highlight w:val="none"/>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扬州市妇幼保健院托育综合服务中心室内外大型设施设备项目</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55"/>
        <w:tblW w:w="38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4775"/>
      </w:tblGrid>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65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65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153</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55"/>
        <w:tblW w:w="38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2810"/>
        <w:gridCol w:w="2349"/>
      </w:tblGrid>
      <w:tr>
        <w:trPr/>
        <w:tc>
          <w:tcPr>
            <w:tcW w:w="1053"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2149"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179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53"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149"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179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153</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6.合同履行期限：合同签订后</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rPr>
        <w:t xml:space="preserve">个日历</w:t>
      </w:r>
      <w:r>
        <w:rPr>
          <w:rFonts w:hint="eastAsia" w:ascii="宋体" w:hAnsi="宋体" w:cs="宋体"/>
          <w:color w:val="auto"/>
          <w:sz w:val="21"/>
          <w:szCs w:val="21"/>
          <w:highlight w:val="none"/>
          <w:lang w:val="en-US" w:eastAsia="zh-CN"/>
        </w:rPr>
        <w:t xml:space="preserve">天</w:t>
      </w:r>
      <w:r>
        <w:rPr>
          <w:rFonts w:hint="eastAsia" w:ascii="宋体" w:hAnsi="宋体" w:cs="宋体"/>
          <w:color w:val="auto"/>
          <w:sz w:val="21"/>
          <w:szCs w:val="21"/>
          <w:highlight w:val="none"/>
        </w:rPr>
        <w:t xml:space="preserve">内安装调试完毕。</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35393622"/>
      <w:r/>
      <w:bookmarkStart w:id="9" w:name="_Toc28359080"/>
      <w:r/>
      <w:bookmarkStart w:id="10" w:name="_Toc38985264"/>
      <w:r/>
      <w:bookmarkStart w:id="11" w:name="_Toc35393791"/>
      <w:r/>
      <w:bookmarkStart w:id="12" w:name="_Toc28359003"/>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81"/>
      <w:r/>
      <w:bookmarkStart w:id="14" w:name="_Toc35393792"/>
      <w:r/>
      <w:bookmarkStart w:id="15" w:name="_Toc38985265"/>
      <w:r/>
      <w:bookmarkStart w:id="16" w:name="_Toc35393623"/>
      <w:r/>
      <w:bookmarkStart w:id="17" w:name="_Toc28359004"/>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2024年度或2025年度的财务报告情况；</w:t>
      </w:r>
      <w:r>
        <w:rPr>
          <w:rFonts w:hint="eastAsia" w:ascii="宋体" w:hAnsi="宋体" w:cs="宋体"/>
          <w:b w:val="0"/>
          <w:bCs w:val="0"/>
          <w:i/>
          <w:iCs/>
          <w:color w:val="auto"/>
          <w:sz w:val="21"/>
          <w:szCs w:val="21"/>
          <w:highlight w:val="none"/>
          <w:u w:val="single"/>
        </w:rPr>
        <w:t xml:space="preserve">（成立不满一年无需提供）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rPr>
        <w:t xml:space="preserve">企业采购。残疾人福利性单位、监狱和戒毒企业（简称监狱企业）视同小型、微型企业。</w:t>
      </w:r>
      <w:r>
        <w:rPr>
          <w:rFonts w:hint="eastAsia" w:ascii="宋体" w:hAnsi="宋体" w:cs="宋体"/>
          <w:b w:val="0"/>
          <w:bCs w:val="0"/>
          <w:i/>
          <w:iCs/>
          <w:color w:val="auto"/>
          <w:sz w:val="21"/>
          <w:szCs w:val="21"/>
          <w:highlight w:val="none"/>
          <w:u w:val="single"/>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宋体" w:hAnsi="宋体" w:cs="宋体"/>
          <w:b w:val="0"/>
          <w:bCs w:val="0"/>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4"/>
        <w:gridCol w:w="3100"/>
        <w:gridCol w:w="3885"/>
      </w:tblGrid>
      <w:t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55"/>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4100"/>
      </w:tblGrid>
      <w:tr>
        <w:trPr>
          <w:trHeight w:val="372"/>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1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100"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否</w:t>
            </w:r>
            <w:r/>
          </w:p>
        </w:tc>
      </w:tr>
    </w:tbl>
    <w:p>
      <w:pPr>
        <w:numPr>
          <w:ilvl w:val="0"/>
          <w:numId w:val="0"/>
        </w:numPr>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本项目的特定资格要求：</w:t>
      </w:r>
      <w:r/>
    </w:p>
    <w:tbl>
      <w:tblPr>
        <w:tblStyle w:val="75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rHeight w:val="512"/>
        </w:trPr>
        <w:tc>
          <w:tcPr>
            <w:tcW w:w="76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235"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特定</w:t>
            </w:r>
            <w:r>
              <w:rPr>
                <w:rFonts w:ascii="宋体" w:hAnsi="宋体"/>
                <w:color w:val="auto"/>
                <w:sz w:val="21"/>
                <w:szCs w:val="21"/>
                <w:highlight w:val="none"/>
              </w:rPr>
              <w:t xml:space="preserve">资格要求</w:t>
            </w:r>
            <w:r/>
          </w:p>
        </w:tc>
      </w:tr>
      <w:tr>
        <w:trPr/>
        <w:tc>
          <w:tcPr>
            <w:tcW w:w="764" w:type="pct"/>
            <w:vAlign w:val="center"/>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235" w:type="pct"/>
            <w:textDirection w:val="lrTb"/>
            <w:noWrap w:val="false"/>
          </w:tcPr>
          <w:p>
            <w:pPr>
              <w:jc w:val="left"/>
              <w:pageBreakBefore w:val="0"/>
              <w:spacing w:line="360" w:lineRule="auto"/>
              <w:rPr>
                <w:rFonts w:hint="eastAsia" w:ascii="宋体" w:hAnsi="宋体" w:eastAsia="宋体"/>
                <w:color w:val="auto"/>
                <w:sz w:val="21"/>
                <w:szCs w:val="21"/>
                <w:highlight w:val="none"/>
                <w:lang w:eastAsia="zh-CN"/>
              </w:rPr>
            </w:pPr>
            <w:r>
              <w:rPr>
                <w:rFonts w:hint="eastAsia" w:ascii="宋体" w:hAnsi="宋体"/>
                <w:i w:val="0"/>
                <w:iCs w:val="0"/>
                <w:color w:val="auto"/>
                <w:sz w:val="21"/>
                <w:szCs w:val="21"/>
                <w:highlight w:val="none"/>
                <w:u w:val="none"/>
                <w:lang w:val="en-US" w:eastAsia="zh-CN"/>
              </w:rPr>
              <w:t xml:space="preserve">无</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2026年6月23日上午9：30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8985267"/>
      <w:r/>
      <w:bookmarkStart w:id="24" w:name="_Toc35393794"/>
      <w:r/>
      <w:bookmarkStart w:id="25" w:name="_Toc28359084"/>
      <w:r/>
      <w:bookmarkStart w:id="26" w:name="_Toc35393625"/>
      <w:r/>
      <w:bookmarkStart w:id="27" w:name="_Toc28359007"/>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8985268"/>
      <w:r/>
      <w:bookmarkStart w:id="29" w:name="_Toc35393795"/>
      <w:r/>
      <w:bookmarkStart w:id="30" w:name="_Toc35393626"/>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8985269"/>
      <w:r/>
      <w:bookmarkStart w:id="32" w:name="_Toc35393796"/>
      <w:r/>
      <w:bookmarkStart w:id="33" w:name="_Toc28359008"/>
      <w:r/>
      <w:bookmarkStart w:id="34" w:name="_Toc28359085"/>
      <w:r/>
      <w:bookmarkStart w:id="35" w:name="_Toc35393627"/>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10"/>
      <w:r/>
      <w:bookmarkStart w:id="37" w:name="_Toc28359087"/>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扬州市妇幼保健院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址：扬州市京杭北路50号</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徐佳慧</w:t>
      </w:r>
      <w:r/>
    </w:p>
    <w:p>
      <w:pPr>
        <w:ind w:firstLine="420"/>
        <w:jc w:val="left"/>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联系方式：</w:t>
      </w:r>
      <w:r>
        <w:rPr>
          <w:rFonts w:hint="eastAsia" w:ascii="宋体" w:hAnsi="宋体" w:cs="宋体"/>
          <w:color w:val="auto"/>
          <w:sz w:val="21"/>
          <w:szCs w:val="21"/>
          <w:highlight w:val="none"/>
          <w:lang w:val="en-US" w:eastAsia="zh-CN"/>
        </w:rPr>
        <w:t xml:space="preserve">0514-80828096</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址：扬州市邗江区翠岗路48号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黄炎、孙玉君</w:t>
      </w:r>
      <w:r/>
    </w:p>
    <w:p>
      <w:pPr>
        <w:ind w:firstLine="420"/>
        <w:pageBreakBefore w:val="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 xml:space="preserve">联系方式：0514-821291</w:t>
      </w:r>
      <w:bookmarkEnd w:id="36"/>
      <w:r/>
      <w:bookmarkEnd w:id="37"/>
      <w:r>
        <w:rPr>
          <w:rFonts w:hint="eastAsia" w:ascii="宋体" w:hAnsi="宋体" w:cs="宋体"/>
          <w:color w:val="auto"/>
          <w:sz w:val="21"/>
          <w:szCs w:val="21"/>
          <w:highlight w:val="none"/>
          <w:lang w:val="en-US" w:eastAsia="zh-CN"/>
        </w:rPr>
        <w:t xml:space="preserve">21</w:t>
      </w:r>
      <w:r/>
    </w:p>
    <w:p>
      <w:pPr>
        <w:pStyle w:val="972"/>
        <w:jc w:val="center"/>
        <w:pageBreakBefore w:val="0"/>
        <w:spacing w:before="0" w:after="0"/>
        <w:rPr>
          <w:rFonts w:hint="eastAsia" w:ascii="宋体" w:hAnsi="宋体" w:cs="宋体"/>
          <w:color w:val="auto"/>
          <w:sz w:val="21"/>
          <w:szCs w:val="21"/>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0" w:name="_Toc55204178"/>
      <w:r/>
      <w:r/>
    </w:p>
    <w:p>
      <w:pPr>
        <w:pStyle w:val="745"/>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JSZC-321000-SWGC-G2026-0071</w:t>
      </w:r>
      <w:r>
        <w:rPr>
          <w:rFonts w:hint="eastAsia" w:ascii="宋体" w:hAnsi="宋体" w:cs="宋体"/>
          <w:bCs/>
          <w:color w:val="auto"/>
          <w:szCs w:val="21"/>
          <w:highlight w:val="none"/>
        </w:rPr>
        <w:t xml:space="preserve">号项目。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b/>
          <w:bCs/>
          <w:color w:val="auto"/>
          <w:szCs w:val="21"/>
          <w:highlight w:val="none"/>
        </w:rPr>
        <w:t xml:space="preserve">4.2</w:t>
      </w:r>
      <w:r>
        <w:rPr>
          <w:rFonts w:hint="eastAsia" w:ascii="宋体" w:hAnsi="宋体" w:cs="宋体"/>
          <w:b w:val="0"/>
          <w:bCs w:val="0"/>
          <w:color w:val="auto"/>
          <w:szCs w:val="21"/>
          <w:highlight w:val="none"/>
        </w:rPr>
        <w:t xml:space="preserve">本次招标采购不收取标书工本费</w:t>
      </w:r>
      <w:r>
        <w:rPr>
          <w:rFonts w:hint="eastAsia" w:ascii="宋体" w:hAnsi="宋体" w:cs="宋体"/>
          <w:b w:val="0"/>
          <w:bCs w:val="0"/>
          <w:color w:val="auto"/>
          <w:szCs w:val="21"/>
          <w:highlight w:val="none"/>
          <w:lang w:eastAsia="zh-CN"/>
        </w:rPr>
        <w:t xml:space="preserve">。</w:t>
      </w:r>
      <w:r/>
    </w:p>
    <w:p>
      <w:pPr>
        <w:ind w:firstLine="422"/>
        <w:jc w:val="left"/>
        <w:spacing w:line="360" w:lineRule="auto"/>
        <w:rPr>
          <w:rFonts w:hint="eastAsia" w:ascii="Times New Roman" w:hAnsi="Times New Roman" w:eastAsia="宋体"/>
          <w:b w:val="0"/>
          <w:bCs w:val="0"/>
          <w:color w:val="auto"/>
          <w:sz w:val="21"/>
          <w:szCs w:val="21"/>
          <w:highlight w:val="none"/>
          <w:lang w:val="en-US" w:eastAsia="zh-CN"/>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本次采购预算中已包含参照《招标代理服务收费管理暂行办法》(计价格【2002】1980号文)货物类标准</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折计取的代理服务费，投标报价应包含代理服务费，由中标人支付给代理机构。</w:t>
      </w:r>
      <w:r/>
    </w:p>
    <w:p>
      <w:pPr>
        <w:pStyle w:val="748"/>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基准费率表</w:t>
      </w:r>
      <w:r/>
    </w:p>
    <w:tbl>
      <w:tblPr>
        <w:tblStyle w:val="755"/>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r>
    </w:tbl>
    <w:p>
      <w:pPr>
        <w:ind w:firstLine="422"/>
        <w:jc w:val="left"/>
        <w:spacing w:line="360" w:lineRule="auto"/>
        <w:rPr>
          <w:rFonts w:hint="eastAsia"/>
          <w:color w:val="auto"/>
          <w:highlight w:val="none"/>
        </w:rPr>
      </w:pPr>
      <w:r>
        <w:rPr>
          <w:rFonts w:hint="eastAsia"/>
          <w:color w:val="auto"/>
          <w:highlight w:val="none"/>
        </w:rPr>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val="0"/>
          <w:bCs w:val="0"/>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462564084"/>
      <w:r/>
      <w:bookmarkStart w:id="43" w:name="_Toc20823297"/>
      <w:r/>
      <w:bookmarkStart w:id="44" w:name="_Toc513029225"/>
      <w:r/>
      <w:bookmarkStart w:id="45" w:name="_Toc16938541"/>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20823299"/>
      <w:r/>
      <w:bookmarkStart w:id="50" w:name="_Toc513029227"/>
      <w:r/>
      <w:bookmarkStart w:id="51" w:name="_Toc16938543"/>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20823300"/>
      <w:r/>
      <w:bookmarkStart w:id="53" w:name="_Toc513029228"/>
      <w:r/>
      <w:bookmarkStart w:id="54" w:name="_Toc16938544"/>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（本项目的核心产品为“</w:t>
      </w:r>
      <w:r>
        <w:rPr>
          <w:rFonts w:hint="eastAsia" w:ascii="宋体" w:hAnsi="宋体" w:cs="宋体"/>
          <w:b/>
          <w:bCs/>
          <w:color w:val="auto"/>
          <w:szCs w:val="21"/>
          <w:highlight w:val="none"/>
          <w:u w:val="single"/>
          <w:lang w:val="en-US" w:eastAsia="zh-CN"/>
        </w:rPr>
        <w:t xml:space="preserve">一层定制游戏设施</w:t>
      </w:r>
      <w:r>
        <w:rPr>
          <w:rFonts w:hint="eastAsia" w:ascii="宋体" w:hAnsi="宋体" w:cs="宋体"/>
          <w:b/>
          <w:bCs/>
          <w:color w:val="auto"/>
          <w:szCs w:val="21"/>
          <w:highlight w:val="none"/>
          <w:u w:val="single"/>
        </w:rPr>
        <w:t xml:space="preserve">”）</w:t>
      </w:r>
      <w:r>
        <w:rPr>
          <w:rFonts w:hint="eastAsia" w:ascii="宋体" w:hAnsi="宋体" w:cs="宋体"/>
          <w:bCs/>
          <w:color w:val="auto"/>
          <w:szCs w:val="21"/>
          <w:highlight w:val="none"/>
        </w:rPr>
        <w:t xml:space="preserve">。多家投标人提供的核心产品品牌相同的，按前两款规定处理。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color w:val="auto"/>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45"/>
        <w:rPr>
          <w:color w:val="auto"/>
          <w:highlight w:val="none"/>
        </w:rPr>
      </w:pPr>
      <w:r/>
      <w:bookmarkStart w:id="55" w:name="_Toc18427"/>
      <w:r/>
      <w:bookmarkStart w:id="56" w:name="_Toc55204179"/>
      <w:r/>
      <w:bookmarkStart w:id="57" w:name="_Hlk69392822"/>
      <w:r>
        <w:rPr>
          <w:rFonts w:hint="eastAsia"/>
          <w:color w:val="auto"/>
          <w:highlight w:val="none"/>
        </w:rPr>
        <w:t xml:space="preserve">第三章 合同条款及格式</w:t>
      </w:r>
      <w:bookmarkEnd w:id="55"/>
      <w:r/>
      <w:bookmarkEnd w:id="56"/>
      <w:r/>
      <w:r/>
    </w:p>
    <w:p>
      <w:pPr>
        <w:pStyle w:val="984"/>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84"/>
        <w:ind w:firstLine="422"/>
        <w:jc w:val="center"/>
        <w:spacing w:line="360" w:lineRule="auto"/>
        <w:rPr>
          <w:rFonts w:hint="eastAsia" w:hAnsi="宋体" w:cs="宋体"/>
          <w:b/>
          <w:bCs/>
          <w:color w:val="auto"/>
          <w:sz w:val="21"/>
          <w:highlight w:val="none"/>
        </w:rPr>
      </w:pPr>
      <w:r/>
      <w:bookmarkStart w:id="58" w:name="_Toc12506"/>
      <w:r/>
      <w:r/>
    </w:p>
    <w:p>
      <w:pPr>
        <w:pStyle w:val="984"/>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扬州市妇幼保健院托育综合服务中心室内外大型设施设备项目</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JSZC-321000-SWGC-G2026-0071</w:t>
      </w:r>
      <w:r>
        <w:rPr>
          <w:rFonts w:hint="eastAsia" w:ascii="宋体" w:hAnsi="宋体" w:eastAsia="宋体" w:cs="宋体"/>
          <w:color w:val="auto"/>
          <w:sz w:val="21"/>
          <w:highlight w:val="none"/>
        </w:rPr>
        <w:t xml:space="preserve">号</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hAnsi="宋体" w:cs="宋体"/>
          <w:color w:val="auto"/>
          <w:sz w:val="21"/>
          <w:highlight w:val="none"/>
          <w:lang w:eastAsia="zh-CN"/>
        </w:rPr>
        <w:t xml:space="preserve">扬州市妇幼保健院</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见证方：江苏苏维工程管理有限公司</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甲、乙双方根据江苏苏维工程管理有限公司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lang w:val="en-US" w:eastAsia="zh-CN"/>
        </w:rPr>
        <w:t xml:space="preserve">元作为本合同的履约保证金。（合同金额的10%作为本项目的履约保证金）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6.2.1履约保证金退还方式：乙方可以自主选择支票、汇票、本票、保函（电子保函）等非现金形式缴纳履约保证金。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银行保函特殊约定：</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若乙方以银行保函形式提交履约保证金的，该保函有效期可延长至【5】年（最长不超过5年），自本合同签订之日起计算。乙方应在保函到期前30日内办理续期手续，因乙方原因导致保函失效或无法续期的，视为乙方违约，甲方有权从应付合同款项中直接扣除相当于保函金额的款项作为履约担保</w:t>
      </w:r>
      <w:r>
        <w:rPr>
          <w:rFonts w:hint="eastAsia" w:hAnsi="宋体" w:cs="宋体"/>
          <w:color w:val="auto"/>
          <w:sz w:val="21"/>
          <w:highlight w:val="none"/>
          <w:lang w:val="en-US" w:eastAsia="zh-CN"/>
        </w:rPr>
        <w:t xml:space="preserve">。</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w:t>
      </w:r>
      <w:r>
        <w:rPr>
          <w:rFonts w:hint="eastAsia" w:hAnsi="宋体" w:cs="宋体"/>
          <w:color w:val="auto"/>
          <w:sz w:val="21"/>
          <w:highlight w:val="none"/>
          <w:lang w:val="en-US" w:eastAsia="zh-CN"/>
        </w:rPr>
        <w:t xml:space="preserve">项目履约合格后</w:t>
      </w:r>
      <w:r>
        <w:rPr>
          <w:rFonts w:hint="eastAsia" w:ascii="宋体" w:hAnsi="宋体" w:eastAsia="宋体" w:cs="宋体"/>
          <w:color w:val="auto"/>
          <w:sz w:val="21"/>
          <w:highlight w:val="none"/>
          <w:lang w:val="en-US" w:eastAsia="zh-CN"/>
        </w:rPr>
        <w:t xml:space="preserve">，甲方退还交纳的履约保证金。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6.2.3履约保证金退还条件：乙方在履约期间未给甲方造成损失或造成的损失经扣除后存有结余的。</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6.2.4履约保证金不予退还的情形：乙方不履行合同或履行该合同不符合合同约定不足以弥补乙方违约造成甲方损失的。</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rPr>
        <w:t xml:space="preserve">合同签订后</w:t>
      </w:r>
      <w:r>
        <w:rPr>
          <w:rFonts w:hint="eastAsia" w:ascii="宋体" w:hAnsi="宋体" w:cs="宋体"/>
          <w:color w:val="auto"/>
          <w:sz w:val="21"/>
          <w:highlight w:val="none"/>
          <w:u w:val="single"/>
          <w:lang w:val="en-US" w:eastAsia="zh-CN"/>
        </w:rPr>
        <w:t xml:space="preserve">45</w:t>
      </w:r>
      <w:r>
        <w:rPr>
          <w:rFonts w:hint="eastAsia" w:ascii="宋体" w:hAnsi="宋体" w:eastAsia="宋体" w:cs="宋体"/>
          <w:color w:val="auto"/>
          <w:sz w:val="21"/>
          <w:highlight w:val="none"/>
          <w:u w:val="single"/>
        </w:rPr>
        <w:t xml:space="preserve">个日历</w:t>
      </w:r>
      <w:r>
        <w:rPr>
          <w:rFonts w:hint="eastAsia" w:ascii="宋体" w:hAnsi="宋体" w:cs="宋体"/>
          <w:color w:val="auto"/>
          <w:sz w:val="21"/>
          <w:highlight w:val="none"/>
          <w:u w:val="single"/>
          <w:lang w:val="en-US" w:eastAsia="zh-CN"/>
        </w:rPr>
        <w:t xml:space="preserve">天</w:t>
      </w:r>
      <w:r>
        <w:rPr>
          <w:rFonts w:hint="eastAsia" w:ascii="宋体" w:hAnsi="宋体" w:eastAsia="宋体" w:cs="宋体"/>
          <w:color w:val="auto"/>
          <w:sz w:val="21"/>
          <w:highlight w:val="none"/>
          <w:u w:val="single"/>
        </w:rPr>
        <w:t xml:space="preserve">内安装调试完毕。</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9.2 交付方式：</w:t>
      </w:r>
      <w:r>
        <w:rPr>
          <w:rFonts w:hint="eastAsia" w:ascii="宋体" w:hAnsi="宋体" w:eastAsia="宋体" w:cs="宋体"/>
          <w:color w:val="auto"/>
          <w:sz w:val="21"/>
          <w:highlight w:val="none"/>
          <w:u w:val="single"/>
        </w:rPr>
        <w:t xml:space="preserve">甲方指定方式</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rPr>
        <w:t xml:space="preserve">甲方指定地点</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合同签订后，乙方向甲方开具发票，甲方自收到发票之日起10个工作日内支付合同总价30%的预付款；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lang w:val="en-US" w:eastAsia="zh-CN"/>
        </w:rPr>
        <w:t xml:space="preserve">验收合格</w:t>
      </w:r>
      <w:r>
        <w:rPr>
          <w:rFonts w:hint="eastAsia" w:ascii="宋体" w:hAnsi="宋体" w:eastAsia="宋体" w:cs="宋体"/>
          <w:color w:val="auto"/>
          <w:szCs w:val="21"/>
          <w:highlight w:val="none"/>
          <w:u w:val="single"/>
        </w:rPr>
        <w:t xml:space="preserve">后，乙方向甲方开具发票，甲方自收到发票之日起10个工作日内</w:t>
      </w:r>
      <w:r>
        <w:rPr>
          <w:rFonts w:hint="eastAsia" w:ascii="宋体" w:hAnsi="宋体" w:eastAsia="宋体" w:cs="宋体"/>
          <w:color w:val="auto"/>
          <w:szCs w:val="21"/>
          <w:highlight w:val="none"/>
          <w:u w:val="single"/>
          <w:lang w:val="en-US" w:eastAsia="zh-CN"/>
        </w:rPr>
        <w:t xml:space="preserve">支付合同</w:t>
      </w:r>
      <w:r>
        <w:rPr>
          <w:rFonts w:hint="eastAsia" w:ascii="宋体" w:hAnsi="宋体" w:cs="宋体"/>
          <w:color w:val="auto"/>
          <w:szCs w:val="21"/>
          <w:highlight w:val="none"/>
          <w:u w:val="single"/>
          <w:lang w:val="en-US" w:eastAsia="zh-CN"/>
        </w:rPr>
        <w:t xml:space="preserve">款的60%</w:t>
      </w:r>
      <w:r>
        <w:rPr>
          <w:rFonts w:hint="eastAsia" w:ascii="宋体" w:hAnsi="宋体" w:eastAsia="宋体" w:cs="宋体"/>
          <w:color w:val="auto"/>
          <w:szCs w:val="21"/>
          <w:highlight w:val="none"/>
          <w:u w:val="single"/>
          <w:lang w:eastAsia="zh-CN"/>
        </w:rPr>
        <w:t xml:space="preserve">。</w:t>
      </w:r>
      <w:r/>
    </w:p>
    <w:p>
      <w:pPr>
        <w:pStyle w:val="984"/>
        <w:ind w:firstLine="420"/>
        <w:spacing w:line="360" w:lineRule="auto"/>
        <w:rPr>
          <w:rFonts w:hint="eastAsia"/>
          <w:color w:val="auto"/>
          <w:highlight w:val="none"/>
          <w:lang w:eastAsia="zh-CN"/>
        </w:rPr>
      </w:pPr>
      <w:r>
        <w:rPr>
          <w:rFonts w:hint="eastAsia" w:hAnsi="宋体" w:cs="宋体"/>
          <w:color w:val="auto"/>
          <w:sz w:val="21"/>
          <w:szCs w:val="21"/>
          <w:highlight w:val="none"/>
          <w:u w:val="single"/>
          <w:lang w:val="en-US" w:eastAsia="zh-CN"/>
        </w:rPr>
        <w:t xml:space="preserve">一年</w:t>
      </w:r>
      <w:r>
        <w:rPr>
          <w:rFonts w:hint="eastAsia" w:hAnsi="宋体" w:eastAsia="宋体" w:cs="宋体"/>
          <w:color w:val="auto"/>
          <w:sz w:val="21"/>
          <w:szCs w:val="21"/>
          <w:highlight w:val="none"/>
          <w:u w:val="single"/>
          <w:lang w:val="en-US" w:eastAsia="zh-CN"/>
        </w:rPr>
        <w:t xml:space="preserve">后，</w:t>
      </w:r>
      <w:r>
        <w:rPr>
          <w:rFonts w:hint="eastAsia" w:ascii="宋体" w:hAnsi="宋体" w:eastAsia="宋体" w:cs="宋体"/>
          <w:color w:val="auto"/>
          <w:sz w:val="21"/>
          <w:szCs w:val="21"/>
          <w:highlight w:val="none"/>
          <w:u w:val="single"/>
        </w:rPr>
        <w:t xml:space="preserve">乙方向甲方开具发票，甲方自收到发票之日起10个工作日内支付合同金额</w:t>
      </w:r>
      <w:r>
        <w:rPr>
          <w:rFonts w:hint="eastAsia" w:hAnsi="宋体" w:eastAsia="宋体" w:cs="宋体"/>
          <w:color w:val="auto"/>
          <w:sz w:val="21"/>
          <w:szCs w:val="21"/>
          <w:highlight w:val="none"/>
          <w:u w:val="single"/>
          <w:lang w:val="en-US" w:eastAsia="zh-CN"/>
        </w:rPr>
        <w:t xml:space="preserve">剩余余款。</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84"/>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合同经双方法定代表人签章并加盖单位公章，并经江苏苏维工程管理有限公司见证盖章后生效。</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84"/>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val="en-US" w:eastAsia="zh-CN"/>
        </w:rPr>
        <w:t xml:space="preserve">三</w:t>
      </w:r>
      <w:r>
        <w:rPr>
          <w:rFonts w:hint="eastAsia" w:ascii="宋体" w:hAnsi="宋体" w:eastAsia="宋体" w:cs="宋体"/>
          <w:color w:val="auto"/>
          <w:sz w:val="21"/>
          <w:highlight w:val="none"/>
        </w:rPr>
        <w:t xml:space="preserve">份，具有同等法律效力，甲方、乙方、见证方各执一份。  </w:t>
      </w:r>
      <w:r/>
    </w:p>
    <w:tbl>
      <w:tblPr>
        <w:tblStyle w:val="755"/>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4"/>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扬州市妇幼保健院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4"/>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pStyle w:val="984"/>
        <w:spacing w:line="360" w:lineRule="auto"/>
        <w:rPr>
          <w:color w:val="auto"/>
          <w:highlight w:val="none"/>
        </w:rPr>
      </w:pPr>
      <w:r>
        <w:rPr>
          <w:rFonts w:hint="eastAsia"/>
          <w:color w:val="auto"/>
          <w:highlight w:val="none"/>
        </w:rPr>
        <w:br w:type="page" w:clear="all"/>
      </w:r>
      <w:r/>
    </w:p>
    <w:p>
      <w:pPr>
        <w:pStyle w:val="745"/>
        <w:numPr>
          <w:ilvl w:val="0"/>
          <w:numId w:val="2"/>
        </w:numPr>
        <w:rPr>
          <w:color w:val="auto"/>
          <w:highlight w:val="none"/>
        </w:rPr>
      </w:pPr>
      <w:r>
        <w:rPr>
          <w:rFonts w:hint="eastAsia"/>
          <w:color w:val="auto"/>
          <w:highlight w:val="none"/>
        </w:rPr>
        <w:t xml:space="preserve">项目需求</w:t>
      </w:r>
      <w:bookmarkEnd w:id="58"/>
      <w:r/>
      <w:r/>
    </w:p>
    <w:p>
      <w:pPr>
        <w:pStyle w:val="760"/>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60"/>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60"/>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55"/>
        <w:tblW w:w="4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2455"/>
        <w:gridCol w:w="3193"/>
      </w:tblGrid>
      <w:tr>
        <w:trPr>
          <w:cantSplit/>
          <w:jc w:val="center"/>
          <w:trHeight w:val="607"/>
        </w:trPr>
        <w:tc>
          <w:tcPr>
            <w:tcW w:w="1268"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621"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68"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21"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rPr>
              <w:t xml:space="preserve">室内外大型设施设备</w:t>
            </w:r>
            <w:r>
              <w:rPr>
                <w:rFonts w:hint="eastAsia" w:ascii="宋体" w:hAnsi="宋体" w:cs="宋体"/>
                <w:color w:val="auto"/>
                <w:szCs w:val="21"/>
                <w:highlight w:val="none"/>
                <w:lang w:val="en-US" w:eastAsia="zh-CN"/>
              </w:rPr>
              <w:t xml:space="preserve"> </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本院拟采购托育综合服务中心室内外大型设施设备</w:t>
      </w:r>
      <w:r>
        <w:rPr>
          <w:rFonts w:hint="eastAsia" w:ascii="宋体" w:hAnsi="宋体" w:eastAsia="宋体" w:cs="宋体"/>
          <w:color w:val="auto"/>
          <w:sz w:val="21"/>
          <w:szCs w:val="21"/>
          <w:highlight w:val="none"/>
          <w:lang w:val="en-US" w:eastAsia="zh-CN"/>
        </w:rPr>
        <w:t xml:space="preserve">。</w:t>
      </w:r>
      <w:r/>
    </w:p>
    <w:p>
      <w:pPr>
        <w:pStyle w:val="1018"/>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153</w:t>
      </w:r>
      <w:r>
        <w:rPr>
          <w:rFonts w:hint="eastAsia" w:ascii="宋体" w:hAnsi="宋体" w:eastAsia="宋体" w:cs="宋体"/>
          <w:b/>
          <w:bCs/>
          <w:i/>
          <w:iCs/>
          <w:color w:val="auto"/>
          <w:sz w:val="21"/>
          <w:szCs w:val="21"/>
          <w:highlight w:val="none"/>
          <w:u w:val="single"/>
        </w:rPr>
        <w:t xml:space="preserve">万元，投标人报价不得高于最高限价，否则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无效投标处理。（提供开标一览表，扫描上传系统）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验收要求：货到安装调试完毕后一次性验收，符合国家设备评验标准。</w:t>
      </w:r>
      <w:r/>
    </w:p>
    <w:p>
      <w:pPr>
        <w:ind w:firstLine="42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i/>
          <w:iCs/>
          <w:color w:val="auto"/>
          <w:sz w:val="21"/>
          <w:szCs w:val="21"/>
          <w:highlight w:val="none"/>
          <w:u w:val="single"/>
          <w:lang w:val="en-US" w:eastAsia="zh-CN"/>
        </w:rPr>
        <w:t xml:space="preserve">符合法律、行政法规规定的其他条件；</w:t>
      </w:r>
      <w:r>
        <w:rPr>
          <w:rFonts w:hint="eastAsia" w:ascii="宋体" w:hAnsi="宋体" w:cs="宋体"/>
          <w:b/>
          <w:bCs/>
          <w:i/>
          <w:iCs/>
          <w:color w:val="auto"/>
          <w:sz w:val="21"/>
          <w:szCs w:val="21"/>
          <w:highlight w:val="none"/>
          <w:u w:val="single"/>
        </w:rPr>
        <w:t xml:space="preserve">（投标文件中需提供</w:t>
      </w:r>
      <w:r>
        <w:rPr>
          <w:rFonts w:hint="eastAsia" w:ascii="宋体" w:hAnsi="宋体" w:cs="宋体"/>
          <w:b/>
          <w:bCs/>
          <w:i/>
          <w:iCs/>
          <w:color w:val="auto"/>
          <w:sz w:val="21"/>
          <w:szCs w:val="21"/>
          <w:highlight w:val="none"/>
          <w:u w:val="single"/>
          <w:lang w:val="en-US" w:eastAsia="zh-CN"/>
        </w:rPr>
        <w:t xml:space="preserve">承诺，格式自拟</w:t>
      </w:r>
      <w:r>
        <w:rPr>
          <w:rFonts w:hint="eastAsia" w:ascii="宋体" w:hAnsi="宋体" w:cs="宋体"/>
          <w:b/>
          <w:bCs/>
          <w:i/>
          <w:iCs/>
          <w:color w:val="auto"/>
          <w:sz w:val="21"/>
          <w:szCs w:val="21"/>
          <w:highlight w:val="none"/>
          <w:u w:val="single"/>
        </w:rPr>
        <w:t xml:space="preserve">）</w:t>
      </w:r>
      <w:r/>
    </w:p>
    <w:p>
      <w:pPr>
        <w:pStyle w:val="760"/>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5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0"/>
        <w:gridCol w:w="4735"/>
      </w:tblGrid>
      <w:tr>
        <w:trPr/>
        <w:tc>
          <w:tcPr>
            <w:tcW w:w="165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473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tc>
          <w:tcPr>
            <w:tcW w:w="165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735"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一层定制游戏设施 </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55"/>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5"/>
        <w:gridCol w:w="3824"/>
      </w:tblGrid>
      <w:tr>
        <w:trPr>
          <w:trHeight w:val="818"/>
        </w:trPr>
        <w:tc>
          <w:tcPr>
            <w:tcW w:w="255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382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trHeight w:val="424"/>
        </w:trPr>
        <w:tc>
          <w:tcPr>
            <w:tcW w:w="255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82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rPr>
          <w:rFonts w:hint="eastAsia" w:ascii="宋体" w:hAnsi="宋体" w:cs="宋体"/>
          <w:b/>
          <w:bCs/>
          <w:color w:val="auto"/>
          <w:sz w:val="21"/>
          <w:szCs w:val="21"/>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21"/>
          <w:szCs w:val="21"/>
          <w:highlight w:val="none"/>
          <w:lang w:val="en-US" w:eastAsia="zh-CN"/>
        </w:rPr>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Cs w:val="21"/>
          <w:highlight w:val="none"/>
        </w:rPr>
        <w:t xml:space="preserve">技术要求</w:t>
      </w:r>
      <w:r/>
    </w:p>
    <w:tbl>
      <w:tblPr>
        <w:tblStyle w:val="75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67"/>
        <w:gridCol w:w="3626"/>
        <w:gridCol w:w="6940"/>
        <w:gridCol w:w="1055"/>
        <w:gridCol w:w="1086"/>
      </w:tblGrid>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rPr>
              <w:t xml:space="preserve">室内外大型定制设施需求清单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一层可移动游戏设施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一、适用于托育综合服务中心公共区域游戏探索使用；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二、产品材质：亚克力、木质、PE塑料、PU、海绵、防水纤维等；</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1、感官三角形 86*46*76cm（±5%）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2、感官房子 61*46*79cm（±5%）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3、感官圆形 61*61*20cm（±5%）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4、长颈鹿母子 70*36*120cm/58*32*72cm（±5%）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5、大象 70*35*35cm（±5%）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6、棕熊 35*92*52cm（±5%）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7、兔子 23.5*47*42cm（±5%）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8、小马（带轮） 50*20*41（±5%）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9、小牛（带轮） 50*20*41（±5%）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10、木质跷板长凳 120*25*40cm（±5%）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11、圆形地毯 直径4M（±5%）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二层可移动游戏设施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一、产品材质：木质、海绵、PU、金属等，符合GB20400-2006《皮革和毛皮 有害物质限量》、GB/T43722.1-2024 《皮革 抗菌性能的测定 第1部分：膜接触法》、GB/T 17591-2006《阻燃织物》，海绵符合GB 20286-2006《公共场所阻燃制品及组件燃烧性能要求和标识》。</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1、定制软包迷宫游戏+定制方形软包</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2、攀爬组合包含双面板1000*468*70mm（±5%）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3、攀爬架698*500*565mm（±5%）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4、弧形架698*500*565mm（±5%）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5、多功能平衡组合1，1000*280*1800mm(±5%）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6、复古玩具车2，770*380*400mm（±5%）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7、车筐车2，610*355*420mm（±5%）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学步车2，495*210*370mm（±5%）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三层可移动游戏设施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一、适用于托育综合服务中心公共区域及社会性发展功能教室使用，可开展角色游戏活动及语言游戏活动；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二、产品材质：木质、PU、棉布、海绵、金属等，产品检测标准：产品符合中国国家标准 GB 6675.2-2014 《玩具安全 第 2 部分：机械与物理性能》 、中国国家标准 GB 6675.3-2014 《玩具安全 第 3 部分：易燃性能》 、中国国家标准 GB 6675.1-2014《玩具安全 第 1 部分：基本规范》；</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1、第一：</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红轮购物车1个，470*310*525mm（±5%）；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售货架2个，425*357*580mm（±5%）；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蔬菜水果模型2组，305*275*85mm（±5%）；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展示台1个，800*330*1227mm（±5%）；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黑轮购物车1个，300*401*417mm（±5%）；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垃圾桶1个，340*432*454mm（±5%）；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收银台1个，800*300*1415mm（±5%）；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售卖台1个，800*400*1020mm（±5%）；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储物柜2个，800*500*620mm（±5%）。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2、第二：</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厨具套装13 件2套，300*220*140mm（±5%）；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篮子2件2套，440*300*120mm（±5%）；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厨房灶台1个，395*416*540mm（±5%）；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储物柜2个，395*395*520mm（±5%）；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边角柜2个，395*395*520mm（±5%）；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洗手台1个，395*395*645mm（±5%）；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冰箱1个，395*416*520mm（±5%）；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微波炉1个333*221*200mm（±5%）；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多功能厨房1个，690*350*480mm（±5%）。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3、第三：</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三格迷你柜1个，665*440*500mm（±5%）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房子模型1个822*330*848mm（±5%）；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二层架1个1200*500*450mm（±5%）；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木质手推车1个351*534*305mm（±5%）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手推车组合1组，450*310*200mm（±5%）；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蔬菜模型（不少于20个）1组，315*215*170mm（±5%）；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母子动物模型（不少于28个）1组，500*350*290mm（±5%）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圆形地毯1个，1330*1330*8mm（±5%）。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4、第四：</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互动台1件，800*400*750mm（±5%）；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小推车1个，340*318*520mm（±5%）；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玩具车1个，1480*795*860mm（±5%）；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角色扮演配件（不少于20件）1组，450*310*245mm（±5%）；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房子模型1个，800*400*1200mm（±5%）；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多功能柜1个，880*770*960mm（±5%）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半圆沙发1个，440*440*250mm（±5%）；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双人沙发1个，880*440*490mm（±5%）；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单人沙发1个，440*440*490mm（±5%）。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5、第五：</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物品架1个，400*330*825mm（±5%）；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造型灶台1个，400*320*520mm（±5%），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造型洗涤台1个，400*300*610mm（±5%）；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造型冰箱1个，400*340*520mm（±5%）；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造型干衣机1个，645*320*620mm（±5%）；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造型储物柜1个，400*340*1000mm（±5%）；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造型洗手台1个，350*340*484mm（±5%）；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洗衣机1个，632*330*405mm（±5%）；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迷你冰箱1个，350*330*405mm（±5%）；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迷你灶台1个，350*330*405mm（±5%）。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6、第六：</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多功能柜1个，800*400*1100mm（±5%）；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多功能台1个，1000*720*910mm（±5%）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角色扮演配件1套，195*50*290mm（±5%）；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木床1个，1200*630*360mm（±5%）；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衣架1个，350*350*1000mm（±5%）；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背景图1组，350*80*427mm（±5%）；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木箱1个、玩具包2个，220*120*210mm（±5%）；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游戏包2个，215*85*180mm（±5%）；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双人沙发1个，880*440*490mm（±5%）；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单人沙发1个，440*440*490mm（±5%）；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半圆沙发1个，440*440*250mm（±5%），440*440*250mm（±5%）；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小桌子1个，800*450*360mm（±5%）。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7、第七：</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收纳架1个，440*440*480mm（±5%）；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小屋1个，800*790*800mm（±5%）；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靠坐沙发1个、，820*430*1025mm（±5%），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收纳柜1个，800*330*405mm（±5%）；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地毯1个，1330*1330*8mm（±5%）；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多功能忙碌版1组，1380*1380mm（±5%）；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功能桌1个，930mm*678mm*520mm（±5%）；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配件1套，320×215×310mm（±5%）。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核心产品：</w:t>
            </w:r>
            <w:r>
              <w:rPr>
                <w:rFonts w:hint="eastAsia" w:ascii="宋体" w:hAnsi="宋体" w:eastAsia="宋体" w:cs="宋体"/>
                <w:i w:val="0"/>
                <w:iCs w:val="0"/>
                <w:color w:val="auto"/>
                <w:sz w:val="22"/>
                <w:szCs w:val="22"/>
                <w:highlight w:val="none"/>
                <w:u w:val="none"/>
                <w:lang w:val="en-US" w:eastAsia="zh-CN" w:bidi="ar"/>
              </w:rPr>
              <w:t xml:space="preserve">一层定制游戏设施</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1：整体尺寸609*583*324cm(±5%），钢架采用，114、60、4*4cm</w:t>
            </w:r>
            <w:r>
              <w:rPr>
                <w:rFonts w:hint="eastAsia" w:ascii="宋体" w:hAnsi="宋体" w:cs="宋体"/>
                <w:i w:val="0"/>
                <w:iCs w:val="0"/>
                <w:color w:val="auto"/>
                <w:sz w:val="22"/>
                <w:szCs w:val="22"/>
                <w:highlight w:val="none"/>
                <w:u w:val="none"/>
                <w:lang w:val="en-US" w:eastAsia="zh-CN" w:bidi="ar"/>
              </w:rPr>
              <w:t xml:space="preserve">和</w:t>
            </w:r>
            <w:r>
              <w:rPr>
                <w:rFonts w:hint="eastAsia" w:ascii="宋体" w:hAnsi="宋体" w:eastAsia="宋体" w:cs="宋体"/>
                <w:i w:val="0"/>
                <w:iCs w:val="0"/>
                <w:color w:val="auto"/>
                <w:sz w:val="22"/>
                <w:szCs w:val="22"/>
                <w:highlight w:val="none"/>
                <w:u w:val="none"/>
                <w:lang w:val="en-US" w:eastAsia="zh-CN" w:bidi="ar"/>
              </w:rPr>
              <w:t xml:space="preserve">4*6cm镀锌管厚度2.0mm弧形部分为激光切割厚度3.0mm，钢制部件表面须经抛砂处理后进行静电粉末喷涂，要求表面光滑、色彩鲜艳、抗紫外光能力强、耐腐蚀。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2：表面贴优质天然实木木皮，木皮厚度≥0.6mm。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3：滑梯304不锈钢</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3mm厚不锈钢板</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激光切割及折弯加工成型，拼接处采用氩弧焊，焊缝均匀、无气孔；无刺手感。承载能力</w:t>
            </w:r>
            <w:r>
              <w:rPr>
                <w:rFonts w:hint="eastAsia" w:ascii="宋体" w:hAnsi="宋体" w:cs="宋体"/>
                <w:i w:val="0"/>
                <w:iCs w:val="0"/>
                <w:color w:val="auto"/>
                <w:sz w:val="22"/>
                <w:szCs w:val="22"/>
                <w:highlight w:val="none"/>
                <w:u w:val="none"/>
                <w:lang w:val="en-US" w:eastAsia="zh-CN" w:bidi="ar"/>
              </w:rPr>
              <w:t xml:space="preserve">符合国家标准</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4：顶部圆灯是镜面波纹不锈钢，低压灯带，6*6（±5%）超白防火钢化夹胶玻璃。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5：不锈钢螺丝：所有螺丝均采用不锈钢304#材质防盗螺丝，采用螺栓连接，牢固可靠，不易松动脱落及变形和损坏。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6：木质软包；所有木板均采用1.2cm 至 1.8cm环保阻燃板材，高性能回弹海绵</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2公分厚度，皮革采用阻燃PU皮革。</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一层定制造型设施</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1：219*199*305cm(±5%），内部钢架采用，4*4cm</w:t>
            </w:r>
            <w:r>
              <w:rPr>
                <w:rFonts w:hint="eastAsia" w:ascii="宋体" w:hAnsi="宋体" w:cs="宋体"/>
                <w:i w:val="0"/>
                <w:iCs w:val="0"/>
                <w:color w:val="auto"/>
                <w:sz w:val="22"/>
                <w:szCs w:val="22"/>
                <w:highlight w:val="none"/>
                <w:u w:val="none"/>
                <w:lang w:val="en-US" w:eastAsia="zh-CN" w:bidi="ar"/>
              </w:rPr>
              <w:t xml:space="preserve">和</w:t>
            </w:r>
            <w:r>
              <w:rPr>
                <w:rFonts w:hint="eastAsia" w:ascii="宋体" w:hAnsi="宋体" w:eastAsia="宋体" w:cs="宋体"/>
                <w:i w:val="0"/>
                <w:iCs w:val="0"/>
                <w:color w:val="auto"/>
                <w:sz w:val="22"/>
                <w:szCs w:val="22"/>
                <w:highlight w:val="none"/>
                <w:u w:val="none"/>
                <w:lang w:val="en-US" w:eastAsia="zh-CN" w:bidi="ar"/>
              </w:rPr>
              <w:t xml:space="preserve">4*6cm镀锌管厚度2.0mm弧形部分为激光切割厚度3.0mm，钢制部件表面须经抛砂处理后进行静电粉末喷涂，要求表面光滑、色彩鲜艳、抗紫外光能力强、耐腐蚀。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2：表面贴优质天然实木木皮，木皮厚度≥0.6mm。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3：不锈钢螺丝：所有螺丝均采用不锈钢304#材质防盗螺丝，并采用螺栓连接，牢固可靠，不易松动脱落及变形和损坏。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4：木质软包；所有木板均采用1.2cm 至 1.8cm环保阻燃板材，高性能回弹海绵</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2公分厚度，皮革采用阻燃PU皮革。</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二层定制游戏设施</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1：393*347*308cm（±5%），钢架采用，114、60、4*4cm（±5%）跟4*6cm（±5%）、38、25</w:t>
            </w:r>
            <w:r>
              <w:rPr>
                <w:rFonts w:hint="eastAsia" w:ascii="宋体" w:hAnsi="宋体" w:cs="宋体"/>
                <w:i w:val="0"/>
                <w:iCs w:val="0"/>
                <w:color w:val="auto"/>
                <w:sz w:val="22"/>
                <w:szCs w:val="22"/>
                <w:highlight w:val="none"/>
                <w:u w:val="none"/>
                <w:lang w:val="en-US" w:eastAsia="zh-CN" w:bidi="ar"/>
              </w:rPr>
              <w:t xml:space="preserve">mm</w:t>
            </w:r>
            <w:r>
              <w:rPr>
                <w:rFonts w:hint="eastAsia" w:ascii="宋体" w:hAnsi="宋体" w:eastAsia="宋体" w:cs="宋体"/>
                <w:i w:val="0"/>
                <w:iCs w:val="0"/>
                <w:color w:val="auto"/>
                <w:sz w:val="22"/>
                <w:szCs w:val="22"/>
                <w:highlight w:val="none"/>
                <w:u w:val="none"/>
                <w:lang w:val="en-US" w:eastAsia="zh-CN" w:bidi="ar"/>
              </w:rPr>
              <w:t xml:space="preserve">（±5%）镀锌管厚度2.0mm（±5%）弧形部分为激光切割厚度3.0mm，钢制部件表面须经抛砂处理后进行静电粉末喷涂，要求表面光滑、色彩鲜艳、抗紫外光能力强、耐腐蚀。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2：表面贴优质天然实木木皮，木皮厚度≥0.6mm。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3：滑梯304不锈钢3mm（±5%）厚不锈钢板，激光切割及折弯加工成型，拼接处采用氩弧焊，焊缝均匀、无气孔；无刺手感。承载能力</w:t>
            </w:r>
            <w:r>
              <w:rPr>
                <w:rFonts w:hint="eastAsia" w:ascii="宋体" w:hAnsi="宋体" w:cs="宋体"/>
                <w:i w:val="0"/>
                <w:iCs w:val="0"/>
                <w:color w:val="auto"/>
                <w:sz w:val="22"/>
                <w:szCs w:val="22"/>
                <w:highlight w:val="none"/>
                <w:u w:val="none"/>
                <w:lang w:val="en-US" w:eastAsia="zh-CN" w:bidi="ar"/>
              </w:rPr>
              <w:t xml:space="preserve">符合国家标准</w:t>
            </w:r>
            <w:r>
              <w:rPr>
                <w:rFonts w:hint="eastAsia" w:ascii="宋体" w:hAnsi="宋体" w:eastAsia="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4：顶部圆灯是镜面波纹不锈钢，低压灯带。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5：不锈钢螺丝：所有螺丝均采用不锈钢304材质防盗螺丝，并采用螺栓连接，牢固可靠，不易松动脱落及变形和损坏。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6：木质软包；所有木板均采用1.2cm 至  1.8cm（±5%）环保阻燃板材，高性能回弹海绵2公分（±5%）厚度，皮革采用阻燃PU皮革。</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二层定制造型设施</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337*324*327cm（±5%），钢架采用，114、60、4*4cm（±5%）、4*6cm镀锌管厚度2.0mm（±5%）弧形部分为激光切割厚度3.0mm（±5%），钢制部件表面须经抛砂处理后进行静电粉末喷涂，要求表面光滑、色彩鲜艳、抗紫外光能力强、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2：表面贴优质天然实木木皮，木皮厚度≥0.6mm。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3：顶部圆灯是镜面波纹不锈钢，低压灯带。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4：不锈钢螺丝：所有螺丝均采用不锈钢304材质防盗螺丝，并采用螺栓连接，牢固可靠，不易松动脱落及变形和损坏。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5：木质软包；所有木板均采用1.2cm 至 1.8cm（±5%）环保阻燃板材，高性能回弹海绵2公分（±5%）厚度，皮革采用阻燃PU皮革。</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定制化互动墙面设施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一、产品材质：木质、塑料；</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1、定制方形互动墙面4个，96*109cm（±5%）,木质圆角包边5cm（±5%），配件包含镜面、转盘、齿轮、积木、插柱等;</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left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2、定制长方形互动墙面1个,300*108cm（±5%）,配件包含积木、彩球等；</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left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3、定制长方形互动墙面1个，288*109cm（±5%),木质圆角包边5cm（±5%），配件包含滑轨、小车模型等；</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left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4、主题互动墙面包含：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第一组：生物类10个，60cm*40cm（±5%）、卡通类4个，60cm*40cm（±5%）、节气季节8个，39.5*59.5cm（±5%）、背景1个，3.62*0.85m（±5%）、音乐类6个，60cm*40cm /39.5*59.5cm（±5%）、保护环境10个，39.5*39.5cm（±5%）、地球系列4个，59.5*39.5（±5%）、太空系列8个，39.5*39.5cm（±5%）；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第二组：物理系列4个，生活技能5个，互动物理4个、身体器官5个、生物科学4个、能源保护4个、认识地球4个、逻辑思维4个、精细动作6个、感官探索6个，尺寸均为46*46cm（±5%）。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四层室外休息设施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一、产品材质：PVC、钢化玻璃、碳钢、特斯林网布</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1、中柱伞5个  270*198cm（±5%）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2、圆桌5张   直径80cm（±5%）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3、佳雅椅20把  46*54*82cm（±5%）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一层中庭定制游戏设施</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305*287*395cm(±5%），主材立柱采用114、38、25镀锌方管2mm厚、经酸洗处理，后经特殊工艺除锈，抛砂，表面再喷涂户外环保聚酯粉末，二层静电喷塑成形，高温固化，表面光滑，抗紫外光能力强，色彩鲜艳，不易脱落，耐腐蚀；喷涂设备采用计算机控制的静电粉末喷涂装置，粉末回收采用小旋风和进口滤心，高效率，无污染。</w:t>
            </w:r>
            <w:r>
              <w:rPr>
                <w:rFonts w:hint="eastAsia" w:ascii="宋体" w:hAnsi="宋体" w:cs="宋体"/>
                <w:i w:val="0"/>
                <w:iCs w:val="0"/>
                <w:color w:val="auto"/>
                <w:sz w:val="22"/>
                <w:szCs w:val="22"/>
                <w:highlight w:val="none"/>
                <w:u w:val="none"/>
                <w:lang w:val="en-US" w:eastAsia="zh-CN" w:bidi="ar"/>
              </w:rPr>
              <w:t xml:space="preserve">平台铺六孔铝合金塑木板，互动炫彩板一块。</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花梨木厚度2.5-3cm厚，表面处理：进行压、刨、铣、冲等处理后，表面进行防腐、防火、防蛀处理，后采用原子灰进行三次刮灰抹平，并打磨光滑，表面喷涂三次聚氨脂清漆，产品外表和内表以及儿童手指可触及处无毛刺及尖锐的棱角，油漆采用哑光漆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3：滑梯304不锈钢</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3mm厚不锈钢板经激光切割及折弯加工成型，对拼接位置采用氩氟焊，具有焊缝均匀、强度大、承载能力强等特点；焊接位置经专业打磨后进行处理，不刺手，光滑美观。 </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4：平台侧板采用</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3mm厚镀锌板激光切割及折弯加工成型内含龙骨5*5-8*8-10*10cm镀锌方管</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2mm厚，后经特殊工艺除锈，抛砂，表面再喷涂户外环保聚酯粉末，二层静电喷塑成形，高温固化，表面光滑，抗紫外光能力强，色彩鲜艳，不易脱落，耐腐蚀；喷涂设备采用计算机控制的静电粉末喷涂装置，粉末回收采用小旋风和进口滤心，高效率，无污染。</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5：不锈钢螺丝：所有螺丝均采用不锈钢304#材质防盗螺丝，并采用螺栓连接，牢固可靠，不易松动脱落及变形和损坏。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户外定制游戏设施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一、适用于0-3岁婴幼儿户外游戏活动使用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（游乐区：）</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1、户外大滑梯1个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114*3MM（±5%）立柱平台菠萝格龙骨，100*50*3MM（±5%）主龙骨加40*60MM（±5%）副龙骨机制网加304不锈钢滑梯,热镀锌钢管酸洗磷化后全部采用保护焊高频焊，机械抛光后高温烤漆；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钢管配件厚度</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1.5mm高频焊管，酸洗磷化后全部采用保护焊，机械抛光后高温烤漆；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爬网：φ14内加四股钢丝尼龙高强度海缆绳，手工编制，为航海专用海缆绳，耐腐蚀，耐紫外线。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安全连接扣件：铝合金，外表圆形， 档次高、造型美、安全牢固、不生锈、经久耐用。材料中添加有抗紫外线稳定剂、防静电及防脱色原素等稳定性剂，强度大，表面光滑，安全环保，耐侯性好，不易褪色；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滑道采用304不锈钢，强度大，表面光滑，安全环保，耐侯性好,强度好，不褪色，耐热晒雨淋，耐风化，抗酸碱度好。</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2、户外小滑梯1个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外径</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114mm厚度</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2.0mm热镀锌钢管，酸洗磷化后全部采用保护焊高频焊，机械抛光后高温烤漆。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防滑平台：长宽110*110cm（±5%）厚度</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2mm热镀锌、冷轧钢板充孔，防滑不积水，酸洗磷化后全部采用保护焊，机械抛光后磨砂面烤漆。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钢管配件：厚度</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1.5mm高频焊管，酸洗磷化后全部采用保护焊，机械抛光后高温烤漆。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安全连接扣件：铝合金，外表圆形， 档次高、造型美、安全牢固、不生锈、经久耐用，机械抛光后高温烤漆。柱盖及脚盘：铝合金，机械抛光后高温烤漆。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304不锈钢滑梯，PE板采用进口的高密度聚乙烯（HDPE）工程塑料，将颜料粉末与聚乙烯基材充分混合，材料中添加有抗紫外线稳定剂、防静电及防脱色原素等稳定性剂，强度大，表面光滑，安全环保，耐侯性好，不易褪色。表面处理：弹簧表面喷砂处理，PE板厚度6mm和15m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3、压水井3组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采用304不锈钢，不锈钢板厚度</w:t>
            </w:r>
            <w:r>
              <w:rPr>
                <w:rFonts w:hint="eastAsia" w:ascii="宋体" w:hAnsi="宋体" w:cs="宋体"/>
                <w:i w:val="0"/>
                <w:iCs w:val="0"/>
                <w:color w:val="auto"/>
                <w:sz w:val="22"/>
                <w:szCs w:val="22"/>
                <w:highlight w:val="none"/>
                <w:u w:val="none"/>
                <w:lang w:val="en-US" w:eastAsia="zh-CN" w:bidi="ar"/>
              </w:rPr>
              <w:t xml:space="preserve">约</w:t>
            </w:r>
            <w:r>
              <w:rPr>
                <w:rFonts w:hint="eastAsia" w:ascii="宋体" w:hAnsi="宋体" w:eastAsia="宋体" w:cs="宋体"/>
                <w:i w:val="0"/>
                <w:iCs w:val="0"/>
                <w:color w:val="auto"/>
                <w:sz w:val="22"/>
                <w:szCs w:val="22"/>
                <w:highlight w:val="none"/>
                <w:u w:val="none"/>
                <w:lang w:val="en-US" w:eastAsia="zh-CN" w:bidi="ar"/>
              </w:rPr>
              <w:t xml:space="preserve">为3mm，辅材厚度2-10mm,折弯成型，减少焊接，氩弧焊透度均匀，表面光滑、整齐，整体安全可靠，所有边角，接缝处都打磨光滑, 不剌手。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压水器高度80cm，水槽长高1500*50cm（±5%）。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4、秋千2个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材质：镀锌管刷木纹漆，配置悬吊圆盘网兜；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尺寸：2*1.2*2m（±5%）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5、摇乐组合1组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采用进口的线型低密度聚乙烯（LLDPE）工程塑料，将颜料粉末与聚乙烯基材充分混合，材料中添加有抗紫外线稳定剂、防静电及防脱色原素等稳定性剂，强度大，表面光滑，安全环保，耐侯性好，不易褪色。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表面处理：塑料件均为磨砂表面。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塑料件壁厚</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6mm,弹簧管体Ø2.5cm，弹簧圈筒Ø13.5cm，底座15cm×13.5cm，5个为1组，2个汽车造型3个蜜蜂造型。</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6、挖沙机1个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材质：304不锈钢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尺寸：142*32*92cm（±5%）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7、玩沙五件组1组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材质：木质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尺寸：80*60*70cm（±5%）/40*40*73.5cm（±5%）/30*50*90cm（±5%）/30*27*60cm（±5%）/30*28*60cm（±5%）。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8、玩水三件组1组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材质：防腐木、PVC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尺寸：44*38*65cm（±5%）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适用于婴幼儿户外玩水探索与游乐，每组3样物品，附赠玩水工具套装5套。</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9、卡通钻洞1个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材质：塑料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尺寸：180*115*100cm（±5%）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10、感统游戏墙音乐敲击五件组 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PE板采用进口的高密度聚乙烯（HDPE）工程塑料，将颜料粉末与聚乙烯基材充分混合，材料中添加有抗紫外线稳定剂、防静电及防脱色原素等稳定性剂，强度大，表面光滑，安全环保，耐侯性好，不易褪色。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表面处理：弹簧表面喷砂处理，PE板厚度6mm和15mm。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11、户外1号玩具收纳架2个。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材质：PVC+篷布；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尺寸：245*45*130（±5%）。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12、户外2号玩具收纳架2个。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材质：PVC+篷布；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尺寸：305*105*160（±5%）。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户外定制游戏设施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一、适用于0-3岁婴幼儿户外游戏活动使用（活动区）</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1、三角涂鸦屋2个。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材质：芬兰木；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尺寸：110*100*90（±5%）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2、透明涂鸦桌椅4组。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材质：芬兰木；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尺寸：桌子118*118*55，长短凳80/32*26*28（±5%）；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说明：可同时满足6-8名婴幼儿使用。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户外定制游戏设施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一、适用于0-3岁婴幼儿户外游戏活动使用（科学体验区：）</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1、手摇水漩涡1个。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材质：塑料板，亚克力；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尺寸69*80*44cm（±5%）；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说明：属于户外大型科学玩具，婴幼儿在探索操作的过程中，初步认识水旋转的机械能原理，感知水的流速与手的动能之间的关系，产生“身体力行探究生活中的奇妙”的有趣想法，同时促进婴幼儿手臂大肌肉的发育，以及合作、探究、观察记录等科探能力的发展。</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2、喊泉1个。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材质：防腐木（芬兰松），塑料板，防腐漆，太阳能板等；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尺寸：150*70.4*90.5cm（±5%）；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说明：属于户外大型科学玩具，将水槽安置好，盛满水，放入水泵，开启电源，婴幼儿用劲大喊，水流会根据声音的高低向上升高，通过控制器，控制喷泉的上升速度及高度，儿童可以体验随声波而动的快乐，体验感、互动感极强。</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3、手拍空气琴1个。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材质：防腐木（芬兰松），塑料板，防腐漆，太阳能板等；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尺寸：98.5*45.2*59.8cm （±5%）；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说明：属于户外大型科学玩具，采用红外感应技术，当人站在琴前，把手放在洞洞上面，即可触发音效，悦耳的音乐响起，欢喜随之而来。通过启动按钮和音调按钮，中、高、低音随意切换，音乐高低起伏，结合了声、光、电等各种前言科技，适合任何年龄段的人使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4、观察台1个。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材质：防腐木（芬兰松）塑料板；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尺寸：91.6*91.6*99.3cm（±5%）；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说明：属于户外科学玩具，可让婴幼儿初步了解凹凸透镜基本外形特征，了解凹凸透镜对光线的作用，通过调整焦距，观察物体。</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户外定制游戏设施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一、适用于0-3岁婴幼儿户外游戏活动使用（卡通造型区：）</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1、厨师2个：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材质：玻璃钢；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尺寸：高1.05m（±5%）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2、兔子座椅2个：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材质：玻璃钢；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尺寸：高1.2m（±5%）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3、兔子气球1个。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材质：玻璃钢；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尺寸：高1m（±5%）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4、兔子采蘑菇1个。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材质：玻璃钢；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尺寸：高0.95m（±5%）。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5、花型灯2个。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材质：304不锈钢/网；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尺寸：高2.4m（±5%）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户外定制游戏设施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一、适用于0-3岁婴幼儿户外游戏活动使用（自然探索区：）</w:t>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1、动物饲养小屋2个。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材质：塑木；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尺寸：1350*1300*1800mm（±5%）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2、昆虫旅馆1个。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材质：槐木；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尺寸：2850*1500mm（±5%）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3、景观木椅1个。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材质：槐木；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尺寸：1900*1100mm（±5%）。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pct"/>
            <w:vAlign w:val="center"/>
            <w:vMerge w:val="continue"/>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4、种植木箱与名牌 12组。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材质：木质；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尺寸：1100*1400mm/高800mm（±5%）</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幼儿园护栏蹦蹦床</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220*208*193cm(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采用直径为38mm的内外双面热镀锌管，结实耐用，弧形设计能有效防止变形，高弹性弹簧长度14.5cm，28圈热镀锌弹簧，长钩设计防止脱落，行程长、弹力大脚感劲揉。立杆采用EPE大泡棉包裹，让小朋友使用更加安全。拉链采用内外双开设计，弹网采用进口PP材料，三经四纬的纺织工艺，强度大、弹力好，耐磨、防水、防汗、防老化且易于清洁。蹦床脚采用一体成型的PE材质，色泽亮丽 美观大方。D形门开口更大，出入更方便。</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幼儿园七彩荡桥</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产品尺寸:269×101×105.4cm(含脚盘）(</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立柱采用菠萝格，踏步采用刺槐，两侧扶手采用镀锌管烤漆，钢丝绳为户外六股钢丝丙纶绳。采用纯天然菠萝格实木和刺槐实木，严格选材加工生产，表面经多次打磨后并刷涂环保木蜡油处理，抗菌性能、甲醛释放量符合QB/T4371-2012、GB/T39600-2021标准要求。进一步提高木材防腐性能，安全无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户外六股钢丝绳，采用直径16mm高强度缆绳，中芯不少于6股热镀锌钢丝绳，外层再覆丙纶绳，强度大，抗磨损，耐腐蚀，安全性能好，网绳编织采用专用铝合金连接扣连接，间距符合国家安全标准，长期使用不变形。攀爬钢丝绳力学性能抗拉强度 符合GB/T 228.1-2021标准要求。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φ120mm菠萝格圆木，φ50mm菠萝格圆木，经自然风干后，严格选材加工生产，表面经多次打磨后并刷涂环保木蜡油处理，在保证木材含水率的基础上，近一步提升木材的防腐及抗菌性能；菠萝格木材抗菌性能符合QB/T4371-2012标准要求；菠萝格木材长霉等级符合JC/T2039-2010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架采用φ48mm壁厚2.2mm镀锌金属管，整体加工后经特殊工艺除锈。表面须经抛砂处理后静电粉末喷涂，要求抗紫外光、耐盐雾、附着力强、色彩鲜艳不褪色。。镀锌管盐雾试验样品表面无明显变化，腐蚀等级符合GB/T 10125-2021要求；抗拉强度、规定塑性延伸强度、断后伸长率符合GB/T 228.1-2021要求。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4、所有螺丝均为不锈钢304号材质，镉、铅、汞、六价铬含量符合GB/T 26572-2011标准要求。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5、其他：接触面之材料及结合角铁均经倒圆角处理，维护使用者的安全。</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幼儿园户外爬网器材</w:t>
            </w:r>
            <w:r>
              <w:rPr>
                <w:rFonts w:hint="default" w:ascii="Calibri" w:hAnsi="Calibri" w:eastAsia="宋体" w:cs="Calibri"/>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产品尺寸:21*322*149cm(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镀锌铁+滚塑+绳网+pe板；WN-005C-114</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242"/>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幼儿园户外爬网器材</w:t>
            </w:r>
            <w:r>
              <w:rPr>
                <w:rFonts w:hint="default" w:ascii="Calibri" w:hAnsi="Calibri" w:eastAsia="宋体" w:cs="Calibri"/>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产品尺寸：667*119*218cm(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strike w:val="0"/>
                <w:color w:val="auto"/>
                <w:szCs w:val="21"/>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1：立柱：采用直径894mm</w:t>
            </w:r>
            <w:r>
              <w:rPr>
                <w:rFonts w:hint="eastAsia" w:ascii="宋体" w:hAnsi="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t xml:space="preserve"> 壁厚2.2mm</w:t>
            </w:r>
            <w:r>
              <w:rPr>
                <w:rFonts w:hint="eastAsia" w:ascii="宋体" w:hAnsi="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t xml:space="preserve"> 镀锌管，整体加工后经特殊工艺除锈。表面须经抛砂处理后静电粉末喷涂，要求抗紫外光、耐盐雾、附着力强、色彩鲜艳不褪色。。镀锌管力学性能符合国家标准规范要求。</w:t>
            </w:r>
            <w:r>
              <w:rPr>
                <w:rFonts w:hint="eastAsia" w:ascii="宋体" w:hAnsi="宋体" w:eastAsia="宋体" w:cs="宋体"/>
                <w:b/>
                <w:bCs/>
                <w:i w:val="0"/>
                <w:iCs w:val="0"/>
                <w:color w:val="auto"/>
                <w:sz w:val="22"/>
                <w:szCs w:val="22"/>
                <w:highlight w:val="none"/>
                <w:u w:val="none"/>
                <w:lang w:val="en-US" w:eastAsia="zh-CN" w:bidi="ar"/>
              </w:rPr>
              <w:t xml:space="preserve">（提供镀锌管符合GB/T 228.1-2021国家标准规范要求的检测报告）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2：围板：金属部分采用直径32mm和28mm壁厚2.2mm镀锌金属管烤漆。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攀爬绳索类采用六股钢丝绳，直径16mm高强度缆绳，中芯不少于6股热镀锌钢丝绳，外层再覆丙纶绳，强度大，抗磨损，耐腐蚀，安全性能好，网绳编织采用专用铝合金连接扣连接，间距符合国家安全标准，长期使用不变形。攀爬钢丝绳力学性能符合国家标准规范要求，钻笼类采用户外锦纶绳，直径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strike w:val="0"/>
                <w:color w:val="auto"/>
                <w:szCs w:val="21"/>
                <w:highlight w:val="none"/>
              </w:rPr>
              <w:t xml:space="preserve">▲</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、所有螺丝均为不锈钢304号材质。五金件（U型扣件）力学性能、化学成分符合国家标准规范要求。</w:t>
            </w:r>
            <w:r>
              <w:rPr>
                <w:rFonts w:hint="eastAsia" w:ascii="宋体" w:hAnsi="宋体" w:eastAsia="宋体" w:cs="宋体"/>
                <w:b/>
                <w:bCs/>
                <w:i w:val="0"/>
                <w:iCs w:val="0"/>
                <w:color w:val="auto"/>
                <w:sz w:val="22"/>
                <w:szCs w:val="22"/>
                <w:highlight w:val="none"/>
                <w:u w:val="none"/>
                <w:lang w:val="en-US" w:eastAsia="zh-CN" w:bidi="ar"/>
              </w:rPr>
              <w:t xml:space="preserve">(提供五金件（U型扣件）符合GB/T4340.1-2009、GB/T7999-2015国家标准规范要求的检测报告)</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7、其他：接触面之材料及结合角铁均经倒圆角处理，维护使用者的安全。整套大型设备符合GB/T27689-2011标准要求。</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幼儿园户外秋千</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产品尺寸：423*177*322.6cm(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材质：木制+PE板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立柱及实木横梁采用φ150mm菠萝格圆木,严格选材加工生产，表面经多次打磨后并刷涂环保木蜡油处理，抗菌性能、甲醛释放量符合QB/T4371-2012、GB/T39600-2021标准要求。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绿色造型板为12mm厚绿色户外PE板，秋千绳索为不锈钢锁链，秋千座椅为软性材质安全塑料。</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幼儿园户外跷跷板</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产品尺寸：263×44×82 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1、座板为优质环保PE板，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2、框架采用镀锌金属管，整体加工后经特殊工艺除锈。表面须经抛砂处理后静电粉末喷涂，要求抗紫外光、耐盐雾、附着力强、色彩鲜艳不褪色。镀锌管盐雾试验样品表面无明显变化，腐蚀等级符合GB/T 10125-2021要求；抗拉强度、规定塑性延伸强度、断后伸长率符合GB/T 228.1-2021要求。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3、所有螺丝均为不锈钢304号材质，，镉、铅、汞、六价铬含量符合GB/T 26572-2011标准要求。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4、其他：接触面之材料及结合角铁均经倒圆角处理，维护使用者的安全。：263×44×82 cm</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default" w:ascii="Calibri" w:hAnsi="Calibri" w:eastAsia="宋体"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幼儿园攀爬组合器材</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产品尺寸9*4*4.3米(</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5mm)，安全尺寸：13.66*7.66米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strike w:val="0"/>
                <w:color w:val="auto"/>
                <w:szCs w:val="21"/>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1：立柱：采用直径114mm 壁厚2.2mm 镀锌管，整体加工后经特殊工艺除锈。表面须经抛砂处理后静电粉末喷涂，要求抗紫外光、耐盐雾、附着力强、色彩鲜艳不褪色。镀锌管力学性能符合国家标准规范要求。</w:t>
            </w:r>
            <w:r>
              <w:rPr>
                <w:rFonts w:hint="eastAsia" w:ascii="宋体" w:hAnsi="宋体" w:eastAsia="宋体" w:cs="宋体"/>
                <w:b/>
                <w:bCs/>
                <w:i w:val="0"/>
                <w:iCs w:val="0"/>
                <w:color w:val="auto"/>
                <w:sz w:val="22"/>
                <w:szCs w:val="22"/>
                <w:highlight w:val="none"/>
                <w:u w:val="none"/>
                <w:lang w:val="en-US" w:eastAsia="zh-CN" w:bidi="ar"/>
              </w:rPr>
              <w:t xml:space="preserve">（提供镀锌管符合GB/T 228.1-2021国家标准规范要求的检测报告）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平台：金属框架，实木踏板设计，承载力不低于每平方米400公斤。金属框架采用60*30镀锌方管，壁厚2.2mm，镀锌铁材质，整体加工后经特殊工艺除锈。表面须经抛砂处理后静电粉末喷涂，要求抗紫外光、耐盐雾、附着力强、色彩鲜艳不褪色。面板采用21mm</w:t>
            </w:r>
            <w:r>
              <w:rPr>
                <w:rFonts w:hint="eastAsia" w:ascii="宋体" w:hAnsi="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t xml:space="preserve">厚天然防腐刺槐实木，表面经多次打磨后并刷涂环保木蜡油处理，在保证木材含水率的基础上，近一步提升木材的防腐及抗菌性能。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3：围板：金属部分采用直径32mm和28mm壁厚2.2mm镀锌金属管烤漆。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strike w:val="0"/>
                <w:color w:val="auto"/>
                <w:szCs w:val="21"/>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4、滑梯、塑料件：采用LLDPE滚塑专用料经滚塑成形，色彩艳丽，抗紫外光（UV）能力达到6级，抗静电能力强，安全环保，耐候性好，增塑剂（DBP、BBP、DEHP）及8大重金属（钡、铅、镉 、锑 、硒 、铬 、汞、砷 ）含量符合国家标准规范要求。</w:t>
            </w:r>
            <w:r>
              <w:rPr>
                <w:rFonts w:hint="eastAsia" w:ascii="宋体" w:hAnsi="宋体" w:eastAsia="宋体" w:cs="宋体"/>
                <w:b/>
                <w:bCs/>
                <w:i w:val="0"/>
                <w:iCs w:val="0"/>
                <w:color w:val="auto"/>
                <w:sz w:val="22"/>
                <w:szCs w:val="22"/>
                <w:highlight w:val="none"/>
                <w:u w:val="none"/>
                <w:lang w:val="en-US" w:eastAsia="zh-CN" w:bidi="ar"/>
              </w:rPr>
              <w:t xml:space="preserve">（提供塑料件（滑梯）符合GB6675-2014国家标准规范的检测报告）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攀爬绳索类采用六股钢丝绳，直径16mm高强度缆绳，中芯不少于6股热镀锌钢丝绳，外层再覆丙纶绳，强度大，抗磨损，耐腐蚀，安全性能好，网绳编织采用专用铝合金连接扣连接，间距符合国家安全标准，长期使用不变形。攀爬钢丝绳力学性能符合国家标准规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strike w:val="0"/>
                <w:color w:val="auto"/>
                <w:szCs w:val="21"/>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6、所有螺丝均为不锈钢304号材质。五金件（U型扣件）力学性能、化学成分符合国家标准规范要求。</w:t>
            </w:r>
            <w:r>
              <w:rPr>
                <w:rFonts w:hint="eastAsia" w:ascii="宋体" w:hAnsi="宋体" w:eastAsia="宋体" w:cs="宋体"/>
                <w:b/>
                <w:bCs/>
                <w:i w:val="0"/>
                <w:iCs w:val="0"/>
                <w:color w:val="auto"/>
                <w:sz w:val="22"/>
                <w:szCs w:val="22"/>
                <w:highlight w:val="none"/>
                <w:u w:val="none"/>
                <w:lang w:val="en-US" w:eastAsia="zh-CN" w:bidi="ar"/>
              </w:rPr>
              <w:t xml:space="preserve">(提供五金件（U型扣件国家标准规范要求的检测报告)</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7、其他：接触面之材料及结合角铁均经倒圆角处理，维护使用者的安全。整套大型设备符合GB/T27689-2011标准要求。</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default" w:ascii="Calibri" w:hAnsi="Calibri" w:eastAsia="宋体"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幼儿园户外木质攀爬架组合</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产品尺寸:250*71.5*200cm(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镀锌铁+采用15mm/22mm厚防腐松木，甲醛释放量符合国家标准规范GB/T39600-2021的要求；边材透入率、总保持量R、铜保持量、季铵盐保持量符合GB/T 22102-2008标准要求。表面刷涂环保木蜡油两遍。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垫脚为耐腐蚀木塑板。有门的密闭空间采用小隔间的安全设计，防儿童误入，符合国家标准的要求；洗涤台造型设计，结构安全，圆角设计，符合国家标准要求。+攀爬绳索类采用六股钢丝绳，直径16mm高强度缆绳，中芯不少于6股热镀锌钢丝绳，外层再覆丙纶绳，强度大，抗磨损，耐腐蚀，安全性能好，网绳编织采用专用铝合金连接扣连接，间距符合国家安全标准，长期使用不变形。攀爬钢丝绳力学性能符合国家标准规范要求，钻笼类采用户外锦纶绳，直径12mm。</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default" w:ascii="Calibri" w:hAnsi="Calibri" w:eastAsia="宋体"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玻璃钢树池户外座椅</w:t>
            </w:r>
            <w:r>
              <w:rPr>
                <w:rFonts w:hint="default" w:ascii="Calibri" w:hAnsi="Calibri" w:eastAsia="宋体" w:cs="Calibri"/>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产品尺寸:360*360*45cm(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坐和圈里可以种植植物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采用15mm/22mm厚防腐松木，甲醛释放量符合国家标准规范GB/T39600-2021的要求；边材透入率、总保持量R、铜保持量、季铵盐保持量符合GB/T 22102-2008标准要求。表面刷涂环保木蜡油两遍。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垫脚为耐腐蚀木塑板。有门的密闭空间采用小隔间的安全设计，防儿童误入，符合国家标准的要求；洗涤台造型设计，结构安全，圆角设计，符合国家标准要求。</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default" w:ascii="Calibri" w:hAnsi="Calibri" w:eastAsia="宋体"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3</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玻璃钢树池户外座椅</w:t>
            </w:r>
            <w:r>
              <w:rPr>
                <w:rFonts w:hint="default" w:ascii="Calibri" w:hAnsi="Calibri" w:eastAsia="宋体" w:cs="Calibri"/>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产品尺寸:270*270*45cm(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坐和圈里可以种植植物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采用15mm/22mm厚防腐松木，甲醛释放量符合国家标准规范GB/T39600-2021的要求；边材透入率、总保持量R、铜保持量、季铵盐保持量符合GB/T 22102-2008标准要求。表面刷涂环保木蜡油两遍。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垫脚为耐腐蚀木塑板。有门的密闭空间采用小隔间的安全设计，防儿童误入，符合国家标准的要求；洗涤台造型设计，结构安全，圆角设计，符合国家标准要求。</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default" w:ascii="Calibri" w:hAnsi="Calibri" w:eastAsia="宋体" w:cs="Calibri"/>
                <w:i w:val="0"/>
                <w:iCs w:val="0"/>
                <w:color w:val="auto"/>
                <w:sz w:val="21"/>
                <w:szCs w:val="21"/>
                <w:highlight w:val="none"/>
                <w:u w:val="none"/>
              </w:rPr>
              <w:suppressLineNumbers w:val="0"/>
            </w:pPr>
            <w:r>
              <w:rPr>
                <w:rFonts w:hint="default" w:ascii="Calibri" w:hAnsi="Calibri" w:eastAsia="宋体" w:cs="Calibri"/>
                <w:i w:val="0"/>
                <w:iCs w:val="0"/>
                <w:color w:val="auto"/>
                <w:sz w:val="21"/>
                <w:szCs w:val="21"/>
                <w:highlight w:val="none"/>
                <w:u w:val="none"/>
                <w:lang w:val="en-US" w:eastAsia="zh-CN" w:bidi="ar"/>
              </w:rPr>
              <w:t xml:space="preserve">2</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波速球</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材质：塑料(PP、TPE)；包装尺寸：约20.3*17.7*17.7cm(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5mm)；产品尺寸：直径约58cm，宽约17cm。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含：平衡板X1。设计独特的平衡板，直径与高度加大、加高设计，柔软的基座用于控制身体上半身平衡锻炼，坚硬的脚部设计提供了安全的抓地力，充气底座可根据幼儿的能力大小选择充气的饱和度，限重100公斤。</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感统风火轮</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材质：塑料(PP)、金属；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产品尺寸：圆圈直径约37.5cm，杆长约26.5-73cm（可调节）(</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5mm)，手柄约9.7*2cm。内含：4只铁环、4根伸缩杆（4色）。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通过手上力量，控制铁环的速度。该玩教具采用原塑料颗粒注塑而成，同心圆设计，内外都可以让铁环旋转起来，降低了使用难度，伸缩杆可以调节，非常方便。滚铁环有助于提高幼儿的平衡性、肢体的协调性以及眼力、四肢活动能力。</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轮胎</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户外运动探索区-进阶轮胎组，产品尺寸：φ400*T150m尺寸：φ400*T150m尺寸:830*880mm(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户外运动探索区-小轮胎（黑色）：尺寸：φ400*T150mm，材质：安全塑料。数量4件，整体采用塑料开模而成。安全无毒，模拟真实轮胎。内圈台阶式设计，大轮胎、中轮胎、小轮胎三种轮胎堆叠使用高度一致，水平不倾斜，帮助幼儿感性认知量的守恒。打破传统轮胎功能单一的特点，多款轮胎自由组合，可供幼儿开展投掷、跳跃、平衡、钻爬等游戏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（2）户外运动探索区-滚轮推杆L型：尺寸：φ400*T150m，材质：安全塑料+金属，数量2件，整体采用镀锌圆管银灰色烤漆，双层保护加强防腐蚀性能。黑色安全塑料把手，安全无毒。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（3）户外运动探索区-滚轮推杆T型：尺寸:830*880mm，材质：金属+安全塑料，数量2件，整体采用镀锌圆管银灰色烤漆，双层保护加强防腐蚀性能。黑色安全塑料把手，安全无毒。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户外运动探索区-中轮胎(墨绿色）：尺寸：φ640*T200mm，材质：安全塑料。数量3件，整体采用塑料开模而成。安全无毒，模拟真实轮胎。内圈台阶式设计，可搭配绳网盖板、乌龟盖板、大轮胎、小轮胎三种轮胎堆叠使用高度一致，水平不倾斜，帮助幼儿感性认知量的守恒。打破传统轮胎功能单一的特点，多款轮胎自由组合，可供幼儿开展投掷、跳跃、平衡、钻爬等游戏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（5）户外运动探索区-中轮胎乌龟壳盖板：尺寸：φ440*T120mm，材质：安全塑料，数量2件，整体采用塑料开模而成。安全无毒。表面龟裂纹、弧形设计，开启幼儿平衡控制训练，可搭配中轮胎使用也可单独使用。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（6）户外运动探索区-轮胎滑板车：尺寸：64*64*24CM，材质：LLDPE+PE板，数量2件，材种：LLDPE塑料开模，18mm厚PE板+户外不锈钢万向轮+六股钢丝绳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户外运动探索区-中轮胎绳网盖板：尺寸：φ440*T25mm，材质：金属件+绳网。数量1件，外圈采用镀锌材银灰色烤漆，双层保护增强防腐蚀性能。内部采用16mm钢丝绳设计，耐腐蚀、高温、材质柔软，在动静中掌握身体重心平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户外运动探索区-大轮胎（明黄色）：尺寸：φ800*T100mm，材质：安全塑料。数量6件，整体采用塑料开模而成。安全无毒，大、中、小三种轮胎堆叠使用高度一致，水平不倾斜，帮助幼儿感性认知量的守恒。打破传统轮胎功能单一的特点，多款轮胎自由组合，可供幼儿开展投掷、跳跃、平衡、钻爬等游戏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户外运动探索区-大轮胎凹凸盖板（深米色）：尺寸：φ680*T70mm，材质：安全塑料。数量3件，整体采用塑料开模而成。盖板表面凹凸设计，搭配中轮胎使用可单独使用，作为幼儿平衡板控制平衡训练。凸点防滑纹理，不易打滑，安全保护。</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木制拱桥</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产品尺寸:270*270*45cm(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采用15mm/22mm厚防腐松木，甲醛释放量符合国家标准规范GB/T39600-2021的要求；边材透入率、总保持量R、铜保持量、季铵盐保持量符合GB/T 22102-2008标准要求。表面刷涂环保木蜡油两遍。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垫脚为耐腐蚀木塑板。有门的密闭空间采用小隔间的安全设计，防儿童误入，符合国家标准的要求；洗涤台造型设计，结构安全，圆角设计，符合国家标准要求。</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left"/>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户外长桌</w:t>
            </w:r>
            <w:r/>
          </w:p>
        </w:tc>
        <w:tc>
          <w:tcPr>
            <w:shd w:val="clear" w:color="auto" w:fill="ffffff"/>
            <w:tcBorders>
              <w:top w:val="single" w:color="000000" w:sz="4" w:space="0"/>
              <w:left w:val="single" w:color="000000" w:sz="4" w:space="0"/>
              <w:bottom w:val="single" w:color="000000" w:sz="4" w:space="0"/>
              <w:right w:val="single" w:color="000000" w:sz="4" w:space="0"/>
            </w:tcBorders>
            <w:tcW w:w="2448"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尺寸：150×64×55cm(</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1、桌面采用22mm厚防腐松木，甲醛释放量符合国家标准规范GB/T39600-2021的要求；边材透入率、总保持量R、铜保持量、季铵盐保持量符合GB/T 22102-2008标准要求。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2、桌架采用φ32mm铁管。</w:t>
            </w:r>
            <w:r/>
          </w:p>
        </w:tc>
        <w:tc>
          <w:tcPr>
            <w:shd w:val="clear" w:color="auto" w:fill="ffffff"/>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"以上所有技术参数仅为最低要求，供应商可采用不低于本要求的更优方案。如国家发布新标准，按新标准执行。所有检测报告须由带有CMA的第三方检测机构出具。"</w:t>
      </w:r>
      <w:r/>
    </w:p>
    <w:p>
      <w:pPr>
        <w:pStyle w:val="77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779"/>
        <w:rPr>
          <w:rFonts w:hint="eastAsia" w:ascii="宋体" w:hAnsi="宋体" w:cs="宋体"/>
          <w:b/>
          <w:bCs/>
          <w:color w:val="auto"/>
          <w:sz w:val="21"/>
          <w:szCs w:val="21"/>
          <w:highlight w:val="none"/>
          <w:lang w:val="en-US" w:eastAsia="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cs="宋体"/>
          <w:b/>
          <w:bCs/>
          <w:color w:val="auto"/>
          <w:sz w:val="21"/>
          <w:szCs w:val="21"/>
          <w:highlight w:val="none"/>
          <w:lang w:val="en-US" w:eastAsia="zh-CN"/>
        </w:rPr>
      </w:r>
      <w:bookmarkEnd w:id="59"/>
      <w:r/>
      <w:r/>
    </w:p>
    <w:p>
      <w:pPr>
        <w:keepLines w:val="0"/>
        <w:keepNext w:val="0"/>
        <w:pageBreakBefore w:val="0"/>
        <w:spacing w:line="360" w:lineRule="auto"/>
        <w:rPr>
          <w:rFonts w:hint="eastAsia" w:ascii="宋体" w:hAnsi="宋体" w:cs="宋体"/>
          <w:b/>
          <w:bCs/>
          <w:color w:val="auto"/>
          <w:szCs w:val="21"/>
          <w:highlight w:val="none"/>
        </w:rPr>
      </w:pPr>
      <w:r/>
      <w:bookmarkStart w:id="60" w:name="_Toc55204181"/>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、商务要求</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61" w:name="_Toc29995"/>
      <w:r>
        <w:rPr>
          <w:rFonts w:hint="eastAsia" w:ascii="宋体" w:hAnsi="宋体" w:cs="宋体"/>
          <w:i w:val="0"/>
          <w:iCs w:val="0"/>
          <w:color w:val="auto"/>
          <w:szCs w:val="21"/>
          <w:highlight w:val="none"/>
          <w:u w:val="none"/>
        </w:rPr>
        <w:t xml:space="preserve">1.</w:t>
      </w:r>
      <w:r>
        <w:rPr>
          <w:rFonts w:hint="eastAsia" w:ascii="宋体" w:hAnsi="宋体" w:cs="宋体"/>
          <w:color w:val="auto"/>
          <w:sz w:val="21"/>
          <w:szCs w:val="21"/>
          <w:highlight w:val="none"/>
        </w:rPr>
        <w:t xml:space="preserve">合同签订后</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rPr>
        <w:t xml:space="preserve">个日历</w:t>
      </w:r>
      <w:r>
        <w:rPr>
          <w:rFonts w:hint="eastAsia" w:ascii="宋体" w:hAnsi="宋体" w:cs="宋体"/>
          <w:color w:val="auto"/>
          <w:sz w:val="21"/>
          <w:szCs w:val="21"/>
          <w:highlight w:val="none"/>
          <w:lang w:val="en-US" w:eastAsia="zh-CN"/>
        </w:rPr>
        <w:t xml:space="preserve">天</w:t>
      </w:r>
      <w:r>
        <w:rPr>
          <w:rFonts w:hint="eastAsia" w:ascii="宋体" w:hAnsi="宋体" w:cs="宋体"/>
          <w:color w:val="auto"/>
          <w:sz w:val="21"/>
          <w:szCs w:val="21"/>
          <w:highlight w:val="none"/>
        </w:rPr>
        <w:t xml:space="preserve">内安装调试完毕。</w:t>
      </w:r>
      <w:r>
        <w:rPr>
          <w:rFonts w:hint="eastAsia" w:ascii="宋体" w:hAnsi="宋体" w:cs="宋体"/>
          <w:b/>
          <w:bCs/>
          <w:i/>
          <w:iCs/>
          <w:strike w:val="0"/>
          <w:color w:val="auto"/>
          <w:szCs w:val="21"/>
          <w:highlight w:val="none"/>
          <w:u w:val="single"/>
        </w:rPr>
        <w:t xml:space="preserve">设备质量保修期</w:t>
      </w:r>
      <w:r>
        <w:rPr>
          <w:rFonts w:hint="eastAsia" w:ascii="宋体" w:hAnsi="宋体" w:cs="宋体"/>
          <w:b/>
          <w:bCs/>
          <w:i/>
          <w:iCs/>
          <w:strike w:val="0"/>
          <w:color w:val="auto"/>
          <w:szCs w:val="21"/>
          <w:highlight w:val="none"/>
          <w:u w:val="single"/>
          <w:lang w:val="en-US" w:eastAsia="zh-CN"/>
        </w:rPr>
        <w:t xml:space="preserve">至少5</w:t>
      </w:r>
      <w:r>
        <w:rPr>
          <w:rFonts w:hint="eastAsia" w:ascii="宋体" w:hAnsi="宋体" w:cs="宋体"/>
          <w:b/>
          <w:bCs/>
          <w:i/>
          <w:iCs/>
          <w:strike w:val="0"/>
          <w:color w:val="auto"/>
          <w:szCs w:val="21"/>
          <w:highlight w:val="none"/>
          <w:u w:val="single"/>
        </w:rPr>
        <w:t xml:space="preserve">年，自验收合格之日起计算，质保期内免费上门质保。</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b/>
          <w:bCs/>
          <w:i/>
          <w:iCs/>
          <w:strike w:val="0"/>
          <w:color w:val="auto"/>
          <w:szCs w:val="21"/>
          <w:highlight w:val="none"/>
          <w:u w:val="single"/>
          <w:lang w:val="en-US" w:eastAsia="zh-CN"/>
        </w:rPr>
        <w:t xml:space="preserve">提供承诺书加盖投标人公章， 扫描上传系统</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color w:val="auto"/>
          <w:szCs w:val="21"/>
          <w:highlight w:val="none"/>
        </w:rPr>
        <w:t xml:space="preserve">中标人负责设备的终身维修，更换部件时须保证与原有产品的规格、型号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2.投标报价应包括货物价格、运杂费（含保险费）、包装费、安装费、安装调试费、验收前保管、调试、第三方验收费用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验收合格及之前所有含税费用、验收费、各种税费、交付使用前管理费，以及伴随服务/售后服务费等为完成招标文件规定的工作内容所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的一切相关费用，投标人中标后不得以任何理由进行调整，费用自行考虑均包含在投标报价中，相关费用如缺项，视为让利。</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本项目验收前需进行抽样检测，第三方检测机构由采购人遴选，中标人需承担检测费用。</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实施要求</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（1）投标人负责设备的安装和调试，并保证安装稳固，如因</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倾倒掉落导致安全事故</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投标人负责处理，并由投标人承担相应的赔偿责任。</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（2）调试过程中</w:t>
      </w:r>
      <w:r>
        <w:rPr>
          <w:rFonts w:hint="eastAsia" w:ascii="宋体" w:hAnsi="宋体" w:cs="宋体"/>
          <w:color w:val="auto"/>
          <w:szCs w:val="21"/>
          <w:highlight w:val="none"/>
          <w:lang w:eastAsia="zh-CN"/>
        </w:rPr>
        <w:t xml:space="preserve">需要</w:t>
      </w:r>
      <w:r>
        <w:rPr>
          <w:rFonts w:hint="eastAsia" w:ascii="宋体" w:hAnsi="宋体" w:cs="宋体"/>
          <w:color w:val="auto"/>
          <w:szCs w:val="21"/>
          <w:highlight w:val="none"/>
        </w:rPr>
        <w:t xml:space="preserve">使用的工具、设备、耗材、运输和劳务等所有费用均由投标人承担。</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（3）所有设备安装完成后，应按国家有关规范标准（国家无验收规范标准的按双方合同规定的要求）进行调试、验收。</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（4）所有设备拆箱、通电、调试等各项工作由投标人负责完成。具体实施前，应先经采购人同意且在其指定人员的参与下方可进行。调试的原始记录须经各方签字后留作验收文件。</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（5）设备由投标人运至采购人指定地点，验收交货前存放及保管概由投标人负责。</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设备要求</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（1）投标人提供的设备必须是制造厂商原装的、全新的产品。其性能及指标参数应符合国家及采购文件提出的有关技术、质量、安全标准。</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（2）投标人应确保提供的设备在开箱检验时完好，无破损，箱内配置与装箱清单相符。数量、质量及性能不得低于采购文件中的相关要求。</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（3）投标人提供的设备应外观整洁，设备型号、规格、制造厂商、生产（出厂）日期须准确清晰。铭牌、使用指示和警告指示均应以中、英文和通俗易懂的符号表示。</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（4）供货时所有设备</w:t>
      </w:r>
      <w:r>
        <w:rPr>
          <w:rFonts w:hint="eastAsia" w:ascii="宋体" w:hAnsi="宋体" w:cs="宋体"/>
          <w:color w:val="auto"/>
          <w:szCs w:val="21"/>
          <w:highlight w:val="none"/>
          <w:lang w:val="en-US" w:eastAsia="zh-CN"/>
        </w:rPr>
        <w:t xml:space="preserve">提供提供中文操作手册及维修手册。</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（5）所有设备配件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易损件、</w:t>
      </w:r>
      <w:r>
        <w:rPr>
          <w:rFonts w:hint="eastAsia" w:ascii="宋体" w:hAnsi="宋体" w:cs="宋体"/>
          <w:color w:val="auto"/>
          <w:szCs w:val="21"/>
          <w:highlight w:val="none"/>
        </w:rPr>
        <w:t xml:space="preserve">耗材在现场安装使用前，采购人将进行随机抽验。</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售后服务要求</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保修期内，供应商应在接到故障通知2小时内做出有效响应，并在24小时内到达现场免费予以排除故障、修复或更换零部件。如2个工作日内不能修复必须提供备用机使用，确保采购人能正常开展工作，设备在使用寿命周期内，保证更换到原厂配件。</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（3）在保修期期满前一个月，中标人必须指派专业人员上门检测设备，确保设备的指标符合验收标准，如有问题应作为保修内容给予免费处理。</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（4）在保修期外，中标人为设备提供终身维修服务，维修问题出现时，按技术参</w:t>
      </w:r>
      <w:r>
        <w:rPr>
          <w:rFonts w:hint="eastAsia" w:ascii="宋体" w:hAnsi="宋体" w:cs="宋体"/>
          <w:color w:val="auto"/>
          <w:szCs w:val="21"/>
          <w:highlight w:val="none"/>
          <w:lang w:eastAsia="zh-CN"/>
        </w:rPr>
        <w:t xml:space="preserve">数和</w:t>
      </w:r>
      <w:r>
        <w:rPr>
          <w:rFonts w:hint="eastAsia" w:ascii="宋体" w:hAnsi="宋体" w:cs="宋体"/>
          <w:color w:val="auto"/>
          <w:szCs w:val="21"/>
          <w:highlight w:val="none"/>
        </w:rPr>
        <w:t xml:space="preserve">服务要求相应条款处理。</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（5）在保修期内，如果原厂方鉴定设备因为人为损坏，厂方须出具具有法定权威性的第三方检测证明，否则一律视为保修范围内处理。</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（6）终身提供免费的应用咨询及技术帮助。</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技术培训：投标人应根据采购人的要求，上门对相关人员进行设备技术免费培训，并制定与投标文件相应的培训方案。培训对象、时间、地点由采购方确定。</w:t>
      </w:r>
      <w:r>
        <w:rPr>
          <w:rFonts w:hint="eastAsia" w:ascii="Times New Roman" w:hAnsi="Times New Roman"/>
          <w:color w:val="auto"/>
          <w:highlight w:val="none"/>
        </w:rPr>
        <w:t xml:space="preserve">提供操作和维护的培训计划。</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7.</w:t>
      </w:r>
      <w:r>
        <w:rPr>
          <w:rFonts w:hint="eastAsia" w:ascii="宋体" w:hAnsi="宋体" w:cs="宋体"/>
          <w:b/>
          <w:bCs/>
          <w:i/>
          <w:iCs/>
          <w:color w:val="auto"/>
          <w:szCs w:val="21"/>
          <w:highlight w:val="none"/>
          <w:u w:val="single"/>
        </w:rPr>
        <w:t xml:space="preserve">在接到采购人故障报修后，中标人需在2小时内响应，并在24小时内到达现场解决故障。一切费用由中标人负责</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b/>
          <w:bCs/>
          <w:i/>
          <w:iCs/>
          <w:strike w:val="0"/>
          <w:color w:val="auto"/>
          <w:szCs w:val="21"/>
          <w:highlight w:val="none"/>
          <w:u w:val="single"/>
          <w:lang w:val="en-US" w:eastAsia="zh-CN"/>
        </w:rPr>
        <w:t xml:space="preserve">提供承诺书加盖投标人公章， 扫描上传系统</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若</w:t>
      </w:r>
      <w:r>
        <w:rPr>
          <w:rFonts w:hint="eastAsia" w:ascii="宋体" w:hAnsi="宋体" w:cs="宋体"/>
          <w:color w:val="auto"/>
          <w:szCs w:val="21"/>
          <w:highlight w:val="none"/>
          <w:lang w:eastAsia="zh-CN"/>
        </w:rPr>
        <w:t xml:space="preserve">因</w:t>
      </w:r>
      <w:r>
        <w:rPr>
          <w:rFonts w:hint="eastAsia" w:ascii="宋体" w:hAnsi="宋体" w:cs="宋体"/>
          <w:color w:val="auto"/>
          <w:szCs w:val="21"/>
          <w:highlight w:val="none"/>
        </w:rPr>
        <w:t xml:space="preserve">中标人维修不及时，给采购人造成影响的，采购人有权追究其法律责任。</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人须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（1）投标人负责保管、看护进场的设备及附配件；</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（2）投标人负</w:t>
      </w:r>
      <w:r>
        <w:rPr>
          <w:rFonts w:hint="eastAsia" w:ascii="宋体" w:hAnsi="宋体" w:cs="宋体"/>
          <w:color w:val="auto"/>
          <w:szCs w:val="21"/>
          <w:highlight w:val="none"/>
          <w:lang w:eastAsia="zh-CN"/>
        </w:rPr>
        <w:t xml:space="preserve">责对</w:t>
      </w:r>
      <w:r>
        <w:rPr>
          <w:rFonts w:hint="eastAsia" w:ascii="宋体" w:hAnsi="宋体" w:cs="宋体"/>
          <w:color w:val="auto"/>
          <w:szCs w:val="21"/>
          <w:highlight w:val="none"/>
        </w:rPr>
        <w:t xml:space="preserve">设备、安装设备（工具）等提供适当的保护、包装或覆盖等处理，以免受损；</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（3）投标人安装调试人员对邻近设备等造成损坏，应由投标人负责修复及承担一切费用；</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（4）无论安装调试期间或保修过程中，投标人负责及时清理垃圾；</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（5）投标人承担安装调试期间安装场所的安全以及设备和安装调试人员的安全责任；</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的申请将不被批准。</w:t>
      </w:r>
      <w:r/>
    </w:p>
    <w:p>
      <w:pPr>
        <w:rPr>
          <w:rFonts w:hint="eastAsia"/>
          <w:color w:val="auto"/>
          <w:highlight w:val="none"/>
        </w:rPr>
      </w:pPr>
      <w:r>
        <w:rPr>
          <w:rFonts w:hint="eastAsia"/>
          <w:color w:val="auto"/>
          <w:highlight w:val="none"/>
        </w:rPr>
        <w:br w:type="page" w:clear="all"/>
      </w:r>
      <w:r/>
    </w:p>
    <w:p>
      <w:pPr>
        <w:pStyle w:val="745"/>
        <w:rPr>
          <w:color w:val="auto"/>
          <w:highlight w:val="none"/>
        </w:rPr>
      </w:pPr>
      <w:r>
        <w:rPr>
          <w:rFonts w:hint="eastAsia"/>
          <w:color w:val="auto"/>
          <w:highlight w:val="none"/>
        </w:rPr>
        <w:t xml:space="preserve">第五章 评标方法及评标标准</w:t>
      </w:r>
      <w:bookmarkEnd w:id="60"/>
      <w:r/>
      <w:bookmarkEnd w:id="61"/>
      <w:r/>
      <w:r/>
    </w:p>
    <w:p>
      <w:pPr>
        <w:pStyle w:val="1009"/>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bookmarkStart w:id="62" w:name="_Toc449017024"/>
      <w:r/>
      <w:bookmarkStart w:id="63" w:name="_Toc449016388"/>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2"/>
      <w:r/>
      <w:bookmarkEnd w:id="63"/>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本项目专门面向中小微企业</w:t>
      </w:r>
      <w:r/>
    </w:p>
    <w:tbl>
      <w:tblPr>
        <w:tblStyle w:val="755"/>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17"/>
        <w:gridCol w:w="4697"/>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是</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9"/>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9"/>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6936"/>
      </w:tblGrid>
      <w:tr>
        <w:trPr>
          <w:trHeight w:val="598"/>
          <w:tblHeader/>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b/>
                <w:bCs/>
                <w:color w:val="auto"/>
                <w:szCs w:val="21"/>
                <w:highlight w:val="none"/>
              </w:rPr>
            </w:pPr>
            <w:r/>
            <w:bookmarkStart w:id="64" w:name="_Toc18779"/>
            <w:r>
              <w:rPr>
                <w:rFonts w:hint="eastAsia" w:ascii="宋体" w:hAnsi="宋体" w:cs="宋体"/>
                <w:b/>
                <w:bCs/>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投标报价得分=（评标基准价／投标报价）×30×100%，结果保留两位有效小数。</w:t>
            </w:r>
            <w:r/>
          </w:p>
        </w:tc>
      </w:tr>
      <w:tr>
        <w:trPr>
          <w:trHeight w:val="1805"/>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技术参数响应情况</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评委根据招标文件第四章项目需求中【</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、技术要求】以及投标文件提供的佐证材料等进行评审：所投产品技术参数全部满足或者优于招标文件要求的得满分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lang w:val="en-US" w:eastAsia="zh-CN"/>
              </w:rPr>
              <w:t xml:space="preserve">1.</w:t>
            </w:r>
            <w:r>
              <w:rPr>
                <w:rFonts w:hint="eastAsia" w:ascii="宋体" w:hAnsi="宋体" w:cs="宋体"/>
                <w:strike w:val="0"/>
                <w:color w:val="auto"/>
                <w:szCs w:val="21"/>
                <w:highlight w:val="none"/>
              </w:rPr>
              <w:t xml:space="preserve">“▲”号项指标参数为重要参数（“▲”共</w:t>
            </w:r>
            <w:r>
              <w:rPr>
                <w:rFonts w:hint="eastAsia" w:ascii="宋体" w:hAnsi="宋体" w:cs="宋体"/>
                <w:strike w:val="0"/>
                <w:color w:val="auto"/>
                <w:szCs w:val="21"/>
                <w:highlight w:val="none"/>
                <w:lang w:val="en-US" w:eastAsia="zh-CN"/>
              </w:rPr>
              <w:t xml:space="preserve">5</w:t>
            </w:r>
            <w:r>
              <w:rPr>
                <w:rFonts w:hint="eastAsia" w:ascii="宋体" w:hAnsi="宋体" w:cs="宋体"/>
                <w:strike w:val="0"/>
                <w:color w:val="auto"/>
                <w:szCs w:val="21"/>
                <w:highlight w:val="none"/>
              </w:rPr>
              <w:t xml:space="preserve">个），每有1项负偏离（不满足）扣</w:t>
            </w:r>
            <w:r>
              <w:rPr>
                <w:rFonts w:hint="eastAsia" w:ascii="宋体" w:hAnsi="宋体" w:cs="宋体"/>
                <w:strike w:val="0"/>
                <w:color w:val="auto"/>
                <w:szCs w:val="21"/>
                <w:highlight w:val="none"/>
                <w:lang w:val="en-US" w:eastAsia="zh-CN"/>
              </w:rPr>
              <w:t xml:space="preserve">1</w:t>
            </w:r>
            <w:r>
              <w:rPr>
                <w:rFonts w:hint="eastAsia" w:ascii="宋体" w:hAnsi="宋体" w:cs="宋体"/>
                <w:strike w:val="0"/>
                <w:color w:val="auto"/>
                <w:szCs w:val="21"/>
                <w:highlight w:val="none"/>
              </w:rPr>
              <w:t xml:space="preserve">分，总分</w:t>
            </w:r>
            <w:r>
              <w:rPr>
                <w:rFonts w:hint="eastAsia" w:ascii="宋体" w:hAnsi="宋体" w:cs="宋体"/>
                <w:strike w:val="0"/>
                <w:color w:val="auto"/>
                <w:szCs w:val="21"/>
                <w:highlight w:val="none"/>
                <w:lang w:val="en-US" w:eastAsia="zh-CN"/>
              </w:rPr>
              <w:t xml:space="preserve">5</w:t>
            </w:r>
            <w:r>
              <w:rPr>
                <w:rFonts w:hint="eastAsia" w:ascii="宋体" w:hAnsi="宋体" w:cs="宋体"/>
                <w:strike w:val="0"/>
                <w:color w:val="auto"/>
                <w:szCs w:val="21"/>
                <w:highlight w:val="none"/>
              </w:rPr>
              <w:t xml:space="preserve">分。</w:t>
            </w:r>
            <w:r/>
          </w:p>
          <w:p>
            <w:pPr>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lang w:val="en-US" w:eastAsia="zh-CN"/>
              </w:rPr>
              <w:t xml:space="preserve">2.</w:t>
            </w:r>
            <w:r>
              <w:rPr>
                <w:rFonts w:hint="eastAsia" w:ascii="宋体" w:hAnsi="宋体" w:cs="宋体"/>
                <w:strike w:val="0"/>
                <w:color w:val="auto"/>
                <w:szCs w:val="21"/>
                <w:highlight w:val="none"/>
              </w:rPr>
              <w:t xml:space="preserve">未标注 “▲”的为一般参数，总计负偏离项数：1~5项，扣</w:t>
            </w:r>
            <w:r>
              <w:rPr>
                <w:rFonts w:hint="eastAsia" w:ascii="宋体" w:hAnsi="宋体" w:cs="宋体"/>
                <w:strike w:val="0"/>
                <w:color w:val="auto"/>
                <w:szCs w:val="21"/>
                <w:highlight w:val="none"/>
                <w:lang w:val="en-US" w:eastAsia="zh-CN"/>
              </w:rPr>
              <w:t xml:space="preserve">1</w:t>
            </w:r>
            <w:r>
              <w:rPr>
                <w:rFonts w:hint="eastAsia" w:ascii="宋体" w:hAnsi="宋体" w:cs="宋体"/>
                <w:strike w:val="0"/>
                <w:color w:val="auto"/>
                <w:szCs w:val="21"/>
                <w:highlight w:val="none"/>
              </w:rPr>
              <w:t xml:space="preserve">分，总计负偏离项数：6~10项，扣</w:t>
            </w:r>
            <w:r>
              <w:rPr>
                <w:rFonts w:hint="eastAsia" w:ascii="宋体" w:hAnsi="宋体" w:cs="宋体"/>
                <w:strike w:val="0"/>
                <w:color w:val="auto"/>
                <w:szCs w:val="21"/>
                <w:highlight w:val="none"/>
                <w:lang w:val="en-US" w:eastAsia="zh-CN"/>
              </w:rPr>
              <w:t xml:space="preserve">2</w:t>
            </w:r>
            <w:r>
              <w:rPr>
                <w:rFonts w:hint="eastAsia" w:ascii="宋体" w:hAnsi="宋体" w:cs="宋体"/>
                <w:strike w:val="0"/>
                <w:color w:val="auto"/>
                <w:szCs w:val="21"/>
                <w:highlight w:val="none"/>
              </w:rPr>
              <w:t xml:space="preserve">分，总计负偏离项数：11~15项，扣</w:t>
            </w:r>
            <w:r>
              <w:rPr>
                <w:rFonts w:hint="eastAsia" w:ascii="宋体" w:hAnsi="宋体" w:cs="宋体"/>
                <w:strike w:val="0"/>
                <w:color w:val="auto"/>
                <w:szCs w:val="21"/>
                <w:highlight w:val="none"/>
                <w:lang w:val="en-US" w:eastAsia="zh-CN"/>
              </w:rPr>
              <w:t xml:space="preserve">3</w:t>
            </w:r>
            <w:r>
              <w:rPr>
                <w:rFonts w:hint="eastAsia" w:ascii="宋体" w:hAnsi="宋体" w:cs="宋体"/>
                <w:strike w:val="0"/>
                <w:color w:val="auto"/>
                <w:szCs w:val="21"/>
                <w:highlight w:val="none"/>
              </w:rPr>
              <w:t xml:space="preserve">分，总计负偏离项数：16~20项，扣</w:t>
            </w:r>
            <w:r>
              <w:rPr>
                <w:rFonts w:hint="eastAsia" w:ascii="宋体" w:hAnsi="宋体" w:cs="宋体"/>
                <w:strike w:val="0"/>
                <w:color w:val="auto"/>
                <w:szCs w:val="21"/>
                <w:highlight w:val="none"/>
                <w:lang w:val="en-US" w:eastAsia="zh-CN"/>
              </w:rPr>
              <w:t xml:space="preserve">4</w:t>
            </w:r>
            <w:r>
              <w:rPr>
                <w:rFonts w:hint="eastAsia" w:ascii="宋体" w:hAnsi="宋体" w:cs="宋体"/>
                <w:strike w:val="0"/>
                <w:color w:val="auto"/>
                <w:szCs w:val="21"/>
                <w:highlight w:val="none"/>
              </w:rPr>
              <w:t xml:space="preserve">分，总计负偏离项数：≥</w:t>
            </w:r>
            <w:r>
              <w:rPr>
                <w:rFonts w:hint="eastAsia" w:ascii="宋体" w:hAnsi="宋体" w:cs="宋体"/>
                <w:strike w:val="0"/>
                <w:color w:val="auto"/>
                <w:szCs w:val="21"/>
                <w:highlight w:val="none"/>
                <w:lang w:val="en-US" w:eastAsia="zh-CN"/>
              </w:rPr>
              <w:t xml:space="preserve">10</w:t>
            </w:r>
            <w:r>
              <w:rPr>
                <w:rFonts w:hint="eastAsia" w:ascii="宋体" w:hAnsi="宋体" w:cs="宋体"/>
                <w:strike w:val="0"/>
                <w:color w:val="auto"/>
                <w:szCs w:val="21"/>
                <w:highlight w:val="none"/>
              </w:rPr>
              <w:t xml:space="preserve">项，扣</w:t>
            </w:r>
            <w:r>
              <w:rPr>
                <w:rFonts w:hint="eastAsia" w:ascii="宋体" w:hAnsi="宋体" w:cs="宋体"/>
                <w:strike w:val="0"/>
                <w:color w:val="auto"/>
                <w:szCs w:val="21"/>
                <w:highlight w:val="none"/>
                <w:lang w:val="en-US" w:eastAsia="zh-CN"/>
              </w:rPr>
              <w:t xml:space="preserve">5</w:t>
            </w:r>
            <w:r>
              <w:rPr>
                <w:rFonts w:hint="eastAsia" w:ascii="宋体" w:hAnsi="宋体" w:cs="宋体"/>
                <w:strike w:val="0"/>
                <w:color w:val="auto"/>
                <w:szCs w:val="21"/>
                <w:highlight w:val="none"/>
              </w:rPr>
              <w:t xml:space="preserve">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（1）“▲”号项指标参数须提供第三方检验报告加盖投标人公章，并同时须在《技术参数响应及偏离表》中逐条应答，未按要求提供证明材料并根据证明材料逐条应答的视为负偏离，评审时不予认可。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（2）未标注“▲”的一般参数应在《技术参数响应及偏离表》中逐项说明偏离情况。未按要求逐条应答的视为负偏离，评审时不予认可。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（3）技术参数建议使用明显标注，采用如箭头、标红或下划线等方式，以方便评委查看。</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设备交付验收时，招标人将对技术要求的具体描述进行核实验收，如发现虚假应标，给招标人造成损失的由投标人承担一切责任。</w:t>
            </w:r>
            <w:r/>
          </w:p>
        </w:tc>
      </w:tr>
      <w:tr>
        <w:trPr>
          <w:trHeight w:val="538"/>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根据项目需求制定整体实施方案，评委依据方案的专业性和完善度进行综合评分。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实施方案明确、思路清晰、内容具体详实、便于操作，进度安排科学合理衔接顺畅的得10分；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实施方案较明确、思路较清晰、内容较具体详实、具有操作性，进度安排可行衔接较顺畅的得7分；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实施方案基本明确、思路基本清晰、内容基本具体但不够详实，具有一定操作性，有大致进度安排但细节不足的得4分；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实施方案不明确、思路阐述不够清晰、无</w:t>
            </w:r>
            <w:r>
              <w:rPr>
                <w:rFonts w:hint="eastAsia" w:ascii="宋体" w:hAnsi="宋体" w:cs="宋体"/>
                <w:color w:val="auto"/>
                <w:szCs w:val="21"/>
                <w:highlight w:val="none"/>
                <w:lang w:eastAsia="zh-CN" w:bidi="ar"/>
              </w:rPr>
              <w:t xml:space="preserve">实质性</w:t>
            </w:r>
            <w:r>
              <w:rPr>
                <w:rFonts w:hint="eastAsia" w:ascii="宋体" w:hAnsi="宋体" w:cs="宋体"/>
                <w:color w:val="auto"/>
                <w:szCs w:val="21"/>
                <w:highlight w:val="none"/>
                <w:lang w:bidi="ar"/>
              </w:rPr>
              <w:t xml:space="preserve">可行内容，不具有可操作性，进度安排模糊的得1分；</w:t>
            </w:r>
            <w:r/>
          </w:p>
          <w:p>
            <w:pPr>
              <w:numPr>
                <w:ilvl w:val="0"/>
                <w:numId w:val="3"/>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未提供实施方案的不得分。</w:t>
            </w:r>
            <w:r/>
          </w:p>
        </w:tc>
      </w:tr>
      <w:tr>
        <w:trPr>
          <w:trHeight w:val="7660"/>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w:t>
            </w:r>
            <w:r>
              <w:rPr>
                <w:rFonts w:hint="eastAsia" w:ascii="宋体" w:hAnsi="宋体" w:cs="宋体"/>
                <w:color w:val="auto"/>
                <w:szCs w:val="21"/>
                <w:highlight w:val="none"/>
                <w:lang w:val="en-US" w:eastAsia="zh-CN"/>
              </w:rPr>
              <w:t xml:space="preserve">维护</w:t>
            </w:r>
            <w:r>
              <w:rPr>
                <w:rFonts w:hint="eastAsia" w:ascii="宋体" w:hAnsi="宋体" w:cs="宋体"/>
                <w:color w:val="auto"/>
                <w:szCs w:val="21"/>
                <w:highlight w:val="none"/>
              </w:rPr>
              <w:t xml:space="preserve">方案</w:t>
            </w:r>
            <w:r/>
          </w:p>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pStyle w:val="776"/>
              <w:jc w:val="both"/>
              <w:spacing w:beforeAutospacing="0" w:afterAutospacing="0" w:line="360" w:lineRule="auto"/>
              <w:rPr>
                <w:b/>
                <w:bCs/>
                <w:color w:val="auto"/>
                <w:highlight w:val="none"/>
              </w:rPr>
            </w:pPr>
            <w:r>
              <w:rPr>
                <w:rFonts w:hint="eastAsia" w:ascii="宋体" w:hAnsi="宋体" w:cs="宋体"/>
                <w:b/>
                <w:bCs/>
                <w:color w:val="auto"/>
                <w:sz w:val="21"/>
                <w:szCs w:val="21"/>
                <w:highlight w:val="none"/>
              </w:rPr>
              <w:t xml:space="preserve">根据本项目需求制定详细的售后维护方案，包括响应时间、维修工程师能力、备品配件、维修站点情况、能够提供的增值服务等内容，评委依据方案的专业性和完善度进行综合评分。</w:t>
            </w:r>
            <w:r/>
          </w:p>
          <w:p>
            <w:pPr>
              <w:pStyle w:val="776"/>
              <w:numPr>
                <w:ilvl w:val="0"/>
                <w:numId w:val="4"/>
              </w:numPr>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售后方案内容科学、描述详细，响应时间及相关服务承诺内容详实且合理高效，维修工程师专业素养高且有丰富经验，备品配件齐全，维修站点布局合理、设施完善，提供多样化且实用的增值服务的得10分；</w:t>
            </w:r>
            <w:r/>
          </w:p>
          <w:p>
            <w:pPr>
              <w:pStyle w:val="776"/>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较科学、描述较详细，响应时间及相关服务承诺内容较详实、合理，维修工程师专业素养较高，有一定经验，备品配件较齐全，有维修站点、设施较完善，提供少量的增值服务、实用性一般的得7分；</w:t>
            </w:r>
            <w:r/>
          </w:p>
          <w:p>
            <w:pPr>
              <w:pStyle w:val="776"/>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基本齐全，响应时间及相关服务承诺内容基本合理，针对可能发生的不同类型的故障有基本的流程和措施但不够细化、有部分故障覆盖不足，维修工程师有基本专业素养但经验不足，备品配件基本满足日常需求，有维修站点但布局一般、设施一般，无增值服务或增值服务无实用性的得4分；</w:t>
            </w:r>
            <w:r/>
          </w:p>
          <w:p>
            <w:pPr>
              <w:pStyle w:val="776"/>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售后方案内容描述不详细，响应时间及相关服务承诺内容不明确，维修工程师专业素养不清晰，经验不足，备品配件种类少、储备不足，无维修站点，无增值服务或增值服务无实用性的得1分；</w:t>
            </w:r>
            <w:r/>
          </w:p>
          <w:p>
            <w:pPr>
              <w:numPr>
                <w:ilvl w:val="0"/>
                <w:numId w:val="4"/>
              </w:numPr>
              <w:rPr>
                <w:rFonts w:hint="eastAsia" w:ascii="宋体" w:hAnsi="宋体" w:cs="宋体"/>
                <w:bCs/>
                <w:color w:val="auto"/>
                <w:szCs w:val="21"/>
                <w:highlight w:val="none"/>
              </w:rPr>
            </w:pPr>
            <w:r>
              <w:rPr>
                <w:rFonts w:hint="eastAsia" w:ascii="宋体" w:hAnsi="宋体" w:cs="宋体"/>
                <w:color w:val="auto"/>
                <w:szCs w:val="21"/>
                <w:highlight w:val="none"/>
              </w:rPr>
              <w:t xml:space="preserve">未提供</w:t>
            </w:r>
            <w:r>
              <w:rPr>
                <w:rFonts w:hint="eastAsia" w:ascii="宋体" w:hAnsi="宋体" w:cs="宋体"/>
                <w:color w:val="auto"/>
                <w:szCs w:val="21"/>
                <w:highlight w:val="none"/>
                <w:lang w:val="en-US" w:eastAsia="zh-CN"/>
              </w:rPr>
              <w:t xml:space="preserve">售后</w:t>
            </w:r>
            <w:r>
              <w:rPr>
                <w:rFonts w:hint="eastAsia" w:ascii="宋体" w:hAnsi="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培训服务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p>
            <w:pPr>
              <w:pStyle w:val="760"/>
              <w:ind w:left="0"/>
              <w:jc w:val="center"/>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根据本项目需求制定详细的培训方案，评委依据方案的专业性和完善度进行综合评分。</w:t>
            </w:r>
            <w:r/>
          </w:p>
          <w:p>
            <w:pPr>
              <w:pStyle w:val="760"/>
              <w:numPr>
                <w:ilvl w:val="0"/>
                <w:numId w:val="0"/>
              </w:numPr>
              <w:ind w:left="0" w:firstLine="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培训方案逻辑清晰、内容完整、灵活性大，培训人数多、时间安排合理全面，培训要点难点明确分析精准，覆盖面广泛，且培训计划覆盖供货、安装服务期，具有全面的技术支持能力的得 10分；</w:t>
            </w:r>
            <w:r/>
          </w:p>
          <w:p>
            <w:pPr>
              <w:pStyle w:val="760"/>
              <w:numPr>
                <w:ilvl w:val="0"/>
                <w:numId w:val="0"/>
              </w:numPr>
              <w:ind w:left="0" w:firstLine="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p>
          <w:p>
            <w:pPr>
              <w:pStyle w:val="760"/>
              <w:numPr>
                <w:ilvl w:val="0"/>
                <w:numId w:val="0"/>
              </w:numP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培训方案逻辑较清晰、内容较完整、灵活性较大、培训人数较多、时间安排较合理全面，培训要点难点明确分析较精准，覆盖面较广泛，且培训计划基本覆盖供货、安装服务期，具有比较全面的技术支持能力的得 7分；</w:t>
            </w:r>
            <w:r/>
          </w:p>
          <w:p>
            <w:pPr>
              <w:pStyle w:val="760"/>
              <w:numPr>
                <w:ilvl w:val="0"/>
                <w:numId w:val="0"/>
              </w:numPr>
              <w:ind w:left="0" w:firstLine="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培训方案逻辑基本清晰、内容基本完整、有一定灵活性、培训人数一般、时间安排基本合理，培训要点难点有一定分析，覆盖面一般，且培训计划部分覆盖供货、安装服务期，技术支持能力一般的得 4分；</w:t>
            </w:r>
            <w:r/>
          </w:p>
          <w:p>
            <w:pPr>
              <w:pStyle w:val="760"/>
              <w:numPr>
                <w:ilvl w:val="0"/>
                <w:numId w:val="0"/>
              </w:numPr>
              <w:ind w:left="0" w:firstLine="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Cs w:val="21"/>
                <w:highlight w:val="none"/>
              </w:rPr>
              <w:t xml:space="preserve">培训方案逻辑不清晰、内容不完整，培训要点难点未有具体分析，覆盖面不广泛，且培训计划未全面覆盖供货、安装服务期，不太能体现技术支持能力的得 1分；</w:t>
            </w:r>
            <w:r/>
          </w:p>
          <w:p>
            <w:pPr>
              <w:pStyle w:val="760"/>
              <w:numPr>
                <w:ilvl w:val="0"/>
                <w:numId w:val="0"/>
              </w:numPr>
              <w:ind w:left="0" w:firstLine="0"/>
              <w:spacing w:after="0" w:line="360" w:lineRule="auto"/>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color w:val="auto"/>
                <w:szCs w:val="21"/>
                <w:highlight w:val="none"/>
              </w:rPr>
              <w:t xml:space="preserve">未提供培训服务方案的</w:t>
            </w:r>
            <w:r>
              <w:rPr>
                <w:rFonts w:hint="eastAsia" w:ascii="宋体" w:hAnsi="宋体" w:eastAsia="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得分。</w:t>
            </w:r>
            <w:r/>
          </w:p>
        </w:tc>
      </w:tr>
      <w:tr>
        <w:trPr>
          <w:trHeight w:val="416"/>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60"/>
              <w:ind w:left="0"/>
              <w:jc w:val="cente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突发事件的应急响应措施方案</w:t>
            </w:r>
            <w:r/>
          </w:p>
          <w:p>
            <w:pPr>
              <w:pStyle w:val="760"/>
              <w:ind w:left="0"/>
              <w:jc w:val="center"/>
              <w:spacing w:after="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对供货过程和技术服务期间突发事件的应急响应措施方案，评委依据方案的专业性和完善度进行综合评分。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rPr>
              <w:t xml:space="preserve">对供货过程和技术服务期间突发事件有具体、详细、可操作性强的流程和措施，覆盖全面、责任分工明确、响应机制完善，得 10分；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rPr>
              <w:t xml:space="preserve">对供货过程和技术服务期间突发事件有较具体、较可操作的流程和措施，覆盖较全面、有基本责任分工和响应安排，得 7分；</w:t>
            </w:r>
            <w:r/>
          </w:p>
          <w:p>
            <w:pPr>
              <w:pStyle w:val="776"/>
              <w:numPr>
                <w:ilvl w:val="0"/>
                <w:numId w:val="0"/>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（3）对供货过程和技术服务期间突发事件有基本的流程和措施，但细化程度一般、责任分工或响应机制不够明确，覆盖有一定不足，得 4分；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（4）对供货过程和技术服务期间突发事件有基本的流程和措施，但不够细化，且部分故障或突发场景覆盖不足，缺乏明确的操作步骤，得 1分；</w:t>
            </w:r>
            <w:r/>
          </w:p>
          <w:p>
            <w:pPr>
              <w:pStyle w:val="776"/>
              <w:numPr>
                <w:ilvl w:val="0"/>
                <w:numId w:val="0"/>
              </w:numPr>
              <w:ind w:left="0" w:firstLine="0"/>
              <w:jc w:val="both"/>
              <w:spacing w:beforeAutospacing="0" w:afterAutospacing="0" w:line="360" w:lineRule="auto"/>
              <w:rPr>
                <w:rFonts w:hint="eastAsia"/>
                <w:color w:val="auto"/>
                <w:highlight w:val="none"/>
              </w:rPr>
            </w:pPr>
            <w:r>
              <w:rPr>
                <w:rFonts w:hint="eastAsia" w:ascii="宋体" w:hAnsi="宋体" w:cs="宋体"/>
                <w:color w:val="auto"/>
                <w:sz w:val="21"/>
                <w:szCs w:val="21"/>
                <w:highlight w:val="none"/>
                <w:lang w:val="en-US" w:eastAsia="zh-CN"/>
              </w:rPr>
              <w:t xml:space="preserve">（5）未提供突发事件处理方案的不得分。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60"/>
              <w:ind w:left="0"/>
              <w:jc w:val="center"/>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团队实力</w:t>
            </w:r>
            <w:r/>
          </w:p>
          <w:p>
            <w:pPr>
              <w:pStyle w:val="760"/>
              <w:ind w:left="0"/>
              <w:jc w:val="center"/>
              <w:spacing w:after="0"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pStyle w:val="776"/>
              <w:numPr>
                <w:ilvl w:val="0"/>
                <w:numId w:val="0"/>
              </w:numPr>
              <w:ind w:left="0" w:firstLine="0"/>
              <w:jc w:val="both"/>
              <w:spacing w:beforeAutospacing="0" w:afterAutospacing="0"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根据投标人投标文件中拟为本项目配备的人员情况进行综合评审，主要考虑人员组成、组织架构、分类及数量等是否充足、合理：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 人员组成结构合理、组织架构清晰、岗位安排合理、人员数量可以充分得到保障的，得10分；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 人员组成结构较为合理、组织架构较为清晰、岗位安排较为合理、人员数量较为充足的，得7分；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 人员组成结构基本合理、组织架构基本清晰、岗位安排基本合理、人员数量基本可以满足项目需求的，得4分；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 人员组成结构有待优化、有一定的组织架构、岗位安排有待优化、人员数量有待进一步充实的，得1分；</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 人员组成结构不合理、组织架构不清晰、岗位安排不合理、人员数量严重不足的不得分</w:t>
            </w:r>
            <w:bookmarkStart w:id="93" w:name="_GoBack"/>
            <w:r/>
            <w:bookmarkEnd w:id="93"/>
            <w:r>
              <w:rPr>
                <w:rFonts w:hint="eastAsia" w:ascii="宋体" w:hAnsi="宋体" w:cs="宋体"/>
                <w:color w:val="auto"/>
                <w:sz w:val="21"/>
                <w:szCs w:val="21"/>
                <w:highlight w:val="none"/>
                <w:lang w:val="en-US" w:eastAsia="zh-CN"/>
              </w:rPr>
              <w:t xml:space="preserve">。</w:t>
            </w:r>
            <w:r/>
          </w:p>
          <w:p>
            <w:pPr>
              <w:pStyle w:val="776"/>
              <w:numPr>
                <w:ilvl w:val="0"/>
                <w:numId w:val="0"/>
              </w:numPr>
              <w:ind w:left="0" w:firstLine="0"/>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（提供人员配备相关证明材料，如：人员名单、人员职能等，未提供材料导致无法评审的，该项不得分）</w:t>
            </w:r>
            <w:r/>
          </w:p>
        </w:tc>
      </w:tr>
      <w:tr>
        <w:trPr>
          <w:trHeight w:val="416"/>
        </w:trPr>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3" w:type="pct"/>
            <w:vAlign w:val="center"/>
            <w:textDirection w:val="lrTb"/>
            <w:noWrap w:val="false"/>
          </w:tcPr>
          <w:p>
            <w:pPr>
              <w:pStyle w:val="75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 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年1月1日以来（以合同签订时间为准），承担过与本项目类似业绩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同时提供与业绩相对应的合同用户</w:t>
            </w:r>
            <w:r>
              <w:rPr>
                <w:rFonts w:hint="eastAsia" w:ascii="宋体" w:hAnsi="宋体" w:cs="宋体"/>
                <w:color w:val="auto"/>
                <w:szCs w:val="21"/>
                <w:highlight w:val="none"/>
                <w:lang w:val="en-US" w:eastAsia="zh-CN"/>
              </w:rPr>
              <w:t xml:space="preserve">产品使用</w:t>
            </w:r>
            <w:r>
              <w:rPr>
                <w:rFonts w:hint="eastAsia" w:ascii="宋体" w:hAnsi="宋体" w:cs="宋体"/>
                <w:color w:val="auto"/>
                <w:szCs w:val="21"/>
                <w:highlight w:val="none"/>
              </w:rPr>
              <w:t xml:space="preserve">评价，每提供一个得2分，满分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75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注：提供类似业绩合同及用户出具的相对应的</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评价扫描件，系统上传，类似业绩合同和</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评价缺一不可。</w:t>
            </w:r>
            <w:r/>
          </w:p>
          <w:p>
            <w:pPr>
              <w:pStyle w:val="75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合同至少包含签订时间、合同双方名称、产品名称、合同总价；</w:t>
            </w:r>
            <w:r/>
          </w:p>
          <w:p>
            <w:pPr>
              <w:pStyle w:val="758"/>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评价至少包含项目名称、时间、合同双方名称、产品名称及业主</w:t>
            </w:r>
            <w:r>
              <w:rPr>
                <w:rFonts w:hint="eastAsia" w:ascii="宋体" w:hAnsi="宋体" w:cs="宋体"/>
                <w:b/>
                <w:bCs/>
                <w:color w:val="auto"/>
                <w:szCs w:val="21"/>
                <w:highlight w:val="none"/>
                <w:lang w:val="en-US" w:eastAsia="zh-CN"/>
              </w:rPr>
              <w:t xml:space="preserve">盖章</w:t>
            </w:r>
            <w:r>
              <w:rPr>
                <w:rFonts w:hint="eastAsia" w:ascii="宋体" w:hAnsi="宋体" w:cs="宋体"/>
                <w:b/>
                <w:bCs/>
                <w:color w:val="auto"/>
                <w:szCs w:val="21"/>
                <w:highlight w:val="none"/>
              </w:rPr>
              <w:t xml:space="preserve">。合同或</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评价要素不完整或者内容不清晰无法辨认或未按要求提供不得分。</w:t>
            </w:r>
            <w:r/>
          </w:p>
        </w:tc>
      </w:tr>
    </w:tbl>
    <w:p>
      <w:pPr>
        <w:rPr>
          <w:color w:val="auto"/>
          <w:highlight w:val="none"/>
        </w:rPr>
      </w:pPr>
      <w:r>
        <w:rPr>
          <w:rFonts w:hint="eastAsia"/>
          <w:color w:val="auto"/>
          <w:highlight w:val="none"/>
        </w:rPr>
        <w:br w:type="page" w:clear="all"/>
      </w:r>
      <w:r/>
    </w:p>
    <w:p>
      <w:pPr>
        <w:pStyle w:val="745"/>
        <w:rPr>
          <w:color w:val="auto"/>
          <w:highlight w:val="none"/>
        </w:rPr>
      </w:pPr>
      <w:r>
        <w:rPr>
          <w:rFonts w:hint="eastAsia"/>
          <w:color w:val="auto"/>
          <w:highlight w:val="none"/>
        </w:rPr>
        <w:t xml:space="preserve">第六章 投标文件格式</w:t>
      </w:r>
      <w:bookmarkEnd w:id="64"/>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0"/>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i w:val="0"/>
          <w:iCs/>
          <w:color w:val="auto"/>
          <w:sz w:val="24"/>
          <w:highlight w:val="none"/>
          <w:u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val="0"/>
          <w:iCs/>
          <w:color w:val="auto"/>
          <w:sz w:val="24"/>
          <w:highlight w:val="none"/>
          <w:u w:val="non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五、投标分项报价表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eastAsia="zh-CN"/>
        </w:rPr>
        <w:t xml:space="preserve">技术要求响应及偏离表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商务要求响应及偏离表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3"/>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5" w:name="_Toc5792"/>
      <w:r/>
      <w:bookmarkStart w:id="66" w:name="_Toc20369"/>
      <w:r/>
      <w:bookmarkStart w:id="67" w:name="_Toc7268"/>
      <w:r>
        <w:rPr>
          <w:rFonts w:hint="eastAsia" w:ascii="宋体" w:hAnsi="宋体" w:eastAsia="宋体" w:cs="宋体"/>
          <w:color w:val="auto"/>
          <w:sz w:val="32"/>
          <w:highlight w:val="none"/>
        </w:rPr>
        <w:t xml:space="preserve">一、</w:t>
      </w:r>
      <w:bookmarkEnd w:id="65"/>
      <w:r/>
      <w:bookmarkEnd w:id="66"/>
      <w:r/>
      <w:bookmarkEnd w:id="67"/>
      <w:r>
        <w:rPr>
          <w:rFonts w:hint="eastAsia" w:ascii="宋体" w:hAnsi="宋体" w:cs="宋体"/>
          <w:color w:val="auto"/>
          <w:sz w:val="24"/>
          <w:highlight w:val="none"/>
        </w:rPr>
        <w:t xml:space="preserve">资格审查响应对照表</w:t>
      </w:r>
      <w:r/>
    </w:p>
    <w:tbl>
      <w:tblPr>
        <w:tblStyle w:val="75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48"/>
        <w:gridCol w:w="6070"/>
        <w:gridCol w:w="39"/>
        <w:gridCol w:w="1669"/>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ind w:firstLine="42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本项目专门面向中小</w:t>
            </w:r>
            <w:r>
              <w:rPr>
                <w:rFonts w:hint="eastAsia" w:ascii="宋体" w:hAnsi="宋体" w:cs="宋体"/>
                <w:i w:val="0"/>
                <w:iCs w:val="0"/>
                <w:color w:val="auto"/>
                <w:sz w:val="21"/>
                <w:szCs w:val="21"/>
                <w:highlight w:val="none"/>
                <w:u w:val="none"/>
                <w:lang w:val="en-US" w:eastAsia="zh-CN"/>
              </w:rPr>
              <w:t xml:space="preserve">微</w:t>
            </w:r>
            <w:r>
              <w:rPr>
                <w:rFonts w:hint="eastAsia" w:ascii="宋体" w:hAnsi="宋体" w:cs="宋体"/>
                <w:i w:val="0"/>
                <w:iCs w:val="0"/>
                <w:color w:val="auto"/>
                <w:sz w:val="21"/>
                <w:szCs w:val="21"/>
                <w:highlight w:val="none"/>
                <w:u w:val="none"/>
              </w:rPr>
              <w:t xml:space="preserve">企业采购。残疾人福利性单位、监狱和戒毒企业（简称监狱企业）视同小型、微型企业。</w:t>
            </w:r>
            <w:r>
              <w:rPr>
                <w:rFonts w:hint="eastAsia" w:ascii="宋体" w:hAnsi="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val="en-US" w:eastAsia="zh-CN"/>
              </w:rPr>
              <w:t xml:space="preserve">投标人</w:t>
            </w:r>
            <w:r>
              <w:rPr>
                <w:rFonts w:hint="eastAsia" w:ascii="宋体" w:hAnsi="宋体" w:cs="宋体"/>
                <w:b w:val="0"/>
                <w:bCs w:val="0"/>
                <w:i w:val="0"/>
                <w:iCs w:val="0"/>
                <w:color w:val="auto"/>
                <w:sz w:val="21"/>
                <w:szCs w:val="21"/>
                <w:highlight w:val="none"/>
                <w:u w:val="non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无</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singl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09"/>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0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0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0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0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09"/>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09"/>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09"/>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9"/>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9"/>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09"/>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1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1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t xml:space="preserve">法定代表人身份证复印件、被授权人身份证复印件</w:t>
      </w:r>
      <w:r/>
    </w:p>
    <w:p>
      <w:pPr>
        <w:pStyle w:val="973"/>
        <w:rPr>
          <w:rFonts w:hint="eastAsia" w:ascii="宋体" w:hAnsi="宋体" w:eastAsia="宋体" w:cs="宋体"/>
          <w:color w:val="auto"/>
          <w:sz w:val="32"/>
          <w:highlight w:val="none"/>
        </w:rPr>
      </w:pPr>
      <w:r/>
      <w:bookmarkStart w:id="68" w:name="_Toc9345"/>
      <w:r/>
      <w:bookmarkStart w:id="69" w:name="_Toc20616"/>
      <w:r/>
      <w:bookmarkStart w:id="70" w:name="_Toc16911"/>
      <w:r>
        <w:rPr>
          <w:rFonts w:hint="eastAsia" w:ascii="宋体" w:hAnsi="宋体" w:eastAsia="宋体" w:cs="宋体"/>
          <w:color w:val="auto"/>
          <w:sz w:val="32"/>
          <w:highlight w:val="none"/>
        </w:rPr>
        <w:t xml:space="preserve">二、符合性审查响应对照表</w:t>
      </w:r>
      <w:bookmarkEnd w:id="68"/>
      <w:r/>
      <w:bookmarkEnd w:id="69"/>
      <w:r/>
      <w:bookmarkEnd w:id="70"/>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08"/>
        <w:gridCol w:w="1574"/>
        <w:gridCol w:w="1226"/>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73"/>
        <w:rPr>
          <w:rFonts w:hint="eastAsia" w:ascii="宋体" w:hAnsi="宋体" w:eastAsia="宋体" w:cs="宋体"/>
          <w:color w:val="auto"/>
          <w:sz w:val="32"/>
          <w:highlight w:val="none"/>
        </w:rPr>
      </w:pPr>
      <w:r/>
      <w:bookmarkStart w:id="71" w:name="_Toc23420"/>
      <w:r/>
      <w:bookmarkStart w:id="72" w:name="_Toc23068"/>
      <w:r/>
      <w:bookmarkStart w:id="73" w:name="_Toc29406"/>
      <w:r>
        <w:rPr>
          <w:rFonts w:hint="eastAsia" w:ascii="宋体" w:hAnsi="宋体" w:eastAsia="宋体" w:cs="宋体"/>
          <w:color w:val="auto"/>
          <w:sz w:val="32"/>
          <w:highlight w:val="none"/>
        </w:rPr>
        <w:t xml:space="preserve">三、非实质性响应对照表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08"/>
        <w:gridCol w:w="1574"/>
        <w:gridCol w:w="1226"/>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rPr>
          <w:rStyle w:val="999"/>
          <w:rFonts w:hint="eastAsia" w:ascii="宋体" w:hAnsi="宋体" w:cs="宋体"/>
          <w:color w:val="auto"/>
          <w:szCs w:val="21"/>
          <w:highlight w:val="none"/>
        </w:rPr>
      </w:pPr>
      <w:r>
        <w:rPr>
          <w:rStyle w:val="999"/>
          <w:rFonts w:hint="eastAsia" w:ascii="宋体" w:hAnsi="宋体" w:cs="宋体"/>
          <w:color w:val="auto"/>
          <w:szCs w:val="21"/>
          <w:highlight w:val="none"/>
        </w:rPr>
        <w:br w:type="page" w:clear="all"/>
      </w:r>
      <w:r/>
    </w:p>
    <w:p>
      <w:pPr>
        <w:jc w:val="center"/>
        <w:rPr>
          <w:rStyle w:val="999"/>
          <w:rFonts w:hint="eastAsia" w:ascii="宋体" w:hAnsi="宋体" w:cs="宋体"/>
          <w:color w:val="auto"/>
          <w:szCs w:val="21"/>
          <w:highlight w:val="none"/>
        </w:rPr>
      </w:pPr>
      <w:r>
        <w:rPr>
          <w:rStyle w:val="999"/>
          <w:rFonts w:hint="eastAsia" w:ascii="宋体" w:hAnsi="宋体" w:cs="宋体"/>
          <w:color w:val="auto"/>
          <w:szCs w:val="21"/>
          <w:highlight w:val="none"/>
        </w:rPr>
        <w:t xml:space="preserve">中小微企业划型标准</w:t>
      </w:r>
      <w:r/>
    </w:p>
    <w:p>
      <w:pPr>
        <w:pStyle w:val="994"/>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99"/>
          <w:rFonts w:hint="eastAsia" w:ascii="宋体" w:hAnsi="宋体" w:cs="宋体"/>
          <w:color w:val="auto"/>
          <w:sz w:val="21"/>
          <w:szCs w:val="21"/>
          <w:highlight w:val="none"/>
        </w:rPr>
        <w:t xml:space="preserve">中小微企业划型标准如下：</w:t>
      </w:r>
      <w:r/>
    </w:p>
    <w:tbl>
      <w:tblPr>
        <w:tblStyle w:val="75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4"/>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4"/>
              <w:ind w:firstLine="420"/>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4"/>
              <w:jc w:val="center"/>
              <w:spacing w:after="150" w:line="360" w:lineRule="auto"/>
              <w:widowControl/>
              <w:rPr>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X＜10</w:t>
            </w:r>
            <w:r/>
          </w:p>
        </w:tc>
      </w:tr>
    </w:tbl>
    <w:p>
      <w:pPr>
        <w:pStyle w:val="994"/>
        <w:ind w:firstLine="810"/>
        <w:spacing w:before="300" w:after="452" w:line="360" w:lineRule="auto"/>
        <w:widowControl/>
        <w:rPr>
          <w:rStyle w:val="999"/>
          <w:rFonts w:hint="eastAsia" w:ascii="宋体" w:hAnsi="宋体" w:cs="宋体"/>
          <w:color w:val="auto"/>
          <w:sz w:val="21"/>
          <w:szCs w:val="21"/>
          <w:highlight w:val="none"/>
        </w:rPr>
      </w:pPr>
      <w:r>
        <w:rPr>
          <w:rStyle w:val="99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74"/>
        <w:rPr>
          <w:rFonts w:hint="eastAsia" w:ascii="宋体" w:hAnsi="宋体" w:cs="宋体"/>
          <w:color w:val="auto"/>
          <w:highlight w:val="none"/>
        </w:rPr>
      </w:pPr>
      <w:r>
        <w:rPr>
          <w:rStyle w:val="999"/>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JSZC-321000-SWGC-G2026-0071</w:t>
      </w:r>
      <w:r>
        <w:rPr>
          <w:rFonts w:hint="eastAsia" w:ascii="宋体" w:hAnsi="宋体"/>
          <w:color w:val="auto"/>
          <w:sz w:val="21"/>
          <w:szCs w:val="21"/>
          <w:highlight w:val="none"/>
          <w:u w:val="single"/>
        </w:rPr>
        <w:t xml:space="preserve">号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p>
    <w:p>
      <w:pPr>
        <w:pStyle w:val="77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82"/>
          <w:rFonts w:hint="eastAsia" w:ascii="宋体" w:hAnsi="宋体" w:eastAsia="宋体" w:cs="宋体"/>
          <w:i w:val="0"/>
          <w:color w:val="auto"/>
          <w:highlight w:val="none"/>
          <w:u w:val="single"/>
          <w:shd w:val="clear" w:color="auto" w:fill="ffffff"/>
        </w:rPr>
        <w:t xml:space="preserve">（产品名称1）</w:t>
      </w:r>
      <w:r>
        <w:rPr>
          <w:rStyle w:val="782"/>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82"/>
          <w:rFonts w:hint="eastAsia" w:ascii="宋体" w:hAnsi="宋体" w:eastAsia="宋体" w:cs="宋体"/>
          <w:i w:val="0"/>
          <w:color w:val="auto"/>
          <w:highlight w:val="none"/>
          <w:u w:val="single"/>
          <w:shd w:val="clear" w:color="auto" w:fill="ffffff"/>
        </w:rPr>
        <w:t xml:space="preserve">（厂名）</w:t>
      </w:r>
      <w:r>
        <w:rPr>
          <w:rStyle w:val="782"/>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82"/>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82"/>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82"/>
          <w:rFonts w:hint="eastAsia" w:ascii="宋体" w:hAnsi="宋体" w:eastAsia="宋体" w:cs="宋体"/>
          <w:i w:val="0"/>
          <w:color w:val="auto"/>
          <w:highlight w:val="none"/>
          <w:u w:val="single"/>
          <w:shd w:val="clear" w:color="auto" w:fill="ffffff"/>
        </w:rPr>
        <w:t xml:space="preserve">（规定比例）</w:t>
      </w:r>
      <w:r>
        <w:rPr>
          <w:rStyle w:val="782"/>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8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2"/>
          <w:rFonts w:hint="eastAsia" w:ascii="宋体" w:hAnsi="宋体" w:eastAsia="宋体" w:cs="宋体"/>
          <w:i w:val="0"/>
          <w:color w:val="auto"/>
          <w:highlight w:val="none"/>
          <w:u w:val="single"/>
          <w:shd w:val="clear" w:color="auto" w:fill="ffffff"/>
        </w:rPr>
        <w:t xml:space="preserve">（关键组件）</w:t>
      </w:r>
      <w:r>
        <w:rPr>
          <w:rStyle w:val="782"/>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8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2"/>
          <w:rFonts w:hint="eastAsia" w:ascii="宋体" w:hAnsi="宋体" w:eastAsia="宋体" w:cs="宋体"/>
          <w:i w:val="0"/>
          <w:color w:val="auto"/>
          <w:highlight w:val="none"/>
          <w:u w:val="single"/>
          <w:shd w:val="clear" w:color="auto" w:fill="ffffff"/>
        </w:rPr>
        <w:t xml:space="preserve">（关键工序）</w:t>
      </w:r>
      <w:r>
        <w:rPr>
          <w:rStyle w:val="782"/>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8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82"/>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82"/>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8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82"/>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8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82"/>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8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2"/>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76"/>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76"/>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77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lang w:val="en-US" w:eastAsia="zh-CN"/>
        </w:rPr>
      </w:pPr>
      <w:r>
        <w:rPr>
          <w:rFonts w:hint="eastAsia" w:ascii="宋体" w:hAnsi="宋体" w:eastAsia="宋体" w:cs="宋体"/>
          <w:color w:val="auto"/>
          <w:sz w:val="22"/>
          <w:highlight w:val="none"/>
          <w:shd w:val="clear" w:color="auto" w:fill="ffffff"/>
          <w:lang w:val="en-US" w:eastAsia="zh-CN"/>
        </w:rPr>
        <w:t xml:space="preserve">7.如word斜线错位，请以下方图片所示为准。</w:t>
      </w:r>
      <w:r/>
    </w:p>
    <w:p>
      <w:pPr>
        <w:pStyle w:val="776"/>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E:\xwechat_files\luoboxiaowuzei_e771\temp\RWTemp\2026-03\c9f511a4c1d072259a887ee18cc5d0ba\322a02389c0a3bd68b9fafd7fe73f7eb.png"/>
                        <pic:cNvPicPr>
                          <a:picLocks noChangeAspect="1"/>
                        </pic:cNvPicPr>
                        <pic:nvPr/>
                      </pic:nvPicPr>
                      <pic:blipFill>
                        <a:blip r:embed="rId15"/>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4" w:name="_Toc25382"/>
      <w:r/>
      <w:bookmarkStart w:id="75" w:name="_Toc19910"/>
      <w:r>
        <w:rPr>
          <w:rFonts w:hint="eastAsia" w:ascii="宋体" w:hAnsi="宋体" w:cs="宋体"/>
          <w:b/>
          <w:bCs/>
          <w:color w:val="auto"/>
          <w:sz w:val="32"/>
          <w:szCs w:val="44"/>
          <w:highlight w:val="none"/>
        </w:rPr>
        <w:t xml:space="preserve">四、开标一览表</w:t>
      </w:r>
      <w:bookmarkEnd w:id="74"/>
      <w:r/>
      <w:bookmarkEnd w:id="75"/>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8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（人民币：元）</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79"/>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9"/>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6" w:name="_Toc20323"/>
      <w:r/>
      <w:bookmarkStart w:id="77" w:name="_Toc17891"/>
      <w:r>
        <w:rPr>
          <w:rFonts w:hint="eastAsia" w:ascii="宋体" w:hAnsi="宋体" w:cs="宋体"/>
          <w:b/>
          <w:bCs/>
          <w:color w:val="auto"/>
          <w:sz w:val="32"/>
          <w:szCs w:val="44"/>
          <w:highlight w:val="none"/>
        </w:rPr>
        <w:t xml:space="preserve">五、投标分项报价表</w:t>
      </w:r>
      <w:bookmarkEnd w:id="76"/>
      <w:r/>
      <w:bookmarkEnd w:id="77"/>
      <w:r/>
      <w:r/>
    </w:p>
    <w:tbl>
      <w:tblPr>
        <w:tblStyle w:val="7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
        <w:gridCol w:w="667"/>
        <w:gridCol w:w="667"/>
        <w:gridCol w:w="861"/>
        <w:gridCol w:w="899"/>
        <w:gridCol w:w="1016"/>
        <w:gridCol w:w="1272"/>
        <w:gridCol w:w="849"/>
        <w:gridCol w:w="926"/>
        <w:gridCol w:w="894"/>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76"/>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59"/>
        <w:rPr>
          <w:rFonts w:hint="eastAsia"/>
          <w:color w:val="auto"/>
          <w:highlight w:val="none"/>
        </w:rPr>
      </w:pPr>
      <w:r>
        <w:rPr>
          <w:rFonts w:hint="eastAsia"/>
          <w:color w:val="auto"/>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973"/>
        <w:rPr>
          <w:rFonts w:hint="eastAsia" w:ascii="宋体" w:hAnsi="宋体" w:eastAsia="宋体" w:cs="宋体"/>
          <w:color w:val="auto"/>
          <w:sz w:val="32"/>
          <w:highlight w:val="none"/>
          <w:lang w:eastAsia="zh-CN"/>
        </w:rPr>
      </w:pPr>
      <w:r/>
      <w:bookmarkStart w:id="78" w:name="_Toc16517"/>
      <w:r/>
      <w:bookmarkStart w:id="79" w:name="_Toc5967"/>
      <w:r/>
      <w:bookmarkStart w:id="80" w:name="_Toc9678"/>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w:t>
      </w:r>
      <w:bookmarkEnd w:id="78"/>
      <w:r/>
      <w:bookmarkEnd w:id="79"/>
      <w:r/>
      <w:bookmarkEnd w:id="80"/>
      <w:r>
        <w:rPr>
          <w:rFonts w:hint="eastAsia" w:ascii="宋体" w:hAnsi="宋体" w:eastAsia="宋体" w:cs="宋体"/>
          <w:color w:val="auto"/>
          <w:sz w:val="32"/>
          <w:highlight w:val="none"/>
          <w:lang w:eastAsia="zh-CN"/>
        </w:rPr>
        <w:t xml:space="preserve">技术要求响应及偏离表</w:t>
      </w:r>
      <w:r/>
    </w:p>
    <w:tbl>
      <w:tblPr>
        <w:tblStyle w:val="7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4"/>
        <w:gridCol w:w="2989"/>
        <w:gridCol w:w="1613"/>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81" w:name="_Hlt26955054"/>
      <w:r/>
      <w:bookmarkEnd w:id="81"/>
      <w:r/>
      <w:bookmarkStart w:id="82" w:name="_Toc16820"/>
      <w:r/>
      <w:bookmarkStart w:id="83" w:name="_Toc32154"/>
      <w:r/>
      <w:r/>
    </w:p>
    <w:p>
      <w:pPr>
        <w:pStyle w:val="759"/>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七</w:t>
      </w:r>
      <w:r>
        <w:rPr>
          <w:rFonts w:hint="eastAsia" w:ascii="宋体" w:hAnsi="宋体" w:cs="宋体"/>
          <w:b/>
          <w:bCs/>
          <w:color w:val="auto"/>
          <w:sz w:val="32"/>
          <w:szCs w:val="44"/>
          <w:highlight w:val="none"/>
        </w:rPr>
        <w:t xml:space="preserve">、</w:t>
      </w:r>
      <w:bookmarkEnd w:id="82"/>
      <w:r/>
      <w:bookmarkEnd w:id="83"/>
      <w:r>
        <w:rPr>
          <w:rFonts w:hint="eastAsia" w:ascii="宋体" w:hAnsi="宋体" w:cs="宋体"/>
          <w:b/>
          <w:bCs/>
          <w:color w:val="auto"/>
          <w:sz w:val="32"/>
          <w:szCs w:val="44"/>
          <w:highlight w:val="none"/>
          <w:lang w:eastAsia="zh-CN"/>
        </w:rPr>
        <w:t xml:space="preserve">商务要求响应及偏离表</w:t>
      </w:r>
      <w:r/>
    </w:p>
    <w:tbl>
      <w:tblPr>
        <w:tblStyle w:val="755"/>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4879081"/>
            <w:r/>
            <w:bookmarkEnd w:id="84"/>
            <w:r/>
            <w:bookmarkStart w:id="85" w:name="_Hlt26955064"/>
            <w:r/>
            <w:bookmarkEnd w:id="85"/>
            <w:r/>
            <w:bookmarkStart w:id="86" w:name="_Hlt26609391"/>
            <w:r/>
            <w:bookmarkEnd w:id="86"/>
            <w:r/>
            <w:bookmarkStart w:id="87" w:name="_Hlt26580838"/>
            <w:r/>
            <w:bookmarkEnd w:id="87"/>
            <w:r/>
            <w:bookmarkStart w:id="88" w:name="_Hlt26782999"/>
            <w:r/>
            <w:bookmarkEnd w:id="88"/>
            <w:r/>
            <w:bookmarkStart w:id="89" w:name="_Hlt26671343"/>
            <w:r/>
            <w:bookmarkEnd w:id="89"/>
            <w:r/>
            <w:bookmarkStart w:id="90" w:name="_Hlt26671372"/>
            <w:r/>
            <w:bookmarkEnd w:id="90"/>
            <w:r/>
            <w:bookmarkStart w:id="91" w:name="_Hlt26955056"/>
            <w:r/>
            <w:bookmarkEnd w:id="91"/>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9"/>
        <w:ind w:firstLine="480"/>
        <w:jc w:val="center"/>
        <w:rPr>
          <w:rFonts w:hint="eastAsia" w:ascii="宋体" w:hAnsi="宋体" w:cs="宋体"/>
          <w:b/>
          <w:bCs/>
          <w:color w:val="auto"/>
          <w:sz w:val="32"/>
          <w:szCs w:val="44"/>
          <w:highlight w:val="none"/>
        </w:rPr>
      </w:pPr>
      <w:r/>
      <w:bookmarkStart w:id="92" w:name="_Toc462564146"/>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、拟投入人员一览表</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79"/>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九、其他</w:t>
      </w:r>
      <w:bookmarkEnd w:id="92"/>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59"/>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59"/>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5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55"/>
        <w:tblW w:w="39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tblGrid>
      <w:tr>
        <w:trPr>
          <w:trHeight w:val="316"/>
        </w:trPr>
        <w:tc>
          <w:tcPr>
            <w:tcW w:w="39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r>
      <w:tr>
        <w:trPr>
          <w:trHeight w:val="3810"/>
        </w:trPr>
        <w:tc>
          <w:tcPr>
            <w:tcW w:w="390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45"/>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8"/>
        <w:gridCol w:w="1728"/>
        <w:gridCol w:w="640"/>
        <w:gridCol w:w="869"/>
        <w:gridCol w:w="1282"/>
        <w:gridCol w:w="754"/>
        <w:gridCol w:w="1129"/>
      </w:tblGrid>
      <w:tr>
        <w:trPr>
          <w:trHeight w:val="840"/>
        </w:trPr>
        <w:tc>
          <w:tcPr>
            <w:tcBorders>
              <w:bottom w:val="single" w:color="000000" w:sz="6" w:space="0"/>
              <w:right w:val="single" w:color="000000" w:sz="6" w:space="0"/>
            </w:tcBorders>
            <w:tcMar>
              <w:left w:w="20" w:type="dxa"/>
              <w:top w:w="20" w:type="dxa"/>
              <w:right w:w="20" w:type="dxa"/>
              <w:bottom w:w="8" w:type="dxa"/>
            </w:tcMar>
            <w:tcW w:w="5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自愿组成联合体，参加江苏苏维工程管理有限公司组织的采购编号为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color w:val="auto"/>
          <w:highlight w:val="none"/>
        </w:rPr>
      </w:pPr>
      <w:r>
        <w:rPr>
          <w:rFonts w:ascii="宋体" w:hAnsi="宋体" w:cs="宋体"/>
          <w:b/>
          <w:bCs/>
          <w:color w:val="auto"/>
          <w:highlight w:val="none"/>
        </w:rPr>
      </w:r>
      <w:r/>
    </w:p>
    <w:p>
      <w:pPr>
        <w:pStyle w:val="759"/>
        <w:rPr>
          <w:rFonts w:hint="eastAsia"/>
          <w:color w:val="auto"/>
          <w:highlight w:val="none"/>
        </w:rPr>
      </w:pPr>
      <w:r>
        <w:rPr>
          <w:rFonts w:hint="eastAsia"/>
          <w:color w:val="auto"/>
          <w:highlight w:val="none"/>
        </w:rPr>
      </w:r>
      <w:r/>
    </w:p>
    <w:sectPr>
      <w:head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pPr>
    <w:r>
      <w:rPr>
        <w:rFonts w:hint="eastAsia"/>
        <w:lang w:eastAsia="zh-CN"/>
      </w:rPr>
      <w:t xml:space="preserve">JSZC-321000-SWGC-G2026-0071</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pPr>
    <w:r>
      <w:rPr>
        <w:rFonts w:hint="eastAsia"/>
        <w:lang w:eastAsia="zh-CN"/>
      </w:rPr>
      <w:t xml:space="preserve">JSZC-321000-SWGC-G2026-0071</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link w:val="824"/>
    <w:uiPriority w:val="9"/>
    <w:qFormat/>
    <w:pPr>
      <w:jc w:val="center"/>
      <w:keepLines/>
      <w:keepNext/>
      <w:spacing w:line="360" w:lineRule="auto"/>
      <w:outlineLvl w:val="0"/>
    </w:pPr>
    <w:rPr>
      <w:rFonts w:ascii="Arial" w:hAnsi="Arial" w:cs="Arial"/>
      <w:b/>
      <w:sz w:val="30"/>
      <w:szCs w:val="40"/>
    </w:rPr>
  </w:style>
  <w:style w:type="paragraph" w:styleId="746">
    <w:name w:val="Heading 2"/>
    <w:basedOn w:val="744"/>
    <w:next w:val="744"/>
    <w:link w:val="825"/>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26"/>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27"/>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28"/>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29"/>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830"/>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831"/>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832"/>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4"/>
    <w:link w:val="1042"/>
    <w:uiPriority w:val="99"/>
    <w:unhideWhenUsed/>
    <w:qFormat/>
    <w:pPr>
      <w:jc w:val="left"/>
    </w:pPr>
  </w:style>
  <w:style w:type="paragraph" w:styleId="759">
    <w:name w:val="Body Text"/>
    <w:basedOn w:val="744"/>
    <w:uiPriority w:val="0"/>
    <w:qFormat/>
    <w:pPr>
      <w:spacing w:after="120"/>
    </w:pPr>
    <w:rPr>
      <w:rFonts w:ascii="Times New Roman" w:hAnsi="Times New Roman"/>
    </w:rPr>
  </w:style>
  <w:style w:type="paragraph" w:styleId="760">
    <w:name w:val="Body Text Indent"/>
    <w:basedOn w:val="744"/>
    <w:next w:val="744"/>
    <w:uiPriority w:val="0"/>
    <w:qFormat/>
    <w:pPr>
      <w:ind w:left="420"/>
      <w:spacing w:after="120"/>
    </w:pPr>
    <w:rPr>
      <w:rFonts w:ascii="等线" w:hAnsi="等线" w:eastAsia="等线"/>
    </w:rPr>
  </w:style>
  <w:style w:type="paragraph" w:styleId="761">
    <w:name w:val="toc 5"/>
    <w:basedOn w:val="744"/>
    <w:next w:val="744"/>
    <w:uiPriority w:val="39"/>
    <w:unhideWhenUsed/>
    <w:qFormat/>
    <w:pPr>
      <w:ind w:left="1134"/>
      <w:spacing w:after="57"/>
    </w:pPr>
  </w:style>
  <w:style w:type="paragraph" w:styleId="762">
    <w:name w:val="toc 3"/>
    <w:basedOn w:val="744"/>
    <w:next w:val="744"/>
    <w:uiPriority w:val="39"/>
    <w:unhideWhenUsed/>
    <w:qFormat/>
    <w:pPr>
      <w:ind w:left="567"/>
      <w:spacing w:after="57"/>
    </w:pPr>
  </w:style>
  <w:style w:type="paragraph" w:styleId="763">
    <w:name w:val="Plain Text"/>
    <w:basedOn w:val="744"/>
    <w:uiPriority w:val="0"/>
    <w:qFormat/>
    <w:rPr>
      <w:rFonts w:ascii="宋体" w:hAnsi="Courier New"/>
      <w:sz w:val="20"/>
      <w:szCs w:val="21"/>
    </w:rPr>
  </w:style>
  <w:style w:type="paragraph" w:styleId="764">
    <w:name w:val="toc 8"/>
    <w:basedOn w:val="744"/>
    <w:next w:val="744"/>
    <w:uiPriority w:val="39"/>
    <w:unhideWhenUsed/>
    <w:qFormat/>
    <w:pPr>
      <w:ind w:left="1984"/>
      <w:spacing w:after="57"/>
    </w:pPr>
  </w:style>
  <w:style w:type="paragraph" w:styleId="765">
    <w:name w:val="endnote text"/>
    <w:basedOn w:val="744"/>
    <w:link w:val="970"/>
    <w:uiPriority w:val="99"/>
    <w:semiHidden/>
    <w:unhideWhenUsed/>
    <w:qFormat/>
    <w:rPr>
      <w:sz w:val="20"/>
    </w:rPr>
  </w:style>
  <w:style w:type="paragraph" w:styleId="766">
    <w:name w:val="Footer"/>
    <w:basedOn w:val="744"/>
    <w:link w:val="843"/>
    <w:uiPriority w:val="99"/>
    <w:unhideWhenUsed/>
    <w:qFormat/>
    <w:pPr>
      <w:tabs>
        <w:tab w:val="center" w:pos="7143" w:leader="none"/>
        <w:tab w:val="right" w:pos="14287" w:leader="none"/>
      </w:tabs>
    </w:pPr>
  </w:style>
  <w:style w:type="paragraph" w:styleId="767">
    <w:name w:val="Header"/>
    <w:basedOn w:val="744"/>
    <w:link w:val="841"/>
    <w:uiPriority w:val="99"/>
    <w:unhideWhenUsed/>
    <w:qFormat/>
    <w:pPr>
      <w:tabs>
        <w:tab w:val="center" w:pos="7143" w:leader="none"/>
        <w:tab w:val="right" w:pos="14287" w:leader="none"/>
      </w:tabs>
    </w:pPr>
  </w:style>
  <w:style w:type="paragraph" w:styleId="768">
    <w:name w:val="toc 1"/>
    <w:basedOn w:val="744"/>
    <w:next w:val="744"/>
    <w:uiPriority w:val="39"/>
    <w:unhideWhenUsed/>
    <w:qFormat/>
    <w:pPr>
      <w:spacing w:after="57"/>
    </w:pPr>
  </w:style>
  <w:style w:type="paragraph" w:styleId="769">
    <w:name w:val="toc 4"/>
    <w:basedOn w:val="744"/>
    <w:next w:val="744"/>
    <w:uiPriority w:val="39"/>
    <w:unhideWhenUsed/>
    <w:qFormat/>
    <w:pPr>
      <w:ind w:left="850"/>
      <w:spacing w:after="57"/>
    </w:pPr>
  </w:style>
  <w:style w:type="paragraph" w:styleId="770">
    <w:name w:val="Subtitle"/>
    <w:basedOn w:val="744"/>
    <w:next w:val="744"/>
    <w:link w:val="836"/>
    <w:uiPriority w:val="11"/>
    <w:qFormat/>
    <w:pPr>
      <w:spacing w:before="200" w:after="200"/>
    </w:pPr>
    <w:rPr>
      <w:sz w:val="24"/>
      <w:szCs w:val="24"/>
    </w:rPr>
  </w:style>
  <w:style w:type="paragraph" w:styleId="771">
    <w:name w:val="footnote text"/>
    <w:basedOn w:val="744"/>
    <w:link w:val="969"/>
    <w:uiPriority w:val="99"/>
    <w:semiHidden/>
    <w:unhideWhenUsed/>
    <w:qFormat/>
    <w:pPr>
      <w:spacing w:after="40"/>
    </w:pPr>
    <w:rPr>
      <w:sz w:val="18"/>
    </w:rPr>
  </w:style>
  <w:style w:type="paragraph" w:styleId="772">
    <w:name w:val="toc 6"/>
    <w:basedOn w:val="744"/>
    <w:next w:val="744"/>
    <w:uiPriority w:val="39"/>
    <w:unhideWhenUsed/>
    <w:qFormat/>
    <w:pPr>
      <w:ind w:left="1417"/>
      <w:spacing w:after="57"/>
    </w:pPr>
  </w:style>
  <w:style w:type="paragraph" w:styleId="773">
    <w:name w:val="table of figures"/>
    <w:basedOn w:val="744"/>
    <w:next w:val="744"/>
    <w:uiPriority w:val="99"/>
    <w:unhideWhenUsed/>
    <w:qFormat/>
  </w:style>
  <w:style w:type="paragraph" w:styleId="774">
    <w:name w:val="toc 2"/>
    <w:basedOn w:val="744"/>
    <w:next w:val="744"/>
    <w:uiPriority w:val="39"/>
    <w:unhideWhenUsed/>
    <w:qFormat/>
    <w:pPr>
      <w:ind w:left="283"/>
      <w:spacing w:after="57"/>
    </w:pPr>
  </w:style>
  <w:style w:type="paragraph" w:styleId="775">
    <w:name w:val="toc 9"/>
    <w:basedOn w:val="744"/>
    <w:next w:val="744"/>
    <w:uiPriority w:val="39"/>
    <w:unhideWhenUsed/>
    <w:qFormat/>
    <w:pPr>
      <w:ind w:left="2268"/>
      <w:spacing w:after="57"/>
    </w:pPr>
  </w:style>
  <w:style w:type="paragraph" w:styleId="776">
    <w:name w:val="Normal (Web)"/>
    <w:basedOn w:val="744"/>
    <w:uiPriority w:val="99"/>
    <w:semiHidden/>
    <w:unhideWhenUsed/>
    <w:qFormat/>
    <w:pPr>
      <w:jc w:val="left"/>
      <w:spacing w:beforeAutospacing="1" w:afterAutospacing="1"/>
    </w:pPr>
    <w:rPr>
      <w:sz w:val="24"/>
    </w:rPr>
  </w:style>
  <w:style w:type="paragraph" w:styleId="777">
    <w:name w:val="Title"/>
    <w:basedOn w:val="744"/>
    <w:next w:val="744"/>
    <w:link w:val="835"/>
    <w:uiPriority w:val="10"/>
    <w:qFormat/>
    <w:pPr>
      <w:contextualSpacing/>
      <w:spacing w:before="300" w:after="200"/>
    </w:pPr>
    <w:rPr>
      <w:sz w:val="48"/>
      <w:szCs w:val="48"/>
    </w:rPr>
  </w:style>
  <w:style w:type="paragraph" w:styleId="778">
    <w:name w:val="annotation subject"/>
    <w:basedOn w:val="758"/>
    <w:next w:val="758"/>
    <w:link w:val="1043"/>
    <w:uiPriority w:val="99"/>
    <w:semiHidden/>
    <w:unhideWhenUsed/>
    <w:qFormat/>
    <w:rPr>
      <w:b/>
      <w:bCs/>
    </w:rPr>
  </w:style>
  <w:style w:type="paragraph" w:styleId="779">
    <w:name w:val="Body Text First Indent"/>
    <w:basedOn w:val="759"/>
    <w:uiPriority w:val="0"/>
    <w:unhideWhenUsed/>
    <w:qFormat/>
    <w:pPr>
      <w:ind w:firstLine="420"/>
    </w:pPr>
    <w:rPr>
      <w:szCs w:val="21"/>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Emphasis"/>
    <w:uiPriority w:val="0"/>
    <w:qFormat/>
    <w:rPr>
      <w:i/>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annotation reference"/>
    <w:basedOn w:val="754"/>
    <w:uiPriority w:val="0"/>
    <w:qFormat/>
    <w:rPr>
      <w:sz w:val="21"/>
      <w:szCs w:val="21"/>
    </w:rPr>
  </w:style>
  <w:style w:type="character" w:styleId="785">
    <w:name w:val="footnote reference"/>
    <w:uiPriority w:val="99"/>
    <w:unhideWhenUsed/>
    <w:qFormat/>
    <w:rPr>
      <w:vertAlign w:val="superscript"/>
    </w:rPr>
  </w:style>
  <w:style w:type="character" w:styleId="786" w:customStyle="1">
    <w:name w:val="Heading 1 Char"/>
    <w:basedOn w:val="754"/>
    <w:uiPriority w:val="9"/>
    <w:qFormat/>
    <w:rPr>
      <w:rFonts w:ascii="Arial" w:hAnsi="Arial" w:eastAsia="Arial" w:cs="Arial"/>
      <w:sz w:val="40"/>
      <w:szCs w:val="40"/>
    </w:rPr>
  </w:style>
  <w:style w:type="character" w:styleId="787" w:customStyle="1">
    <w:name w:val="Heading 2 Char"/>
    <w:basedOn w:val="754"/>
    <w:uiPriority w:val="9"/>
    <w:qFormat/>
    <w:rPr>
      <w:rFonts w:ascii="Arial" w:hAnsi="Arial" w:eastAsia="Arial" w:cs="Arial"/>
      <w:sz w:val="34"/>
    </w:rPr>
  </w:style>
  <w:style w:type="character" w:styleId="788" w:customStyle="1">
    <w:name w:val="Heading 3 Char"/>
    <w:basedOn w:val="754"/>
    <w:uiPriority w:val="9"/>
    <w:qFormat/>
    <w:rPr>
      <w:rFonts w:ascii="Arial" w:hAnsi="Arial" w:eastAsia="Arial" w:cs="Arial"/>
      <w:sz w:val="30"/>
      <w:szCs w:val="30"/>
    </w:rPr>
  </w:style>
  <w:style w:type="character" w:styleId="789" w:customStyle="1">
    <w:name w:val="Heading 4 Char"/>
    <w:basedOn w:val="754"/>
    <w:uiPriority w:val="9"/>
    <w:qFormat/>
    <w:rPr>
      <w:rFonts w:ascii="Arial" w:hAnsi="Arial" w:eastAsia="Arial" w:cs="Arial"/>
      <w:b/>
      <w:bCs/>
      <w:sz w:val="26"/>
      <w:szCs w:val="26"/>
    </w:rPr>
  </w:style>
  <w:style w:type="character" w:styleId="790" w:customStyle="1">
    <w:name w:val="Heading 5 Char"/>
    <w:basedOn w:val="754"/>
    <w:uiPriority w:val="9"/>
    <w:qFormat/>
    <w:rPr>
      <w:rFonts w:ascii="Arial" w:hAnsi="Arial" w:eastAsia="Arial" w:cs="Arial"/>
      <w:b/>
      <w:bCs/>
      <w:sz w:val="24"/>
      <w:szCs w:val="24"/>
    </w:rPr>
  </w:style>
  <w:style w:type="character" w:styleId="791" w:customStyle="1">
    <w:name w:val="Heading 6 Char"/>
    <w:basedOn w:val="754"/>
    <w:uiPriority w:val="9"/>
    <w:qFormat/>
    <w:rPr>
      <w:rFonts w:ascii="Arial" w:hAnsi="Arial" w:eastAsia="Arial" w:cs="Arial"/>
      <w:b/>
      <w:bCs/>
      <w:sz w:val="22"/>
      <w:szCs w:val="22"/>
    </w:rPr>
  </w:style>
  <w:style w:type="character" w:styleId="792" w:customStyle="1">
    <w:name w:val="Heading 7 Char"/>
    <w:basedOn w:val="754"/>
    <w:uiPriority w:val="9"/>
    <w:qFormat/>
    <w:rPr>
      <w:rFonts w:ascii="Arial" w:hAnsi="Arial" w:eastAsia="Arial" w:cs="Arial"/>
      <w:b/>
      <w:bCs/>
      <w:i/>
      <w:iCs/>
      <w:sz w:val="22"/>
      <w:szCs w:val="22"/>
    </w:rPr>
  </w:style>
  <w:style w:type="character" w:styleId="793" w:customStyle="1">
    <w:name w:val="Heading 8 Char"/>
    <w:basedOn w:val="754"/>
    <w:uiPriority w:val="9"/>
    <w:qFormat/>
    <w:rPr>
      <w:rFonts w:ascii="Arial" w:hAnsi="Arial" w:eastAsia="Arial" w:cs="Arial"/>
      <w:i/>
      <w:iCs/>
      <w:sz w:val="22"/>
      <w:szCs w:val="22"/>
    </w:rPr>
  </w:style>
  <w:style w:type="character" w:styleId="794" w:customStyle="1">
    <w:name w:val="Heading 9 Char"/>
    <w:basedOn w:val="754"/>
    <w:uiPriority w:val="9"/>
    <w:qFormat/>
    <w:rPr>
      <w:rFonts w:ascii="Arial" w:hAnsi="Arial" w:eastAsia="Arial" w:cs="Arial"/>
      <w:i/>
      <w:iCs/>
      <w:sz w:val="21"/>
      <w:szCs w:val="21"/>
    </w:rPr>
  </w:style>
  <w:style w:type="character" w:styleId="795" w:customStyle="1">
    <w:name w:val="Title Char"/>
    <w:basedOn w:val="754"/>
    <w:uiPriority w:val="10"/>
    <w:qFormat/>
    <w:rPr>
      <w:sz w:val="48"/>
      <w:szCs w:val="48"/>
    </w:rPr>
  </w:style>
  <w:style w:type="character" w:styleId="796" w:customStyle="1">
    <w:name w:val="Subtitle Char"/>
    <w:basedOn w:val="754"/>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basedOn w:val="754"/>
    <w:uiPriority w:val="99"/>
    <w:qFormat/>
  </w:style>
  <w:style w:type="character" w:styleId="800" w:customStyle="1">
    <w:name w:val="Caption Char"/>
    <w:uiPriority w:val="99"/>
    <w:qFormat/>
  </w:style>
  <w:style w:type="table" w:styleId="801"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Default"/>
    <w:next w:val="744"/>
    <w:uiPriority w:val="0"/>
    <w:qFormat/>
    <w:pPr>
      <w:widowControl w:val="off"/>
    </w:pPr>
    <w:rPr>
      <w:rFonts w:hint="default" w:ascii="黑体" w:hAnsi="Times New Roman" w:eastAsia="黑体" w:cs="Times New Roman"/>
      <w:lang w:val="en-US" w:eastAsia="zh-CN" w:bidi="ar-SA"/>
    </w:rPr>
  </w:style>
  <w:style w:type="character" w:styleId="824" w:customStyle="1">
    <w:name w:val="标题 1 字符"/>
    <w:link w:val="745"/>
    <w:uiPriority w:val="9"/>
    <w:qFormat/>
    <w:rPr>
      <w:rFonts w:ascii="Arial" w:hAnsi="Arial" w:eastAsia="宋体" w:cs="Arial"/>
      <w:b/>
      <w:sz w:val="30"/>
      <w:szCs w:val="40"/>
    </w:rPr>
  </w:style>
  <w:style w:type="character" w:styleId="825" w:customStyle="1">
    <w:name w:val="标题 2 字符"/>
    <w:link w:val="746"/>
    <w:uiPriority w:val="9"/>
    <w:qFormat/>
    <w:rPr>
      <w:rFonts w:ascii="Arial" w:hAnsi="Arial" w:eastAsia="Arial" w:cs="Arial"/>
      <w:sz w:val="34"/>
    </w:rPr>
  </w:style>
  <w:style w:type="character" w:styleId="826" w:customStyle="1">
    <w:name w:val="标题 3 字符"/>
    <w:link w:val="747"/>
    <w:uiPriority w:val="9"/>
    <w:qFormat/>
    <w:rPr>
      <w:rFonts w:ascii="Arial" w:hAnsi="Arial" w:eastAsia="Arial" w:cs="Arial"/>
      <w:sz w:val="30"/>
      <w:szCs w:val="30"/>
    </w:rPr>
  </w:style>
  <w:style w:type="character" w:styleId="827" w:customStyle="1">
    <w:name w:val="标题 4 字符"/>
    <w:link w:val="748"/>
    <w:uiPriority w:val="9"/>
    <w:qFormat/>
    <w:rPr>
      <w:rFonts w:ascii="Arial" w:hAnsi="Arial" w:eastAsia="Arial" w:cs="Arial"/>
      <w:b/>
      <w:bCs/>
      <w:sz w:val="26"/>
      <w:szCs w:val="26"/>
    </w:rPr>
  </w:style>
  <w:style w:type="character" w:styleId="828" w:customStyle="1">
    <w:name w:val="标题 5 字符"/>
    <w:link w:val="749"/>
    <w:uiPriority w:val="9"/>
    <w:qFormat/>
    <w:rPr>
      <w:rFonts w:ascii="Arial" w:hAnsi="Arial" w:eastAsia="Arial" w:cs="Arial"/>
      <w:b/>
      <w:bCs/>
      <w:sz w:val="24"/>
      <w:szCs w:val="24"/>
    </w:rPr>
  </w:style>
  <w:style w:type="character" w:styleId="829" w:customStyle="1">
    <w:name w:val="标题 6 字符"/>
    <w:link w:val="750"/>
    <w:uiPriority w:val="9"/>
    <w:qFormat/>
    <w:rPr>
      <w:rFonts w:ascii="Arial" w:hAnsi="Arial" w:eastAsia="Arial" w:cs="Arial"/>
      <w:b/>
      <w:bCs/>
      <w:sz w:val="22"/>
      <w:szCs w:val="22"/>
    </w:rPr>
  </w:style>
  <w:style w:type="character" w:styleId="830" w:customStyle="1">
    <w:name w:val="标题 7 字符"/>
    <w:link w:val="751"/>
    <w:uiPriority w:val="9"/>
    <w:qFormat/>
    <w:rPr>
      <w:rFonts w:ascii="Arial" w:hAnsi="Arial" w:eastAsia="Arial" w:cs="Arial"/>
      <w:b/>
      <w:bCs/>
      <w:i/>
      <w:iCs/>
      <w:sz w:val="22"/>
      <w:szCs w:val="22"/>
    </w:rPr>
  </w:style>
  <w:style w:type="character" w:styleId="831" w:customStyle="1">
    <w:name w:val="标题 8 字符"/>
    <w:link w:val="752"/>
    <w:uiPriority w:val="9"/>
    <w:qFormat/>
    <w:rPr>
      <w:rFonts w:ascii="Arial" w:hAnsi="Arial" w:eastAsia="Arial" w:cs="Arial"/>
      <w:i/>
      <w:iCs/>
      <w:sz w:val="22"/>
      <w:szCs w:val="22"/>
    </w:rPr>
  </w:style>
  <w:style w:type="character" w:styleId="832" w:customStyle="1">
    <w:name w:val="标题 9 字符"/>
    <w:link w:val="753"/>
    <w:uiPriority w:val="9"/>
    <w:qFormat/>
    <w:rPr>
      <w:rFonts w:ascii="Arial" w:hAnsi="Arial" w:eastAsia="Arial" w:cs="Arial"/>
      <w:i/>
      <w:iCs/>
      <w:sz w:val="21"/>
      <w:szCs w:val="21"/>
    </w:rPr>
  </w:style>
  <w:style w:type="paragraph" w:styleId="833">
    <w:name w:val="List Paragraph"/>
    <w:basedOn w:val="744"/>
    <w:uiPriority w:val="34"/>
    <w:qFormat/>
    <w:pPr>
      <w:contextualSpacing/>
      <w:ind w:left="720"/>
    </w:pPr>
  </w:style>
  <w:style w:type="paragraph" w:styleId="834">
    <w:name w:val="No Spacing"/>
    <w:uiPriority w:val="1"/>
    <w:qFormat/>
    <w:rPr>
      <w:rFonts w:hint="default" w:ascii="Times New Roman" w:hAnsi="Times New Roman" w:eastAsia="宋体" w:cs="Times New Roman"/>
      <w:lang w:val="en-US" w:eastAsia="zh-CN" w:bidi="ar-SA"/>
    </w:rPr>
  </w:style>
  <w:style w:type="character" w:styleId="835" w:customStyle="1">
    <w:name w:val="标题 字符"/>
    <w:link w:val="777"/>
    <w:uiPriority w:val="10"/>
    <w:qFormat/>
    <w:rPr>
      <w:sz w:val="48"/>
      <w:szCs w:val="48"/>
    </w:rPr>
  </w:style>
  <w:style w:type="character" w:styleId="836" w:customStyle="1">
    <w:name w:val="副标题 字符"/>
    <w:link w:val="770"/>
    <w:uiPriority w:val="11"/>
    <w:qFormat/>
    <w:rPr>
      <w:sz w:val="24"/>
      <w:szCs w:val="24"/>
    </w:rPr>
  </w:style>
  <w:style w:type="paragraph" w:styleId="837">
    <w:name w:val="Quote"/>
    <w:basedOn w:val="744"/>
    <w:next w:val="744"/>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4"/>
    <w:next w:val="744"/>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67"/>
    <w:uiPriority w:val="99"/>
    <w:qFormat/>
  </w:style>
  <w:style w:type="character" w:styleId="842" w:customStyle="1">
    <w:name w:val="Footer Char"/>
    <w:uiPriority w:val="99"/>
    <w:qFormat/>
  </w:style>
  <w:style w:type="character" w:styleId="843" w:customStyle="1">
    <w:name w:val="页脚 字符"/>
    <w:link w:val="766"/>
    <w:uiPriority w:val="99"/>
    <w:qFormat/>
  </w:style>
  <w:style w:type="table" w:styleId="8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771"/>
    <w:uiPriority w:val="99"/>
    <w:qFormat/>
    <w:rPr>
      <w:sz w:val="18"/>
    </w:rPr>
  </w:style>
  <w:style w:type="character" w:styleId="970" w:customStyle="1">
    <w:name w:val="尾注文本 字符"/>
    <w:link w:val="765"/>
    <w:uiPriority w:val="99"/>
    <w:qFormat/>
    <w:rPr>
      <w:sz w:val="20"/>
    </w:rPr>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标题 11"/>
    <w:basedOn w:val="744"/>
    <w:next w:val="744"/>
    <w:uiPriority w:val="9"/>
    <w:qFormat/>
    <w:pPr>
      <w:keepLines/>
      <w:keepNext/>
      <w:spacing w:before="340" w:after="330" w:line="578" w:lineRule="auto"/>
      <w:outlineLvl w:val="0"/>
    </w:pPr>
    <w:rPr>
      <w:b/>
      <w:bCs/>
      <w:sz w:val="44"/>
      <w:szCs w:val="44"/>
    </w:rPr>
  </w:style>
  <w:style w:type="paragraph" w:styleId="973" w:customStyle="1">
    <w:name w:val="标题 21"/>
    <w:basedOn w:val="744"/>
    <w:next w:val="7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4" w:customStyle="1">
    <w:name w:val="标题 31"/>
    <w:basedOn w:val="744"/>
    <w:next w:val="744"/>
    <w:uiPriority w:val="0"/>
    <w:qFormat/>
    <w:pPr>
      <w:keepLines/>
      <w:keepNext/>
      <w:spacing w:before="260" w:after="260" w:line="416" w:lineRule="auto"/>
      <w:outlineLvl w:val="2"/>
    </w:pPr>
    <w:rPr>
      <w:b/>
      <w:bCs/>
      <w:sz w:val="32"/>
      <w:szCs w:val="32"/>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paragraph" w:styleId="977" w:customStyle="1">
    <w:name w:val="正文文本缩进1"/>
    <w:basedOn w:val="744"/>
    <w:next w:val="978"/>
    <w:uiPriority w:val="0"/>
    <w:qFormat/>
    <w:pPr>
      <w:ind w:left="420"/>
      <w:spacing w:after="120"/>
    </w:pPr>
    <w:rPr>
      <w:rFonts w:ascii="等线" w:hAnsi="等线" w:eastAsia="等线"/>
    </w:rPr>
  </w:style>
  <w:style w:type="paragraph" w:styleId="978" w:customStyle="1">
    <w:name w:val="寄信人地址1"/>
    <w:basedOn w:val="744"/>
    <w:uiPriority w:val="99"/>
    <w:unhideWhenUsed/>
    <w:qFormat/>
    <w:rPr>
      <w:rFonts w:ascii="Arial" w:hAnsi="Arial"/>
    </w:rPr>
  </w:style>
  <w:style w:type="paragraph" w:styleId="979" w:customStyle="1">
    <w:name w:val="正文缩进1"/>
    <w:basedOn w:val="744"/>
    <w:uiPriority w:val="0"/>
    <w:unhideWhenUsed/>
    <w:qFormat/>
    <w:pPr>
      <w:ind w:firstLine="420"/>
    </w:pPr>
  </w:style>
  <w:style w:type="paragraph" w:styleId="980" w:customStyle="1">
    <w:name w:val="批注文字1"/>
    <w:basedOn w:val="744"/>
    <w:link w:val="981"/>
    <w:uiPriority w:val="0"/>
    <w:qFormat/>
    <w:pPr>
      <w:jc w:val="left"/>
    </w:pPr>
  </w:style>
  <w:style w:type="character" w:styleId="981" w:customStyle="1">
    <w:name w:val="批注文字 Char"/>
    <w:link w:val="980"/>
    <w:uiPriority w:val="0"/>
    <w:qFormat/>
    <w:rPr>
      <w:rFonts w:ascii="Calibri" w:hAnsi="Calibri"/>
      <w:sz w:val="21"/>
      <w:szCs w:val="22"/>
    </w:rPr>
  </w:style>
  <w:style w:type="paragraph" w:styleId="982" w:customStyle="1">
    <w:name w:val="正文文本11"/>
    <w:basedOn w:val="744"/>
    <w:next w:val="983"/>
    <w:uiPriority w:val="0"/>
    <w:qFormat/>
    <w:rPr>
      <w:rFonts w:ascii="楷体_GB2312" w:hAnsi="Arial" w:eastAsia="楷体_GB2312"/>
      <w:sz w:val="28"/>
      <w:szCs w:val="28"/>
    </w:rPr>
  </w:style>
  <w:style w:type="paragraph" w:styleId="983" w:customStyle="1">
    <w:name w:val="标题1"/>
    <w:basedOn w:val="744"/>
    <w:next w:val="744"/>
    <w:uiPriority w:val="0"/>
    <w:qFormat/>
    <w:pPr>
      <w:jc w:val="center"/>
      <w:spacing w:before="240" w:after="60" w:line="360" w:lineRule="auto"/>
      <w:outlineLvl w:val="0"/>
    </w:pPr>
    <w:rPr>
      <w:rFonts w:ascii="宋体" w:hAnsi="宋体"/>
      <w:b/>
      <w:bCs/>
      <w:sz w:val="32"/>
      <w:szCs w:val="32"/>
    </w:rPr>
  </w:style>
  <w:style w:type="paragraph" w:styleId="984" w:customStyle="1">
    <w:name w:val="纯文本1"/>
    <w:basedOn w:val="744"/>
    <w:uiPriority w:val="99"/>
    <w:qFormat/>
    <w:rPr>
      <w:rFonts w:ascii="宋体" w:hAnsi="Courier New"/>
      <w:sz w:val="20"/>
      <w:szCs w:val="21"/>
    </w:rPr>
  </w:style>
  <w:style w:type="paragraph" w:styleId="985" w:customStyle="1">
    <w:name w:val="正文文本缩进 21"/>
    <w:basedOn w:val="744"/>
    <w:uiPriority w:val="0"/>
    <w:qFormat/>
    <w:pPr>
      <w:ind w:left="640"/>
      <w:spacing w:after="120" w:line="480" w:lineRule="auto"/>
    </w:pPr>
    <w:rPr>
      <w:rFonts w:eastAsia="仿宋_GB2312"/>
      <w:sz w:val="32"/>
      <w:szCs w:val="28"/>
    </w:rPr>
  </w:style>
  <w:style w:type="paragraph" w:styleId="986" w:customStyle="1">
    <w:name w:val="批注框文本1"/>
    <w:basedOn w:val="744"/>
    <w:link w:val="987"/>
    <w:uiPriority w:val="0"/>
    <w:qFormat/>
    <w:rPr>
      <w:sz w:val="18"/>
      <w:szCs w:val="18"/>
    </w:rPr>
  </w:style>
  <w:style w:type="character" w:styleId="987" w:customStyle="1">
    <w:name w:val="批注框文本 Char"/>
    <w:link w:val="986"/>
    <w:uiPriority w:val="0"/>
    <w:qFormat/>
    <w:rPr>
      <w:sz w:val="18"/>
      <w:szCs w:val="18"/>
    </w:rPr>
  </w:style>
  <w:style w:type="paragraph" w:styleId="988" w:customStyle="1">
    <w:name w:val="页脚1"/>
    <w:basedOn w:val="744"/>
    <w:uiPriority w:val="99"/>
    <w:unhideWhenUsed/>
    <w:qFormat/>
    <w:pPr>
      <w:jc w:val="left"/>
      <w:tabs>
        <w:tab w:val="center" w:pos="4153" w:leader="none"/>
        <w:tab w:val="right" w:pos="8306" w:leader="none"/>
      </w:tabs>
    </w:pPr>
    <w:rPr>
      <w:sz w:val="18"/>
      <w:szCs w:val="18"/>
    </w:rPr>
  </w:style>
  <w:style w:type="paragraph" w:styleId="989" w:customStyle="1">
    <w:name w:val="页眉1"/>
    <w:basedOn w:val="7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0" w:customStyle="1">
    <w:name w:val="目录 11"/>
    <w:basedOn w:val="744"/>
    <w:next w:val="744"/>
    <w:uiPriority w:val="39"/>
    <w:unhideWhenUsed/>
    <w:qFormat/>
  </w:style>
  <w:style w:type="paragraph" w:styleId="991" w:customStyle="1">
    <w:name w:val="目录 21"/>
    <w:basedOn w:val="744"/>
    <w:next w:val="744"/>
    <w:uiPriority w:val="0"/>
    <w:qFormat/>
    <w:pPr>
      <w:ind w:left="420"/>
    </w:pPr>
  </w:style>
  <w:style w:type="paragraph" w:styleId="992" w:customStyle="1">
    <w:name w:val="正文文本 21"/>
    <w:basedOn w:val="744"/>
    <w:uiPriority w:val="0"/>
    <w:qFormat/>
    <w:pPr>
      <w:spacing w:after="120" w:line="480" w:lineRule="auto"/>
    </w:pPr>
  </w:style>
  <w:style w:type="paragraph" w:styleId="993" w:customStyle="1">
    <w:name w:val="信息标题1"/>
    <w:basedOn w:val="74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4" w:customStyle="1">
    <w:name w:val="普通(网站)1"/>
    <w:basedOn w:val="744"/>
    <w:uiPriority w:val="0"/>
    <w:qFormat/>
    <w:rPr>
      <w:rFonts w:ascii="Times New Roman" w:hAnsi="Times New Roman"/>
      <w:sz w:val="24"/>
    </w:rPr>
  </w:style>
  <w:style w:type="paragraph" w:styleId="995" w:customStyle="1">
    <w:name w:val="批注主题1"/>
    <w:basedOn w:val="980"/>
    <w:next w:val="980"/>
    <w:link w:val="996"/>
    <w:uiPriority w:val="0"/>
    <w:qFormat/>
    <w:rPr>
      <w:b/>
      <w:bCs/>
    </w:rPr>
  </w:style>
  <w:style w:type="character" w:styleId="996" w:customStyle="1">
    <w:name w:val="批注主题 Char"/>
    <w:link w:val="995"/>
    <w:uiPriority w:val="0"/>
    <w:qFormat/>
    <w:rPr>
      <w:rFonts w:ascii="Calibri" w:hAnsi="Calibri"/>
      <w:b/>
      <w:bCs/>
      <w:sz w:val="21"/>
      <w:szCs w:val="22"/>
    </w:rPr>
  </w:style>
  <w:style w:type="paragraph" w:styleId="997" w:customStyle="1">
    <w:name w:val="正文首行缩进 21"/>
    <w:basedOn w:val="977"/>
    <w:next w:val="744"/>
    <w:uiPriority w:val="0"/>
    <w:qFormat/>
    <w:pPr>
      <w:ind w:firstLine="420"/>
      <w:spacing w:before="100" w:beforeAutospacing="1"/>
    </w:pPr>
    <w:rPr>
      <w:rFonts w:ascii="Times New Roman" w:hAnsi="Times New Roman" w:eastAsia="宋体"/>
      <w:sz w:val="20"/>
      <w:szCs w:val="21"/>
    </w:rPr>
  </w:style>
  <w:style w:type="table" w:styleId="998" w:customStyle="1">
    <w:name w:val="网格型1"/>
    <w:basedOn w:val="976"/>
    <w:uiPriority w:val="0"/>
    <w:qFormat/>
    <w:pPr>
      <w:jc w:val="both"/>
      <w:widowControl w:val="off"/>
    </w:pPr>
    <w:tblPr/>
  </w:style>
  <w:style w:type="character" w:styleId="999" w:customStyle="1">
    <w:name w:val="要点1"/>
    <w:uiPriority w:val="0"/>
    <w:qFormat/>
    <w:rPr>
      <w:b/>
    </w:rPr>
  </w:style>
  <w:style w:type="character" w:styleId="1000" w:customStyle="1">
    <w:name w:val="强调1"/>
    <w:uiPriority w:val="0"/>
    <w:qFormat/>
    <w:rPr>
      <w:i/>
    </w:rPr>
  </w:style>
  <w:style w:type="character" w:styleId="1001" w:customStyle="1">
    <w:name w:val="超链接1"/>
    <w:uiPriority w:val="0"/>
    <w:qFormat/>
    <w:rPr>
      <w:color w:val="0000ff"/>
      <w:u w:val="single"/>
    </w:rPr>
  </w:style>
  <w:style w:type="character" w:styleId="1002" w:customStyle="1">
    <w:name w:val="批注引用1"/>
    <w:uiPriority w:val="0"/>
    <w:qFormat/>
    <w:rPr>
      <w:sz w:val="21"/>
      <w:szCs w:val="21"/>
    </w:rPr>
  </w:style>
  <w:style w:type="paragraph" w:styleId="1003" w:customStyle="1">
    <w:name w:val="正文（缩进）"/>
    <w:basedOn w:val="744"/>
    <w:uiPriority w:val="0"/>
    <w:qFormat/>
    <w:pPr>
      <w:ind w:firstLine="480"/>
      <w:spacing w:before="156" w:after="156"/>
    </w:pPr>
  </w:style>
  <w:style w:type="paragraph" w:styleId="1004" w:customStyle="1">
    <w:name w:val="正文1"/>
    <w:basedOn w:val="744"/>
    <w:next w:val="1005"/>
    <w:uiPriority w:val="0"/>
    <w:qFormat/>
    <w:pPr>
      <w:jc w:val="left"/>
      <w:spacing w:line="360" w:lineRule="atLeast"/>
    </w:pPr>
    <w:rPr>
      <w:rFonts w:ascii="宋体" w:cs="Arial"/>
      <w:sz w:val="24"/>
      <w:szCs w:val="20"/>
    </w:rPr>
  </w:style>
  <w:style w:type="paragraph" w:styleId="1005" w:customStyle="1">
    <w:name w:val="正文文本1"/>
    <w:basedOn w:val="1004"/>
    <w:next w:val="1006"/>
    <w:uiPriority w:val="0"/>
    <w:qFormat/>
    <w:pPr>
      <w:spacing w:after="120"/>
    </w:pPr>
    <w:rPr>
      <w:lang w:eastAsia="en-US"/>
    </w:rPr>
  </w:style>
  <w:style w:type="paragraph" w:styleId="1006" w:customStyle="1">
    <w:name w:val="一级条标题"/>
    <w:basedOn w:val="1007"/>
    <w:next w:val="10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8" w:customStyle="1">
    <w:name w:val="段"/>
    <w:basedOn w:val="1004"/>
    <w:next w:val="744"/>
    <w:uiPriority w:val="0"/>
    <w:qFormat/>
    <w:pPr>
      <w:ind w:firstLine="200"/>
      <w:widowControl/>
    </w:pPr>
    <w:rPr>
      <w:sz w:val="20"/>
    </w:rPr>
  </w:style>
  <w:style w:type="paragraph" w:styleId="1009"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010" w:customStyle="1">
    <w:name w:val="Char"/>
    <w:basedOn w:val="744"/>
    <w:uiPriority w:val="0"/>
    <w:qFormat/>
    <w:pPr>
      <w:ind w:firstLine="200"/>
      <w:tabs>
        <w:tab w:val="left" w:pos="360" w:leader="none"/>
      </w:tabs>
    </w:pPr>
    <w:rPr>
      <w:rFonts w:ascii="Times New Roman" w:hAnsi="Times New Roman"/>
      <w:sz w:val="28"/>
      <w:szCs w:val="30"/>
    </w:rPr>
  </w:style>
  <w:style w:type="paragraph" w:styleId="1011" w:customStyle="1">
    <w:name w:val="Table Paragraph"/>
    <w:basedOn w:val="744"/>
    <w:uiPriority w:val="1"/>
    <w:qFormat/>
    <w:rPr>
      <w:rFonts w:ascii="Noto Sans CJK JP Regular" w:hAnsi="Noto Sans CJK JP Regular" w:eastAsia="Noto Sans CJK JP Regular" w:cs="Noto Sans CJK JP Regular"/>
    </w:rPr>
  </w:style>
  <w:style w:type="paragraph" w:styleId="1012" w:customStyle="1">
    <w:name w:val="正文（1）"/>
    <w:basedOn w:val="744"/>
    <w:uiPriority w:val="0"/>
    <w:qFormat/>
    <w:pPr>
      <w:numPr>
        <w:ilvl w:val="0"/>
        <w:numId w:val="1"/>
      </w:numPr>
      <w:ind w:firstLine="200"/>
    </w:pPr>
    <w:rPr>
      <w:szCs w:val="24"/>
    </w:rPr>
  </w:style>
  <w:style w:type="paragraph" w:styleId="1013" w:customStyle="1">
    <w:name w:val="朱-正文"/>
    <w:basedOn w:val="744"/>
    <w:uiPriority w:val="0"/>
    <w:qFormat/>
    <w:pPr>
      <w:ind w:firstLine="200"/>
    </w:pPr>
    <w:rPr>
      <w:rFonts w:ascii="Times New Roman"/>
      <w:color w:val="000000"/>
      <w:szCs w:val="24"/>
      <w:lang w:val="en-GB"/>
    </w:rPr>
  </w:style>
  <w:style w:type="paragraph" w:styleId="1014" w:customStyle="1">
    <w:name w:val="GP正文(首行缩进)"/>
    <w:basedOn w:val="744"/>
    <w:uiPriority w:val="0"/>
    <w:qFormat/>
    <w:pPr>
      <w:ind w:firstLine="480"/>
      <w:jc w:val="left"/>
    </w:pPr>
    <w:rPr>
      <w:rFonts w:ascii="Times New Roman" w:hAnsi="宋体"/>
      <w:sz w:val="24"/>
      <w:szCs w:val="24"/>
    </w:rPr>
  </w:style>
  <w:style w:type="character" w:styleId="1015" w:customStyle="1">
    <w:name w:val="font71"/>
    <w:uiPriority w:val="0"/>
    <w:qFormat/>
    <w:rPr>
      <w:rFonts w:hint="eastAsia" w:ascii="宋体" w:hAnsi="宋体" w:eastAsia="宋体" w:cs="宋体"/>
      <w:color w:val="ff0000"/>
      <w:sz w:val="21"/>
      <w:szCs w:val="21"/>
      <w:u w:val="none"/>
    </w:rPr>
  </w:style>
  <w:style w:type="character" w:styleId="1016" w:customStyle="1">
    <w:name w:val="font41"/>
    <w:uiPriority w:val="0"/>
    <w:qFormat/>
    <w:rPr>
      <w:rFonts w:hint="eastAsia" w:ascii="宋体" w:hAnsi="宋体" w:eastAsia="宋体" w:cs="宋体"/>
      <w:color w:val="000000"/>
      <w:sz w:val="21"/>
      <w:szCs w:val="21"/>
      <w:u w:val="none"/>
    </w:rPr>
  </w:style>
  <w:style w:type="paragraph" w:styleId="1017" w:customStyle="1">
    <w:name w:val="列出段落"/>
    <w:basedOn w:val="744"/>
    <w:uiPriority w:val="0"/>
    <w:qFormat/>
    <w:pPr>
      <w:ind w:firstLine="420"/>
    </w:pPr>
  </w:style>
  <w:style w:type="paragraph" w:styleId="1018" w:customStyle="1">
    <w:name w:val="列出段落2"/>
    <w:basedOn w:val="744"/>
    <w:uiPriority w:val="34"/>
    <w:qFormat/>
    <w:pPr>
      <w:ind w:firstLine="420"/>
    </w:pPr>
    <w:rPr>
      <w:rFonts w:ascii="宋体"/>
      <w:color w:val="404040"/>
    </w:rPr>
  </w:style>
  <w:style w:type="paragraph" w:styleId="1019" w:customStyle="1">
    <w:name w:val="列表段落1"/>
    <w:basedOn w:val="744"/>
    <w:uiPriority w:val="0"/>
    <w:qFormat/>
    <w:pPr>
      <w:ind w:firstLine="200"/>
    </w:pPr>
    <w:rPr>
      <w:rFonts w:cs="宋体"/>
    </w:rPr>
  </w:style>
  <w:style w:type="character" w:styleId="1020" w:customStyle="1">
    <w:name w:val="font51"/>
    <w:uiPriority w:val="0"/>
    <w:qFormat/>
    <w:rPr>
      <w:rFonts w:hint="eastAsia" w:ascii="宋体" w:hAnsi="宋体" w:eastAsia="宋体" w:cs="宋体"/>
      <w:color w:val="000000"/>
      <w:sz w:val="24"/>
      <w:szCs w:val="24"/>
      <w:u w:val="none"/>
      <w:vertAlign w:val="subscript"/>
    </w:rPr>
  </w:style>
  <w:style w:type="character" w:styleId="1021" w:customStyle="1">
    <w:name w:val="font61"/>
    <w:uiPriority w:val="0"/>
    <w:qFormat/>
    <w:rPr>
      <w:rFonts w:hint="eastAsia" w:ascii="宋体" w:hAnsi="宋体" w:eastAsia="宋体" w:cs="宋体"/>
      <w:color w:val="000000"/>
      <w:sz w:val="24"/>
      <w:szCs w:val="24"/>
      <w:u w:val="none"/>
    </w:rPr>
  </w:style>
  <w:style w:type="character" w:styleId="1022" w:customStyle="1">
    <w:name w:val="font01"/>
    <w:uiPriority w:val="0"/>
    <w:qFormat/>
    <w:rPr>
      <w:rFonts w:hint="eastAsia" w:ascii="宋体" w:hAnsi="宋体" w:eastAsia="宋体" w:cs="宋体"/>
      <w:color w:val="000000"/>
      <w:sz w:val="24"/>
      <w:szCs w:val="24"/>
      <w:u w:val="none"/>
    </w:rPr>
  </w:style>
  <w:style w:type="character" w:styleId="1023" w:customStyle="1">
    <w:name w:val="font81"/>
    <w:uiPriority w:val="0"/>
    <w:qFormat/>
    <w:rPr>
      <w:rFonts w:ascii="微软雅黑" w:hAnsi="微软雅黑" w:eastAsia="微软雅黑" w:cs="微软雅黑"/>
      <w:color w:val="000000"/>
      <w:sz w:val="24"/>
      <w:szCs w:val="24"/>
      <w:u w:val="none"/>
    </w:rPr>
  </w:style>
  <w:style w:type="character" w:styleId="1024" w:customStyle="1">
    <w:name w:val="font91"/>
    <w:uiPriority w:val="0"/>
    <w:qFormat/>
    <w:rPr>
      <w:rFonts w:ascii="Segoe UI Symbol" w:hAnsi="Segoe UI Symbol" w:eastAsia="Segoe UI Symbol" w:cs="Segoe UI Symbol"/>
      <w:color w:val="000000"/>
      <w:sz w:val="24"/>
      <w:szCs w:val="24"/>
      <w:u w:val="none"/>
    </w:rPr>
  </w:style>
  <w:style w:type="character" w:styleId="1025" w:customStyle="1">
    <w:name w:val="font101"/>
    <w:uiPriority w:val="0"/>
    <w:qFormat/>
    <w:rPr>
      <w:rFonts w:ascii="Calibri" w:hAnsi="Calibri" w:cs="Calibri"/>
      <w:color w:val="000000"/>
      <w:sz w:val="24"/>
      <w:szCs w:val="24"/>
      <w:u w:val="none"/>
    </w:rPr>
  </w:style>
  <w:style w:type="paragraph" w:styleId="1026"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27" w:customStyle="1">
    <w:name w:val="TableEmphasis"/>
    <w:basedOn w:val="744"/>
    <w:uiPriority w:val="0"/>
    <w:qFormat/>
    <w:rPr>
      <w:rFonts w:ascii="Times New Roman" w:hAnsi="Times New Roman" w:eastAsia="Times New Roman"/>
      <w:b/>
      <w:bCs/>
      <w:color w:val="3333ff"/>
      <w:sz w:val="16"/>
      <w:szCs w:val="18"/>
    </w:rPr>
  </w:style>
  <w:style w:type="paragraph" w:styleId="1028" w:customStyle="1">
    <w:name w:val="修订1"/>
    <w:uiPriority w:val="99"/>
    <w:unhideWhenUsed/>
    <w:qFormat/>
    <w:rPr>
      <w:rFonts w:hint="default" w:ascii="Calibri" w:hAnsi="Calibri" w:eastAsia="宋体" w:cs="Times New Roman"/>
      <w:sz w:val="21"/>
      <w:szCs w:val="22"/>
      <w:lang w:val="en-US" w:eastAsia="zh-CN" w:bidi="ar-SA"/>
    </w:rPr>
  </w:style>
  <w:style w:type="paragraph" w:styleId="1029" w:customStyle="1">
    <w:name w:val="修订2"/>
    <w:uiPriority w:val="99"/>
    <w:semiHidden/>
    <w:qFormat/>
    <w:rPr>
      <w:rFonts w:hint="default" w:ascii="Calibri" w:hAnsi="Calibri" w:eastAsia="宋体" w:cs="Times New Roman"/>
      <w:sz w:val="21"/>
      <w:szCs w:val="22"/>
      <w:lang w:val="en-US" w:eastAsia="zh-CN" w:bidi="ar-SA"/>
    </w:rPr>
  </w:style>
  <w:style w:type="character" w:styleId="1030" w:customStyle="1">
    <w:name w:val="font11"/>
    <w:uiPriority w:val="0"/>
    <w:qFormat/>
    <w:rPr>
      <w:rFonts w:hint="eastAsia" w:ascii="宋体" w:hAnsi="宋体" w:eastAsia="宋体" w:cs="宋体"/>
      <w:color w:val="000000"/>
      <w:sz w:val="24"/>
      <w:szCs w:val="24"/>
      <w:u w:val="none"/>
    </w:rPr>
  </w:style>
  <w:style w:type="character" w:styleId="1031" w:customStyle="1">
    <w:name w:val="font21"/>
    <w:uiPriority w:val="0"/>
    <w:qFormat/>
    <w:rPr>
      <w:rFonts w:ascii="Segoe UI Symbol" w:hAnsi="Segoe UI Symbol" w:eastAsia="Segoe UI Symbol" w:cs="Segoe UI Symbol"/>
      <w:color w:val="000000"/>
      <w:sz w:val="24"/>
      <w:szCs w:val="24"/>
      <w:u w:val="none"/>
    </w:rPr>
  </w:style>
  <w:style w:type="character" w:styleId="1032" w:customStyle="1">
    <w:name w:val="NormalCharacter1"/>
    <w:uiPriority w:val="0"/>
    <w:semiHidden/>
    <w:qFormat/>
  </w:style>
  <w:style w:type="character" w:styleId="1033" w:customStyle="1">
    <w:name w:val="font31"/>
    <w:uiPriority w:val="0"/>
    <w:qFormat/>
    <w:rPr>
      <w:rFonts w:hint="eastAsia" w:ascii="宋体" w:hAnsi="宋体" w:eastAsia="宋体" w:cs="宋体"/>
      <w:color w:val="000000"/>
      <w:sz w:val="21"/>
      <w:szCs w:val="21"/>
      <w:u w:val="none"/>
    </w:rPr>
  </w:style>
  <w:style w:type="paragraph" w:styleId="1034" w:customStyle="1">
    <w:name w:val="无间隔1"/>
    <w:uiPriority w:val="1"/>
    <w:qFormat/>
    <w:rPr>
      <w:rFonts w:hint="default" w:ascii="Times New Roman" w:hAnsi="Times New Roman" w:eastAsia="宋体" w:cs="Times New Roman"/>
      <w:lang w:val="en-US" w:eastAsia="zh-CN" w:bidi="ar-SA"/>
    </w:rPr>
  </w:style>
  <w:style w:type="paragraph" w:styleId="1035" w:customStyle="1">
    <w:name w:val="索引 41"/>
    <w:basedOn w:val="744"/>
    <w:next w:val="744"/>
    <w:uiPriority w:val="99"/>
    <w:unhideWhenUsed/>
    <w:qFormat/>
    <w:pPr>
      <w:ind w:left="600"/>
    </w:pPr>
    <w:rPr>
      <w:rFonts w:ascii="Verdana" w:hAnsi="Verdana" w:eastAsia="微软雅黑"/>
      <w:szCs w:val="20"/>
    </w:rPr>
  </w:style>
  <w:style w:type="paragraph" w:styleId="1036" w:customStyle="1">
    <w:name w:val="首行缩进"/>
    <w:basedOn w:val="744"/>
    <w:uiPriority w:val="0"/>
    <w:qFormat/>
    <w:pPr>
      <w:ind w:firstLine="420"/>
      <w:spacing w:line="360" w:lineRule="auto"/>
    </w:pPr>
  </w:style>
  <w:style w:type="paragraph" w:styleId="1037" w:customStyle="1">
    <w:name w:val="表格文字"/>
    <w:basedOn w:val="744"/>
    <w:uiPriority w:val="0"/>
    <w:qFormat/>
    <w:rPr>
      <w:rFonts w:cs="宋体"/>
      <w:spacing w:val="2"/>
      <w:szCs w:val="21"/>
      <w:lang w:eastAsia="en-US"/>
    </w:rPr>
  </w:style>
  <w:style w:type="paragraph" w:styleId="1038"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39"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40"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41"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42" w:customStyle="1">
    <w:name w:val="批注文字 字符"/>
    <w:basedOn w:val="754"/>
    <w:link w:val="758"/>
    <w:uiPriority w:val="99"/>
    <w:qFormat/>
    <w:rPr>
      <w:rFonts w:ascii="Calibri" w:hAnsi="Calibri"/>
      <w:sz w:val="21"/>
      <w:szCs w:val="22"/>
    </w:rPr>
  </w:style>
  <w:style w:type="character" w:styleId="1043" w:customStyle="1">
    <w:name w:val="批注主题 字符"/>
    <w:basedOn w:val="1042"/>
    <w:link w:val="778"/>
    <w:uiPriority w:val="99"/>
    <w:semiHidden/>
    <w:qFormat/>
    <w:rPr>
      <w:rFonts w:ascii="Calibri" w:hAnsi="Calibri"/>
      <w:b/>
      <w:bCs/>
      <w:sz w:val="21"/>
      <w:szCs w:val="22"/>
    </w:rPr>
  </w:style>
  <w:style w:type="paragraph" w:styleId="1044" w:customStyle="1">
    <w:name w:val="Revision"/>
    <w:hidden/>
    <w:uiPriority w:val="99"/>
    <w:unhideWhenUsed/>
    <w:qFormat/>
    <w:rPr>
      <w:rFonts w:hint="default" w:ascii="Calibri" w:hAnsi="Calibri" w:eastAsia="宋体" w:cs="Times New Roman"/>
      <w:sz w:val="21"/>
      <w:szCs w:val="22"/>
      <w:lang w:val="en-US" w:eastAsia="zh-CN" w:bidi="ar-SA"/>
    </w:rPr>
  </w:style>
  <w:style w:type="table" w:styleId="1045" w:customStyle="1">
    <w:name w:val="table"/>
    <w:basedOn w:val="755"/>
    <w:uiPriority w:val="0"/>
    <w:qFormat/>
    <w:rPr>
      <w:rFonts w:eastAsiaTheme="minorEastAsia"/>
    </w:rPr>
    <w:tbl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孙玉君</cp:lastModifiedBy>
  <cp:revision>83</cp:revision>
  <dcterms:created xsi:type="dcterms:W3CDTF">2024-11-07T06:15:00Z</dcterms:created>
  <dcterms:modified xsi:type="dcterms:W3CDTF">2026-05-28T08:01:21Z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ADA6CC8EFEB24C849A10A7971610E6F6_13</vt:lpwstr>
  </property>
  <property fmtid="{D5CDD505-2E9C-101B-9397-08002B2CF9AE}" pid="4" name="KSOTemplateDocerSaveRecord">
    <vt:lpwstr>eyJoZGlkIjoiYTM3Nzg0ZDg0ZGE2NDY4ZGE1NDI2NDQzNzQ1MTA2ZWUiLCJ1c2VySWQiOiIxNzQyNjU1NjYyIn0=</vt:lpwstr>
  </property>
</Properties>
</file>