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u w:val="single"/>
          <w:lang w:val="en-US" w:eastAsia="zh-CN"/>
        </w:rPr>
        <w:t xml:space="preserve">JSZC-321012-JSZC-G2026-0024</w:t>
      </w:r>
      <w:r/>
    </w:p>
    <w:p>
      <w:pPr>
        <w:jc w:val="center"/>
        <w:keepLines w:val="0"/>
        <w:keepNext w:val="0"/>
        <w:pageBreakBefore w:val="0"/>
        <w:spacing w:line="360" w:lineRule="auto"/>
        <w:widowControl w:val="off"/>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pStyle w:val="972"/>
        <w:jc w:val="cente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扬州市江都区教育局城北教育集中区建设工程高中部分摄像机、音响等设备采购项目</w:t>
      </w:r>
      <w:r/>
    </w:p>
    <w:p>
      <w:pPr>
        <w:pStyle w:val="972"/>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center"/>
        <w:rPr>
          <w:rFonts w:ascii="宋体" w:hAnsi="宋体"/>
          <w:color w:val="auto"/>
          <w:sz w:val="36"/>
          <w:highlight w:val="none"/>
        </w:rPr>
      </w:pPr>
      <w:r>
        <w:rPr>
          <w:rFonts w:ascii="宋体" w:hAnsi="宋体"/>
          <w:color w:val="auto"/>
          <w:sz w:val="36"/>
          <w:highlight w:val="none"/>
        </w:rPr>
      </w:r>
      <w:r/>
    </w:p>
    <w:p>
      <w:pPr>
        <w:jc w:val="center"/>
        <w:rPr>
          <w:rFonts w:hint="eastAsia" w:asciiTheme="majorEastAsia" w:hAnsiTheme="majorEastAsia" w:eastAsiaTheme="majorEastAsia" w:cstheme="majorEastAsia"/>
          <w:color w:val="auto"/>
          <w:sz w:val="36"/>
          <w:szCs w:val="36"/>
          <w:highlight w:val="none"/>
        </w:rPr>
      </w:pPr>
      <w:r>
        <w:rPr>
          <w:rFonts w:hint="eastAsia" w:ascii="宋体" w:hAnsi="宋体"/>
          <w:color w:val="auto"/>
          <w:sz w:val="20"/>
          <w:szCs w:val="20"/>
          <w:highlight w:val="none"/>
        </w:rPr>
        <mc:AlternateContent>
          <mc:Choice Requires="wpg">
            <w:drawing>
              <wp:inline xmlns:wp="http://schemas.openxmlformats.org/drawingml/2006/wordprocessingDrawing" distT="0" distB="0" distL="0" distR="0">
                <wp:extent cx="1922780" cy="3279775"/>
                <wp:effectExtent l="0" t="0" r="1270" b="15875"/>
                <wp:docPr id="3" name="图片 2"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志诚标志3"/>
                        <pic:cNvPicPr>
                          <a:picLocks noChangeAspect="1"/>
                        </pic:cNvPicPr>
                        <pic:nvPr/>
                      </pic:nvPicPr>
                      <pic:blipFill>
                        <a:blip r:embed="rId17"/>
                        <a:stretch/>
                      </pic:blipFill>
                      <pic:spPr bwMode="auto">
                        <a:xfrm>
                          <a:off x="0" y="0"/>
                          <a:ext cx="1922780" cy="32797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1.4pt;height:258.2pt;mso-wrap-distance-left:0.0pt;mso-wrap-distance-top:0.0pt;mso-wrap-distance-right:0.0pt;mso-wrap-distance-bottom:0.0pt;" stroked="f">
                <v:path textboxrect="0,0,0,0"/>
                <v:imagedata r:id="rId17" o:title=""/>
              </v:shape>
            </w:pict>
          </mc:Fallback>
        </mc:AlternateContent>
      </w:r>
      <w:r/>
    </w:p>
    <w:p>
      <w:pPr>
        <w:pStyle w:val="981"/>
        <w:ind w:left="0" w:firstLine="0"/>
        <w:jc w:val="center"/>
        <w:rPr>
          <w:color w:val="auto"/>
          <w:sz w:val="52"/>
          <w:szCs w:val="52"/>
          <w:highlight w:val="none"/>
        </w:rPr>
      </w:pPr>
      <w:r>
        <w:rPr>
          <w:color w:val="auto"/>
          <w:sz w:val="52"/>
          <w:szCs w:val="52"/>
          <w:highlight w:val="none"/>
        </w:rPr>
      </w:r>
      <w:r/>
    </w:p>
    <w:p>
      <w:pPr>
        <w:pStyle w:val="981"/>
        <w:rPr>
          <w:color w:val="auto"/>
          <w:highlight w:val="none"/>
        </w:rPr>
      </w:pPr>
      <w:r>
        <w:rPr>
          <w:color w:val="auto"/>
          <w:highlight w:val="none"/>
        </w:rPr>
      </w:r>
      <w:r/>
    </w:p>
    <w:p>
      <w:pPr>
        <w:ind w:right="934" w:firstLine="1600"/>
        <w:jc w:val="both"/>
        <w:keepLines w:val="0"/>
        <w:keepNext w:val="0"/>
        <w:pageBreakBefore w:val="0"/>
        <w:spacing w:line="360" w:lineRule="auto"/>
        <w:widowControl w:val="off"/>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扬州市江都区教育局</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江苏志诚工程咨询管理有限公司</w:t>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2"/>
          <w:szCs w:val="32"/>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2"/>
          <w:szCs w:val="32"/>
          <w:highlight w:val="none"/>
          <w:lang w:val="en-US" w:eastAsia="zh-CN"/>
        </w:rPr>
        <w:t xml:space="preserve">二〇二</w:t>
      </w:r>
      <w:r>
        <w:rPr>
          <w:rFonts w:hint="eastAsia" w:ascii="宋体" w:hAnsi="宋体" w:cs="Times New Roman"/>
          <w:color w:val="auto"/>
          <w:sz w:val="32"/>
          <w:szCs w:val="32"/>
          <w:highlight w:val="none"/>
          <w:lang w:val="en-US" w:eastAsia="zh-CN"/>
        </w:rPr>
        <w:t xml:space="preserve">六</w:t>
      </w:r>
      <w:r>
        <w:rPr>
          <w:rFonts w:hint="eastAsia" w:ascii="宋体" w:hAnsi="宋体" w:eastAsia="宋体" w:cs="Times New Roman"/>
          <w:color w:val="auto"/>
          <w:sz w:val="32"/>
          <w:szCs w:val="32"/>
          <w:highlight w:val="none"/>
          <w:lang w:val="en-US" w:eastAsia="zh-CN"/>
        </w:rPr>
        <w:t xml:space="preserve">年</w:t>
      </w:r>
      <w:r>
        <w:rPr>
          <w:rFonts w:hint="eastAsia" w:ascii="宋体" w:hAnsi="宋体" w:cs="Times New Roman"/>
          <w:color w:val="auto"/>
          <w:sz w:val="32"/>
          <w:szCs w:val="32"/>
          <w:highlight w:val="none"/>
          <w:lang w:val="en-US" w:eastAsia="zh-CN"/>
        </w:rPr>
        <w:t xml:space="preserve">六</w:t>
      </w:r>
      <w:r>
        <w:rPr>
          <w:rFonts w:hint="eastAsia" w:ascii="宋体" w:hAnsi="宋体" w:eastAsia="宋体" w:cs="Times New Roman"/>
          <w:color w:val="auto"/>
          <w:sz w:val="32"/>
          <w:szCs w:val="32"/>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807"/>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807"/>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_Toc20022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p>
    <w:p>
      <w:pPr>
        <w:pStyle w:val="807"/>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p>
    <w:p>
      <w:pPr>
        <w:pStyle w:val="807"/>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第三章 合同条款及格式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17</w:t>
      </w:r>
      <w:r/>
    </w:p>
    <w:p>
      <w:pPr>
        <w:pStyle w:val="807"/>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第四章 项目需求</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23</w:t>
      </w:r>
      <w:r/>
    </w:p>
    <w:p>
      <w:pPr>
        <w:pStyle w:val="807"/>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第五章 评标方法及评标标准</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67</w:t>
      </w:r>
      <w:r/>
    </w:p>
    <w:p>
      <w:pPr>
        <w:pStyle w:val="807"/>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第六章 投标文件格式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71</w:t>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81"/>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81"/>
        <w:jc w:val="center"/>
        <w:keepLines/>
        <w:keepNext/>
        <w:pageBreakBefore w:val="0"/>
        <w:spacing w:before="0" w:after="0" w:line="360" w:lineRule="auto"/>
        <w:widowControl w:val="off"/>
        <w:rPr>
          <w:rFonts w:hint="eastAsia" w:ascii="宋体" w:hAnsi="宋体" w:eastAsia="宋体" w:cs="Times New Roman"/>
          <w:b/>
          <w:bCs/>
          <w:color w:val="auto"/>
          <w:sz w:val="28"/>
          <w:szCs w:val="28"/>
          <w:highlight w:val="none"/>
          <w:lang w:val="en-US" w:eastAsia="zh-CN"/>
        </w:rPr>
      </w:pPr>
      <w:r/>
      <w:bookmarkStart w:id="1" w:name="_Toc20022"/>
      <w:r>
        <w:rPr>
          <w:rFonts w:hint="eastAsia" w:ascii="宋体" w:hAnsi="宋体" w:eastAsia="宋体" w:cs="Times New Roman"/>
          <w:b/>
          <w:bCs/>
          <w:color w:val="auto"/>
          <w:sz w:val="28"/>
          <w:szCs w:val="28"/>
          <w:highlight w:val="none"/>
          <w:lang w:val="en-US" w:eastAsia="zh-CN"/>
        </w:rPr>
        <w:t xml:space="preserve">第一章 </w:t>
      </w:r>
      <w:r>
        <w:rPr>
          <w:rFonts w:hint="eastAsia" w:ascii="宋体" w:hAnsi="宋体" w:cs="Times New Roman"/>
          <w:b/>
          <w:bCs/>
          <w:color w:val="auto"/>
          <w:sz w:val="28"/>
          <w:szCs w:val="28"/>
          <w:highlight w:val="none"/>
          <w:lang w:val="en-US" w:eastAsia="zh-CN"/>
        </w:rPr>
        <w:t xml:space="preserve">江苏志诚工程咨询管理有限公司</w:t>
      </w:r>
      <w:r>
        <w:rPr>
          <w:rFonts w:hint="eastAsia" w:ascii="宋体" w:hAnsi="宋体" w:eastAsia="宋体" w:cs="Times New Roman"/>
          <w:b/>
          <w:bCs/>
          <w:color w:val="auto"/>
          <w:sz w:val="28"/>
          <w:szCs w:val="28"/>
          <w:highlight w:val="none"/>
          <w:lang w:val="en-US" w:eastAsia="zh-CN"/>
        </w:rPr>
        <w:t xml:space="preserve">关于</w:t>
      </w:r>
      <w:r>
        <w:rPr>
          <w:rFonts w:hint="eastAsia" w:ascii="宋体" w:hAnsi="宋体" w:cs="宋体"/>
          <w:color w:val="auto"/>
          <w:sz w:val="28"/>
          <w:szCs w:val="28"/>
          <w:highlight w:val="none"/>
          <w:u w:val="single"/>
          <w:lang w:val="en-US" w:eastAsia="zh-CN"/>
        </w:rPr>
        <w:t xml:space="preserve">扬州市江都区教育局城北教育集中区建设工程高中部分摄像机、音响等设备采购项目</w:t>
      </w:r>
      <w:r>
        <w:rPr>
          <w:rFonts w:hint="eastAsia" w:ascii="宋体" w:hAnsi="宋体" w:eastAsia="宋体" w:cs="Times New Roman"/>
          <w:b/>
          <w:bCs/>
          <w:color w:val="auto"/>
          <w:sz w:val="28"/>
          <w:szCs w:val="28"/>
          <w:highlight w:val="none"/>
          <w:lang w:val="en-US" w:eastAsia="zh-CN"/>
        </w:rPr>
        <w:t xml:space="preserve">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扬州市江都区教育局</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江苏志诚工程咨询管理有限公司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扬州市江都区教育局城北教育集中区建设工程高中部分摄像机、音响等设备采购项目</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扬州市江都区教育局城北教育集中区建设工程高中部分摄像机、音响等设备采购项目</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2026年7月3日</w:t>
      </w:r>
      <w:r>
        <w:rPr>
          <w:rFonts w:hint="eastAsia" w:ascii="宋体" w:hAnsi="宋体" w:cs="宋体"/>
          <w:bCs/>
          <w:color w:val="auto"/>
          <w:szCs w:val="21"/>
          <w:highlight w:val="none"/>
          <w:u w:val="single"/>
          <w:lang w:val="en-US" w:eastAsia="zh-CN"/>
        </w:rPr>
        <w:t xml:space="preserve">9点30分</w:t>
      </w:r>
      <w:r>
        <w:rPr>
          <w:rFonts w:hint="eastAsia" w:ascii="宋体" w:hAnsi="宋体" w:cs="宋体"/>
          <w:bCs/>
          <w:color w:val="auto"/>
          <w:highlight w:val="none"/>
          <w:u w:val="non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35393790"/>
      <w:r/>
      <w:bookmarkStart w:id="3" w:name="_Toc28359079"/>
      <w:r/>
      <w:bookmarkStart w:id="4" w:name="_Toc35393621"/>
      <w:r/>
      <w:bookmarkStart w:id="5" w:name="_Toc38985263"/>
      <w:r/>
      <w:bookmarkStart w:id="6" w:name="_Toc28359002"/>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u w:val="single"/>
          <w:lang w:val="en-US" w:eastAsia="zh-CN"/>
        </w:rPr>
        <w:t xml:space="preserve">JSZC-321012-JSZC-G2026-0024</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扬州市江都区教育局城北教育集中区建设工程高中部分摄像机、音响等设备采购项目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竞争性磋商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询价 ☑公开招标</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109.9451万元</w:t>
      </w:r>
      <w:r/>
    </w:p>
    <w:p>
      <w:pPr>
        <w:ind w:firstLine="420"/>
        <w:spacing w:line="360" w:lineRule="auto"/>
        <w:rPr>
          <w:rFonts w:hint="default" w:ascii="宋体" w:hAnsi="宋体" w:eastAsia="宋体" w:cs="宋体"/>
          <w:i w:val="0"/>
          <w:iCs w:val="0"/>
          <w:caps w:val="0"/>
          <w:color w:val="auto"/>
          <w:spacing w:val="0"/>
          <w:sz w:val="21"/>
          <w:szCs w:val="21"/>
          <w:highlight w:val="none"/>
          <w:u w:val="none"/>
          <w:shd w:val="clear" w:color="auto" w:fill="ffffff"/>
          <w:lang w:val="en-US" w:eastAsia="zh-CN"/>
        </w:rPr>
      </w:pPr>
      <w:r/>
      <w:bookmarkStart w:id="8" w:name="_Toc38985264"/>
      <w:r/>
      <w:bookmarkStart w:id="9" w:name="_Toc35393622"/>
      <w:r/>
      <w:bookmarkStart w:id="10" w:name="_Toc28359003"/>
      <w:r/>
      <w:bookmarkStart w:id="11" w:name="_Toc28359080"/>
      <w:r/>
      <w:bookmarkStart w:id="12" w:name="_Toc35393791"/>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109.9451万元</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6.采购需求：详见采购文件第四章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.合同履行期限：</w:t>
      </w:r>
      <w:r>
        <w:rPr>
          <w:rFonts w:hint="eastAsia" w:ascii="宋体" w:hAnsi="宋体" w:cs="宋体"/>
          <w:color w:val="auto"/>
          <w:sz w:val="21"/>
          <w:szCs w:val="21"/>
          <w:highlight w:val="none"/>
          <w:lang w:eastAsia="zh-CN"/>
        </w:rPr>
        <w:t xml:space="preserve">合同签订之日起</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lang w:eastAsia="zh-CN"/>
        </w:rPr>
        <w:t xml:space="preserve">日</w:t>
      </w:r>
      <w:r>
        <w:rPr>
          <w:rFonts w:hint="eastAsia" w:ascii="宋体" w:hAnsi="宋体" w:eastAsia="宋体" w:cs="宋体"/>
          <w:color w:val="auto"/>
          <w:sz w:val="21"/>
          <w:szCs w:val="21"/>
          <w:highlight w:val="none"/>
        </w:rPr>
        <w:t xml:space="preserve">（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35393623"/>
      <w:r/>
      <w:bookmarkStart w:id="14" w:name="_Toc38985265"/>
      <w:r/>
      <w:bookmarkStart w:id="15" w:name="_Toc28359004"/>
      <w:r/>
      <w:bookmarkStart w:id="16" w:name="_Toc35393792"/>
      <w:r/>
      <w:bookmarkStart w:id="17" w:name="_Toc28359081"/>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lang w:val="en-US" w:eastAsia="zh-C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jc w:val="left"/>
        <w:keepLines w:val="0"/>
        <w:keepNext w:val="0"/>
        <w:pageBreakBefore w:val="0"/>
        <w:spacing w:line="360" w:lineRule="auto"/>
        <w:widowControl w:val="off"/>
        <w:rPr>
          <w:rFonts w:hint="default" w:ascii="宋体" w:hAnsi="宋体" w:eastAsia="宋体" w:cs="宋体"/>
          <w:i/>
          <w:iCs/>
          <w:caps w:val="0"/>
          <w:color w:val="auto"/>
          <w:spacing w:val="0"/>
          <w:sz w:val="21"/>
          <w:szCs w:val="21"/>
          <w:highlight w:val="none"/>
          <w:u w:val="single"/>
          <w:shd w:val="clear" w:color="auto" w:fill="ffffff"/>
          <w:lang w:val="en-US" w:eastAsia="zh-CN"/>
        </w:rPr>
      </w:pPr>
      <w:r>
        <w:rPr>
          <w:rFonts w:hint="eastAsia" w:ascii="宋体" w:hAnsi="宋体" w:cs="宋体"/>
          <w:i/>
          <w:iCs/>
          <w:caps w:val="0"/>
          <w:color w:val="auto"/>
          <w:spacing w:val="0"/>
          <w:sz w:val="21"/>
          <w:szCs w:val="21"/>
          <w:highlight w:val="none"/>
          <w:u w:val="single"/>
          <w:shd w:val="clear" w:color="auto" w:fill="ffffff"/>
          <w:lang w:val="en-US"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801"/>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05"/>
      <w:r/>
      <w:bookmarkStart w:id="19" w:name="_Toc28359082"/>
      <w:r/>
      <w:bookmarkStart w:id="20" w:name="_Toc35393793"/>
      <w:r/>
      <w:bookmarkStart w:id="21" w:name="_Toc35393624"/>
      <w:r/>
      <w:bookmarkStart w:id="22" w:name="_Toc38985266"/>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1.时间：自招标文件公告发布之日起5个工作日。5个工作日后仍可下载招标文件，但不作为供应商权益受到损害的证明材料和依据</w:t>
      </w:r>
      <w:r/>
    </w:p>
    <w:p>
      <w:pPr>
        <w:pStyle w:val="801"/>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801"/>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网上注册登记</w:t>
      </w:r>
      <w:r/>
    </w:p>
    <w:p>
      <w:pPr>
        <w:pStyle w:val="801"/>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2026年7月3日</w:t>
      </w:r>
      <w:r>
        <w:rPr>
          <w:rFonts w:hint="eastAsia" w:ascii="宋体" w:hAnsi="宋体" w:cs="宋体"/>
          <w:bCs/>
          <w:color w:val="auto"/>
          <w:szCs w:val="21"/>
          <w:highlight w:val="none"/>
          <w:u w:val="single"/>
          <w:lang w:val="en-US" w:eastAsia="zh-CN"/>
        </w:rPr>
        <w:t xml:space="preserve">9点30分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color w:val="auto"/>
          <w:highlight w:val="none"/>
        </w:rPr>
      </w:pPr>
      <w:r/>
      <w:bookmarkStart w:id="23" w:name="_Toc28359007"/>
      <w:r/>
      <w:bookmarkStart w:id="24" w:name="_Toc35393625"/>
      <w:r/>
      <w:bookmarkStart w:id="25" w:name="_Toc35393794"/>
      <w:r/>
      <w:bookmarkStart w:id="26" w:name="_Toc28359084"/>
      <w:r/>
      <w:bookmarkStart w:id="27" w:name="_Toc3898526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5393626"/>
      <w:r/>
      <w:bookmarkStart w:id="29" w:name="_Toc38985268"/>
      <w:r/>
      <w:bookmarkStart w:id="30" w:name="_Toc35393795"/>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801"/>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35393627"/>
      <w:r/>
      <w:bookmarkStart w:id="32" w:name="_Toc28359008"/>
      <w:r/>
      <w:bookmarkStart w:id="33" w:name="_Toc38985269"/>
      <w:r/>
      <w:bookmarkStart w:id="34" w:name="_Toc28359085"/>
      <w:r/>
      <w:bookmarkStart w:id="35" w:name="_Toc35393796"/>
      <w:r>
        <w:rPr>
          <w:rFonts w:hint="eastAsia" w:ascii="宋体" w:hAnsi="宋体" w:eastAsia="宋体" w:cs="宋体"/>
          <w:b/>
          <w:color w:val="auto"/>
          <w:sz w:val="21"/>
          <w:szCs w:val="21"/>
          <w:highlight w:val="none"/>
          <w:lang w:val="en-US" w:eastAsia="zh-CN"/>
        </w:rPr>
        <w:t xml:space="preserve">（一）获取采购文件</w:t>
      </w:r>
      <w:r/>
    </w:p>
    <w:p>
      <w:pPr>
        <w:pStyle w:val="801"/>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801"/>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801"/>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801"/>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01"/>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801"/>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801"/>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801"/>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801"/>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801"/>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801"/>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801"/>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本次采购不收取保证金。</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8</w:t>
      </w:r>
      <w:r>
        <w:rPr>
          <w:rFonts w:hint="eastAsia" w:ascii="宋体" w:hAnsi="宋体" w:eastAsia="宋体" w:cs="Times New Roman"/>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eastAsia="宋体" w:cs="Times New Roman"/>
          <w:color w:val="auto"/>
          <w:highlight w:val="non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801"/>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扬州市江都区教育局</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lang w:val="en-US" w:eastAsia="zh-CN"/>
        </w:rPr>
        <w:t xml:space="preserve">扬州市江都区</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u w:val="single"/>
          <w:lang w:val="en-US" w:eastAsia="zh-CN"/>
        </w:rPr>
        <w:t xml:space="preserve">汪先生</w:t>
      </w:r>
      <w:r/>
    </w:p>
    <w:p>
      <w:pPr>
        <w:ind w:firstLine="420"/>
        <w:jc w:val="left"/>
        <w:spacing w:line="360" w:lineRule="auto"/>
        <w:rPr>
          <w:rFonts w:hint="default" w:ascii="宋体" w:hAnsi="宋体" w:cs="宋体"/>
          <w:color w:val="auto"/>
          <w:highlight w:val="none"/>
          <w:u w:val="single"/>
          <w:lang w:val="en-US"/>
        </w:rPr>
      </w:pPr>
      <w:r>
        <w:rPr>
          <w:rFonts w:hint="eastAsia" w:ascii="宋体" w:hAnsi="宋体" w:eastAsia="宋体" w:cs="宋体"/>
          <w:color w:val="auto"/>
          <w:highlight w:val="none"/>
          <w:u w:val="none"/>
          <w:lang w:val="en-US" w:eastAsia="zh-CN"/>
        </w:rPr>
        <w:t xml:space="preserve">联系方式：</w:t>
      </w:r>
      <w:r>
        <w:rPr>
          <w:rFonts w:hint="eastAsia" w:ascii="宋体" w:hAnsi="宋体" w:cs="宋体"/>
          <w:color w:val="auto"/>
          <w:highlight w:val="none"/>
          <w:u w:val="single"/>
          <w:lang w:val="en-US" w:eastAsia="zh-CN"/>
        </w:rPr>
        <w:t xml:space="preserve">13813157017</w:t>
      </w:r>
      <w:r/>
    </w:p>
    <w:p>
      <w:pPr>
        <w:pStyle w:val="801"/>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江苏志诚工程咨询管理有限公司</w:t>
      </w:r>
      <w:r/>
    </w:p>
    <w:p>
      <w:pPr>
        <w:pStyle w:val="801"/>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hAnsi="宋体" w:cs="宋体"/>
          <w:color w:val="auto"/>
          <w:sz w:val="21"/>
          <w:szCs w:val="21"/>
          <w:highlight w:val="none"/>
          <w:u w:val="single"/>
          <w:lang w:val="en-US" w:eastAsia="zh-CN" w:bidi="ar-SA"/>
        </w:rPr>
        <w:t xml:space="preserve">扬州市江都区浦江路38号五楼</w:t>
      </w:r>
      <w:r/>
    </w:p>
    <w:p>
      <w:pPr>
        <w:pStyle w:val="801"/>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庄先生</w:t>
      </w:r>
      <w:r/>
    </w:p>
    <w:p>
      <w:pPr>
        <w:pStyle w:val="801"/>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hAnsi="宋体" w:cs="宋体"/>
          <w:color w:val="auto"/>
          <w:sz w:val="21"/>
          <w:szCs w:val="21"/>
          <w:highlight w:val="none"/>
          <w:u w:val="single"/>
          <w:lang w:val="en-US" w:eastAsia="zh-CN"/>
        </w:rPr>
        <w:t xml:space="preserve">0514-86538233</w:t>
      </w:r>
      <w:r/>
    </w:p>
    <w:p>
      <w:pPr>
        <w:rPr>
          <w:rFonts w:hint="eastAsia" w:ascii="宋体" w:hAnsi="宋体" w:eastAsia="宋体" w:cs="Times New Roman"/>
          <w:b/>
          <w:bCs/>
          <w:color w:val="auto"/>
          <w:sz w:val="36"/>
          <w:szCs w:val="36"/>
          <w:highlight w:val="none"/>
          <w:lang w:val="en-US" w:eastAsia="zh-CN"/>
        </w:rPr>
      </w:pPr>
      <w:r>
        <w:rPr>
          <w:color w:val="auto"/>
          <w:highlight w:val="none"/>
        </w:rPr>
        <w:br w:type="page" w:clear="all"/>
      </w:r>
      <w:r/>
    </w:p>
    <w:p>
      <w:pPr>
        <w:pStyle w:val="781"/>
        <w:jc w:val="center"/>
        <w:keepLines/>
        <w:keepNext/>
        <w:pageBreakBefore w:val="0"/>
        <w:spacing w:before="0" w:after="0" w:line="360" w:lineRule="auto"/>
        <w:widowControl w:val="off"/>
        <w:rPr>
          <w:color w:val="auto"/>
          <w:highlight w:val="none"/>
        </w:rPr>
      </w:pPr>
      <w:r/>
      <w:bookmarkStart w:id="36" w:name="_Toc25750"/>
      <w:r/>
      <w:bookmarkStart w:id="37" w:name="_Toc55204178"/>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本次招标采取公开招标方式，本招标文件仅适用于JSZC-321012-JSZC-G2026-0024号项目。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color w:val="auto"/>
          <w:highlight w:val="none"/>
        </w:rPr>
      </w:pPr>
      <w:r>
        <w:rPr>
          <w:color w:val="auto"/>
          <w:highlight w:val="none"/>
        </w:rPr>
        <w:t xml:space="preserve">4.</w:t>
      </w:r>
      <w:r>
        <w:rPr>
          <w:rFonts w:hint="eastAsia"/>
          <w:color w:val="auto"/>
          <w:highlight w:val="none"/>
        </w:rPr>
        <w:t xml:space="preserve">2本项目代理服务费参照《招标采购代理规范》相关规定按发改价格(2011)534号文的标准</w:t>
      </w:r>
      <w:r>
        <w:rPr>
          <w:rFonts w:hint="eastAsia"/>
          <w:color w:val="auto"/>
          <w:highlight w:val="none"/>
          <w:lang w:val="en-US" w:eastAsia="zh-CN"/>
        </w:rPr>
        <w:t xml:space="preserve">的65%</w:t>
      </w:r>
      <w:r>
        <w:rPr>
          <w:rFonts w:hint="eastAsia"/>
          <w:color w:val="auto"/>
          <w:highlight w:val="none"/>
        </w:rPr>
        <w:t xml:space="preserve">一次性支付给招标代理机构代理服务费。</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（3）招标代理服务费不在投标报价中单列，包含在投标总价中，由中标单位支付给代理机构。</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中国建设银行股份有限公司扬州江中支行</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江苏志诚工程咨询管理有限公司江都分公司</w:t>
      </w:r>
      <w:r/>
    </w:p>
    <w:p>
      <w:pPr>
        <w:ind w:firstLine="420"/>
        <w:spacing w:line="360" w:lineRule="auto"/>
        <w:rPr>
          <w:color w:val="auto"/>
          <w:highlight w:val="none"/>
        </w:rPr>
      </w:pPr>
      <w:r>
        <w:rPr>
          <w:color w:val="auto"/>
          <w:highlight w:val="none"/>
        </w:rPr>
        <w:t xml:space="preserve">开户帐号：32050174775200000059</w:t>
      </w:r>
      <w:r/>
    </w:p>
    <w:p>
      <w:pPr>
        <w:ind w:firstLine="420"/>
        <w:spacing w:line="360" w:lineRule="auto"/>
        <w:rPr>
          <w:rFonts w:hint="eastAsia" w:ascii="宋体" w:hAnsi="宋体" w:eastAsia="宋体" w:cs="宋体"/>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462564084"/>
      <w:r/>
      <w:bookmarkStart w:id="39" w:name="_Toc513029225"/>
      <w:r/>
      <w:bookmarkStart w:id="40" w:name="_Toc20823297"/>
      <w:r/>
      <w:bookmarkStart w:id="41" w:name="_Toc16938541"/>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16938542"/>
      <w:r/>
      <w:bookmarkStart w:id="43" w:name="_Toc20823298"/>
      <w:r/>
      <w:bookmarkStart w:id="44" w:name="_Toc513029226"/>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20823299"/>
      <w:r/>
      <w:bookmarkStart w:id="46" w:name="_Toc16938543"/>
      <w:r/>
      <w:bookmarkStart w:id="47" w:name="_Toc513029227"/>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16938544"/>
      <w:r/>
      <w:bookmarkStart w:id="49" w:name="_Toc513029228"/>
      <w:r/>
      <w:bookmarkStart w:id="50" w:name="_Toc20823300"/>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 异常低价投标（响应）</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0"/>
        <w:spacing w:line="360" w:lineRule="auto"/>
        <w:rPr>
          <w:rFonts w:ascii="宋体" w:hAnsi="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rPr>
          <w:rFonts w:hint="eastAsia" w:ascii="宋体" w:hAnsi="宋体"/>
          <w:bCs/>
          <w:color w:val="auto"/>
          <w:szCs w:val="21"/>
          <w:highlight w:val="none"/>
        </w:rPr>
        <w:br w:type="page" w:clear="all"/>
      </w:r>
      <w:r/>
    </w:p>
    <w:p>
      <w:pPr>
        <w:pStyle w:val="781"/>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1" w:name="_Toc16060"/>
      <w:r/>
      <w:bookmarkStart w:id="52" w:name="_Toc55204179"/>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以下为中标后签定本项目合同的通用条款，中标人不得提出实质性的修改，关于专用条款将由采购人与中标人结合本项目具体情况协商后签订。</w:t>
      </w:r>
      <w:r/>
    </w:p>
    <w:p>
      <w:pPr>
        <w:pStyle w:val="986"/>
        <w:ind w:left="0" w:firstLine="422"/>
        <w:jc w:val="center"/>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扬州市政府采购合同（货物）（合同编号）</w:t>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rPr>
          <w:rFonts w:hint="eastAsia"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p>
    <w:p>
      <w:pPr>
        <w:pStyle w:val="986"/>
        <w:ind w:left="0" w:firstLine="420"/>
        <w:keepLines w:val="0"/>
        <w:keepNext w:val="0"/>
        <w:pageBreakBefore w:val="0"/>
        <w:spacing w:line="48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项目编号：</w:t>
      </w:r>
      <w:r>
        <w:rPr>
          <w:rFonts w:hint="eastAsia"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u w:val="single"/>
          <w:lang w:val="en-US" w:eastAsia="zh-CN"/>
        </w:rPr>
        <w:t xml:space="preserve"> </w:t>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b/>
          <w:bCs/>
          <w:color w:val="auto"/>
          <w:sz w:val="21"/>
          <w:szCs w:val="21"/>
          <w:highlight w:val="none"/>
          <w:lang w:eastAsia="zh-CN"/>
        </w:rPr>
        <w:t xml:space="preserve">（采购人）：</w:t>
      </w:r>
      <w:r>
        <w:rPr>
          <w:rFonts w:hint="eastAsia" w:ascii="宋体" w:hAnsi="宋体" w:eastAsia="宋体" w:cs="宋体"/>
          <w:b/>
          <w:bCs/>
          <w:color w:val="auto"/>
          <w:sz w:val="21"/>
          <w:szCs w:val="21"/>
          <w:highlight w:val="none"/>
          <w:u w:val="single"/>
          <w:lang w:eastAsia="zh-CN"/>
        </w:rPr>
        <w:t xml:space="preserve">扬州市江都区教育局</w:t>
      </w:r>
      <w:r/>
    </w:p>
    <w:p>
      <w:pPr>
        <w:pStyle w:val="986"/>
        <w:ind w:left="0" w:firstLine="420"/>
        <w:keepLines w:val="0"/>
        <w:keepNext w:val="0"/>
        <w:pageBreakBefore w:val="0"/>
        <w:spacing w:line="48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b/>
          <w:bCs/>
          <w:color w:val="auto"/>
          <w:sz w:val="21"/>
          <w:szCs w:val="21"/>
          <w:highlight w:val="none"/>
          <w:lang w:eastAsia="zh-CN"/>
        </w:rPr>
        <w:t xml:space="preserve">（供应商）</w:t>
      </w:r>
      <w:r>
        <w:rPr>
          <w:rFonts w:hint="eastAsia" w:ascii="宋体" w:hAnsi="宋体" w:eastAsia="宋体" w:cs="宋体"/>
          <w:color w:val="auto"/>
          <w:sz w:val="21"/>
          <w:szCs w:val="21"/>
          <w:highlight w:val="none"/>
          <w:lang w:eastAsia="zh-CN"/>
        </w:rPr>
        <w:t xml:space="preserve">：</w:t>
      </w:r>
      <w:r>
        <w:rPr>
          <w:rFonts w:hint="eastAsia" w:hAnsi="宋体" w:cs="宋体"/>
          <w:color w:val="auto"/>
          <w:sz w:val="21"/>
          <w:szCs w:val="21"/>
          <w:highlight w:val="none"/>
          <w:u w:val="single"/>
          <w:lang w:val="en-US" w:eastAsia="zh-CN"/>
        </w:rPr>
        <w:t xml:space="preserve">                  </w:t>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根据《中华人民共和国政府采购法》、《中华人民共和国民法典》等法律法规的规定，甲乙双方按照本项目结果签订本合同。</w:t>
      </w:r>
      <w:r/>
    </w:p>
    <w:p>
      <w:pPr>
        <w:pStyle w:val="98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一、货物及产品内容</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货物及服务名称：</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数量（单位）：</w:t>
      </w:r>
      <w:r/>
    </w:p>
    <w:p>
      <w:pPr>
        <w:pStyle w:val="98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二、合同金额</w:t>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 本合同总金额为（大写）：________元人民币（¥</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pStyle w:val="986"/>
        <w:ind w:left="0" w:firstLine="211"/>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三、技术资料</w:t>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3.1乙方应按采购文件规定的时间向甲方提供使用货物及服务的有关技术资料。</w:t>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pStyle w:val="98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四、知识产权</w:t>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乙方应保证甲方在使用、接受本合同货物及服务或其任何一部分时，不受第三方提出侵犯其专利权、版权、商标权和工业设计权等知识产权的起诉。一旦出现侵权，由乙方负全部责任。</w:t>
      </w:r>
      <w:r/>
    </w:p>
    <w:p>
      <w:pPr>
        <w:pStyle w:val="98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五、产权担保</w:t>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乙方保证所交付的货物及服务的所有权完全属于乙方且无任何抵押、查封等产权瑕疵。</w:t>
      </w:r>
      <w:r/>
    </w:p>
    <w:p>
      <w:pPr>
        <w:pStyle w:val="98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六、履约保证金</w:t>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收取履约保证金的，允许成交单位自主选择支票、汇票、本票、保函等非现金形式缴纳或提交，应当在采购合同中约定履约保证金退还的方式、时间、条件和不予退还的情形，明确逾期退还履约保证金的违约责任。</w:t>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6.3 履约保证金扣除甲方应得的补偿后的余额，在本合同履行结束后由甲方退还。 逾期退还的，按中国人民银行同期贷款基准利率上浮20%后的利率支付超期资金占用费，但因乙方自身原因导致无法及时退还的除外。 </w:t>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6.4 履约保证收取：</w:t>
      </w:r>
      <w:r>
        <w:rPr>
          <w:rFonts w:hint="eastAsia" w:ascii="宋体" w:hAnsi="宋体" w:eastAsia="宋体" w:cs="宋体"/>
          <w:color w:val="auto"/>
          <w:sz w:val="21"/>
          <w:szCs w:val="21"/>
          <w:highlight w:val="none"/>
          <w:u w:val="single"/>
          <w:lang w:eastAsia="zh-CN"/>
        </w:rPr>
        <w:t xml:space="preserve">无</w:t>
      </w:r>
      <w:r/>
    </w:p>
    <w:p>
      <w:pPr>
        <w:pStyle w:val="98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七、转包</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7.1本合同范围的货物及服务，应由乙方直接供应，不得转让他人供应；</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80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八、质保期</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年。（自交货验收合格之日起计）</w:t>
      </w:r>
      <w:r/>
    </w:p>
    <w:p>
      <w:pPr>
        <w:pStyle w:val="98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九、交付期、交付方式及交付地点</w:t>
      </w:r>
      <w:r/>
    </w:p>
    <w:p>
      <w:pPr>
        <w:pStyle w:val="801"/>
        <w:ind w:left="0" w:firstLine="420"/>
        <w:keepLines w:val="0"/>
        <w:keepNext w:val="0"/>
        <w:pageBreakBefore w:val="0"/>
        <w:spacing w:line="48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zh-CN"/>
        </w:rPr>
        <w:t xml:space="preserve">项目完成时间按照招标、投标文件规定执行，交付地点由甲方指定。</w:t>
      </w:r>
      <w:r/>
    </w:p>
    <w:p>
      <w:pPr>
        <w:pStyle w:val="98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十、货款支付</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本合同项下所有款项均以人民币支付。 </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ind w:left="0" w:firstLine="420"/>
        <w:keepLines w:val="0"/>
        <w:keepNext w:val="0"/>
        <w:pageBreakBefore w:val="0"/>
        <w:spacing w:line="48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10.3 甲方付款方式：合同签订后，甲方自收到乙方发票之日起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日内，支付合同价的30%作为预付款。货物运送到采购方指定地点，且安装、调试、培训到位，并经验收合格后，甲方自收到乙方发票之日起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日内一次性付清。</w:t>
      </w:r>
      <w:r/>
    </w:p>
    <w:p>
      <w:pPr>
        <w:pStyle w:val="792"/>
        <w:ind w:left="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10.4本项目采用单价合同，货物数量按甲方确认的实际采购数量计算。</w:t>
      </w:r>
      <w:r/>
    </w:p>
    <w:p>
      <w:pPr>
        <w:pStyle w:val="98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十一、税费</w:t>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本合同执行中相关的一切税费均由乙方负担。</w:t>
      </w:r>
      <w:r/>
    </w:p>
    <w:p>
      <w:pPr>
        <w:pStyle w:val="98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十二、质量保证及售后服务</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乙方应按招标文件规定的货物及服务性能、技术要求、质量标准向甲方提供。</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如在使用过程中发生质量问题，乙方在接到甲方通知后在______小时内到达甲方现场。</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在质保期内，乙方应对货物及服务出现的质量及安全问题负责处理解决并承担一切费用。</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12.5上述的货物及服务免费保修期为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年，因人为因素出现的故障不在免费保修范围内。超过保修期的机器设备，终生维修，维修时只收部件成本费。</w:t>
      </w:r>
      <w:r/>
    </w:p>
    <w:p>
      <w:pPr>
        <w:pStyle w:val="98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十三、调试和验收</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对技术复杂的货物及服务，甲方可请国家认可的专业检测机构参与初步验收及最终验收，并由其出具质量检测报告。</w:t>
      </w:r>
      <w:r/>
    </w:p>
    <w:p>
      <w:pPr>
        <w:pStyle w:val="98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13.5 验收时乙方必须在现场，验收完毕后作出验收结果报告；验收费用由甲乙双方协商解决。</w:t>
      </w:r>
      <w:r/>
    </w:p>
    <w:p>
      <w:pPr>
        <w:pStyle w:val="80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十四、货物及服务包装、发运及运输</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乙方应在货物及服务发运前对其进行满足运输距离、防潮、防震、防锈和防破损装卸等要求包装，以保证货物及服务安全运达甲方指定地点。</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使用说明书、质量检验证明书、随配附件和工具以及清单一并交付甲方。</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乙方在货物及服务发运手续办理完毕后24小时内或交付到甲方48小时前通知甲方，以准备接受交付。</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货物在交付甲方前发生的风险均由乙方负责。</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货物及服务在规定的交付期限内由乙方送达甲方指定的地点视为交付，乙方同时需通知甲方货物及服务已送达。</w:t>
      </w:r>
      <w:r/>
    </w:p>
    <w:p>
      <w:pPr>
        <w:pStyle w:val="80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十五、违约责任</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甲方无正当理由拒收货物及服务的，甲方向乙方偿付拒收款项总值的百分之五违约金。</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甲方无故逾期验收和办理款项支付手续的,甲方应按逾期付款总额每日万分之五向乙方支付违约金。</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0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十六、不可抗力事件处理</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pStyle w:val="80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十七、诉讼</w:t>
      </w:r>
      <w:r/>
    </w:p>
    <w:p>
      <w:pPr>
        <w:pStyle w:val="801"/>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双方在执行合同中所发生的一切争议，应通过协商解决。如协商不成，可向合同签订地法院起诉，合同签订地在此约定为扬州市江都区。</w:t>
      </w:r>
      <w:r/>
    </w:p>
    <w:p>
      <w:pPr>
        <w:ind w:left="0" w:firstLine="42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十八、</w:t>
      </w:r>
      <w:r>
        <w:rPr>
          <w:rFonts w:hint="eastAsia" w:ascii="宋体" w:hAnsi="宋体" w:eastAsia="宋体" w:cs="宋体"/>
          <w:color w:val="auto"/>
          <w:sz w:val="21"/>
          <w:szCs w:val="21"/>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中国人民银行江都支行咨询，联系电话：13813140731。</w:t>
      </w:r>
      <w:r/>
    </w:p>
    <w:p>
      <w:pPr>
        <w:pStyle w:val="987"/>
        <w:ind w:left="0" w:firstLine="105"/>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十九、合同其它</w:t>
      </w:r>
      <w:r/>
    </w:p>
    <w:p>
      <w:pPr>
        <w:pStyle w:val="987"/>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Fonts w:hint="eastAsia"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乙方应诚实信用，严格按照招标文件要求和投标承诺履行合同，不向甲方进行商业贿赂或者提供不正当利益。</w:t>
      </w:r>
      <w:r/>
    </w:p>
    <w:p>
      <w:pPr>
        <w:pStyle w:val="987"/>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Fonts w:hint="eastAsia"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合同经双方法定代表人或授权代表签字并加盖单位公章后生效。</w:t>
      </w:r>
      <w:r/>
    </w:p>
    <w:p>
      <w:pPr>
        <w:pStyle w:val="987"/>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本合同未尽事宜，遵照《民法典》有关条文执行。</w:t>
      </w:r>
      <w:r/>
    </w:p>
    <w:p>
      <w:pPr>
        <w:pStyle w:val="987"/>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19.</w:t>
      </w:r>
      <w:r>
        <w:rPr>
          <w:rFonts w:hint="eastAsia"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本合同正本一式</w:t>
      </w:r>
      <w:r>
        <w:rPr>
          <w:rFonts w:hint="eastAsia" w:ascii="宋体"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lang w:eastAsia="zh-CN"/>
        </w:rPr>
        <w:t xml:space="preserve">份，具有同等法律效力，甲方、乙方各执贰份。  </w:t>
      </w:r>
      <w:r/>
    </w:p>
    <w:p>
      <w:pPr>
        <w:pStyle w:val="987"/>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7"/>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 （公章）</w:t>
      </w:r>
      <w:r/>
    </w:p>
    <w:p>
      <w:pPr>
        <w:pStyle w:val="987"/>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pStyle w:val="987"/>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或授权代表：                              或授权代表：</w:t>
      </w:r>
      <w:r/>
    </w:p>
    <w:p>
      <w:pPr>
        <w:pStyle w:val="987"/>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w:t>
      </w:r>
      <w:r/>
    </w:p>
    <w:p>
      <w:pPr>
        <w:pStyle w:val="987"/>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w:t>
      </w:r>
      <w:r/>
    </w:p>
    <w:p>
      <w:pPr>
        <w:pStyle w:val="987"/>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账 号：</w:t>
      </w:r>
      <w:r/>
    </w:p>
    <w:p>
      <w:pPr>
        <w:pStyle w:val="987"/>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pStyle w:val="987"/>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801"/>
        <w:ind w:firstLine="210"/>
        <w:spacing w:before="120" w:after="120" w:line="360" w:lineRule="auto"/>
        <w:rPr>
          <w:rFonts w:hAnsi="宋体"/>
          <w:color w:val="auto"/>
          <w:sz w:val="21"/>
          <w:highlight w:val="none"/>
        </w:rPr>
      </w:pPr>
      <w:r>
        <w:rPr>
          <w:rFonts w:hAnsi="宋体"/>
          <w:color w:val="auto"/>
          <w:sz w:val="21"/>
          <w:highlight w:val="none"/>
        </w:rPr>
      </w:r>
      <w:r/>
    </w:p>
    <w:p>
      <w:pPr>
        <w:rPr>
          <w:rFonts w:hint="eastAsia" w:ascii="宋体" w:hAnsi="宋体" w:eastAsia="宋体" w:cs="Times New Roman"/>
          <w:b/>
          <w:bCs/>
          <w:color w:val="auto"/>
          <w:sz w:val="36"/>
          <w:szCs w:val="36"/>
          <w:highlight w:val="none"/>
          <w:lang w:val="en-US" w:eastAsia="zh-CN"/>
        </w:rPr>
      </w:pPr>
      <w:r/>
      <w:bookmarkStart w:id="53" w:name="_Toc22063"/>
      <w:r>
        <w:rPr>
          <w:rFonts w:hint="eastAsia" w:ascii="宋体" w:hAnsi="宋体" w:eastAsia="宋体" w:cs="Times New Roman"/>
          <w:b/>
          <w:bCs/>
          <w:color w:val="auto"/>
          <w:sz w:val="36"/>
          <w:szCs w:val="36"/>
          <w:highlight w:val="none"/>
          <w:lang w:val="en-US" w:eastAsia="zh-CN"/>
        </w:rPr>
        <w:br w:type="page" w:clear="all"/>
      </w:r>
      <w:r/>
    </w:p>
    <w:p>
      <w:pPr>
        <w:pStyle w:val="781"/>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第四章 项目需求</w:t>
      </w:r>
      <w:bookmarkEnd w:id="53"/>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ind w:firstLine="422"/>
        <w:keepLines/>
        <w:keepNext/>
        <w:spacing w:line="400" w:lineRule="exact"/>
        <w:rPr>
          <w:rFonts w:hint="eastAsia" w:ascii="宋体" w:hAnsi="宋体" w:eastAsia="宋体" w:cs="宋体"/>
          <w:b/>
          <w:bCs w:val="0"/>
          <w:color w:val="auto"/>
          <w:sz w:val="21"/>
          <w:szCs w:val="21"/>
          <w:highlight w:val="none"/>
        </w:rPr>
        <w:outlineLvl w:val="3"/>
      </w:pPr>
      <w:r>
        <w:rPr>
          <w:rFonts w:hint="eastAsia" w:ascii="宋体" w:hAnsi="宋体" w:eastAsia="宋体" w:cs="宋体"/>
          <w:b/>
          <w:bCs w:val="0"/>
          <w:color w:val="auto"/>
          <w:sz w:val="21"/>
          <w:szCs w:val="21"/>
          <w:highlight w:val="none"/>
        </w:rPr>
        <w:t xml:space="preserve">政府采购中实施本国产品标准及相关政策</w:t>
      </w:r>
      <w:r/>
    </w:p>
    <w:p>
      <w:pPr>
        <w:ind w:firstLine="555"/>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1.本项目对采购本国产品给予政策支持，具体内容见招标文件“第五章 评标方法与评标标准”。</w:t>
      </w:r>
      <w:r/>
    </w:p>
    <w:p>
      <w:pPr>
        <w:ind w:firstLine="555"/>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360" w:lineRule="auto"/>
        <w:widowControl w:val="off"/>
        <w:rPr>
          <w:rFonts w:hint="eastAsia" w:ascii="Times New Roman" w:hAnsi="Times New Roman" w:eastAsia="宋体" w:cs="Times New Roman"/>
          <w:b/>
          <w:bCs/>
          <w:color w:val="auto"/>
          <w:sz w:val="21"/>
          <w:szCs w:val="21"/>
          <w:highlight w:val="none"/>
          <w:lang w:val="en-US" w:eastAsia="zh-CN"/>
        </w:rPr>
      </w:pPr>
      <w:r>
        <w:rPr>
          <w:rFonts w:hint="eastAsia" w:ascii="宋体" w:hAnsi="宋体" w:eastAsia="宋体" w:cs="宋体"/>
          <w:bCs/>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本项目所属行业：</w:t>
      </w:r>
      <w:r>
        <w:rPr>
          <w:rFonts w:hint="eastAsia" w:ascii="Times New Roman" w:hAnsi="Times New Roman" w:cs="Times New Roman"/>
          <w:b/>
          <w:bCs/>
          <w:color w:val="auto"/>
          <w:sz w:val="21"/>
          <w:szCs w:val="21"/>
          <w:highlight w:val="none"/>
          <w:lang w:val="en-US" w:eastAsia="zh-CN"/>
        </w:rPr>
        <w:t xml:space="preserve">工业</w:t>
      </w:r>
      <w:r/>
    </w:p>
    <w:p>
      <w:pPr>
        <w:ind w:lef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b/>
          <w:color w:val="auto"/>
          <w:szCs w:val="21"/>
          <w:highlight w:val="none"/>
          <w:lang w:eastAsia="zh-CN"/>
        </w:rPr>
      </w:pPr>
      <w:r>
        <w:rPr>
          <w:rFonts w:hint="eastAsia" w:ascii="宋体" w:hAnsi="宋体"/>
          <w:b/>
          <w:color w:val="auto"/>
          <w:szCs w:val="21"/>
          <w:highlight w:val="none"/>
          <w:lang w:eastAsia="zh-CN"/>
        </w:rPr>
        <w:br w:type="page" w:clear="all"/>
      </w:r>
      <w:r/>
    </w:p>
    <w:p>
      <w:pPr>
        <w:rPr>
          <w:color w:val="auto"/>
          <w:highlight w:val="none"/>
        </w:rPr>
      </w:pPr>
      <w:r>
        <w:rPr>
          <w:rFonts w:hint="eastAsia" w:ascii="宋体" w:hAnsi="宋体"/>
          <w:b/>
          <w:color w:val="auto"/>
          <w:szCs w:val="21"/>
          <w:highlight w:val="none"/>
          <w:lang w:val="en-US" w:eastAsia="zh-CN"/>
        </w:rPr>
        <w:t xml:space="preserve">一、</w:t>
      </w:r>
      <w:r>
        <w:rPr>
          <w:rFonts w:hint="eastAsia" w:ascii="宋体" w:hAnsi="宋体"/>
          <w:b/>
          <w:color w:val="auto"/>
          <w:szCs w:val="21"/>
          <w:highlight w:val="none"/>
        </w:rPr>
        <w:t xml:space="preserve">货物需求一览表及主要技术指标参数要求</w:t>
      </w:r>
      <w:bookmarkStart w:id="54" w:name="_Toc55204181"/>
      <w:r/>
      <w:bookmarkStart w:id="55" w:name="_Toc25878"/>
      <w:r/>
      <w:r/>
    </w:p>
    <w:p>
      <w:pPr>
        <w:rPr>
          <w:rFonts w:hint="default"/>
          <w:b/>
          <w:bCs/>
          <w:color w:val="auto"/>
          <w:highlight w:val="none"/>
          <w:lang w:val="en-US" w:eastAsia="zh-CN"/>
        </w:rPr>
      </w:pPr>
      <w:r>
        <w:rPr>
          <w:rFonts w:hint="eastAsia" w:ascii="宋体" w:hAnsi="宋体" w:eastAsia="宋体" w:cs="宋体"/>
          <w:b/>
          <w:bCs w:val="0"/>
          <w:iCs/>
          <w:color w:val="auto"/>
          <w:szCs w:val="21"/>
          <w:highlight w:val="none"/>
          <w:lang w:eastAsia="zh-CN"/>
        </w:rPr>
        <w:br w:type="page" w:clear="all"/>
      </w:r>
      <w:r>
        <w:rPr>
          <w:rFonts w:hint="eastAsia"/>
          <w:b/>
          <w:bCs/>
          <w:color w:val="auto"/>
          <w:highlight w:val="none"/>
          <w:lang w:val="en-US" w:eastAsia="zh-CN"/>
        </w:rPr>
        <w:t xml:space="preserve">1、录播系统、图书馆瀑布流、监控</w:t>
      </w:r>
      <w:r/>
    </w:p>
    <w:tbl>
      <w:tblPr>
        <w:tblStyle w:val="818"/>
        <w:tblW w:w="9868" w:type="dxa"/>
        <w:tblInd w:w="-7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260"/>
        <w:gridCol w:w="6453"/>
        <w:gridCol w:w="737"/>
        <w:gridCol w:w="713"/>
      </w:tblGrid>
      <w:tr>
        <w:trPr/>
        <w:tc>
          <w:tcPr>
            <w:tcW w:w="705"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序号</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设备名称</w:t>
            </w:r>
            <w:r/>
          </w:p>
        </w:tc>
        <w:tc>
          <w:tcPr>
            <w:tcW w:w="645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招标参数</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单位</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数量</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1</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录播主机</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1.主机需采用ARM架构处理器，具备≥6核CPU，Linux操作系统。</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2.▲支持通过主机一体化屏幕对电池电量进行可视化监测，以百分比方式显示电量，充电状态、低电量状态、充满完成均有对应的状态提示。（</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3.▲支持多网互备，有线网络和WIFI网络可以相互备份使用，两个网络链路可以实现动态切换。（</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4.主机内置无线视频接入模块，支持≥4路无线视频信号输入。</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5.主机采用SSD硬盘，存储容量≥500GB。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6.▲支持标准USB音视频信号输出，通过主机Type-C接口可以实现图像和声音同步输出，输出音频可通过主机控制软件实现混音，兼容主流视频会议软件，支持不小于4K图像输出。（</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7.主机能够独立完成视频采集、音频采集、音频编码、视频编码、音频处理、视频处理、直播、录制、互动、导播、远程运维参数设置功能。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内置音频接收模块。无需外接无线音频接收模块，即可完成无线音频采集，支持同时≥2个无线麦克风接入，且同时支持≥2种对频模式。麦克风连接成功后，主机会显示无线麦克风连接成功图标，可通过麦表动态查看声音采集状态。（</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9.支持≥2个HDMI高清采集接口，支持≥4个RJ45接口，≥2个USB类型接口。</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10.▲支持≥4路高清视频输出，视频输出可同一时间输出不同视频源，且输出最大分辨率均可达到4K，其中HDMI信号输出≥3路且UVC信号输出≥1路。（</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支持≥2个线路立体声音频输入；≥2个线路立体声音频输出；支持≥1个阵列麦克风输入接口，可在不接入音频处理器的情况下，通过一根网线就可以完成≥2个阵列麦克风接入主机，通过一根网线可以实现≥2个麦克风的供电、音频信号传输、音频参数设置，支持数字音频传输。</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12.支持录制清晰度设定，支持可选择4K、1080p、720p、VGA、QVGA；支持录制帧率设定，可选择 25fps/30fps/60fps；支持录制画质选择，可选择≥5种等级；录制编码码率≥16Mbps。</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13.支持≥2种录制视频自动分段模式：支持按照文件大小分段，可选择500MB，1GB，2GB进行分段录制；支持按照录制时长分段，可选择30分钟、60分钟。</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14.支持串口通信，可通过中控协议实现中控控制，控制开关机、开始/暂停/停止录制。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15.▲支持通过平台或互联网查看设备在线和离线状态，查看设备 ID 地址、IP 地址、激活时间信息，实现对设备的远程配置，支持关机、重启、参数配置操作。支持通过平台实现主机的远程升级。（</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16.设备支持本地升级、可通过 U 盘实现设备升级，同时支持 OTA 远程在线升级，升级过程支持版本号校验，支持在线下载升级包自动完成升级。</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17.主机采用≥15英寸触控电容屏，屏幕色域≥72% NTSC，表面硬度≥7H，屏幕分辨率≥1920*1080。</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18.▲屏幕需满足无蓝光危害，符合IEC 62471:2006要求， LB限制范围≤0.3。（</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19.▲主机内置电池模组，电池容量≥16000mAH，可支持≥6小时续航，（</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20.▲支持4K超清视频远距离传输，在空旷环境下无遮挡可靠传输实时距离≥200m。（</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21.为保证设备稳定运行，要求设备平均无故障运行时间（MTBF）≥250000小时。</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2</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导播系统</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1.支持多种画面模式，支持单画面、2种画中画、左右等分、三画面、四画面6种画面合成模式。</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2.支持云台摄像机控制，支持 PTZ，≥8个预置位设置及调用；同时支持通过鼠标点击画面进行云台摄像机跟踪，可通过鼠标滑轮实现镜头画面放大缩小。</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9.在导播界面的预览窗口可实时观看≥5路画面，点击可进行画面切换。预监画面可实时推流给资源平台，实现平台直播。</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3.支持外接导播键盘，可通过导播键盘实现对录播主机的录制控制、画面切换、云台跟踪、预置位设置和调用、音量调节。</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4.▲支持≥7种导播切换特效，可通过主机的一体化触摸屏可以实现转场特效类型选择设置；特效保持时间支持自定义。（</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支持通过U盘导入视频、图片作为片头片尾素材，不少于3种格式；支持单个视频文件≥200MB，单个图片文件≥20MB，可保存≥10个素材；支持设定片头片尾保持时间，片头片尾素材可直接在主机一体化屏幕上进行删除。（</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6.支持设定图片台标，支持不少于2种格式，支持≥20MB台标文件，台标大小比例可通过主机一体化屏幕实现设置，台标位置可以通过主机设定在PGM任意位置，支持快速台标位置设定功能，支持≥4个快速位置。</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7.支持通过主机一体化屏幕进行云台摄像机控制，可任意转动云台方向，实现步进控制、连续控制。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8.▲支持通过主机一体化触控幕的虚拟摇杆拖动幅度实现云台摄像机的变速控制；支持≥3种云台转动灵敏度设置。（</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9.▲支持通过主机一体化触控幕实现云台摄像机的放大缩小变焦调节。（</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3</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互动系统</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1.支持互动清晰度设置，可设置1080p@60fps的互动清晰度。分辨率可选择1080p、720p，帧率可选择60fps、30fps、25fps。互动画质可选择≥4个等级。</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2.▲支持微信扫码登录，无需单独输入账号，使用微信扫描主机一体化触控屏上显示的二维码即可登录互动系统，登陆后显示用户头像和用户名。（</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3.支持通过主机的一体化触控屏实现导播控制，过程中可选择自动导播、半自动导播和手动导播；支持通过 PC 客户端软件进行远程导播控制。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4.支持通过 PC 客户端软件支持进行互动听课端列表查看、发言管理功能。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支持进行网络检测，无需通过第三方软件，可在主机的一体化触控屏上主机网络状态；实现对网络联通性、网络稳定性、上行速度、下行速度、网络追踪性、网卡信息实时检测；在一段时间内，支持以折线图方式实时呈现网络稳定性、上行速度和下行速度。（</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6.支持课堂互动功能，授课过程中可在主机的一体化触控屏单击听课端画面切换听课端为主画面，并支持与听课端主机实时连麦对讲，进行异地互动。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7.▲互动过程中，可在主机的一体化触控屏调出累计视频卡顿次数、累计音频卡顿次数和当前视频参数，其中当前视频参数包括上行/下行带宽，丢包率，视频分辨率，当前句柄数量，CPU使用率。（</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8.支持授课预监功能，授课过程中可在授课端主机的一体化触控屏实时显示授课端和参与互动的听课端画面，用户可实时查看授课端拍摄画面和听课端拍摄画面。</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9.设备双向互动过程中，在系统总丢包率 50%的网络环境下，视频清晰流畅无卡顿，语音连贯。</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10.支持 3Mbps 网络带宽环境下实现 1080P@60fps 视频双向互动。</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4</w:t>
            </w:r>
            <w:r/>
          </w:p>
        </w:tc>
        <w:tc>
          <w:tcPr>
            <w:tcW w:w="126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视频处理系统</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1.支持合成4K PGM画面，≥5个画面可调。</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2.支持多种类型视频信号接入，可接入网络视频信号、高速数字信号HDMI。</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3.支持通过rtsp协议接入第三方摄像机视频流。</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4.支持≥3种编码复杂度设置。</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5.支持≥2种码率控制方式设置。</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6.主机支持通过网络对接入摄像机的设备信息检索。</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7.支持接入POE摄像机。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8.HDMI采集通道支持画面缩放，可完成3840×2160p图像采集。</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5</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无线</w:t>
            </w:r>
            <w:r>
              <w:rPr>
                <w:rFonts w:hint="eastAsia"/>
                <w:color w:val="auto"/>
                <w:highlight w:val="none"/>
                <w:vertAlign w:val="baseline"/>
                <w:lang w:val="en-US" w:eastAsia="zh-CN"/>
              </w:rPr>
              <w:t xml:space="preserve">云台</w:t>
            </w:r>
            <w:r>
              <w:rPr>
                <w:rFonts w:hint="default"/>
                <w:color w:val="auto"/>
                <w:highlight w:val="none"/>
                <w:vertAlign w:val="baseline"/>
                <w:lang w:val="en-US" w:eastAsia="zh-CN"/>
              </w:rPr>
              <w:t xml:space="preserve">摄像机</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1.支持≥1路RJ45网络接口，10M/100M/自适应以太网。</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2.支持≥1路HDMI OUT接口，≥1路3.5mm Line in接口，≥1路USB Type-C接口。</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3.传感器尺寸≥CMOS 1/1.8英寸，有效像素≥800万。</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4.支持最大水平视场角≥60°，最大垂直视场角≥35°。</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5.支持不少于40倍变焦，镜头畸变率≤1.5%。</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6.支持水平翻转、垂直翻转，水平转动范围：±170°，垂直转动范围：-27°~87°。</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7.支持可变速度转动：水平转速24档可调，最大转动速度≥70°/s；垂直转速20档可调，最大转动速度≥70°/s。</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8.支持标准USB音视频信号输出，可以同时支持UVC和UAC协议，通过主机Type-C接口可以实现图像和声音同步输出，最大支持1920×1080@30fps输出，兼容主流视频会议软件。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9.支持AAC音频编码方式，音频采样率32kHz，音频采样精度16bit。</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10.支持通过无线网络实现电量信息、无线信号强度、摄像机参数、版本信息的显示，并进行设备升级。</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11.机身配备1英寸显示屏，支持显示信号强度、连接状态、电量信息、IP地址、音频工作状态。</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12.空旷环境下无遮挡可靠传输实时4K超清视频距离≥100m，空旷环境下无遮挡可靠传输实时1080高清视频距离≥250m。</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6</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云台摄像机图像处理系统 </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1.支持畸变矫正功能。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2.支持H.264、H.265、MJPG编码协议。</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3.支持≥3中编码等级。</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4.支持≥10路RTSP同时拉流，拉流码率≥1080P@30fps。</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5.支持基于不同使用场景的摄像机模式选择，包括室内模式、室外模式和专业模式。</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6.支持音频混音，支持Mic in和Line in同时输入音频。</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7.▲支持人员检测，当开启跟踪时，即可实现对人员的跟踪拍摄，无需借助其他定位摄像机。（</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8.支持通过录播主机手动划定跟踪目标，摄像机可对目标进行单人跟踪。</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7</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无线麦克风</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 麦克风支持≥1个Pogo pin接口，支持通过Pogo pin接口进行充电。整机Pogo pin接口≥2个。</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 麦克风支持≥1个按键，可控制麦克风的开关机、静音和配对。</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 麦克风支持≥2个音量控制按钮，可通过音量“+”“-”按钮控制麦克风输出音量。</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 麦克风标配充电仓，可用于充电及收纳。</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 麦克风充电仓支持电量指示，通过灯珠亮灭数量充电仓剩余电量及充电状态。</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 整机标配两个无线麦克风，且两个麦克风支持同时工作。</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 麦克风支持≥2种断开连接方式，可通过麦克风放入充电仓自动断开连接、关机自动断开连接。</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 麦克风支持通过音量调节按钮调节输出音量；音量调节过程中通过麦克风一体化屏幕动态提示当前音量等级。</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 麦克风支持音量记忆功能，重启后麦克风恢复关机前的音量等级。</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 支持红外和无线同时配对。</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 ▲麦克风屏幕支持显示麦克风电池电量、麦克风配对状态、麦克风所连接的设备、显示当前麦克风接收声音强度、无线连接信号强度。（</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 支持通过录播系统查看麦克风状态信息，包括版本信息、电量信息、信号强度信息。</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 支持抗干扰能力，支持自动跳频技术，避免同频干扰问题，同一空间内有多个无线麦克风不会产生相互干扰。</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14. 麦克风采用心型指向，麦克风音频采样率≥48kHz，音频采样精度≥16bit。</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15. 通信保持状态下，支持在空旷环境下，有效传输距离≥100m；支持在室内使用场景下，穿墙后有效传输距离≥20m。</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8</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无线麦克风音频处理系统</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1.麦克风音频编码方式采用LC3 plus。</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2.支持啸叫抑制算法，本地扩声时不产生啸叫现象。</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3.支持降噪功能设置。</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4.支持多通道输入混音。</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9</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移动录播箱</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1.采用高强度聚丙烯复合材料，箱体承重≥50KG。</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2.箱体可抗紫外线辐射，耐强力冲击。</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3.支持IP67防护等级。</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4.采用四个万向静音轮。</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5.具备可伸缩拉杆，人体工学把手，采用包胶设计。</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6.内衬采用环保材料，无刺激性气味。</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10</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远程互动课堂软件</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1.支持微信扫码登录，无需输入帐号密码即可登录软件进入课堂。</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2.支持显示预约的活动信息，包括直播活动、互动课堂、网络教研的活动类型、活动名称、活动时间、活动状态及对应授课老师。</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3.支持搭配互动录播主机，进入录制视频、直播活动、互动课堂、网络教研活动。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4.支持按键拨号形式，在互动课堂与网络教研功能中，可直接拨号呼叫，账号为11位手机号码。</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5.支持通过房间号加入互动课堂或网络教研，听课用户可直接输入房间号加入到房间中进行互动。授课教师可将邀请网页分享给其他用户，支持通过链接快速加入到互动中。</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6.支持查看参与互动的教室网络连接情况，可看到彼此的设备网络环境。房间内所有用户都可以查看到每个上台成员的网络情况。支持由低到高至少4档位的信号展示。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7.在进行互动课堂或网络教研时，支持不少于3种角色实时切换。其中主持人角色可将课中任意成员实时设置为授课老师或学生。</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支持控制学生批注权限。支持根据设备类型，智能授予批注权限，使用交互智能平板的学生将自动获得批注权限。使用其他设备的学生可由主持人、授课老师在课中管理学生的批注权限，学生拥有批注权限可以在课件与白板中进行板书。</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9.主持人可以控制锁定房间，锁定后听课成员无法通过房间号、拨号、连接等形式申请加入房间，授课老师无法邀请他成员加入房间，仅主持人可以邀请其他成员加入房间。</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10.授课过程中支持用户调起白板工具，在交互智能平板上进行板书，板书内容将在听课端实时同步；支持听课成员在交互智能平板上板书，反向实时同步至授课端及其他听课端。</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支持用户在云课件中进行远程同步课堂活动，异地教室的学生可同时在交互智能平板上参与活动，支持2个教室的学生同台参与知识趣味活动，活动中双方可相互看到对方操作。支持至少6种类型、70个模板的课堂活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12.▲支持用户在云课件中进行远程班级竞赛，异地教室的学生可在交互智能平板上进行知识竞赛活动，支持不少于4个教室的学生同时参与竞赛。支持至少3种类型的班级竞赛。（</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支持生成拍照上传二维码，使用手机微信扫码后，可直接拍照或选择手机相册的照片，实时上传至授课端，听课成员同步显示照片内容。支持授课老师对与照片进行拖动、放大、批注操作。并且支持授权听课成员对照片进行拖动、放大、批注操作。（</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14.在活动中，支持讨论功能，所有成员都可在讨论区发送文字信息。讨论区可轻松收起、展开。</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11</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摄像机三脚架</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1.高强度全金属材质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2.支持伸缩，最大高度不低于2m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3.采用标准1/4英寸螺口</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个</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12</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全向麦克风</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1.麦克风内置≥8个传感器单元。</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2.麦克风支持≥2个数字音频接口，支持数字音频传输，每个接口都具备输入接口和输出接口能力，支持盲插。</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3.支持状态指示灯，指示灯显示蓝色表示阵列麦克风处于工作状态正常，指示灯显示红色表示阵列麦克风处于无法正常拾音的状态。</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4.麦克风频率响应范围不低于50Hz~16KHz。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5.麦克风拾音半径≥8m。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6.麦克风信噪比≥68dB。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7.麦克风声压级≥130dBSPL，10%THD@1 KHz。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8.麦克风无需额外适配器供电，能够通过网线实现麦克风供电、音频信号传输、参数调整。</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9.麦克风支持降噪、回声抵消、混响抑制、自动增益控制、多麦融合多种音频算法。</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10.麦克风套件标配2支麦克风和2套安装支架。</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13</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全向麦克风音频处理系统</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1.支持全频带全双工自适应回声消除算法。</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2.支持全频自适应AI降噪技术，降噪电平≥24dB。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3.支持自动增益控制。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4.支持啸叫抑制。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5.支持智能混音，可智能选择最佳麦克风采集音频。</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6.支持多通道音频矩阵，可根据场景需求进行相应设置。</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7.支持音频参数调节。</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8.支持波束成形。</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9.支持远程OTA升级。</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10.支持连接录播主机作为录播音频输入设备使用，也可连接Windows系统，并为其提供音频输入。</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14</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资源管理平台</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 支持管理员根据不同教师的工作需求创建角色，自定义该角色的名称和可试用的功能权限；支持管理员查看各角色人数。                                                                                               </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 支持用户在发布课程时上传相关资料，上传资料格式支持≥5种；课程发布后，观众观看课程时支持下载相关资料。</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 支持管理员对本校教师申请发布的课程进行审核，监控公开公开课程资源的质量；可拒绝课程发布，拒绝时需填写拒绝原因。若课程未通过审核，消息中心会自动通知该课程归属老师。</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 支持用户对已发布的视频进行视频打点并插入课堂评价，所评论内容需关联视频对应的时间点。</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 支持在直播结束前，修改直播的结束时间、名称、封面、课件、直播简介、聊天互动权限等设置。修改原分享的链接和二维码不变，活动调整不会导致原分享链接和二维码失效。</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 支持在创建直播时添加直播助教，助教进入工作台可进行直播间秩序维护。</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 支持用户一键生成直播海报或链接进行分享，其他用户通过扫描海报上的二维码或打开链接的方式，观看直播视频。</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 支持用户生成直播海报后，直接在网页中一键复制图片，并粘贴至微信中发送，无需下载图片保存本地。</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 支持PC端、移动端通过分享的链接地址，查看直播活动的相关信息，包括封面、活动名称、学校名称、活动开始时间、简介、预览课件等。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 ▲支持用户在预览课件时，在课件上进行书写、擦除、移动图片素材等操作，且操作不影响原课件内容，可在开始直播前，预览主讲老师的课件。（</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 支持教师可选择云课件与直播关联，无需上传本地文件。课件与直播关联后，用户可在活动开始时间前查看云课件。活动开始后，用户可在观看直播视频的同时在线查看已关联的云课件。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 直播开始后，可查看直播的人气峰值、观看人次、累计点赞、观众发言次数、签到人数等数据，掌握直播情况。</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 支持教师选择直播中各时段生成的回放视频，删除不必要的回放片段生成回放视频。回放视频可选择发布至专递示范课、名校网络课堂、名师示范课，其他师生可以观看。</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14. 支持用户通过课程、教师、学校名称关键词搜索已发布的课程资源；用户可查看最近搜索关键词记录，能再次查找相关课程。</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15. 支持课表逐级汇总，可将教师个人课程计划、学校全体课程计划、区域全体课程计划在一张课表中展示，用户可查看。</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16. 支持访问平台网页观看线上课程时，直接在平台网页中参与知识配对、选词填空、趣味分类在线互动答题，完成后可直接查看答题用时和答题排行榜，并可选择继续观看视频或再玩一次。（</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17. ▲支持用户通过浏览器对本地上传的视频完成在线剪辑，将视频的无效内容删除。进行剪辑后，用户可通过在线浏览窗口，实时查看剪辑内容。（</w:t>
            </w:r>
            <w:r>
              <w:rPr>
                <w:rFonts w:hint="eastAsia"/>
                <w:color w:val="auto"/>
                <w:highlight w:val="none"/>
                <w:vertAlign w:val="baseline"/>
                <w:lang w:val="en-US" w:eastAsia="zh-CN"/>
              </w:rPr>
              <w:t xml:space="preserve">提供具有CMA标识的检测机构出具的检测报告原件扫描上传</w:t>
            </w:r>
            <w:r>
              <w:rPr>
                <w:rFonts w:hint="default"/>
                <w:color w:val="auto"/>
                <w:highlight w:val="none"/>
                <w:vertAlign w:val="baseline"/>
                <w:lang w:val="en-US" w:eastAsia="zh-CN"/>
              </w:rPr>
              <w:t xml:space="preserv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18. 支持用户拖拽视频起点与终点取出头部或尾部的无效内容，截取保留视频中的重要部分；并可基于时间刻度，将视频分割成若干片段，把无效视频删除。</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16</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移动支架</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 移动支架通过防倾斜实验，正负10度倾斜角度下不能翻倒；</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 承挂≥300kg，整体高度≥2039mm；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 支撑立杆采用壁厚≥2mm方通冷轧钢材质，表面酸洗工艺静电黑色喷涂；</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 承重四脚采用圆滑处理，防止碰伤；</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 脚轮为万向轮，聚氨酯（PU）材质，均带脚刹，直径不小于∮65mm；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 脚轮横向间距≥2500mm，纵向间距≥548mm</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rHeight w:val="1758"/>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17</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智慧讲台</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1.智能讲台结构：木结构部分均采用E0级木质板材结构，甲醛释放量≤0.05mg/m³，桌面防静电。</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2.智能讲台底座尺寸及外观：（长×宽×高）≥ 1100×550×1030 ±5mm，讲台三面环抱式设计，根据人体力学设计，讲台桌面高度合适老师放置教学用品，讲台产品外观桌面平整，悬浮式设计，边缘光滑，无棱角处理，保护师生安全。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3.智能讲台底座提供大容量收纳空间，可供老师放置无线麦克风、粉笔、键盘、鼠标、作业试卷等，时刻保持讲台桌面干净整洁。</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4.智能讲台底座自带4只脚杯，脚杯支持地钉锁定，可确保讲台安装更稳固、牢靠，避免师生椅靠、挪动等行为造成人身伤害。                                                               5.桌面反馈平尺寸及外观：（长×宽×高）≥ 568mm× 294mm× 156mm，外观悬浮式设计，边缘光滑，无棱角处理，保护师生安全。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6.桌面反馈平包含至少21.5英寸电容触摸屏幕，≥10点同时触摸。屏幕采用防眩光全钢化防爆玻璃面板，厚度≥3mm。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7.桌面反馈平支持通过触控屏幕对智慧黑板的画面进行控制，同时支持同步显示智慧黑板的画面，老师讲课无需转身背对学生，提高授课效率。</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8.桌面反馈平设置物理实体快捷按键，两侧按键共≥5个。</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9.桌面反馈平具备独立的快捷按键，用户可通过快捷按键对智慧黑板进行一键熄屏、音量加控制、音量减控制。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10.桌面反馈平至少具备1个可自定义功能按键，可通过软件设置选择按键功能，包括一键启动白板、一键启动视频展台，一键关闭当前应用程序选项功能。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11.桌面反馈平设置≥4个USB充电口，支持接入设备进行充电，方便学校对教学用品的管理及维护。</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18</w:t>
            </w:r>
            <w:r/>
          </w:p>
        </w:tc>
        <w:tc>
          <w:tcPr>
            <w:tcW w:w="126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安装及耗材</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设备安装调试及耗材。如：HDMI高清音视频信号线、超五类网络传输线、RVVP线缆、网络综合布线等。</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项</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19</w:t>
            </w:r>
            <w:r/>
          </w:p>
        </w:tc>
        <w:tc>
          <w:tcPr>
            <w:tcW w:w="126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多功能瀑布流</w:t>
            </w:r>
            <w:r/>
          </w:p>
        </w:tc>
        <w:tc>
          <w:tcPr>
            <w:tcW w:w="6453" w:type="dxa"/>
            <w:vAlign w:val="center"/>
            <w:textDirection w:val="lrTb"/>
            <w:noWrap w:val="false"/>
          </w:tcPr>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1.系统</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（1）软件运行环境为不低于Android 12系统。</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2）系统必须具备配套的手机客户端，系统内的资源可通过配套的手机客户端进行扫码，下载资源至手机，下载后的资源，无需网络，随时随地进行阅读；配套的手机端应具备夜间模式转换，文字大小调整等功能；手机客户端可保留相关阅读记录；手机客户端需同时支持ios、android系统。</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（3）支持微信等第三方扫描工具进行扫码，扫码后获取在线阅读服务，无需下载客户端，并能将图书分享至朋友圈等社交网络。</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（4）支持远程升级，支持一键更新，减少管理成本。</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（5）具备完善的后台管理系统，实现用户自主化管理。</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（6）具备良好的开放性，可以支持二次开发。</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（7）提供完善的售后说明。</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2.资源配置</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（1）系统应至少支持图书、期刊、视频、专题、图片、动画、少儿音频等多种类型的资源配置到机器上进行展示。</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（2）系统支持资源单独、组合展示，可按资源类型分类展示。</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3）图书资源：系统提供不少于3000册正版授权的epub格式电子图书且与原版图书保持原貌一致，如相关图片、目录等，每月定时更新不少于150种热门电子图书。图书可以直接在线阅读，也可通过第三方扫描工具获取在线阅读服务或通过配套的手机客户端扫描图书二维码，下载至智能终端进行离线阅读。同时提供2万余册可选电子书库供用户灵活配置、使用。</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（4）视频资源：系统提供不少于400集名师讲坛视频；视频支持单集、系列选集播放，同时支持在线观看或扫码带走观看。</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（5）</w:t>
            </w:r>
            <w:r>
              <w:rPr>
                <w:rFonts w:hint="eastAsia" w:ascii="微软雅黑" w:hAnsi="微软雅黑" w:eastAsia="微软雅黑" w:cs="微软雅黑"/>
                <w:color w:val="auto"/>
                <w:highlight w:val="none"/>
                <w:vertAlign w:val="baseline"/>
                <w:lang w:val="en-US" w:eastAsia="zh-CN"/>
              </w:rPr>
              <w:t xml:space="preserve">▲</w:t>
            </w:r>
            <w:r>
              <w:rPr>
                <w:rFonts w:hint="eastAsia" w:eastAsia="宋体"/>
                <w:color w:val="auto"/>
                <w:highlight w:val="none"/>
                <w:vertAlign w:val="baseline"/>
                <w:lang w:val="en-US" w:eastAsia="zh-CN"/>
              </w:rPr>
              <w:t xml:space="preserve">专题资源：提供不少于500种专题资源，同时支持客户自建专题，为用户提供专题创建工具，可以将文本内容、图片、视频、音频、图书、超链接等资源进行混合编排，形成富媒体专题资源，专题至少支持创建三级目录。支持将创建好的富媒体专题资源，配置到设备呈现。</w:t>
            </w:r>
            <w:r>
              <w:rPr>
                <w:rFonts w:hint="eastAsia"/>
                <w:color w:val="auto"/>
                <w:highlight w:val="none"/>
                <w:vertAlign w:val="baseline"/>
                <w:lang w:val="en-US" w:eastAsia="zh-CN"/>
              </w:rPr>
              <w:t xml:space="preserve">（提供相关功能截图上传）</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（6）期刊资源：内置不少于300种优质期刊，可选期刊资源库3000余种，，期刊支持在线阅读及扫码带走，同时支持往期查看等。</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（7）图片资源：支持图片资源展示，支持单张或者多张展示、支持查看图片简介内容、支持手动放大缩小查看图片。</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（8）少儿音频资源：提供不少于2000集国学系列有声音频，内容涵盖贴合小学、中学、高中的音频资源，如《声律启蒙》、《诗经》、《笠翁对韵》等系列。音频均支持在线播放及扫码带走。</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（9）少儿动画有声绘本资源：提供不少于400种少儿动画有声绘本资源，可以直接在设备上进行在线观看、互动。</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（10）</w:t>
            </w:r>
            <w:r>
              <w:rPr>
                <w:rFonts w:hint="eastAsia" w:ascii="微软雅黑" w:hAnsi="微软雅黑" w:eastAsia="微软雅黑" w:cs="微软雅黑"/>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瀑布流系统提供不少于6种特色主题皮肤包，可供用户选择，根据不同的节日热点，可切换展示贴合时下的主题瀑布流。</w:t>
            </w:r>
            <w:r>
              <w:rPr>
                <w:rFonts w:hint="eastAsia"/>
                <w:color w:val="auto"/>
                <w:highlight w:val="none"/>
                <w:vertAlign w:val="baseline"/>
                <w:lang w:val="en-US" w:eastAsia="zh-CN"/>
              </w:rPr>
              <w:t xml:space="preserve">（提供相关功能截图上传）</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3. 系统管理后台</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（1）支持管理瀑布流设备，支持对设备信息进行查看、在线/离线状态监控等，亦支持屏保修改、主题换肤、背景图修改等操作。</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（2）支持图书、期刊、视频、专题、图片、动画、少儿音频等多种资源的管理配置，用户勾选对应的资源分类后，可一键推送至设备进行展示；支持将单位自有版权的图书资源配置到设备进行展示。</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（3）支持视频管理，用户可通过后台创建视频分类及视频信息，可对上传的视频信息进行增删改查等操作。</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（4）支持图片管理，用户可通过后台创建图片分类及图片信息，可对上传的图片信息进行增删改查等管理操作。</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（5）支持专题管理，用户可通过后台创建专题分类及专题信息，可对上传的专题信息进行增删改查等管理操作。</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（6）支持资源导航功能，用户可自主选择开启或关闭导航功能，开启该功能后，在设备界面可以按照资源名称首字母对资源信息进行快速查找。</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（7）提供手机端管理模块，可对常用功能进行快速配置管理，如设备信息查看、在线/离线状态监控、主题切换、屏保配置、任务插播发布等常用操作。</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（8）对于配置多种资源的瀑布流，支持自定义设置各资源瀑布流间的自动切换，同时支持资源瀑布流与应用之间的切换展示，可自定义设置切换间隔时间，亦可设置默认自动轮播。</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（9）支持远程对硬件设备进行关机、重启、截屏等常用操作，包括支持远程设置定时开关机时间，便于用户管理。</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（10）支持数据统计功能，可以查看本单位下设备及资源使用情况，如下载量、点击量、阅读量等数据。支持按照单台设备、按月等条件快速检索查看相关统计数据。</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4. 其他功能</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（1）支持配置多种资源到瀑布流设备，各资源内容可通过资源切换按钮进行快速切换展示。</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（2）支持自定义设置资源展示流动动效，可随机、自定义展示入场动画、出现动画等加载效果。</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（3）支持上下快速滑动，用户可通过手指上下滑动，改变资源的流动速度，快速浏览，同时可自定义设置流动方向和流速，资源展示列数、横数支持自定义设置。</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（4）</w:t>
            </w:r>
            <w:r>
              <w:rPr>
                <w:rFonts w:hint="eastAsia" w:ascii="微软雅黑" w:hAnsi="微软雅黑" w:eastAsia="微软雅黑" w:cs="微软雅黑"/>
                <w:color w:val="auto"/>
                <w:highlight w:val="none"/>
                <w:vertAlign w:val="baseline"/>
                <w:lang w:val="en-US" w:eastAsia="zh-CN"/>
              </w:rPr>
              <w:t xml:space="preserve">▲</w:t>
            </w:r>
            <w:r>
              <w:rPr>
                <w:rFonts w:hint="eastAsia" w:eastAsia="宋体"/>
                <w:color w:val="auto"/>
                <w:highlight w:val="none"/>
                <w:vertAlign w:val="baseline"/>
                <w:lang w:val="en-US" w:eastAsia="zh-CN"/>
              </w:rPr>
              <w:t xml:space="preserve">除常规的资源内容展示外，系统还支持配置应用至瀑布流设备，已配置的应用以图标的形式悬浮于瀑布流右侧区域，不影响设备的资源展示，用户通过点击应用图标，打开该应用进行浏览。</w:t>
            </w:r>
            <w:r>
              <w:rPr>
                <w:rFonts w:hint="eastAsia"/>
                <w:color w:val="auto"/>
                <w:highlight w:val="none"/>
                <w:vertAlign w:val="baseline"/>
                <w:lang w:val="en-US" w:eastAsia="zh-CN"/>
              </w:rPr>
              <w:t xml:space="preserve">（提供相关功能截图上传）</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（5）系统应支持同时配置多个应用至设备。</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（6）系统支持添加待机屏保，支持单张、多张轮播展示。</w:t>
            </w:r>
            <w:r/>
          </w:p>
          <w:p>
            <w:pPr>
              <w:jc w:val="left"/>
              <w:widowControl w:val="off"/>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（7）支持资源背景图进行自定义更换展示。</w:t>
            </w:r>
            <w:r/>
          </w:p>
          <w:p>
            <w:pPr>
              <w:jc w:val="left"/>
              <w:widowControl w:val="off"/>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 xml:space="preserve">（8）图书、期刊、视频、专题资源支持断网离线扫码带走，无网络时亦可正常展示流动。</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r>
      <w:tr>
        <w:trPr/>
        <w:tc>
          <w:tcPr>
            <w:shd w:val="clear" w:color="auto" w:fill="auto"/>
            <w:tcW w:w="705" w:type="dxa"/>
            <w:vAlign w:val="center"/>
            <w:textDirection w:val="lrTb"/>
            <w:noWrap w:val="false"/>
          </w:tcPr>
          <w:p>
            <w:pPr>
              <w:jc w:val="center"/>
              <w:widowControl w:val="off"/>
              <w:rPr>
                <w:rFonts w:hint="default" w:ascii="Arial" w:hAnsi="Arial" w:eastAsia="宋体" w:cs="Arial"/>
                <w:color w:val="auto"/>
                <w:sz w:val="24"/>
                <w:szCs w:val="21"/>
                <w:highlight w:val="none"/>
                <w:vertAlign w:val="baseline"/>
                <w:lang w:val="en-US" w:eastAsia="zh-CN" w:bidi="ar-SA"/>
              </w:rPr>
            </w:pPr>
            <w:r>
              <w:rPr>
                <w:rFonts w:hint="eastAsia"/>
                <w:color w:val="auto"/>
                <w:highlight w:val="none"/>
                <w:vertAlign w:val="baseline"/>
                <w:lang w:val="en-US" w:eastAsia="zh-CN"/>
              </w:rPr>
              <w:t xml:space="preserve">20</w:t>
            </w:r>
            <w:r/>
          </w:p>
        </w:tc>
        <w:tc>
          <w:tcPr>
            <w:tcW w:w="12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监控</w:t>
            </w:r>
            <w:r/>
          </w:p>
        </w:tc>
        <w:tc>
          <w:tcPr>
            <w:tcW w:w="6453" w:type="dxa"/>
            <w:vAlign w:val="center"/>
            <w:textDirection w:val="lrTb"/>
            <w:noWrap w:val="false"/>
          </w:tcPr>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监控位置：实验室</w:t>
            </w:r>
            <w:r/>
          </w:p>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不低于</w:t>
            </w:r>
            <w:r>
              <w:rPr>
                <w:rFonts w:hint="default"/>
                <w:color w:val="auto"/>
                <w:highlight w:val="none"/>
                <w:vertAlign w:val="baseline"/>
                <w:lang w:val="en-US" w:eastAsia="zh-CN"/>
              </w:rPr>
              <w:t xml:space="preserve">200万像素</w:t>
            </w:r>
            <w:r>
              <w:rPr>
                <w:rFonts w:hint="eastAsia"/>
                <w:color w:val="auto"/>
                <w:highlight w:val="none"/>
                <w:vertAlign w:val="baseline"/>
                <w:lang w:val="en-US" w:eastAsia="zh-CN"/>
              </w:rPr>
              <w:t xml:space="preserve">，包安装且需要与学校现有监控系统对接、兼容。</w:t>
            </w:r>
            <w:r/>
          </w:p>
        </w:tc>
        <w:tc>
          <w:tcPr>
            <w:tcW w:w="737"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13"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27</w:t>
            </w:r>
            <w:r/>
          </w:p>
        </w:tc>
      </w:tr>
    </w:tbl>
    <w:p>
      <w:pPr>
        <w:rPr>
          <w:rFonts w:hint="eastAsia"/>
          <w:color w:val="auto"/>
          <w:highlight w:val="none"/>
          <w:lang w:val="en-US" w:eastAsia="zh-CN"/>
        </w:rPr>
      </w:pPr>
      <w:r>
        <w:rPr>
          <w:rFonts w:hint="eastAsia"/>
          <w:color w:val="auto"/>
          <w:highlight w:val="none"/>
          <w:lang w:val="en-US" w:eastAsia="zh-CN"/>
        </w:rPr>
      </w:r>
      <w:r/>
    </w:p>
    <w:p>
      <w:pPr>
        <w:rPr>
          <w:rFonts w:hint="default"/>
          <w:b/>
          <w:bCs/>
          <w:color w:val="auto"/>
          <w:highlight w:val="none"/>
          <w:lang w:val="en-US" w:eastAsia="zh-CN"/>
        </w:rPr>
      </w:pPr>
      <w:r>
        <w:rPr>
          <w:rFonts w:hint="eastAsia"/>
          <w:b/>
          <w:bCs/>
          <w:color w:val="auto"/>
          <w:highlight w:val="none"/>
          <w:lang w:val="en-US" w:eastAsia="zh-CN"/>
        </w:rPr>
        <w:t xml:space="preserve">2、扩声系统</w:t>
      </w:r>
      <w:r/>
    </w:p>
    <w:tbl>
      <w:tblPr>
        <w:tblStyle w:val="818"/>
        <w:tblW w:w="9915" w:type="dxa"/>
        <w:tblInd w:w="-7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30"/>
        <w:gridCol w:w="6495"/>
        <w:gridCol w:w="690"/>
        <w:gridCol w:w="780"/>
      </w:tblGrid>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序号</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设备名称</w:t>
            </w:r>
            <w:r/>
          </w:p>
        </w:tc>
        <w:tc>
          <w:tcPr>
            <w:tcW w:w="6495"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招标参数</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单位</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数量</w:t>
            </w:r>
            <w:r/>
          </w:p>
        </w:tc>
      </w:tr>
      <w:tr>
        <w:trPr/>
        <w:tc>
          <w:tcPr>
            <w:tcW w:w="720" w:type="dxa"/>
            <w:vAlign w:val="center"/>
            <w:textDirection w:val="lrTb"/>
            <w:noWrap w:val="false"/>
          </w:tcPr>
          <w:p>
            <w:pPr>
              <w:jc w:val="center"/>
              <w:widowControl w:val="off"/>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（一）</w:t>
            </w:r>
            <w:r/>
          </w:p>
        </w:tc>
        <w:tc>
          <w:tcPr>
            <w:gridSpan w:val="2"/>
            <w:tcW w:w="7725" w:type="dxa"/>
            <w:vAlign w:val="center"/>
            <w:textDirection w:val="lrTb"/>
            <w:noWrap w:val="false"/>
          </w:tcPr>
          <w:p>
            <w:pPr>
              <w:jc w:val="left"/>
              <w:widowControl w:val="off"/>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政治学科基地</w:t>
            </w:r>
            <w:r/>
          </w:p>
        </w:tc>
        <w:tc>
          <w:tcPr>
            <w:tcW w:w="69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r>
            <w:r/>
          </w:p>
        </w:tc>
        <w:tc>
          <w:tcPr>
            <w:tcW w:w="78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专业音箱</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1、标称阻抗:8</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2、持续功率:300</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3、推荐功放:300-600</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4、频率响应:50-18K</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5、灵敏度:96</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6、最大声压级:126</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7、指向性:H90xV70</w:t>
            </w:r>
            <w:r/>
          </w:p>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8</w:t>
            </w:r>
            <w:r>
              <w:rPr>
                <w:rFonts w:hint="default"/>
                <w:color w:val="auto"/>
                <w:highlight w:val="none"/>
                <w:vertAlign w:val="baseline"/>
                <w:lang w:val="en-US" w:eastAsia="zh-CN"/>
              </w:rPr>
              <w:t xml:space="preserve">、内置10"低音单元和1.75"高音喇叭，</w:t>
            </w:r>
            <w:r/>
          </w:p>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9</w:t>
            </w:r>
            <w:r>
              <w:rPr>
                <w:rFonts w:hint="default"/>
                <w:color w:val="auto"/>
                <w:highlight w:val="none"/>
                <w:vertAlign w:val="baseline"/>
                <w:lang w:val="en-US" w:eastAsia="zh-CN"/>
              </w:rPr>
              <w:t xml:space="preserve">、号角覆盖角度90°×50°。</w:t>
            </w:r>
            <w:r/>
          </w:p>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10</w:t>
            </w:r>
            <w:r>
              <w:rPr>
                <w:rFonts w:hint="default"/>
                <w:color w:val="auto"/>
                <w:highlight w:val="none"/>
                <w:vertAlign w:val="baseline"/>
                <w:lang w:val="en-US" w:eastAsia="zh-CN"/>
              </w:rPr>
              <w:t xml:space="preserve">、扬声器单元通过电脑精密校准使其相位、频响曲线平滑，全箱采用夹板制成，箱体内部的金属连接件将箱体连接为一体，使箱体可靠性提高。</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只</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4</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二通道专业功放</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1、过载与短路保护:此功放全部采用自恢复式短路保护，动作时不用跳继电器，短路故障解除后电路自动恢复工作状态。</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2、智能削峰限幅器:此功放设有智能削峰限幅器，当音乐信号过大，出现削峰时，该电路动作，自动将音乐信号压小，以防损坏音箱与伤害听众。</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3、开机软启动,此功放设有开机软启动电路，防止开机时向电网吸收大电流干扰其他用电设备，并保护机器电源开关。</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4、过热保护,此功放内设有自动过热保护，当此放大器的通风受阻或环境温度过高导致机内温度过高时，过热保护电路动作，音乐被断开，当温度降下时，机器恢复工作状态。</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5、风扇调速:此功放设有风扇自动调速功能、风速随机内工作温度变化而自动调节风速。</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6、立体声输出功率2×400w/8Ω；2×500w/4Ω；桥接1050W/8Ω;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7、频率响应20Hz-20KHz(+0,-5dB)；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8、输入阻抗20KΩ(平衡)；10KΩ(不平衡)；</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9、灵敏度0.775V,1.44V两档可调；</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10、谐波失真&lt;0.5%；</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11、信噪比98dB；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12、阻尼系数&gt;250；</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13、电压增益35dB；</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3</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调音台</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通道3段均衡加中频可选2编组</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3组辅助输出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1组返回</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100MM高精度对数式衰减推子</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24BitDSP效果器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7段主控均衡</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1组立体声输出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USB录音，播放功能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48V幻象电源</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通道哑音功能</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4</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数字音箱管理器</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1.音箱管理器支持多路模拟信号输入输出，用于多扬声器场景信号分配管理；</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2.内置高性能DSP处理芯片，24bit,48kHz处理能力，高性能A/D及D/A转换器；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3.自带TFT交互液晶屏，快捷调参嵌入式GUI界面；</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4.具有稳定性和线性相位的512阶自定义FIR滤波器；支持导入第三方软件生成的FIR参数，支持图形化界面显示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5.输入通道包含：:静音、增益、延迟器(0-180ms)、31段图示均衡器、扩展器、压缩器、音器、增益功能；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6.输出通道包含：延时器(0-60ms)、分频器(巴特沃斯/贝塞尔/林克威治滤波器类型12dB/24dB/36dB/48dB滤波器斜率、FIR滤波器)、15段参量均衡器、增益、限幅器功能；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7.专业PC端控制软件，通过USB或RJ45线进行连接，实现PC软件控制设置；</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8.软件可添加、路由管理多台在线设备；</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9.支持输入输出通道复制功能；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10.支持输入输出通道相互绑定功能；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11.支持多组场景保存、调用及导入、导出功能；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12.面板配置旋转编码器选择菜单的开关，操作便捷。</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13.配置双向RS232接口、标准以太网控制接口，开放相关协议文档</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1)模拟接口：2路平衡输入+6路平衡输出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2)频率响应：20-20KHz，±0.2dBu</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3)最大输入电平：+20dBu，平衡输入</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4)最大输出电平：+20dBu，平衡输出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5)THD+N：&lt;0.002%@4dBu</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6)通道隔离度：105dB@1KHz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7)采样率：48KHz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8)量化位数：24bit</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9)本底噪声：-90dBu</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10)输入阻抗：20KΩ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11)输出阻抗：100Ω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w:t>
            </w:r>
            <w:r>
              <w:rPr>
                <w:rFonts w:hint="eastAsia"/>
                <w:color w:val="auto"/>
                <w:highlight w:val="none"/>
                <w:vertAlign w:val="baseline"/>
                <w:lang w:val="en-US" w:eastAsia="zh-CN"/>
              </w:rPr>
              <w:t xml:space="preserve">2</w:t>
            </w:r>
            <w:r>
              <w:rPr>
                <w:rFonts w:hint="default"/>
                <w:color w:val="auto"/>
                <w:highlight w:val="none"/>
                <w:vertAlign w:val="baseline"/>
                <w:lang w:val="en-US" w:eastAsia="zh-CN"/>
              </w:rPr>
              <w:t xml:space="preserve">)工作温度：-10-50℃</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5</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反馈抑制器</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rPr>
                <w:rFonts w:hint="default"/>
                <w:color w:val="auto"/>
                <w:highlight w:val="none"/>
                <w:vertAlign w:val="baseline"/>
                <w:lang w:val="en-US" w:eastAsia="zh-CN"/>
              </w:rPr>
              <w:t xml:space="preserve">双通道自动反馈抑制；</w:t>
            </w:r>
            <w:r/>
          </w:p>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rPr>
                <w:rFonts w:hint="default"/>
                <w:color w:val="auto"/>
                <w:highlight w:val="none"/>
                <w:vertAlign w:val="baseline"/>
                <w:lang w:val="en-US" w:eastAsia="zh-CN"/>
              </w:rPr>
              <w:t xml:space="preserve">两个独立通道，共计48个滤波器；</w:t>
            </w:r>
            <w:r/>
          </w:p>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3.</w:t>
            </w:r>
            <w:r>
              <w:rPr>
                <w:rFonts w:hint="default"/>
                <w:color w:val="auto"/>
                <w:highlight w:val="none"/>
                <w:vertAlign w:val="baseline"/>
                <w:lang w:val="en-US" w:eastAsia="zh-CN"/>
              </w:rPr>
              <w:t xml:space="preserve">每通道24个陷波器，自由设置动态及静态；</w:t>
            </w:r>
            <w:r/>
          </w:p>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4.</w:t>
            </w:r>
            <w:r>
              <w:rPr>
                <w:rFonts w:hint="default"/>
                <w:color w:val="auto"/>
                <w:highlight w:val="none"/>
                <w:vertAlign w:val="baseline"/>
                <w:lang w:val="en-US" w:eastAsia="zh-CN"/>
              </w:rPr>
              <w:t xml:space="preserve">采用32位浮点DSP、24位AD/DA、96K采样频率；</w:t>
            </w:r>
            <w:r/>
          </w:p>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5.</w:t>
            </w:r>
            <w:r>
              <w:rPr>
                <w:rFonts w:hint="default"/>
                <w:color w:val="auto"/>
                <w:highlight w:val="none"/>
                <w:vertAlign w:val="baseline"/>
                <w:lang w:val="en-US" w:eastAsia="zh-CN"/>
              </w:rPr>
              <w:t xml:space="preserve">陷波器分辨精度1Hz，工作频率20-20kHz；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±10Hz移频设置；</w:t>
            </w:r>
            <w:r/>
          </w:p>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6.</w:t>
            </w:r>
            <w:r>
              <w:rPr>
                <w:rFonts w:hint="default"/>
                <w:color w:val="auto"/>
                <w:highlight w:val="none"/>
                <w:vertAlign w:val="baseline"/>
                <w:lang w:val="en-US" w:eastAsia="zh-CN"/>
              </w:rPr>
              <w:t xml:space="preserve">系统每通道提供噪声门、增益、8段PEQ、压缩器；</w:t>
            </w:r>
            <w:r/>
          </w:p>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7.</w:t>
            </w:r>
            <w:r>
              <w:rPr>
                <w:rFonts w:hint="default"/>
                <w:color w:val="auto"/>
                <w:highlight w:val="none"/>
                <w:vertAlign w:val="baseline"/>
                <w:lang w:val="en-US" w:eastAsia="zh-CN"/>
              </w:rPr>
              <w:t xml:space="preserve">系统提供USB及RS-485接口连接上位机及中控设备。</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6</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真分级一拖二话筒</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接收机技术参数</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机箱规格：标准1U机箱</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频道组数：双通道</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载波频段:UHF631MHZ-695MHZ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调制方式：FM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振荡方式：PLL相位锁定频率合成器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频率稳定性：±0.0005%</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灵敏度：在偏移度等于25KHz，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输入6dBμV时，S/N&gt;60dB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最大偏移度： ±45kHz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频带宽度：50MHz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综合 S/N比：&gt;108dB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综合 T.H.D.：&lt;0.4%@1KHz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综合频率响应： 60Hz~18kHz±3dB,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最大输出电压：平衡式：-20dBV/100Ω, </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非平衡式：-4dBV/5KΩ. 输出插座：XLR平衡式及6.3φ不平衡式插座</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面板按键：手持话筒、腰包发射器和短杆会议话筒，按键切换和显示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工作有效距离：一般200米（空旷地方）</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供电：100-240VAC50/60Hz，10W</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手持发射机参数</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振荡模式：PLL相位锁定频率合成器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谐波辐射：&lt;-63dBm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频带宽度：80MHz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最大偏移度： ±45KHz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功率输出：30mW </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频率响应：50Hz~18KHz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最大输入声压：130dBSPL</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音头：动圈式</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RF 功率输出：8mW;8mW/15mW(Selectable)</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电池： AA×2</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电流消耗：&lt;110mA</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电池耗电：Almost6Hours</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7</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8路智能电源控制器</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1、铝合金面板，高档大方。</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2、8路单独控制，方便直观，你关掉任何一路电源数字显示电路，即时知道当前工作电压。</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3、电子锁功能，防止别人误操作机器。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4、串联控制端口，能同时几台电源时序器串联起来操作。</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5、配有12V照明供电端口LAMP。</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6、电源插座各路输出最大电流：10A</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7、通道间隔切换时间：2秒</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8、电源：AC220V/50-60HZ</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8</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机柜</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1.类型：网络机柜</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2.容量：22U</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3.标准：符合ANSI/EIARS-310-D、DIN4149...</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4.门及门锁：高密度网孔前门及高密度网孔双开</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5.材料及工艺：全部选用SPCC优质冷轧钢板制作</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个</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9</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辅材</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材质:PVC适用对象:中型管径:20mm，金银线、音频线、音箱支架、音频跳线、音频跳线、音频跳线、欧姆头等</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批</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（二）</w:t>
            </w:r>
            <w:r/>
          </w:p>
        </w:tc>
        <w:tc>
          <w:tcPr>
            <w:gridSpan w:val="2"/>
            <w:tcW w:w="7725" w:type="dxa"/>
            <w:vAlign w:val="center"/>
            <w:textDirection w:val="lrTb"/>
            <w:noWrap w:val="false"/>
          </w:tcPr>
          <w:p>
            <w:pPr>
              <w:jc w:val="left"/>
              <w:widowControl w:val="off"/>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音乐教室</w:t>
            </w:r>
            <w:r/>
          </w:p>
        </w:tc>
        <w:tc>
          <w:tcPr>
            <w:tcW w:w="69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r>
            <w:r/>
          </w:p>
        </w:tc>
        <w:tc>
          <w:tcPr>
            <w:tcW w:w="78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音箱</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1、类型：全音域两路音箱（两分频）</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2、频率响应：不劣于55Hz-19KHz(-3dB)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3、灵敏度：≥92dB1.0W/1m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4、声压级：≥112dB（连续）.118dB（峰值）</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5、阻抗：8Ω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6、额定功率：≥100W；峰值功率：≥400W</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7、单元配置：LOW:不劣于1×8"（Φ36mm音圈）</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HI:不劣于1×1"（Φ25mm音圈）</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只</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功放</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1、额定输出功率：8Ω立体声≥200W×2</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2、额定输出功率：4Ω立体声≥380W×2</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3、额定输出功率：8Ω桥接≥760W</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4、信噪比:&gt;105dB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5、输出电路:AB类</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6、转换速率：≥45V/us</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7、频率响应范围:20-20kHz,±0.3dB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8、输入阻抗：平衡20k欧姆，非平衡10k欧姆</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9、输入连接方式(各通道):母卡侬、LINK公卡侬</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10、输出连接方式(各通道):四芯音箱方座,凤凰端子</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11、电源输出：功放后面板内置6路220V电源时序输出插座</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12、远程控制：功放后面板具有远程控制端口，可与音频矩阵处理器及其他设备联动通讯，实现有线和无线远程控制该功放和内置的六路电源时序输出开关机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13、保护功能：短路、限幅、直流、过热、过载、软启动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14、LED指示：保护灯，限幅灯，信号指示灯，电源指示灯。</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15、显示屏：功放前面板LCD显示工作温度、日期、时间、工作电压</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16、参数设置：功放前面板具有2个日期时间参数设置按钮</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17、冷却：温控变速风扇，穿过散热片，从前至后通风散热</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3</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调音台</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1、输入：12路线路输入，其中6路单声道输入，4组立体声输入，1组2TR输入</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2、输出：立体声主输出L、R；编组×2；一组MONITOR控制室立体声监听输出；一路立体声监听耳机输出；辅助AUX×2，具有两路辅助发送接口，以及一路立体声辅助返回接口</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具备分离开关的录音机输入/输出，将讯号发送到控制室和主混音输出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3、效果器：内置24BT高精度数字DSP效果</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4、幻象供电：每路带单独48V幻象供电开关</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5、衰减器行程：日本原装ALPS60mm高精度衰减器推子</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6、具有脚踏开关输入输出接口</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4</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数字音频处理器</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1.平衡式话筒/线路输入：≥2路，平衡式输出：≥4路</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2.设备后面板带有不少于3个RJ45网络端口，1个用于PC通过软件控制设备，2个DANTE数字信号输入输出（可选配DANTE功能）;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3.设备后面板带有1路光纤、1路同轴数字信号输入端口，可通过PC控制软件和机器面板两种方式操作选择使用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4.设备前面板带有一个AES/EBU数字音频输入端口，可通过PC控制软件和机器面板两种方式操作选择使用；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5.设备后面板自带一个REMOTESWITCH远程控制端口，与带远程控制功率放大器及电源时序器通讯并控制其开关机，远程控制中的功放/电源时序器的开启、关闭可以通过软件以及机器面板两种方式操作</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6.每路输入通道在软件界面和处理器面板通过按键旋钮可选择除Analog(模拟信号)之外还有Dante、AES/EBU、Cobranet、MADI、Ethersound、Optical、coaxial、N-net等多种数字信号</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7.设备具有一个5寸宽屏信息显示屏，可显示设备名称、场景名、设备IP、以及调试参数等；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8.音频矩阵处理器可实现以太网远程跨网段控制，可远程实时对设备进行调试和维护</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9.设备后面板自带一路RS-232中控控制端口；</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10.24bit/96KHz取样频率，高性能A/DD/A转换器和32-bit浮点DSP处理器；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11.软件界面支持：中文、英文、繁体</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12.输入DSP配套软件具有多种音频处理器模块：噪声门、输入参量均衡器、延时器、矩阵混音器、输出参量均衡器、分频器、输出延时器、压缩器，限幅器，调音推杆，信号指示表和信号发生器等；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具有30个场景设备存档，可设定任意一个为开机档，其他随时调用，具有导入存档、导出存档、导入存档包、导出存档包，可方便的保存、调用、删除、清楚设备存档参数；</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13.设备具有USB端口、TCP/IP网络端口2种方式连接通过PC控制软件对设备进性操作控制；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14.输入、输出均衡器调试好后可方便的做EQ存档，可保存40个EQ参数共现场调用；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15.机器软件支持多台设备分组联调、通道联调、DSP参数联调，方便现场系统搭建调试</w:t>
            </w:r>
            <w:r/>
          </w:p>
        </w:tc>
        <w:tc>
          <w:tcPr>
            <w:tcW w:w="69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5</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无线手持话筒</w:t>
            </w:r>
            <w:r/>
          </w:p>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（一拖二）</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1.2通道接收、采用UHF频段、PLL数字频率</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2.200组可选频点、手咪通用，抗干扰能力强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3.发射LCD显示频道和电池电量，电池低压闪烁至0.5V自动关机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4.接收各通道LCD分别显示：频率频道、射频强度、天线内部分极、及菜单内各指标调节内容</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5.发射器分两级功率调节，低功率30米、高功率80米（空旷地区）</w:t>
            </w:r>
            <w:r/>
          </w:p>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6</w:t>
            </w:r>
            <w:r>
              <w:rPr>
                <w:rFonts w:hint="default"/>
                <w:color w:val="auto"/>
                <w:highlight w:val="none"/>
                <w:vertAlign w:val="baseline"/>
                <w:lang w:val="en-US" w:eastAsia="zh-CN"/>
              </w:rPr>
              <w:t xml:space="preserve">.具有一键自动搜空闲频点功能、一键锁定频率功能</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6</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辅材</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国标辅材，机柜</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项</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（三）</w:t>
            </w:r>
            <w:r/>
          </w:p>
        </w:tc>
        <w:tc>
          <w:tcPr>
            <w:gridSpan w:val="2"/>
            <w:tcW w:w="7725" w:type="dxa"/>
            <w:vAlign w:val="center"/>
            <w:textDirection w:val="lrTb"/>
            <w:noWrap w:val="false"/>
          </w:tcPr>
          <w:p>
            <w:pPr>
              <w:jc w:val="left"/>
              <w:widowControl w:val="off"/>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古典音乐教室</w:t>
            </w:r>
            <w:r/>
          </w:p>
        </w:tc>
        <w:tc>
          <w:tcPr>
            <w:tcW w:w="69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r>
            <w:r/>
          </w:p>
        </w:tc>
        <w:tc>
          <w:tcPr>
            <w:tcW w:w="78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音箱</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单元配置：1x10″低音单元65芯音圈，8Ω，156磁；1x34mm高音单元34芯音圈，1″口径，8Ω；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号角材质：ABS,号角可调；</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音箱材质：15mm高密度纤维板；</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表面处理：水性环保黑色点漆；</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音箱铁网：1.5mm厚板材，网孔￠5㎜钢网内衬防尘棉；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吊挂方式：底部支撑孔，顶部侧面吊挂、双侧面钢丝绳吊点；</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频响范围：50Hz-20KHz；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灵敏度：96dB；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额定功率：≥200W；</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最大声压级：119dB；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阻抗：8（Ω）；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分频点：2.5KHz；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覆盖角：80°×60°（H×V；</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14</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连接器：SPEAKONNL4×2PIN1+/2+POS.PIN1-/2-NEG（正负4芯安全插头）；</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15</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吊挂硬件：18xM8吊点、底托、M8×35㎜吊环螺栓、万向壁架（1015A）；</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对</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功放</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立体声功率（THD=1%）：8Ω≥350W*2）,4Ω≥550W*2）；</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桥接功率:8Ω≥900W）；</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频率响应：20Hz-20KHz（-0.25dB)；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输入灵敏度：0.775V/1.2V；</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总谐波失真（1KHZ，正常工作条件）：0.02%；</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输入阻抗：20KΩ；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信号信噪比（A计权）：≥108dB；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信道分离度：〉70dB；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阻尼系数：〉350；</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转换速率：40V/μS；</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保护：短路、过载、过流、低阻、直流失调、过热、开机防浪涌冲击；</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冷却：根据机器内部温升自动调节风扇转速（无极调速）；</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3</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数字效果器</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采用32位高性能DSP和AD/DA，24位/48K采样纯数字的专业；</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LCD彩色高分辨率中英文显示1.77寸屏；</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手机APP调试；</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双模蓝牙，播放高品质音乐的同时可用手机安卓APP和苹果APP控制机器；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U盘音乐播放功能，支持MP3/WMA/WAV/FLAC/APE多种格式；</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输入接口:MIC:2路有线话筒，分A/B组，MUSIC:莲花（IN1/2).光纤（Optical）.同轴（Coaxial）.U盘.蓝牙；</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输出接口：6个卡侬（XLR）6声道输出，1个立体声录音输出；；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输入双5段参量/7段定频.混响５段.回声５段，MUSIC:双5段参量/7段定频；</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独特的麦克风反馈拟制算法，有4级强度可调；</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管理者、用户和初级模式，密码管理；</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密码按键锁的功能;音量初始值和最大值；</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拥有10组用户参数存储和调用；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VOD点歌控制接口RS232，无线红外遥控功能；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14</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免驱动USB接口连接，实时通过PC软件控制全部参数</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4</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8*8数字音频矩阵处理器(AEC/ANC）</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8路独立模拟音频平衡输入，8路独立模拟音频平衡输出，支持各类麦克风信号输入和音乐信号输入；</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带AEC自适应声学回声消除功能，6级尾长效果调节，带ANC自适应主动噪声消除功能，4级强度调节；</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每路麦克风输入48V幻相电源开关，可以匹配不同灵敏度的各类麦克风；</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内置白噪声.粉红噪声.正弦波三种不同测试信号音源，可以作为各类系统检测音源；〖1〗每路输入带主动反馈抑制功能，两档调节；</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带AUTOMIX共享增益型自动混音器，每通道独立调节，有10级优先档位，可调节斜率和响应时间；</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内置强大的矩阵混音功能，全开放架构，自由设置，每路混音还可以独立调节混音量，匹配增益更方便，直观查看和调试信号路由情况；</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输入通道：前级放大、信号发生器、扩展器、压缩器、31段参量均衡、AM自动混音功能、AFC自适应反馈消除、AEC回声消除、ANC噪声消除；</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输出通道：10段参量均衡器、延时器、分频器、高低通滤波器、限幅器；〖9〗带视像跟踪控制功能，RS232/485接口，支持摄像头控制PELCO-D/PELCO-P/VISCA等协议；配置8通道可编程GPIO控制接口（可自定义输入输出）；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标配USB（TYPE-B）口：支持免驱自动连接软件调试；内置U盘功能，存放软件和说明书；</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支持手机APPTCON软件网络控制，支持4寸触控屏线控控制；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Mconsole统一管理，可通过USB/RS232/RS485/TCPIP多个接口连接控制设备，TCPIP控制口还可以实现局域网远程.多台设备控制，多台设备同步参数，联调参数等强大功能；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支持中控指令，软件自带中控协议，可通过RS232/RS485/TCPIP实现中控控制功能；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14</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最大输入电平12dBu/Line,-7dBu/Mic；</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5</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数字反馈抑制器（升级款）</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〖1〗显示采用分辨率为144×32的汉字显示屏，LCD屏显示6段输出显示电平；</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〖2〗可任意对每通道24个滤波器编辑固定和动态反馈点数量进行全自动窄带陷波式反馈抑制；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〖3〗每通道提供压缩.限幅.噪声门等功能设置；</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〖4〗LCD屏显示每通道24个总计48个led灯啸叫点数量可直观展示系统已搜索到的啸叫点；</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〖5〗输入输出通道分别提供1组2路同轴.AES.光纤数字信号接口，2路平衡式模拟信号接口；</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〖6〗采用92KHz采样频率，32-bit高性能DSP处理器及24-bitA/D及D/A数模转换芯片；频率响应:20Hz-20KHz（-0.5dB）；信噪比：&gt;100dB；失真度：&lt;0.01%；通道分离度：&gt;110dB（1KHz）；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〖7〗为适应不同场景的转移使用，设为可一键清除自动获取的滤波器设置；</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〖8〗可通过面板的bypass/on按键切换工作模式为直通或抑制；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〖9〗单机可存储30组用户程序，存储压缩.限幅.噪声门等参数，关机前设备会自动保存所获取抑制的啸叫参数，在下次开机后无需重新获取相关抑制啸叫的参数；</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〖10〗可通过面板的系统键来设定密码锁定操作功能，以防止非相关人员对设备的误操作；</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6</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合唱话筒</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〖1〗指向性：心型指响；</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〖2〗灵敏度:－52dB±1.6dBat1kHz(0dB=1V/Pa)</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〖3〗电源：8-50V幻象电源；电流约1.8mA</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〖4〗信噪比S/N：70.5dB(A);1KHz@1Pa(94dBAPL)</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〖5〗谐波失真：THD0.7%/1KHz；声压级:94dB</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只</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3</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7</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四编组12路调音台</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〖1〗十二路通道输入（8路话筒+4路立体声）+4路辅助返回输入，12路输出（2路主输出+4编组输出+1路MONO输出+4路辅助输出+1路立体声监听输出；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〖2〗高保真MIC电路，单通道每路输入带独立48V电源开关；</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〖3〗单通道输入每路具备100Hz低切功能，单通道每路输入带PAD衰减按键（可以衰减信号20dB)；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〖4〗单通道每路输入带卡侬和6.35两种输入口，单通道每路带断点功能（即INSERT插入功能），方便单路外接设备；</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〖5〗单通道输入高中低3段均衡，中频可扫频；立体声高低两段均衡；</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〖6〗四路辅助输出，AUX1和AUX2为推子前信号，AUX3和AUX4为腿子后信号；AUX4和效果发送旋钮共用；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〖7〗每路带左右声像旋钮，每路带静音开关，静音指示灯和专属型透明按键结合；</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〖8〗输入每路带主输出MAIN开关，编组G1G2开关，编组G3G4开关，可以组合多种模式；</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〖9〗输入通道每路带PFL监听按键，PFL按键透明设计，内置LED指示灯，直观紧凑；</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〖10〗第一组立体声输入具备6.35和RCA（莲花座）两种接口，并有切换开关，接线和操作更灵活；第二组立体声输入和USB播放模块共用，有切换开关，操作灵活；</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〖11〗具备USB声卡功能，可以直接通过USB线与其他设备(如电脑)进行连接，可以实现数字音频信号的输入输出传输，进行录音直播等操作；</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〖12〗高品质DSP内置效果器，32种效果模式可选，适应不同的场所使用，单独的LCD显示屏，实时显示效果种类，和蓝牙播放模块形成双屏显示；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〖13〗每路编组的信号可以独立的加入到主输出左或主输出有，具有独立的选择开关；</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〖14〗两路主输出，输出为平衡的卡农接口，输出信号由一个双联的100mm推子控制；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〖15〗具备RCA(莲花座）的录音输入输出接口，录音输入由选择开关切换信号是否加入到主输出，录音输出信号和主输出同步；</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〖16〗两组立体声返回输入，返回音量由旋钮控制，第一组返回可以选择加入到编组1，2或主输出，第二组返回可以选择加入到编组3.4或主输出；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〖17〗具有电平指示表，由标准的4组12段LED光柱组成，具备切换开关；即可以显示PFL,AFL和主输出信号，也可以切换后显示编组1到4的输出信号；</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〖18〗具有MONO输入接口，主输出信号左右叠加后输出到MONO平衡接口，并有独立的旋钮控制音量大小，可以方便外接低音功放或其他设备；MONO具备PFL监听开关，方便了解前面的信号大小；</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〖19〗100mm推杆；输入输出通道的推杆为100mm长行程设计，调节更加精细；内置大功率开关电源，宽电压范围，外接通用型电源线，使用便捷；</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〖20〗频率响应:20HZ~20KHZ(+1，-3db)。</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8</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电源时序器</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〖1〗配备3.5寸彩色TFT-LCD可触控显示屏，可实时显示当前电压，日期时间，信道开关状态；</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〖2〗8路开关通道输出，每路延时开启和关闭时间可自由设置（范围0~999秒）；</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〖3〗每通道可以独立设置开启/关闭，方便设备灵活使用；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〖4〗每通道独立滤波器消除电磁干扰，为每路提供稳定的电流；</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〖5〗内置时钟芯片，可根据日期时间定时设置自动开启/关闭每一通道；</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〖6〗欠压、过压保护，可自定义设置保护值；</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〖7〗配置RS232和RS485接口，支持级联、中央设备控制；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〖8〗额定输出总电流：40A，单路输出电流：20A。</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〖9〗输入电源：AC100~240V50~60Hz；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〖10〗单路额定输出电流：20A；</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〖11〗额定输出总电流：40A；</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〖12〗时序控制每步时间间隔：0.1~999s；</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〖13〗USB界面：DC5V/500mA；</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〖14〗电源输出接口：8路智慧控制,1路直通输出；</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9</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UHF一拖二无线话筒</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〖1〗自动人手感应技术，话筒离开人手静止后3内秒自动静音（任意方向，任意角度放置均可），5分钟后自动节能进入待机状态，15分钟后自动关机并且彻底切断电源；</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〖2〗数字导频技术，彻底解决相互串频现象，永不串频，配置有啸叫抑制功能电路；</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〖3〗超外差二次变频设计，具备极高的接收灵敏度；频率范围：640-690MHz，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〖4〗100×2个信道，信道间隔250KHz；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〖5〗调制方式：调频（FM）；频率稳定度：±10ppm；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〖6〗支持2路XLR输出、一路混合输出，两路音量单独调节；具有V/A显示屏显示信道号与工作频率；带射频电平显示，音频电平显示，频道菜单显示手持具有静音显示；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〖7〗音频频响：40-18000Hz，接收灵敏度：-95~-67dBm；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〖8〗采用超外差二次变频接收机方式，谐波失真：≤0.5%，信噪比：≥110dB；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〖9〗具备可调发射功率和可调静噪门限，接收机后面板设外置静噪控制旋钮，可根据需要在10米-80米之间灵活设置有效操作半径。</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10</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简易机柜</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〖1〗专业航空机柜，行业标准尺寸设计；</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〖2〗颜色：黑色G；</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〖3〗选用优质8mm防火板制作，安全耐用；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〖4〗容量：16UHL；</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〖5〗尺寸：600*500*960mm；</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个</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11</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卡侬公对卡侬母信号线（1.5米）</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〖1〗品名：卡侬公对卡侬母信号线；</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〖2〗型号：JC-BR2；</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〖3〗长度：1.5米；</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〖4〗材质：PVC+ABS+锌合金；</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〖5〗三体针头：黄铜镀银。</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条</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12</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12</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3.5转双莲花信号线</w:t>
            </w:r>
            <w:r/>
          </w:p>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（1.5米）</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〖1〗品名：3.5转双莲花信号线</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〖2〗型号：JC-BR3；</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〖3〗长度：1.5米；</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〖4〗线芯数量：2芯；</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〖5〗线芯材质：裸铜线；</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〖6〗颜色：黑色。</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条</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13</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2*1.5㎡专业工程音箱线</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〖1〗专业级高保真音频信号传输线缆；</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〖2〗双铝箔屏蔽，抗氧化防干扰，增强音质；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〖3〗精炼铜导体，低电阻损耗小，具备更强的导音效果；</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〖4〗紧密绞绕结构，柔软度和耐用性更强；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〖5〗多应用于室内小型会议室.咖啡厅.家庭影音，背景音乐等扩声工程。</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主要配置描述：</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〖1〗品名：2*1.5㎡专用工程音箱线；</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〖2〗型号：JC-CR7；</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〖3〗长度：100米；</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〖4〗导体：金炼铜；</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〖5〗屏蔽：金银铝箔；</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〖6〗芯线规格：0.39㎡*2</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〖7〗线型尺寸：Ф3.0*6.0mm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〖8〗包装：精美PE膜（1卷独立包装）。</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卷</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eastAsia"/>
                <w:b/>
                <w:bCs/>
                <w:color w:val="auto"/>
                <w:highlight w:val="none"/>
                <w:vertAlign w:val="baseline"/>
                <w:lang w:val="en-US" w:eastAsia="zh-CN"/>
              </w:rPr>
            </w:pPr>
            <w:r>
              <w:rPr>
                <w:rFonts w:hint="eastAsia"/>
                <w:b/>
                <w:bCs/>
                <w:color w:val="auto"/>
                <w:highlight w:val="none"/>
                <w:vertAlign w:val="baseline"/>
                <w:lang w:val="en-US" w:eastAsia="zh-CN"/>
              </w:rPr>
              <w:t xml:space="preserve">（四）</w:t>
            </w:r>
            <w:r/>
          </w:p>
        </w:tc>
        <w:tc>
          <w:tcPr>
            <w:gridSpan w:val="2"/>
            <w:tcW w:w="7725" w:type="dxa"/>
            <w:vAlign w:val="center"/>
            <w:textDirection w:val="lrTb"/>
            <w:noWrap w:val="false"/>
          </w:tcPr>
          <w:p>
            <w:pPr>
              <w:jc w:val="left"/>
              <w:widowControl w:val="off"/>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舞蹈教室</w:t>
            </w:r>
            <w:r/>
          </w:p>
        </w:tc>
        <w:tc>
          <w:tcPr>
            <w:tcW w:w="69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r>
            <w:r/>
          </w:p>
        </w:tc>
        <w:tc>
          <w:tcPr>
            <w:tcW w:w="78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音箱</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1、类型：全音域两路音箱（两分频）</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2、频率响应：不劣于55Hz-19KHz(-3dB)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3、灵敏度：≥92dB1.0W/1m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4、声压级：≥112dB（连续）.118dB（峰值）</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5、阻抗：8Ω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6、额定功率：≥100W；峰值功率：≥400W</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7、单元配置：LOW:不劣于1×8"（Φ36mm音圈）</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HI:不劣于1×1"（Φ25mm音圈）</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只</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功放</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1、额定输出功率：8Ω立体声≥200W×2</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2、额定输出功率：4Ω立体声≥380W×2</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3、额定输出功率：8Ω桥接≥760W</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4、信噪比:&gt;105dB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5、输出电路:AB类</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6、转换速率：≥45V/us</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7、频率响应范围:20-20kHz,±0.3dB</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8、输入阻抗：平衡20k欧姆，非平衡10k欧姆</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9、输入连接方式(各通道):母卡侬、LINK公卡侬</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10、输出连接方式(各通道):四芯音箱方座,凤凰端子</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11、电源输出：功放后面板内置6路220V电源时序输出插座</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12、远程控制：功放后面板具有远程控制端口，可与音频矩阵处理器及其他设备联动通讯，实现有线和无线远程控制该功放和内置的六路电源时序输出开关机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13、保护功能：短路、限幅、直流、过热、过载、软启动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14、LED指示：保护灯，限幅灯，信号指示灯，电源指示灯。</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15、显示屏：功放前面板LCD显示工作温度、日期、时间、工作电压</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16、参数设置：功放前面板具有2个日期时间参数设置按钮</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17、冷却：温控变速风扇，穿过散热片，从前至后通风散热</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3</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调音台</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1、输入：12路线路输入，其中6路单声道输入，4组立体声输入，1组2TR输入</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2、输出：立体声主输出L、R；编组×2；一组MONITOR控制室立体声监听输出；一路立体声监听耳机输出；辅助AUX×2，具有两路辅助发送接口，以及一路立体声辅助返回接口</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具备分离开关的录音机输入/输出，将讯号发送到控制室和主混音输出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3、效果器：内置24BT高精度数字DSP效果</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4、幻象供电：每路带单独48V幻象供电开关</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5、衰减器行程：日本原装ALPS60mm高精度衰减器推子</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6、具有脚踏开关输入输出接口</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4</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数字音频处理器</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1.平衡式话筒/线路输入：≥2路，平衡式输出：≥4路</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2.设备后面板带有不少于3个RJ45网络端口，1个用于PC通过软件控制设备，2个DANTE数字信号输入输出（可选配DANTE功能）;</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3.设备后面板带有1路光纤、1路同轴数字信号输入端口，可通过PC控制软件和机器面板两种方式操作选择使用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4.设备前面板带有一个AES/EBU数字音频输入端口，可通过PC控制软件和机器面板两种方式操作选择使用；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5.设备后面板自带一个REMOTESWITCH远程控制端口，与带远程控制功率放大器及电源时序器通讯并控制其开关机，远程控制中的功放/电源时序器的开启、关闭可以通过软件以及机器面板两种方式操作</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6.每路输入通道在软件界面和处理器面板通过按键旋钮可选择除Analog(模拟信号)之外还有Dante、AES/EBU、Cobranet、MADI、Ethersound、Optical、coaxial、N-net等多种数字信号</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7.设备具有一个5寸宽屏信息显示屏，可显示设备名称、场景名、设备IP、以及调试参数等；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8.音频矩阵处理器可实现以太网远程跨网段控制，可远程实时对设备进行调试和维护</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9.设备后面板自带一路RS-232中控控制端口；</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10.24bit/96KHz取样频率，高性能A/DD/A转换器和32-bit浮点DSP处理器；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11.软件界面支持：中文、英文、繁体</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12.输入DSP配套软件具有多种音频处理器模块：噪声门、输入参量均衡器、延时器、矩阵混音器、输出参量均衡器、分频器、输出延时器、压缩器，限幅器，调音推杆，信号指示表和信号发生器等；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具有30个场景设备存档，可设定任意一个为开机档，其他随时调用，具有导入存档、导出存档、导入存档包、导出存档包，可方便的保存、调用、删除、清楚设备存档参数；</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13.设备具有USB端口、TCP/IP网络端口2种方式连接通过PC控制软件对设备进性操作控制；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14.输入、输出均衡器调试好后可方便的做EQ存档，可保存40个EQ参数共现场调用；</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15.机器软件支持多台设备分组联调、通道联调、DSP参数联调，方便现场系统搭建调试；</w:t>
            </w:r>
            <w:r/>
          </w:p>
        </w:tc>
        <w:tc>
          <w:tcPr>
            <w:tcW w:w="69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8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5</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无线手持话筒</w:t>
            </w:r>
            <w:r/>
          </w:p>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（一拖二）</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1.2通道接收、采用UHF频段、PLL数字频率</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2.200组可选频点、手咪通用，抗干扰能力强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3.发射LCD显示频道和电池电量，电池低压闪烁至0.5V自动关机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4.接收各通道LCD分别显示：频率频道、射频强度、天线内部分极、及菜单内各指标调节内容</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5.发射器分两级功率调节，低功率30米、高功率80米（空旷地区）</w:t>
            </w:r>
            <w:r/>
          </w:p>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6</w:t>
            </w:r>
            <w:r>
              <w:rPr>
                <w:rFonts w:hint="default"/>
                <w:color w:val="auto"/>
                <w:highlight w:val="none"/>
                <w:vertAlign w:val="baseline"/>
                <w:lang w:val="en-US" w:eastAsia="zh-CN"/>
              </w:rPr>
              <w:t xml:space="preserve">.具有一键自动搜空闲频点功能、一键锁定频率功能</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2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6</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辅材</w:t>
            </w:r>
            <w:r/>
          </w:p>
        </w:tc>
        <w:tc>
          <w:tcPr>
            <w:tcW w:w="649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国标辅材、机柜</w:t>
            </w:r>
            <w:r/>
          </w:p>
        </w:tc>
        <w:tc>
          <w:tcPr>
            <w:tcW w:w="69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项</w:t>
            </w:r>
            <w:r/>
          </w:p>
        </w:tc>
        <w:tc>
          <w:tcPr>
            <w:tcW w:w="78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bl>
    <w:p>
      <w:pPr>
        <w:rPr>
          <w:rFonts w:hint="default"/>
          <w:color w:val="auto"/>
          <w:highlight w:val="none"/>
          <w:lang w:val="en-US" w:eastAsia="zh-CN"/>
        </w:rPr>
      </w:pPr>
      <w:r>
        <w:rPr>
          <w:rFonts w:hint="default"/>
          <w:color w:val="auto"/>
          <w:highlight w:val="none"/>
          <w:lang w:val="en-US" w:eastAsia="zh-CN"/>
        </w:rPr>
      </w:r>
      <w:r/>
    </w:p>
    <w:p>
      <w:pPr>
        <w:rPr>
          <w:rFonts w:hint="eastAsia"/>
          <w:b/>
          <w:bCs/>
          <w:color w:val="auto"/>
          <w:highlight w:val="none"/>
          <w:lang w:val="en-US" w:eastAsia="zh-CN"/>
        </w:rPr>
      </w:pPr>
      <w:r>
        <w:rPr>
          <w:rFonts w:hint="eastAsia"/>
          <w:b/>
          <w:bCs/>
          <w:color w:val="auto"/>
          <w:highlight w:val="none"/>
          <w:lang w:val="en-US" w:eastAsia="zh-CN"/>
        </w:rPr>
        <w:t xml:space="preserve">3、其他</w:t>
      </w:r>
      <w:r/>
    </w:p>
    <w:tbl>
      <w:tblPr>
        <w:tblStyle w:val="818"/>
        <w:tblW w:w="9982" w:type="dxa"/>
        <w:tblInd w:w="-7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230"/>
        <w:gridCol w:w="6555"/>
        <w:gridCol w:w="660"/>
        <w:gridCol w:w="772"/>
      </w:tblGrid>
      <w:tr>
        <w:trPr/>
        <w:tc>
          <w:tcPr>
            <w:tcW w:w="765"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序号</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设备名称</w:t>
            </w:r>
            <w:r/>
          </w:p>
        </w:tc>
        <w:tc>
          <w:tcPr>
            <w:tcW w:w="6555"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招标参数</w:t>
            </w:r>
            <w:r/>
          </w:p>
        </w:tc>
        <w:tc>
          <w:tcPr>
            <w:tcW w:w="6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单位</w:t>
            </w:r>
            <w:r/>
          </w:p>
        </w:tc>
        <w:tc>
          <w:tcPr>
            <w:tcW w:w="772"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数量</w:t>
            </w:r>
            <w:r/>
          </w:p>
        </w:tc>
      </w:tr>
      <w:tr>
        <w:trPr/>
        <w:tc>
          <w:tcPr>
            <w:tcW w:w="765"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（一）</w:t>
            </w:r>
            <w:r/>
          </w:p>
        </w:tc>
        <w:tc>
          <w:tcPr>
            <w:gridSpan w:val="2"/>
            <w:tcW w:w="7785" w:type="dxa"/>
            <w:vAlign w:val="center"/>
            <w:textDirection w:val="lrTb"/>
            <w:noWrap w:val="false"/>
          </w:tcPr>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心理咨询室</w:t>
            </w:r>
            <w:r/>
          </w:p>
        </w:tc>
        <w:tc>
          <w:tcPr>
            <w:tcW w:w="66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tcW w:w="772"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765"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减压心立方</w:t>
            </w:r>
            <w:r/>
          </w:p>
        </w:tc>
        <w:tc>
          <w:tcPr>
            <w:tcW w:w="655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1.压力自测：运用PSTR专业压力测试量表，从生理、情绪、行为、认知等维度对来访者的心理压力进行评估。评估完成后出具详细的报告文件，且提供食疗建议，帮助用户调节生理状态。</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健康监测：运专业身心评估算法采集用户各项生理指标数据，专用生理指标采集仪采集用户HRV/心率/血氧/RR间接/PNN50等数据解析并且生成图文报告，由折线图、柱形图、雷达图、饼状图、散点图呈现用户的抗压、血液活性、情绪稳定、自助神经、疲劳程度、呼吸、情绪状态、RR间接的数据，并且根据这些数据自动给出心率脉搏/血氧饱和度/HRV变异性的指标建议，并提供训练建议以及食疗建议。根据所采集的用户生理数据自动推荐适合用户的调适音乐。</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氛围催眠：运用各类生活音频，为用户营造一个舒适的催眠环境，通过组合各类音频形成催眠处方，最多可选择6种音频为用户营造舒适的想象环境，提供150种以上的无损SQ氛围音频，例如：化学课、夏日虫鸣、夜阑听雨、语文课等音频，用户最多可以选择三种音频组合成能够让自己形成睡眠反射的音频，快速进入让自己的场景。</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音乐调适：22大类心理音乐（补充心理“维生素”、催眠气功系列、催眠圣经配套、催眠音乐、放松类、抚慰悲伤治疗曲目、缓解身心疲劳、激发脉轮神奇音乐、激扬类、精神忧郁治疗曲目、冥想放松、失去信心的音乐处方、实用催眠、抒发类、睡前催眠、调节身心、消除敌对、消除焦虑治疗曲目、心灵成长系列、振奋精神、振奋类、中医五行类）154首心理音乐。</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5.冥想放松：学生减压3节、学习冥想2节、做情绪的主人6节、高考冥想10节、5天情绪自调冥想5节、6天缓解焦虑6节、7天基础冥想7节、7天舒眠冥想 7节、7天幸福冥想 7节、7天专注冥想 7节、7自愈安眠7节、 8天修禅冥想8节、30天冥想训练营30节、大自然的声乐 10节、聆听内心的声音 2节、放松静心 9节。  </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6.视频放松：鼻腔放松、腹式放松、肌肉放松、控制呼吸法、放松训练，等。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7.调节训练：菩提树、秘密花园、神箭手、蒲公英、破土而生、梵高星空等6款游戏，设置简单、一般、困难三个级别，训练结束后系统自动生成关于训练的各项数据报告提供给心理工作者进行参考。</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8.趣味测试：提供大量心理趣味测试量表，提升用户的心情指数以及普及心理健康知识。</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9.心理电影：为用户提供多个心理相关电影，丰富心理教育相关知识。</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10.心理科普：提供丰富的心理学相关知识，包含：社会心理学、心理学定律、心理学效应等心理知识。</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11.个人中心：记录用户的所有使用数据，帮助心理老师与用户对比多次训练后的效果。</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12.无线数据传输：采用指脉式采集仪设计，蓝牙匹配方式连接，有效距离为10米。</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13.10.1寸平板电脑 1台。</w:t>
            </w:r>
            <w:r/>
          </w:p>
        </w:tc>
        <w:tc>
          <w:tcPr>
            <w:tcW w:w="6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72"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65"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智能拥抱控制系统</w:t>
            </w:r>
            <w:r/>
          </w:p>
        </w:tc>
        <w:tc>
          <w:tcPr>
            <w:tcW w:w="655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1、主题模式：为用户提供精准化、渐进式的心理支持。该模式覆盖青少年及成人高频心理议题，结合游戏化学习与临床心理技术，实现从“问题识别”到“能力成长”的全流程干预。</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    1.1：适应性主题：考试压力、生活适应、网络沉迷、未来规划</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    1.2：人际主题：社交焦虑、同伴矛盾、校园欺凌、家庭情感</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    1.3：自我发展主题：自我认同、完美主义、特长发展、学习压力</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    1.4：情感与危机主题：情感挫折、家庭变故、情绪调节、个人情感</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AI智能关爱模式、多模态情绪干预引擎：通过实时情绪评估与多模态反馈，提供即时心理支持。本系统整合2D数字人、TTS情感语音与AI大模型技术，打造多模态心理对话引擎。通过超现实数字人形象、情感语音交互及大模型驱动的心理评估，实现从情绪识别到精准干预的全流程自动化支持。技术融合构建“交互-学习-优化”闭环，显著提升心理服务的智能化与个性化水平，为心理健康数字化服务提供创新解决方案。</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3、智能对话：数字人心理关怀模式，智能对话采用数字人心理关怀模式，通过拟人化形象与用户建立情感联结。</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【产品配置】：</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1：心灵EmotionCare系统1套</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2：10.1英寸控制平台1台</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3：控制平台支架1个</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4：拥抱熊1个</w:t>
            </w:r>
            <w:r/>
          </w:p>
        </w:tc>
        <w:tc>
          <w:tcPr>
            <w:tcW w:w="6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72"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65"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3</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智能心理减压舱</w:t>
            </w:r>
            <w:r/>
          </w:p>
        </w:tc>
        <w:tc>
          <w:tcPr>
            <w:tcW w:w="655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1.手持遥控电动控制系统：音乐椅靠背、腿部电动控制设计，靠背100度-180度，腿部90度-180度任意调节。 </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2.10.1寸高清液晶显示屏，用于播放心理电影；心理图片；心理文章；心理音乐；催眠视频；放松训练视频 </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3.音频系统：内置有源保品质环绕音频系统系统。</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4.存储系统：支持SD卡及USB存储设备等。        </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5.座椅设备：按照头等舱的舒适标准进行制作，能够让来访者迅速安静下来，快速进入冥想或者音乐放松与催眠的状态。   </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6.内置视听资料（专业心理音乐、专业心理图片和专业心理视频）</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   A视频：催眠用摇摆钟视频、放松训练教学视频、经典眩晕视频；太空遐想视频；三大真人放松训练视频（鼻腔放松；肌肉放松；想象放松）   </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   B放松音乐：五行身心放松音乐、音乐放松诱导训练（可以不在心理老师指导下用来自我催眠放松）、α波脑电波同步音乐放松、纯音乐放松训练， 专业合成a波、放松指导语、大自然声，中国风音乐，国外著名放松音乐等，</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   C、放松图片：错觉图，不可能图，多角度图</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配置：</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   1.音乐放松椅1台            </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   2.10.1寸高清液晶显示屏1台</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   3.安装工具包1套</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   4.万向显示器支架1套</w:t>
            </w:r>
            <w:r/>
          </w:p>
        </w:tc>
        <w:tc>
          <w:tcPr>
            <w:tcW w:w="6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72"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65"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4</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心理沙盘</w:t>
            </w:r>
            <w:r/>
          </w:p>
        </w:tc>
        <w:tc>
          <w:tcPr>
            <w:tcW w:w="655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普及沙具600件+个体实木沙箱1个+实木沙箱腿1个+实木陈列架1个+海沙15公斤+辅助工具1套+指导手册1本+沙盘管理系统1套。</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沙具：由大到小四级分类全面深入，包括人物、建筑物、动物、植物、食品果实、家具生活用品、交通工具、宇宙天体、自然景观等10大类，57小类。每个沙具类别下包括各种原型象征物；根据用户需求使用国家标准环保树脂、塑料、ABS、铁艺、油漆、陶瓷、树脂、木质、塑胶、搪胶、泥质等材质，严格执行打磨、清漆、上色、哑光漆等生产工艺步骤，600个。</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（2）个体防水实木沙箱：材质：实木。标准沙盘，技术参数：57×72×7 cm，干湿两用。箱庭的箱子，箱子内侧底与边框均漆成海蓝色，1个。</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（3）实木沙箱腿：高度70cm，材质：实木。沙箱架高度采取独特人性化设计，根据来访者年龄特点不同，支架高度有差异；支架摆放灵活，操作方便，便于放置，不占用太多空间。</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（4）实木陈列架： 1600×800×300MM，5层9阶。全实木材质，经过严格的流水线生产：底漆、涂蜡、喷漆、干燥、打磨、抛光等多道手续，设计美观大方，手感光滑，1个。</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（5）天然海沙：精选优质海沙，大小在10目-15目左右，颗粒均匀、色泽柔和、清洁卫生。</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心理沙盘管理系统：系统主要包含：管理员管理、用户管理、数据采集、系统日志、数据备份、系统设置等功能模块。团体沙盘管理系统：能够完成对多个学生作品管理、添加、用户管理，相关数据导入、采集、查看等数据分析。</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（7）辅助工具1套（沙刷、沙耙、沙框、洒水壶）等。</w:t>
            </w:r>
            <w:r/>
          </w:p>
        </w:tc>
        <w:tc>
          <w:tcPr>
            <w:tcW w:w="6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72"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65"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5</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宣泄套装（专业版</w:t>
            </w:r>
            <w:r>
              <w:rPr>
                <w:rFonts w:hint="eastAsia"/>
                <w:color w:val="auto"/>
                <w:highlight w:val="none"/>
                <w:vertAlign w:val="baseline"/>
                <w:lang w:val="en-US" w:eastAsia="zh-CN"/>
              </w:rPr>
              <w:t xml:space="preserve">）</w:t>
            </w:r>
            <w:r/>
          </w:p>
        </w:tc>
        <w:tc>
          <w:tcPr>
            <w:tcW w:w="655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1</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情绪宣泄人主体1个</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2</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护手套2对(可有效的缓冲打击时的撞击，采用了轻型耐用材料)</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3</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摔打宣泄球4个（橡胶）</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4</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立式宣泄球1个（立式不倒，外层高级仿皮材料，高度可调节。）</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5</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宣泄挂图4张（高清晰画质、永不退色,）</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6</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宣泄室制度1张（高清晰画质、永不退色,）</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7</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宣泄棒2根（长75cm，直径7cm，一体成型，高分子缓冲材料）</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8</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打气筒1个</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9</w:t>
            </w:r>
            <w:r>
              <w:rPr>
                <w:rFonts w:hint="eastAsia"/>
                <w:color w:val="auto"/>
                <w:highlight w:val="none"/>
                <w:vertAlign w:val="baseline"/>
                <w:lang w:val="en-US" w:eastAsia="zh-CN"/>
              </w:rPr>
              <w:t xml:space="preserve">.</w:t>
            </w:r>
            <w:r>
              <w:rPr>
                <w:rFonts w:hint="default"/>
                <w:color w:val="auto"/>
                <w:highlight w:val="none"/>
                <w:vertAlign w:val="baseline"/>
                <w:lang w:val="en-US" w:eastAsia="zh-CN"/>
              </w:rPr>
              <w:t xml:space="preserve">宣泄人底座1个</w:t>
            </w:r>
            <w:r/>
          </w:p>
        </w:tc>
        <w:tc>
          <w:tcPr>
            <w:tcW w:w="6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72"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65"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6</w:t>
            </w:r>
            <w:r/>
          </w:p>
        </w:tc>
        <w:tc>
          <w:tcPr>
            <w:tcW w:w="123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团体辅导箱</w:t>
            </w:r>
            <w:r/>
          </w:p>
        </w:tc>
        <w:tc>
          <w:tcPr>
            <w:tcW w:w="6555" w:type="dxa"/>
            <w:vAlign w:val="center"/>
            <w:textDirection w:val="lrTb"/>
            <w:noWrap w:val="false"/>
          </w:tcPr>
          <w:p>
            <w:pPr>
              <w:jc w:val="left"/>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rPr>
                <w:rFonts w:hint="default"/>
                <w:color w:val="auto"/>
                <w:highlight w:val="none"/>
                <w:vertAlign w:val="baseline"/>
                <w:lang w:val="en-US" w:eastAsia="zh-CN"/>
              </w:rPr>
              <w:t xml:space="preserve">航空铝合金：高强度加厚航空铝合金定制，具备耐磨、抗压、耐腐蚀特性。结构保护：箱体侧边配备4颗耐磨站角，有效隔绝地面摩擦。工艺标准：静电粉末喷涂烤漆工艺。</w:t>
            </w:r>
            <w:r/>
          </w:p>
          <w:p>
            <w:pPr>
              <w:jc w:val="left"/>
              <w:widowControl w:val="off"/>
              <w:rPr>
                <w:rFonts w:hint="default"/>
                <w:color w:val="auto"/>
                <w:highlight w:val="none"/>
                <w:lang w:val="en-US" w:eastAsia="zh-CN"/>
              </w:rPr>
            </w:pPr>
            <w:r>
              <w:rPr>
                <w:rFonts w:hint="eastAsia"/>
                <w:color w:val="auto"/>
                <w:highlight w:val="none"/>
                <w:vertAlign w:val="baseline"/>
                <w:lang w:val="en-US" w:eastAsia="zh-CN"/>
              </w:rPr>
              <w:t xml:space="preserve">2.</w:t>
            </w:r>
            <w:r>
              <w:rPr>
                <w:rFonts w:hint="default"/>
                <w:color w:val="auto"/>
                <w:highlight w:val="none"/>
                <w:vertAlign w:val="baseline"/>
                <w:lang w:val="en-US" w:eastAsia="zh-CN"/>
              </w:rPr>
              <w:t xml:space="preserve">课程主要包括有热身游戏、放松游戏，以及八个系列的主题训练活动：环境适应、沟通交往、竞争合作、自我意识、创新实践、意志责任、学习管理、心灵成长。相应的活动器材包括有活动工具箱和活动音乐等，包含了学生在活动过程中将要使用的工具和配乐</w:t>
            </w:r>
            <w:r>
              <w:rPr>
                <w:rFonts w:hint="eastAsia"/>
                <w:color w:val="auto"/>
                <w:highlight w:val="none"/>
                <w:vertAlign w:val="baseline"/>
                <w:lang w:val="en-US" w:eastAsia="zh-CN"/>
              </w:rPr>
              <w:t xml:space="preserve">。</w:t>
            </w:r>
            <w:r/>
          </w:p>
        </w:tc>
        <w:tc>
          <w:tcPr>
            <w:tcW w:w="6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套</w:t>
            </w:r>
            <w:r/>
          </w:p>
        </w:tc>
        <w:tc>
          <w:tcPr>
            <w:tcW w:w="772"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65" w:type="dxa"/>
            <w:vAlign w:val="center"/>
            <w:textDirection w:val="lrTb"/>
            <w:noWrap w:val="false"/>
          </w:tcPr>
          <w:p>
            <w:pPr>
              <w:jc w:val="center"/>
              <w:widowControl w:val="off"/>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（二）</w:t>
            </w:r>
            <w:r/>
          </w:p>
        </w:tc>
        <w:tc>
          <w:tcPr>
            <w:gridSpan w:val="2"/>
            <w:tcW w:w="7785" w:type="dxa"/>
            <w:vAlign w:val="center"/>
            <w:textDirection w:val="lrTb"/>
            <w:noWrap w:val="false"/>
          </w:tcPr>
          <w:p>
            <w:pPr>
              <w:jc w:val="left"/>
              <w:widowControl w:val="off"/>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教师阅览室</w:t>
            </w:r>
            <w:r/>
          </w:p>
        </w:tc>
        <w:tc>
          <w:tcPr>
            <w:tcW w:w="660"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tcW w:w="772" w:type="dxa"/>
            <w:vAlign w:val="center"/>
            <w:textDirection w:val="lrTb"/>
            <w:noWrap w:val="false"/>
          </w:tcPr>
          <w:p>
            <w:pPr>
              <w:jc w:val="center"/>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765"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c>
          <w:tcPr>
            <w:tcW w:w="123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塑封机</w:t>
            </w:r>
            <w:r/>
          </w:p>
        </w:tc>
        <w:tc>
          <w:tcPr>
            <w:tcW w:w="655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过胶宽度:A3(≤320mm)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胶膜厚度:5-20C(丝)</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过胶速度:约400mm/min</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热裱轴:4根(19号)</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适用电压:220-240V/50HZ</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预热时间:3-5分钟</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总功率:600W</w:t>
            </w:r>
            <w:r/>
          </w:p>
        </w:tc>
        <w:tc>
          <w:tcPr>
            <w:tcW w:w="6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72"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65"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c>
          <w:tcPr>
            <w:tcW w:w="123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借书证切卡机</w:t>
            </w:r>
            <w:r/>
          </w:p>
        </w:tc>
        <w:tc>
          <w:tcPr>
            <w:tcW w:w="655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PVC切卡机</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材质：全钢铸造一体化机身</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可裁圆角/方角</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切卡厚度:小于</w:t>
            </w:r>
            <w:r>
              <w:rPr>
                <w:rFonts w:hint="eastAsia"/>
                <w:color w:val="auto"/>
                <w:highlight w:val="none"/>
                <w:vertAlign w:val="baseline"/>
                <w:lang w:val="en-US" w:eastAsia="zh-CN"/>
              </w:rPr>
              <w:t xml:space="preserve">1</w:t>
            </w:r>
            <w:r>
              <w:rPr>
                <w:rFonts w:hint="default"/>
                <w:color w:val="auto"/>
                <w:highlight w:val="none"/>
                <w:vertAlign w:val="baseline"/>
                <w:lang w:val="en-US" w:eastAsia="zh-CN"/>
              </w:rPr>
              <w:t xml:space="preserve">mm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切纸厚度:0.06mn-1am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圆角:3R(银行卡角度)</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适用材料:PVC/纸</w:t>
            </w:r>
            <w:r/>
          </w:p>
        </w:tc>
        <w:tc>
          <w:tcPr>
            <w:tcW w:w="6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72"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65"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3</w:t>
            </w:r>
            <w:r/>
          </w:p>
        </w:tc>
        <w:tc>
          <w:tcPr>
            <w:tcW w:w="1230" w:type="dxa"/>
            <w:vAlign w:val="center"/>
            <w:textDirection w:val="lrTb"/>
            <w:noWrap w:val="false"/>
          </w:tcPr>
          <w:p>
            <w:pPr>
              <w:jc w:val="center"/>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钢制切纸机</w:t>
            </w:r>
            <w:r/>
          </w:p>
        </w:tc>
        <w:tc>
          <w:tcPr>
            <w:tcW w:w="6555" w:type="dxa"/>
            <w:vAlign w:val="center"/>
            <w:textDirection w:val="lrTb"/>
            <w:noWrap w:val="false"/>
          </w:tcPr>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材质：全钢机身</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表格尺寸显示：A3</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切纸张数：20张(80gA4纸)</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有效切纸宽度：440MM</w:t>
            </w:r>
            <w:r/>
          </w:p>
          <w:p>
            <w:pPr>
              <w:jc w:val="left"/>
              <w:widowControl w:val="off"/>
              <w:rPr>
                <w:rFonts w:hint="default"/>
                <w:color w:val="auto"/>
                <w:highlight w:val="none"/>
                <w:vertAlign w:val="baseline"/>
                <w:lang w:val="en-US" w:eastAsia="zh-CN"/>
              </w:rPr>
            </w:pPr>
            <w:r>
              <w:rPr>
                <w:rFonts w:hint="default"/>
                <w:color w:val="auto"/>
                <w:highlight w:val="none"/>
                <w:vertAlign w:val="baseline"/>
                <w:lang w:val="en-US" w:eastAsia="zh-CN"/>
              </w:rPr>
              <w:t xml:space="preserve">可切林质：相片、卡片、纸张等</w:t>
            </w:r>
            <w:r/>
          </w:p>
        </w:tc>
        <w:tc>
          <w:tcPr>
            <w:tcW w:w="660"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台</w:t>
            </w:r>
            <w:r/>
          </w:p>
        </w:tc>
        <w:tc>
          <w:tcPr>
            <w:tcW w:w="772" w:type="dxa"/>
            <w:vAlign w:val="center"/>
            <w:textDirection w:val="lrTb"/>
            <w:noWrap w:val="false"/>
          </w:tcPr>
          <w:p>
            <w:pPr>
              <w:jc w:val="center"/>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w:t>
            </w:r>
            <w:r/>
          </w:p>
        </w:tc>
        <w:tc>
          <w:tcPr>
            <w:tcW w:w="1230" w:type="dxa"/>
            <w:vAlign w:val="center"/>
            <w:textDirection w:val="lrTb"/>
            <w:noWrap w:val="false"/>
          </w:tcPr>
          <w:p>
            <w:pPr>
              <w:jc w:val="center"/>
              <w:widowControl w:val="off"/>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标签扫描枪</w:t>
            </w:r>
            <w:r/>
          </w:p>
        </w:tc>
        <w:tc>
          <w:tcPr>
            <w:tcW w:w="6555" w:type="dxa"/>
            <w:vAlign w:val="center"/>
            <w:textDirection w:val="lrTb"/>
            <w:noWrap w:val="false"/>
          </w:tcPr>
          <w:p>
            <w:pPr>
              <w:jc w:val="left"/>
              <w:widowControl w:val="off"/>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 xml:space="preserve">手持激光条形码扫描器，符合人体工学设计,采用国际先进的激光扫描解码技术,数据读取传输扳机控制。光学传感器:2088PixelscCD，分辨率:≥0.1mm(4mil)，光源:红光LED，扫描景深:≥30cm(0.39Code39)，扫描距离:≥15cm(15.6milBarcode)，扫描速度:≥100次/秒，指示灯:绿色/红色，接口:USB数据接口。</w:t>
            </w:r>
            <w:r/>
          </w:p>
        </w:tc>
        <w:tc>
          <w:tcPr>
            <w:tcW w:w="660"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台</w:t>
            </w:r>
            <w:r/>
          </w:p>
        </w:tc>
        <w:tc>
          <w:tcPr>
            <w:tcW w:w="772"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5</w:t>
            </w:r>
            <w:r/>
          </w:p>
        </w:tc>
        <w:tc>
          <w:tcPr>
            <w:tcW w:w="1230" w:type="dxa"/>
            <w:vAlign w:val="center"/>
            <w:textDirection w:val="lrTb"/>
            <w:noWrap w:val="false"/>
          </w:tcPr>
          <w:p>
            <w:pPr>
              <w:jc w:val="center"/>
              <w:widowControl w:val="off"/>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家长接待室地毯</w:t>
            </w:r>
            <w:r/>
          </w:p>
        </w:tc>
        <w:tc>
          <w:tcPr>
            <w:tcW w:w="6555" w:type="dxa"/>
            <w:vAlign w:val="center"/>
            <w:textDirection w:val="lrTb"/>
            <w:noWrap w:val="false"/>
          </w:tcPr>
          <w:p>
            <w:pPr>
              <w:jc w:val="left"/>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编织工艺，简约风格，腈纶，尼龙，涤纶混纺，厚度≥1.7cm，具体</w:t>
            </w:r>
            <w:r>
              <w:rPr>
                <w:rFonts w:hint="eastAsia"/>
                <w:color w:val="auto"/>
                <w:sz w:val="21"/>
                <w:szCs w:val="21"/>
                <w:highlight w:val="none"/>
                <w:lang w:val="en-US" w:eastAsia="zh-CN"/>
              </w:rPr>
              <w:t xml:space="preserve">样式以甲方确认为准。</w:t>
            </w:r>
            <w:r/>
          </w:p>
        </w:tc>
        <w:tc>
          <w:tcPr>
            <w:tcW w:w="660"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平方</w:t>
            </w:r>
            <w:r/>
          </w:p>
        </w:tc>
        <w:tc>
          <w:tcPr>
            <w:tcW w:w="772"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140</w:t>
            </w:r>
            <w:r/>
          </w:p>
        </w:tc>
      </w:tr>
      <w:tr>
        <w:trPr/>
        <w:tc>
          <w:tcPr>
            <w:tcW w:w="765" w:type="dxa"/>
            <w:vAlign w:val="center"/>
            <w:textDirection w:val="lrTb"/>
            <w:noWrap w:val="false"/>
          </w:tcPr>
          <w:p>
            <w:pPr>
              <w:jc w:val="center"/>
              <w:widowControl w:val="off"/>
              <w:rPr>
                <w:rFonts w:hint="default"/>
                <w:b/>
                <w:bCs/>
                <w:color w:val="auto"/>
                <w:sz w:val="21"/>
                <w:szCs w:val="21"/>
                <w:highlight w:val="none"/>
                <w:vertAlign w:val="baseline"/>
                <w:lang w:val="en-US" w:eastAsia="zh-CN"/>
              </w:rPr>
            </w:pPr>
            <w:r>
              <w:rPr>
                <w:rFonts w:hint="eastAsia"/>
                <w:b/>
                <w:bCs/>
                <w:color w:val="auto"/>
                <w:sz w:val="21"/>
                <w:szCs w:val="21"/>
                <w:highlight w:val="none"/>
                <w:vertAlign w:val="baseline"/>
                <w:lang w:val="en-US" w:eastAsia="zh-CN"/>
              </w:rPr>
              <w:t xml:space="preserve">（三）</w:t>
            </w:r>
            <w:r/>
          </w:p>
        </w:tc>
        <w:tc>
          <w:tcPr>
            <w:gridSpan w:val="2"/>
            <w:tcW w:w="7785" w:type="dxa"/>
            <w:vAlign w:val="center"/>
            <w:textDirection w:val="lrTb"/>
            <w:noWrap w:val="false"/>
          </w:tcPr>
          <w:p>
            <w:pPr>
              <w:jc w:val="left"/>
              <w:widowControl w:val="off"/>
              <w:rPr>
                <w:rFonts w:hint="default"/>
                <w:b/>
                <w:bCs/>
                <w:color w:val="auto"/>
                <w:sz w:val="21"/>
                <w:szCs w:val="21"/>
                <w:highlight w:val="none"/>
                <w:vertAlign w:val="baseline"/>
                <w:lang w:val="en-US" w:eastAsia="zh-CN"/>
              </w:rPr>
            </w:pPr>
            <w:r>
              <w:rPr>
                <w:rFonts w:hint="eastAsia"/>
                <w:b/>
                <w:bCs/>
                <w:color w:val="auto"/>
                <w:sz w:val="21"/>
                <w:szCs w:val="21"/>
                <w:highlight w:val="none"/>
                <w:vertAlign w:val="baseline"/>
                <w:lang w:val="en-US" w:eastAsia="zh-CN"/>
              </w:rPr>
              <w:t xml:space="preserve">古典音乐教室</w:t>
            </w:r>
            <w:r/>
          </w:p>
        </w:tc>
        <w:tc>
          <w:tcPr>
            <w:tcW w:w="660"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r>
            <w:r/>
          </w:p>
        </w:tc>
        <w:tc>
          <w:tcPr>
            <w:tcW w:w="772"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乐器储藏柜</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1、规格：1080*500*2000mm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2、材质：PP材质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3、柜体：侧板，顶板及底板采用增强型PP材质，一次注塑成型。表面做磨砂处理，结构紧密，耐腐蚀性强。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4、上柜门：采用增强型PP材质一次注塑成型，外嵌5mm钢化烤漆玻璃,中间玻璃做镂空处理，透明可视。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5、下柜门：采用增强型PP材质一次注塑成型，外嵌5mm钢化烤漆玻璃。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6、层板：配三块活动层板，层板为增强型PP材质一次注塑成型，层板加强筋为整体抽芯工艺，抽芯处加入两根1.2mm厚方管，承重不低于20公斤。美观耐用。层板可以抽取，自由组合各层空间。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7、门把手：采用增强型PP材质一次注塑成型，美观耐用。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8、门铰链：用增强型PP材质一次注塑成型，内嵌隐藏安装方便，耐腐蚀。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9、仪器柜内部无可视金属材料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10、柜体预留通风系统，可以与通风管路连接。</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二胡</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〖1〗规格：总长为≧79CM；琴筒长为≧13CM；琴筒宽为≧9CM；琴筒高为≧10CM；底座高为2CM；琴弓为≧79CM；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〖2〗演奏：初级学者、考级人员使用；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〖3〗琴杆：特制红木，抛光处理；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〖4〗琴轴：红木六瓣琴轴；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〖5〗琴筒:六角，采用野生优质莽皮；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〖6〗音窗：塑料，精湛的花型镂空工艺，配置梅花花窗，显得精致大方；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〖7〗配件：2个琴码，1根琴弓，1个黑色布盒子；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〖8〗净重：0.75kg。</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中胡</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〖1〗规格：琴杆长为≧850mm；琴筒较大，多为圆形，长150mm、前口外径</w:t>
            </w:r>
            <w:r>
              <w:rPr>
                <w:rFonts w:hint="eastAsia" w:ascii="宋体" w:hAnsi="宋体" w:cs="宋体"/>
                <w:i w:val="0"/>
                <w:iCs w:val="0"/>
                <w:color w:val="auto"/>
                <w:sz w:val="21"/>
                <w:szCs w:val="21"/>
                <w:highlight w:val="none"/>
                <w:u w:val="none"/>
                <w:lang w:val="en-US" w:eastAsia="zh-CN" w:bidi="ar"/>
              </w:rPr>
              <w:t xml:space="preserve">90</w:t>
            </w:r>
            <w:r>
              <w:rPr>
                <w:rFonts w:hint="eastAsia" w:ascii="宋体" w:hAnsi="宋体" w:eastAsia="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〖2〗琴杆：花梨木，抛光处理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〖3〗琴轴：红木六瓣琴轴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〖4〗琴筒:圆形，采用野生优质莽皮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〖5〗音窗：塑料，精湛的花型镂空工艺，配置梅花花窗，显得精致大方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〖6〗配件：2个琴码，1根琴弓，1个黑色布盒子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〖7〗净重：0.75kg</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琵琶</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〖1〗背板材质:色木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〖2〗弦轴材质:硬木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〖3〗面板材质:梧桐木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〖4〗规格：全长1035mm宽317mm有效弦长725mm</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5</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大阮</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〖1〗材质：硬杂木、桐木；〖2〗结构：面板、琴头、琴轴、指板、背板、琴弦组成；〖3〗规格：有效弦长≧695mm，指板长≧530mm，共鸣箱口面直径≧490mm；琴头牡丹花；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〖4〗音质：采用十二平均律，标准音a|音为440Hz，发音灵敏，手感舒适音准稳定性能好，高音清脆明亮、中音饱满、低音结实，4根弦音色过渡协调、均匀自然。</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6</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三弦</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〖1〗材质弦轴材质:</w:t>
            </w:r>
            <w:r>
              <w:rPr>
                <w:rFonts w:hint="eastAsia" w:ascii="宋体" w:hAnsi="宋体" w:cs="宋体"/>
                <w:i w:val="0"/>
                <w:iCs w:val="0"/>
                <w:color w:val="auto"/>
                <w:sz w:val="21"/>
                <w:szCs w:val="21"/>
                <w:highlight w:val="none"/>
                <w:u w:val="none"/>
                <w:lang w:val="en-US" w:eastAsia="zh-CN" w:bidi="ar"/>
              </w:rPr>
              <w:t xml:space="preserve">硬木</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〖2〗款式为传统卷梳头；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〖3〗面板材料：天然蟒皮；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〖4〗琴体工艺：实木抛光，含备用弦、拨片。</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7</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古筝</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〖1〗构成：古筝由面板、雁柱、琴弦、前岳山、弦钉、调音盒、琴足、后岳山、侧板、出音口、底板、穿弦孔组成；面板采用优质河南兰考桐木，背侧板为红木，图案为鲤鱼跃龙门；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〖2〗规格：全长≧163cm，前岳山宽≧34cm，后岳山宽≧29cm，高≧6cm；琴桥宽≧1.6cm；支架尺寸：长≧33.5cm，宽≧8cm，高≧51.5cm；折叠后尺寸≧52*30*8cm；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〖3〗配件：古筝支架，指甲，琴码、扳手、使用说明书，琴码安装示意图；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〖4〗含琴凳。</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8</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古筝凳</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〖1〗材质：硬木（实木制作）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〖2〗规格约40*30（高*宽）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〖3〗包装：每件产品都将在物流环节进行独立包装，以便产品保存以及延长产品寿命</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9</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扬琴</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〖1〗材料：优质色木；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〖2〗面板材质：一级兰考泡桐面板；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〖3〗框架材质：色木；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〖4〗琴码材质：红木。</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10</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高音笙</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17</w:t>
            </w:r>
            <w:r>
              <w:rPr>
                <w:rFonts w:hint="eastAsia" w:ascii="宋体" w:hAnsi="宋体" w:eastAsia="宋体" w:cs="宋体"/>
                <w:i w:val="0"/>
                <w:iCs w:val="0"/>
                <w:color w:val="auto"/>
                <w:sz w:val="21"/>
                <w:szCs w:val="21"/>
                <w:highlight w:val="none"/>
                <w:u w:val="none"/>
                <w:lang w:val="en-US" w:eastAsia="zh-CN" w:bidi="ar"/>
              </w:rPr>
              <w:t xml:space="preserve">簧键笙（高音笙）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选用5年阴干紫竹，质地坚硬，不开裂，色泽光亮，笙脚采用老红木，不吸水，不收缩，笙斗为纯手工可开启活笙斗，固定箍，方便实用，适合手型设计，铜质，镀镍，光亮柔润，扩音管为无缝铜管拉伸（电泳黑，镀镍，镀银，镀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〖3〗音色柔和，共振黏合工艺，不变形发音清脆，簧片选用老响銅高音清脆，低音浑厚，键子为手工制作，手感舒适。</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11</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高音唢呐</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〖1〗唢呐d调；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〖2〗纯乌木唢呐杆+唢呐碗+钦子+气盘；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〖3〗未修芦苇哨片2个；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〖4〗唢呐杆子套一个。</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12</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中国大鼓</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〖1〗材质：白椿木鼓腔、水牛皮鼓面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〖2〗规格：鼓面直径≧600MM，高度≧500MM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〖3〗工艺：手工制作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〖4〗结构：由木制鼓圈和水牛皮鼓面组成。鼓圈与鼓面连接处用锚钉固定，更为结实。鼓圈喷油红色环保油漆，鼓的侧面两端镶有铝制挂钩，可以同时挂在鼓架上使用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〖5〗使用方法：左右手手持鼓棒敲击鼓面即可</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13</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小军鼓</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〖1〗鼓皮：九层杨木桦木混合鼓腔，表面贴 PVC；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〖2〗尺寸：鼓腔14"（约35.56cm）；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〖3〗砂带：采用标准钢丝砂带，能够弹奏出标准小军鼓声音；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〖4〗背架：可调节，加厚材质，结实耐用，背带处采用加厚海绵设计，减轻肩膀负担；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〖5〗适用：行进乐队\管乐队。</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14</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大军鼓</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〖1〗规格尺寸：24"*12"；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〖2〗鼓腔材料结构：鼓腔用九层杨木桦木混合，外面PVC（厚度0.6mm）；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〖3〗鼓耳材质：锌合金，表面处理：环保镀铬，长鼓耳不少8个；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〖4〗鼓圈：为1.5mm卷边处理；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〖5〗鼓皮：鼓皮厚度0.175mm的聚酯材质；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〖6〗背架：带舒适软绵垫，背架拆装调节方便简单，行进时自由灵活可收折；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〖7〗音色特点：高张力，浑厚的声音，弹跳效果很好，鼓的边缘和中心都要达到非常好行进小军鼓的声音效果；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〖8〗外观要求：鼓腔表面应光滑、平整、装饰面贴合应严密、牢固、无划痕、破损。各金属件表面镀层应牢固、完整、光亮，应无脱皮、露底。</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15</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大钹</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〖1〗材质：响铜；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〖2〗规格：直径≧28CM；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〖3〗结构：饶体为一圆形金属板，用“响铜”制成，中部隆起的半球形部分称“帽”，顶部钻有小孔，用粗绳栓系，两个为一付；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〖4〗包装内有合格证。</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16</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大锣</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〖1〗材质：优质响铜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〖2〗规格：锣直径≧30CM，壁厚≧0.18CM,敲槌长度≧24.5CM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〖3〗结构：大锣身为一圆型弧面，响铜制,中心部稍凸起，大锣的内部中心位置印有商标，锣边缘开有两个小孔穿绳，方便使用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〖4〗使用方法：演奏时用左手拿着穿有绳子的锣，右手持一敲槌敲击发声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〖5〗产品应具有三包卡，合格证，使用说明书和独立纸盒包装</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面</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17</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谱架</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1、材质：优质铁， 磨砂面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2、规格：谱台面450*300mm，冲压圆孔的钢板，卷边以增强谱台强度；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3、结构： 由加厚金属谱台面和加厚金属钢管支架组成。谱架为高度500-1400mm可调节，加厚金属钢管支架底部有3个支撑杆 可收合， 脚底为防滑塑胶材质，所有旋钮为均高级ABS材质结实耐用。谱台带有2个谱夹，谱夹为两节铁杆中间用弹簧连接，可180度旋转；谱台可拆卸，螺栓固定，可做0-90度调整，使用螺栓紧固。</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18</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排练椅</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1.面料优质耐磨网饰面，高级耐磨弹力绒布座饰面；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2.海绵5公分35密度纯新海绵，永不变形；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3.配置pp加纤固定背匡，PP固定扶手；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4.架子1.2厚喷涂黑色32*20旦型4脚椅架，带黑色尼龙固定脚塞；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5.功能坐垫可翻起，架子可全折叠。</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19</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移动存储器</w:t>
            </w:r>
            <w:r/>
          </w:p>
        </w:tc>
        <w:tc>
          <w:tcPr>
            <w:tcW w:w="6555"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接口规格参数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USB 3.0/3.1 Gen1：理论速率5Gbps，实际吞吐约400-450MB/s。</w:t>
            </w:r>
            <w:r/>
          </w:p>
          <w:p>
            <w:pPr>
              <w:numPr>
                <w:ilvl w:val="0"/>
                <w:numId w:val="0"/>
              </w:num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USB 3.1 Gen2：理论速率10Gbps，实际吞吐约900-1000MB/s。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 3.2 Gen2×2：理论速率20Gbps，实际吞吐可达2000MB/s。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接口类型：Type-A、Type-C、Micro-B，Type-C支持正反插拔。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尺寸规格：移动硬盘约100×70×10-25mm，U盘约50×20×10mm。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供电方式：USB总线供电5V，部分移动硬盘支持外接电源。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数据安全：支持硬件加密、密码保护S.M.A.R.T.监控。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耐用性：MTBF（平均无故障时间）≥100万小时，TBW（总写入字节）80-800TB。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防护等级：IP54防水防尘，防摔抗震设计。</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20</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钟</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计时精度：指针式每日误差≤±10秒，数字式每月误差≤±30秒，支持校时功能（手动/自动）。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动力类型：电池款（5号/7号电池，续航≥12个月）、插电款（220V，支持断电记忆），部分型号支持双供电模式。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运行噪音：≤10dB，静音扫秒机芯，避免滴答声干扰课堂教学。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表盘材质：PC耐力板（抗摔耐磨）、亚克力面板（透光性好），防反光处理，确保教室各个角落清晰可见。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边框材质：ABS环保塑料（轻便防磕碰）、铝合金边框（防锈耐用），边缘做圆角倒角处理（倒角半径≥5mm），防止学生划伤。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安全认证：通过GB 6675玩具安全标准，无尖锐边角，无毒无味，符合教室环境使用要求。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指针式：可选配夜光刻度/指针，满足阴天或昏暗教室使用；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数字式：支持日期/星期显示、闹铃提醒（可设置多组上下课铃声）、倒计时功能，部分智能款支持同步校园广播系统。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防水防尘：防护等级≥IP20，可应对教室日常粉笔灰、轻微水渍，延长使用寿命。</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21</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MIDI键盘</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力度感应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基础款：支持4级力度感应，满足入门教学需求；2. 连接与兼容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接口：标配USB Type-C接口，部分型号带MIDI IN/OUT接口、蓝牙5.0，支持连接电脑、平板、手机；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系统兼容：适配Windows、macOS、iOS、Android系统，兼容主流编曲软件（Cubase、FL Studio、Logic Pro）及教学软件。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控制功能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基础控制：配备音量推子、延音踏板接口，满足基础演奏需求；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扩展控制：专业款带旋钮、打击垫、弯音轮/调制轮，支持自定义功能映射，方便编曲教学中实时调整音色参数。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踏板配置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入门款：支持外接单延音踏板；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专业款：支持外接三踏板（延音、柔音、 sostenuto），模拟钢琴踏板操作逻辑。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 耐用性与教学适配参数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材质工艺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琴键材质：采用ABS耐磨材质，防汗防滑，适应学生高频次使用；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机身材质：金属面板+加固塑料机身，边角做防撞圆角处理，防止学生磕碰受伤。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供电方式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主流款：USB总线供电，无需额外电源，方便教室布线；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便携款：支持锂电池供电，续航≥8小时，适合社团户外排练。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附加功能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内置音源：部分型号自带基础音色库（钢琴、弦乐、合成器等），可脱离电脑独立演奏，满足课堂即时演示需求；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教学模式：部分型号支持分键教学功能，方便教师一对一指导指法。</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22</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电钢琴</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键盘：88键力度触感标准键盘显示：多功能LCD液晶显示复音数：最大128个音色：673种音色（其中包含93个民族音色，10组打击乐，1组民族打击乐，1组效果音）音色控制：八度，力度，移调，分离，微调踏板：延音（带半踏），弱音，保持音效果：8种混响类型，混响深度调节；8种合唱类型，合唱深度调节节</w:t>
            </w:r>
            <w:r>
              <w:rPr>
                <w:rFonts w:hint="eastAsia" w:ascii="宋体" w:hAnsi="宋体" w:eastAsia="宋体" w:cs="宋体"/>
                <w:i w:val="0"/>
                <w:iCs w:val="0"/>
                <w:color w:val="auto"/>
                <w:sz w:val="21"/>
                <w:szCs w:val="21"/>
                <w:highlight w:val="none"/>
                <w:u w:val="none"/>
                <w:lang w:val="en-US" w:eastAsia="zh-CN" w:bidi="ar"/>
              </w:rPr>
              <w:t xml:space="preserve">奏：253（其中包含50个民族节奏）节奏控制：同步启动，启动/停止，前奏/尾奏，插入，变奏，伴奏音量，节拍器，速度控制，冻结键盘控制：键盘分离，双音色，和弦示范曲：205首示范曲，150首学习歌曲储存设置：有4X4组存储设置录音功能：多轨实时录音（包括1个伴奏声部，3个旋律声部）其他：数字EQ，三步+左右手学习，MP3播放接口：脚踏输入接口，蓝牙模块接口，U盘接口，USB接口（USBMIDI和USBAUDIO），MIDI输出接口，MIDI输入接口，线路输入接口，线路输出接口，DC电源，耳机1接口，耳机2接口</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架</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23</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古琴</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琴体长度：1100-1250mm，传统约三尺六寸五象征一年365天。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琴首宽度：160-180mm，琴尾宽度125-145mm。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琴体厚度：40-60mm，2-3徽处最厚。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有效弦长：1120-1140mm。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岳山高度：18-19mm，龙龈高度13-22mm。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材质技术要求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面板材质：高级品选用纹理均匀顺直的桐木或杉木整板无疤痕；中级品允许有15×10mm活疤节3个；普及品允许有20×20mm活疤节4个。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底板材质：梓木、桐木、杉木、楸木、松木等。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配件材质：岳山、龙龈、弦轴、雁足选用花梨木、鸡翅木、紫檀、酸枝木、乌木等硬质木。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漆胎工艺：天然大漆搭配鹿角霜，禁止使用化学漆。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结构设计参数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琴徽配置：13个徽位，按有效弦长比例精确排列。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徽直径规格：七徽9-12mm，四、五、六、八、九、十徽7-9mm，其他徽5-6mm。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弦轴尺寸：长约4.4cm，宽约1.5cm，中心钻孔穿绒剅。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岳山规格：长约26cm，宽约3.5cm，厚度约1cm，两侧15度斜度。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声学性能指标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律制标准：五度相生律，标准音符合QB/T1207.1-2011要求。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基本定弦：F调，音高为C、D、F、G、A、c、d。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音域范围：C~d，覆盖四个八度。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音质要求：高音区圆润明亮、中音区温润饱满、低音区浑厚低沉，余音绵长。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质量认证标准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有害物质：涂饰中有害物质限量符合QB/T1207.1-2011标准。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装配要求：弦轴、雁足与底板严密吻合，无沙音、刹音、打板现象。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琴弦标准：金属缠弦符合QB/T1207.1-2011，丝弦色泽一致、子眼平服均匀</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架</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24</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小提琴</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材质技术要求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面板材质：云杉等，要求生长轮宽度不大于3mm，无节疤虫眼。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背侧板材质：枫木、虎纹枫木，需纹理清晰，干燥时间2年以上。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指板材质：乌木、黑黄檀等，密度高且稳定性好。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配件材质：弦轴、腮托用乌木，琴弓用巴西苏木配白马尾。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结构工艺参数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面板厚度：中部3.0-3.5mm，边部2.5-3.0mm，呈拱形结构。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音孔规格：F孔长度82-85mm，宽度5-6mm，两孔对称度偏差≤0.3mm。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琴马尺寸：4/4规格上宽49.0mm，下宽42.0mm，高36.0mm。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装配精度：弦轴与轴孔配合间隙0.02-0.05mm，四弦间距均等。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声学性能指标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音域范围：从g到e4，涵盖约4个八度。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音准要求：空弦音准偏差≤5音分，按弦音准偏差≤3音分。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面板共振：主共振频率300-400Hz，需与弦振动频率匹配。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音质特点：高音明亮清澈，中音温暖饱满，低音浑厚有力，各音区过渡自然。</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25</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大提琴</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〖2〗琴头、背侧板材料：枫木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〖3〗面板材料：云杉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〖4〗拉弦板材料：枣木染黑镶黑眼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〖5〗指板材料：梨木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〖6〗琴弓材料：乌木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〖7〗微调数量：1个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〖8〗木材储存年限：5年以上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〖9〗长*宽*高：1248*448*205mm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〖10〗提供使用说明书，合格证，三包卡，产品应具有独立纸盒包装或包装袋</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26</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低音提琴</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琴颈长度约350-380mm，指板宽度（末端）80-90mm，琴身宽度（最宽处）550-600mm，整体重量10-15kg（实木款）。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材质技术要求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面板：优选云杉，生长轮均匀且宽度≤4mm，自然干燥时间≥5年，确保共振稳定性。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背侧板：专业款用虎纹枫木，普及款可用枫木或桦木，纹理致密，与面板共振匹配度高。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指板/弦轴：指板为乌木材质，耐磨且触感顺滑；弦轴分木质弦轴（乌木/红木）和机械弦轴，机械弦轴调音更精准，适合初学者。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琴弓：分法式弓（杆长74-75cm，重量60-70g，杆身碳纤维/巴西苏木，配黑马尾）和德式弓（杆长72-73cm，重量70-80g，握感更厚重）。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琴弦：多为钢芯缠弦或羊肠弦，羊肠弦音色温润，适合古典演奏；钢芯弦张力强，适合爵士、现代音乐。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结构工艺参数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面板厚度：中部6-8mm，边缘4-5mm，拱形弧度平缓，保障低频共振的饱满度。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音孔规格：为“f”形孔，长度180-200mm，宽度25-30mm，两孔对称度偏差≤1mm，开孔位置与音梁布局精准对应。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琴马尺寸：高度120-140mm，上宽80-90mm，下宽100-110mm，材质为枫木，需与琴身弧度完全贴合。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装配精度：弦轴与轴孔间隙控制在0.03-0.06mm；四弦间距均匀，弦枕高度以按弦不费力、无打品杂音为准；尾绳拉力适中，确保琴身受力平衡。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声学性能指标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音域范围：大字组E至小字组a，涵盖约3个八度，是交响乐团的低频基石。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音准要求：空弦音准偏差≤8音分，按弦音准偏差≤5音分，八度音程误差≤3音分。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共振特性：主共振频率50-80Hz，低音区浑厚沉稳，中音区圆润饱满，无明显狼音，穿透力强且不浑浊。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音色特点：古典演奏要求音色温润醇厚，爵士演奏则追求明亮通透的质感，适配不同音乐风格。</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27</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大号</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管体长度：降B调大号拉直后约5.5米，降C调约6.2米；按键间距80-100mm，符合成人手掌握持尺寸。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材质工艺参数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管体材质：专业款选用黄铜（含铜量70%-80%），音色温润饱满；普及款用白铜镀层黄铜，防锈耐用；高端手工款部分管体采用磷铜，提升共振穿透力。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按键系统：分三键式（入门款，结构简单）和四键/五键式（专业款，增加低音区音准调节键），按键材质为镍银合金，回弹速度≤0.2秒，无卡顿。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喇叭口工艺：专业款为手工捶打成型，边缘卷边厚度3-4mm，确保振动均匀；普及款为机械冲压成型，性价比高。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表面处理：分亮面镀银、拉丝镀金、哑光喷漆三种，镀银款音色更明亮，哑光款防刮耐磨。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音准与声学性能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音域范围：大字一组E₁ - 小字一组F₁，覆盖3个八度，是铜管乐器中音域最低的乐器。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音准要求：空弦音准偏差≤±8音分，按键音准偏差≤±5音分，低音区（大字组）无明显音准漂移。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音色特点：低音浑厚沉稳，中音区圆润柔和，强奏时具有震撼力，弱奏时细腻通透，适配古典、军乐等多种风格。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共振特性：管体弯曲弧度精准，气流阻力小，吹奏省力，共振频率稳定在30-150Hz。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配件配置参数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号嘴：材质为黄铜镀银，杯口直径32-36mm，深度18-22mm，入门款号嘴杯口较浅，易发声；专业款杯口较深，音色更饱满。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背带/支架：标配加厚尼龙背带，承重≥20kg；专业演奏需搭配落地支架，防止管体倾倒。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箱包：硬质ABS材质箱包，内置防震海绵，尺寸贴合管体，方便运输与存放。</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28</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三角铁</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材质工艺参数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主体材质：专业款选用弹簧钢或高碳钢，弹性好、共振强，音色纯净无杂音；普及款用普通碳钢，性价比高，适合入门练习。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表面处理：防锈电镀（镀锌/镀铬），表面光滑无锈迹，防止氧化腐蚀，延长使用寿命。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工艺要求：弯折处无明显接缝，铁条粗细均匀，边缘打磨倒角（倒角半径≥1mm），防止演奏时划伤手部。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敲击棒：材质为硬木（胡桃木/榉木）或尼龙，直径8-10mm，长度150-200mm，重量适中，敲击时手感舒适。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声学性能指标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音准特性：无固定音高，音色由边长和材质决定，大号三角铁延音时长≥8秒，小号延音时长≥3秒。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音色要求：敲击时发音清脆通透，无沉闷感，余音衰减均匀，不同部位敲击可产生不同音色层次。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共振效果：优质三角铁敲击后振动均匀，手持部位需包裹防滑绒布，减少手部接触对共振的影响。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配件配置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手持绒布套：标配防滑耐磨绒布套，包裹三角铁一角，隔绝手部振动，保证共振效果。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收纳袋：牛津布材质收纳袋，防潮防尘，方便携带与存放。</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29</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贝斯吉他</w:t>
            </w:r>
            <w:r/>
          </w:p>
        </w:tc>
        <w:tc>
          <w:tcPr>
            <w:tcW w:w="6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琴颈长度约300-320mm，指板宽度（琴枕处）：4弦款38-40mm，5弦款42-45mm，6弦款45-48mm；指板弧度7.25-16英寸，满足不同按弦习惯。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琴颈与指板：琴颈多为枫木+玫瑰木指板，部分型号用乌木指板（耐磨、音色明亮）；指板品数20-24品，品丝材质为镍银合金，边缘打磨倒角，按弦无毛刺。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弦桥系统：分为固定弦桥（音色稳定，适合初学者）和浮动式弦桥（可微调八度音准，适合专业演奏）；弦钮为封闭式镀铬弦钮，调音精度高，防锈耐用。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琴弦规格：4弦款常用规格045-0105，5弦款增加0130的B弦；材质分镍钢弦（音色明亮）、不锈钢弦（音色硬朗）、磷铜弦（音色温润）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 拾音与电路系统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P型拾音器：双线圈结构，中频突出，适合摇滚、乡村风格。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J型拾音器：单线圈结构，音色清亮，适合放克、爵士风格。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双线圈拾音器（HB）：输出功率大，音色饱满，适合重金属风格。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配备主动拾音器，内置均衡电路，可调节高低频；普及款多用被动拾音器，结构简单易维护。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电路控制：被动款标配音量+音色旋钮；主动款配备3段/5段均衡调节，支持音色精细调校。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输出接口：6.35mm标准音频接口，镀金触点，降低信号损耗。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 声学性能指标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音域范围：4弦款音域为E₁ - G₄，5弦款扩展至B₀ - G₄，覆盖乐队低频声部需求。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音色特点：低频浑厚扎实，中频清晰有穿透</w:t>
            </w:r>
            <w:r/>
          </w:p>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高频柔和不刺耳；主动拾音器款动态范围更适合舞台演出扩音。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共振特性：琴身与琴颈连接牢固（螺栓连接/插接工艺），共振传递顺畅，空弦延音时长≥8秒，无明显杂音。</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30</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电吉它效果器（失真+过载）</w:t>
            </w:r>
            <w:r/>
          </w:p>
        </w:tc>
        <w:tc>
          <w:tcPr>
            <w:tcW w:w="6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失真度控制：Gain/Drive旋钮，控制信号削波深度，数值0-100%可调，从轻度过载到重度失真全覆盖。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音色调节：Tone旋钮，±6.5dB频率调节范围，3kHz中心频率，控制失真谐波明暗度。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音量匹配：Level旋钮，输出电平-20dBu至+3dBV可调，确保失真与清音音量平衡。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混合比例：Color旋钮，如BOSS OS-2特有功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可在纯过载、纯失真及混合模式间切换。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削波类型：支持硬削波和软削波切换，硬削波适合金属风格，软削波适合布鲁斯摇滚。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增益范围：22dB-50dB失真增益，1kHz测试频率</w:t>
            </w:r>
            <w:r/>
          </w:p>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输入输出：输入阻抗1MΩ，输出阻抗1kΩ，额定输入输出电平-20dBu。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接口规格：1/4英寸TS输入输出接口，9V DC电源接口。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电源要求：9V电池或AC适配器，电流消耗12m电池续航55小时碱性电池。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旁路类型：缓冲旁路或True Bypass，确保关闭效果时信号无损失。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操作温度：0°C-40°C，适合舞台演出环境。</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31</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电吉它音箱</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电路类型：晶体管。通道配置：多通道，3-4个预设通道，覆盖各种音乐风格。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尺寸：6.5-15英寸，10-12英寸最常用。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类型：功率处理30-120W。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阻抗：4Ω/8Ω/16Ω，需与放大器匹配。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箱体设计开放式：音色明亮通透，适合清音和轻过载。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封闭式：低频响应更紧实，适合失真音色。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倾斜式：增强声音扩散，如4×12箱体设计。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基础EQ：3段均衡（Bass 40-250Hz，Mid 500-2kHz，Treble 2-10kHz）。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高级控制：临场度Presence、共鸣Resonance、增益结构调节。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输入输出：1/4英寸吉他输入，扬声器输出，线路输出。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效果环路：FX Loop支持外接效果器链。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12.</w:t>
            </w:r>
            <w:r>
              <w:rPr>
                <w:rFonts w:hint="eastAsia" w:ascii="宋体" w:hAnsi="宋体" w:eastAsia="宋体" w:cs="宋体"/>
                <w:i w:val="0"/>
                <w:iCs w:val="0"/>
                <w:color w:val="auto"/>
                <w:sz w:val="21"/>
                <w:szCs w:val="21"/>
                <w:highlight w:val="none"/>
                <w:u w:val="none"/>
                <w:lang w:val="en-US" w:eastAsia="zh-CN" w:bidi="ar"/>
              </w:rPr>
              <w:t xml:space="preserve">现代功能：USB录音、蓝牙连接、软件控制。</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32</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饮水机</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加热系统：功率1500-2200W，即热式3秒速热，传统加热需等待5-10分钟。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制冷系统：压缩机制冷功率85-120W，电子制冷60-80W。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温控范围：加热5-98°C无级调温，制冷5-15°C可调。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内胆材质：食品级304不锈钢或PCTG母婴级材质。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噪音控制：运行噪音≤45dB，高端款可达39dB。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过滤层级：2-6级过滤，主流为4-5级。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PP滤芯：孔径5-100μm，更换周期3-6个月。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活性炭滤芯：碘吸附值≥1000mg/g，更换周期6-12个月。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RO反渗透膜：孔径0.1nm，脱盐率≥97%，寿命3-5年。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超滤膜：孔径0.01-0.1μm，寿命1-2年。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净化效果：重金属去除率≥99.9%，除菌率≥99.9%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12.</w:t>
            </w:r>
            <w:r>
              <w:rPr>
                <w:rFonts w:hint="eastAsia" w:ascii="宋体" w:hAnsi="宋体" w:eastAsia="宋体" w:cs="宋体"/>
                <w:i w:val="0"/>
                <w:iCs w:val="0"/>
                <w:color w:val="auto"/>
                <w:sz w:val="21"/>
                <w:szCs w:val="21"/>
                <w:highlight w:val="none"/>
                <w:u w:val="none"/>
                <w:lang w:val="en-US" w:eastAsia="zh-CN" w:bidi="ar"/>
              </w:rPr>
              <w:t xml:space="preserve">制水能力：制热水18-140L/h，制冰水5-15L/h。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13.</w:t>
            </w:r>
            <w:r>
              <w:rPr>
                <w:rFonts w:hint="eastAsia" w:ascii="宋体" w:hAnsi="宋体" w:eastAsia="宋体" w:cs="宋体"/>
                <w:i w:val="0"/>
                <w:iCs w:val="0"/>
                <w:color w:val="auto"/>
                <w:sz w:val="21"/>
                <w:szCs w:val="21"/>
                <w:highlight w:val="none"/>
                <w:u w:val="none"/>
                <w:lang w:val="en-US" w:eastAsia="zh-CN" w:bidi="ar"/>
              </w:rPr>
              <w:t xml:space="preserve">能效等级：新国标一级能效，水效等级1级。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14.</w:t>
            </w:r>
            <w:r>
              <w:rPr>
                <w:rFonts w:hint="eastAsia" w:ascii="宋体" w:hAnsi="宋体" w:eastAsia="宋体" w:cs="宋体"/>
                <w:i w:val="0"/>
                <w:iCs w:val="0"/>
                <w:color w:val="auto"/>
                <w:sz w:val="21"/>
                <w:szCs w:val="21"/>
                <w:highlight w:val="none"/>
                <w:u w:val="none"/>
                <w:lang w:val="en-US" w:eastAsia="zh-CN" w:bidi="ar"/>
              </w:rPr>
              <w:t xml:space="preserve">废水比：3:1至5:1，节水型可达5:1。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出水速度：≥1L/min，商用机可达3L/min。</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33</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穿衣镜</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尺寸规格：常见的尺寸有30cm×120cm、40cm×150cm、50cm×160cm、65cm×170cm、80cm×180cm等。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材质：镜面材质一般为高清浮法玻璃，成像清晰，还原度高。塑料边框价格便宜，重量轻。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安装方式：主要有免打孔安装和打孔安装两种。免打孔安装一般采用粘贴或挂钩的方式，不会对墙面造成破坏，安装方便，但承重能力相对较弱；打孔安装则通过膨胀螺丝等将镜子固定在墙上，更加牢固，但需要在墙上打孔，适合承重墙或砖墙。</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34</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衣架</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塑料衣架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适用场景：可挂礼服、演出服等</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35</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除湿器</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除湿量规格：20L/D适合35㎡空间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适用面积匹配：用于更衣室30-70㎡选30-70L/D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风量参数：循环风量200-1100m³/h，风量越大除湿速度越快。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功率能耗：功率范围280W-1850W，除湿量越大功率越高。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湿度控制：湿度调节范围RH40-70%，支持自动湿度控制。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工作环境：使用环境温度5-38℃，适应不同季节需求。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水箱容量：2.2L-8L，大水箱减少倒水频次，支持外接排水管实现自动排水。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机身尺寸：320×245×605mm到480×420×1095mm不等，根据安装空间选择。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重量：12kg-60kg，便于移动和安装。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噪音水平：≤50dB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12.</w:t>
            </w:r>
            <w:r>
              <w:rPr>
                <w:rFonts w:hint="eastAsia" w:ascii="宋体" w:hAnsi="宋体" w:eastAsia="宋体" w:cs="宋体"/>
                <w:i w:val="0"/>
                <w:iCs w:val="0"/>
                <w:color w:val="auto"/>
                <w:sz w:val="21"/>
                <w:szCs w:val="21"/>
                <w:highlight w:val="none"/>
                <w:u w:val="none"/>
                <w:lang w:val="en-US" w:eastAsia="zh-CN" w:bidi="ar"/>
              </w:rPr>
              <w:t xml:space="preserve">控制方式：支持面板操作、遥控器、APP智能控制，部分型号带定时功能。</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36</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衣服收纳筐</w:t>
            </w:r>
            <w:r/>
          </w:p>
        </w:tc>
        <w:tc>
          <w:tcPr>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大型收纳筐：容量180-220L，尺寸可达80×53×45cm，能装30斤以上衣物，适合收纳厚重演出服和道具。塑料材质：高承重耐摔，可承受百斤重量，适合频繁搬运。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便携设计：两侧手提设计便于拿取，部分带万向轮可轻松移动。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防护功能：束口设计防掉落，内置防水防潮层保护服装。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承重能力：塑料款可达百斤承重，布艺款通常承重5-30斤不等。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防尘防潮：带盖设计和防水涂层，保护演出服装不受潮损坏。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透明可视：部分塑料款透明设计，便于快速识别服装内容物。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后台快速换装：优选带轮塑料款，承重强且移动方便。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服装长期存放：选择牛津布或棉绳款，防尘防潮效果好。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空间有限场景：选择可折叠无纺布款，不用时可收纳节省空间。 </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c>
          <w:tcPr>
            <w:tcW w:w="765" w:type="dxa"/>
            <w:vAlign w:val="center"/>
            <w:textDirection w:val="lrTb"/>
            <w:noWrap w:val="false"/>
          </w:tcPr>
          <w:p>
            <w:pPr>
              <w:jc w:val="center"/>
              <w:widowControl w:val="off"/>
              <w:rPr>
                <w:rFonts w:hint="eastAsia"/>
                <w:b/>
                <w:bCs/>
                <w:color w:val="auto"/>
                <w:sz w:val="21"/>
                <w:szCs w:val="21"/>
                <w:highlight w:val="none"/>
                <w:vertAlign w:val="baseline"/>
                <w:lang w:val="en-US" w:eastAsia="zh-CN"/>
              </w:rPr>
            </w:pPr>
            <w:r>
              <w:rPr>
                <w:rFonts w:hint="eastAsia"/>
                <w:b/>
                <w:bCs/>
                <w:color w:val="auto"/>
                <w:sz w:val="21"/>
                <w:szCs w:val="21"/>
                <w:highlight w:val="none"/>
                <w:vertAlign w:val="baseline"/>
                <w:lang w:val="en-US" w:eastAsia="zh-CN"/>
              </w:rPr>
              <w:t xml:space="preserve">（四）</w:t>
            </w:r>
            <w:r/>
          </w:p>
        </w:tc>
        <w:tc>
          <w:tcPr>
            <w:gridSpan w:val="2"/>
            <w:tcW w:w="7785" w:type="dxa"/>
            <w:vAlign w:val="center"/>
            <w:textDirection w:val="lrTb"/>
            <w:noWrap w:val="false"/>
          </w:tcPr>
          <w:p>
            <w:pPr>
              <w:jc w:val="left"/>
              <w:widowControl w:val="off"/>
              <w:rPr>
                <w:rFonts w:hint="default"/>
                <w:b/>
                <w:bCs/>
                <w:color w:val="auto"/>
                <w:sz w:val="21"/>
                <w:szCs w:val="21"/>
                <w:highlight w:val="none"/>
                <w:vertAlign w:val="baseline"/>
                <w:lang w:val="en-US" w:eastAsia="zh-CN"/>
              </w:rPr>
            </w:pPr>
            <w:r>
              <w:rPr>
                <w:rFonts w:hint="eastAsia"/>
                <w:b/>
                <w:bCs/>
                <w:color w:val="auto"/>
                <w:sz w:val="21"/>
                <w:szCs w:val="21"/>
                <w:highlight w:val="none"/>
                <w:vertAlign w:val="baseline"/>
                <w:lang w:val="en-US" w:eastAsia="zh-CN"/>
              </w:rPr>
              <w:t xml:space="preserve">劳技（雕刻）教室</w:t>
            </w:r>
            <w:r/>
          </w:p>
        </w:tc>
        <w:tc>
          <w:tcPr>
            <w:tcW w:w="660"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r>
            <w:r/>
          </w:p>
        </w:tc>
        <w:tc>
          <w:tcPr>
            <w:tcW w:w="772"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W w:w="6555"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2400*700*850mm，桌面采用采用40MM实木板材加工，干燥处理；桌面铺设2mm透明橡胶防护垫；桌身采用60*40方钢烤漆骨架，带有两个存放柜，桌脚带固定垫。</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W w:w="6555"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2400mm*1200mm*780mm；台面：采用40MM实木板材加工，干燥处理；桌面铺设2mm透明橡胶防护垫；配有带盖板电源插座两组，提供220V电源，插座引入线埋于台面下，不能外露。桌身采用60*40方钢烤漆骨架，长方向两侧各有工具抽屉，下方带有存放柜，桌脚带固定垫。(8人一组)</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教学安全总电源</w:t>
            </w:r>
            <w:r/>
          </w:p>
        </w:tc>
        <w:tc>
          <w:tcPr>
            <w:tcW w:w="6555" w:type="dxa"/>
            <w:vAlign w:val="center"/>
            <w:textDirection w:val="lrTb"/>
            <w:noWrap w:val="false"/>
          </w:tcPr>
          <w:p>
            <w:pPr>
              <w:numPr>
                <w:ilvl w:val="0"/>
                <w:numId w:val="3"/>
              </w:numPr>
              <w:jc w:val="left"/>
              <w:keepLines w:val="0"/>
              <w:keepNext w:val="0"/>
              <w:widowControl/>
              <w:rPr>
                <w:rStyle w:val="997"/>
                <w:rFonts w:hint="eastAsia" w:ascii="宋体" w:hAnsi="宋体" w:eastAsia="宋体" w:cs="宋体"/>
                <w:color w:val="auto"/>
                <w:sz w:val="21"/>
                <w:szCs w:val="21"/>
                <w:highlight w:val="none"/>
                <w:lang w:val="en-US" w:eastAsia="zh-CN" w:bidi="ar"/>
              </w:rPr>
              <w:suppressLineNumbers w:val="0"/>
            </w:pPr>
            <w:r>
              <w:rPr>
                <w:rStyle w:val="997"/>
                <w:rFonts w:hint="eastAsia" w:ascii="宋体" w:hAnsi="宋体" w:eastAsia="宋体" w:cs="宋体"/>
                <w:color w:val="auto"/>
                <w:sz w:val="21"/>
                <w:szCs w:val="21"/>
                <w:highlight w:val="none"/>
                <w:lang w:val="en-US" w:eastAsia="zh-CN" w:bidi="ar"/>
              </w:rPr>
              <w:t xml:space="preserve">电源控制台（教师电源）分四组向学生桌输出安全的220v交流电源（采用4个16A空气开关）具有漏电保护功能。</w:t>
            </w:r>
            <w:r/>
          </w:p>
          <w:p>
            <w:pPr>
              <w:numPr>
                <w:ilvl w:val="0"/>
                <w:numId w:val="3"/>
              </w:numPr>
              <w:ind w:left="0" w:firstLine="0"/>
              <w:jc w:val="left"/>
              <w:keepLines w:val="0"/>
              <w:keepNext w:val="0"/>
              <w:widowControl/>
              <w:rPr>
                <w:rStyle w:val="997"/>
                <w:rFonts w:hint="eastAsia" w:ascii="宋体" w:hAnsi="宋体" w:eastAsia="宋体" w:cs="宋体"/>
                <w:color w:val="auto"/>
                <w:sz w:val="21"/>
                <w:szCs w:val="21"/>
                <w:highlight w:val="none"/>
                <w:lang w:val="en-US" w:eastAsia="zh-CN" w:bidi="ar"/>
              </w:rPr>
              <w:suppressLineNumbers w:val="0"/>
            </w:pPr>
            <w:r>
              <w:rPr>
                <w:rStyle w:val="997"/>
                <w:rFonts w:hint="eastAsia" w:ascii="宋体" w:hAnsi="宋体" w:eastAsia="宋体" w:cs="宋体"/>
                <w:color w:val="auto"/>
                <w:sz w:val="21"/>
                <w:szCs w:val="21"/>
                <w:highlight w:val="none"/>
                <w:lang w:val="en-US" w:eastAsia="zh-CN" w:bidi="ar"/>
              </w:rPr>
              <w:t xml:space="preserve">电源配有双安全的多功能插座一组，插座下方必须标有“</w:t>
            </w:r>
            <w:r>
              <w:rPr>
                <w:rFonts w:hint="eastAsia" w:ascii="宋体" w:hAnsi="宋体" w:eastAsia="宋体" w:cs="宋体"/>
                <w:i w:val="0"/>
                <w:iCs w:val="0"/>
                <w:color w:val="auto"/>
                <w:sz w:val="21"/>
                <w:szCs w:val="21"/>
                <w:highlight w:val="none"/>
                <w:u w:val="none"/>
                <w:lang w:val="en-US" w:eastAsia="zh-CN" w:bidi="ar"/>
              </w:rPr>
              <w:t xml:space="preserve">~</w:t>
            </w:r>
            <w:r>
              <w:rPr>
                <w:rStyle w:val="997"/>
                <w:rFonts w:hint="eastAsia" w:ascii="宋体" w:hAnsi="宋体" w:eastAsia="宋体" w:cs="宋体"/>
                <w:color w:val="auto"/>
                <w:sz w:val="21"/>
                <w:szCs w:val="21"/>
                <w:highlight w:val="none"/>
                <w:lang w:val="en-US" w:eastAsia="zh-CN" w:bidi="ar"/>
              </w:rPr>
              <w:t xml:space="preserve">”标识和注意安全的警示语。</w:t>
            </w:r>
            <w:r/>
          </w:p>
          <w:p>
            <w:pPr>
              <w:numPr>
                <w:ilvl w:val="0"/>
                <w:numId w:val="3"/>
              </w:numPr>
              <w:ind w:left="0" w:firstLine="0"/>
              <w:jc w:val="left"/>
              <w:keepLines w:val="0"/>
              <w:keepNext w:val="0"/>
              <w:widowControl/>
              <w:rPr>
                <w:rStyle w:val="997"/>
                <w:rFonts w:hint="eastAsia" w:ascii="宋体" w:hAnsi="宋体" w:eastAsia="宋体" w:cs="宋体"/>
                <w:color w:val="auto"/>
                <w:sz w:val="21"/>
                <w:szCs w:val="21"/>
                <w:highlight w:val="none"/>
                <w:lang w:val="en-US" w:eastAsia="zh-CN" w:bidi="ar"/>
              </w:rPr>
              <w:suppressLineNumbers w:val="0"/>
            </w:pPr>
            <w:r>
              <w:rPr>
                <w:rStyle w:val="997"/>
                <w:rFonts w:hint="eastAsia" w:ascii="宋体" w:hAnsi="宋体" w:eastAsia="宋体" w:cs="宋体"/>
                <w:color w:val="auto"/>
                <w:sz w:val="21"/>
                <w:szCs w:val="21"/>
                <w:highlight w:val="none"/>
                <w:lang w:val="en-US" w:eastAsia="zh-CN" w:bidi="ar"/>
              </w:rPr>
              <w:t xml:space="preserve">电源具有过载、过热保护装置（交直流分别具有过载指示和过载手动复位功能）</w:t>
            </w:r>
            <w:r/>
          </w:p>
          <w:p>
            <w:pPr>
              <w:numPr>
                <w:ilvl w:val="0"/>
                <w:numId w:val="0"/>
              </w:num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Style w:val="988"/>
                <w:rFonts w:hint="eastAsia" w:ascii="宋体" w:hAnsi="宋体" w:eastAsia="宋体" w:cs="宋体"/>
                <w:color w:val="auto"/>
                <w:sz w:val="21"/>
                <w:szCs w:val="21"/>
                <w:highlight w:val="none"/>
                <w:lang w:val="en-US" w:eastAsia="zh-CN" w:bidi="ar"/>
              </w:rPr>
              <w:t xml:space="preserve">4</w:t>
            </w:r>
            <w:r>
              <w:rPr>
                <w:rStyle w:val="997"/>
                <w:rFonts w:hint="eastAsia" w:ascii="宋体" w:hAnsi="宋体" w:eastAsia="宋体" w:cs="宋体"/>
                <w:color w:val="auto"/>
                <w:sz w:val="21"/>
                <w:szCs w:val="21"/>
                <w:highlight w:val="none"/>
                <w:lang w:val="en-US" w:eastAsia="zh-CN" w:bidi="ar"/>
              </w:rPr>
              <w:t xml:space="preserve">、教师演示实验电源主要技术参数：交流输出电压：2—24V/5A（ 步进调节，分10档）交流输出必须保证正弦波）直流输出电压：2—24V/5A（稳压，连续可调，采用精密5圈电位器）。</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学生安全电源</w:t>
            </w:r>
            <w:r/>
          </w:p>
        </w:tc>
        <w:tc>
          <w:tcPr>
            <w:tcW w:w="6555"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五孔插座，过载保护，稳压6V：最大输出电流为500mA。220V到学生台。</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5</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W w:w="6555"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可旋转、升降</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6</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W w:w="6555"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钢木结构，牢固稳定、符合国家标准。凳面规格：340mm*235mm*16mm采用防火板精密加工；方钢四腿，规格：320mm*220mm*420mm；方钢规格25mm*25mm，管壁厚度1.0mm。四脚配防滑垫，抗磨消音，保护地板砖</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7</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电气布线</w:t>
            </w:r>
            <w:r/>
          </w:p>
        </w:tc>
        <w:tc>
          <w:tcPr>
            <w:tcW w:w="6555"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4㎡国标铜芯线。</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室</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8</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W w:w="6555"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柜身：铝合金结构，型材38*38mm，壁厚1.2mm。侧板,后身板采用16mm厚灰三聚氰胺板，隔板均为18mm厚三聚氰胺板，下方安装方钢。其截面用1.5mm厚PVC封边条机械高温热溶胶封边，具有粘力强、密封性好，外形美观、耐用的特点。结构：下部木制对开门，内设一层隔板，上部板式镶嵌玻璃对开门，内部分二层隔板，整体结构科学合理、造型美观。脚垫：升降可调，有效防止桌身受潮。</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9</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多功能打磨雕刻机</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多功能玉石、木雕、抛光、根雕、切割双电磨，三段式自由伸缩架，可自由调节高度，拥有丰富的接口，含有27种配件，满足多功能使用额定功率：130w额定电压：220v转速为：8000-30000R/min1.</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10</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万向平口桌虎钳</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安装在工作台上。规格：70mm，铝合金钳体，橡胶钳口加持稳定，钳口宽度75mm,钳口张开度55mm,丝杠直径10mm，最大夹持厚度55mm，最大桌面夹持桌面厚度53mm，整体高度300*146mm，净重885g</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11</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拉花锯</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U型钢丝拉花锯锯条规格150mm，锯弓喉深105mm，总长度275mm，铝合金锯弓，TPR防滑包胶手柄，前端带锯钮绷紧结构，锯条不易断裂，且更换方便；适用范围：切割红木、竹签、杂木等各类软硬木材、木板、牛角、琥珀、亚克力板等，是DIY木簪、数字、手镯、手把件必不可少的工具。含1根锯条。</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12</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木工刨</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180mm传统中式木刨，刃宽44mm；刨床采用柞木精制，刨刀采用轴承合金钢制造，刃口高频淬火后精磨确保锋利耐磨</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13</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制作工具</w:t>
            </w:r>
            <w:r/>
          </w:p>
        </w:tc>
        <w:tc>
          <w:tcPr>
            <w:tcW w:w="6555"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拉花锯1把:精钢表面镀烙锯弓，锯梁长度190mm，最大锯深105mm，工程塑料防滑手柄长120mm；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.迷你锤1把:0.25KG钢制羊角锤，全长155mm，软胶包塑防滑手柄；</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.钢丝钳1把:45#钢5寸钢丝钳，全长120mm，双色包胶防滑手柄，钳身带有复位弹簧；</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.尖嘴钳1把:45#钢5寸尖嘴钳，全长120mm，双色包胶防滑手柄，钳身带有复位弹簧；</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.斜口钳1把:45#钢5寸斜口钳，全长110mm，双色包胶防滑手柄，钳身带有复位弹簧；</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.热熔胶枪1把:220V20w热熔胶枪；</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.打磨机1件:金属磨砂机身，输入电压3-12V，功率6-24W，最高转速13000转；</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.夹头扳手1个:与打磨机配套；</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.钻头10支:0.8/1/1.2/1.5/1.9/2/2.2/2.5/2.8/3mm钻头各1支</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.打磨配件1套:砂轮磨头、树脂切割片、双网切割片、砂纸片、羊毛磨头、电磨刷头、研磨膏、砂纸圈等共150件</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.多用平口钳1件:铝合金材质，强身尺寸105*60*35mm，夹持范围0-53mm，配56mm夹持块2个，竹节夹持头4个；</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.什锦锉6支:5*180什锦锉6支，双色包胶手柄；1</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.木刻刀5把:木质手柄100*12mm，碳钢材质刀头，平口、斜口、三角、大半圆、小半圆各1支</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.一字螺丝刀1把:3寸一字，双色包胶按摩防滑手柄，刀杆5*75mm，刀头热处理加硬，带磁性；1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.十字螺丝刀1把:3寸十字，双色包胶按摩防滑手柄，刀杆5*75mm，刀头热处理加硬，带磁性；1</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.美工刀1把:全长170mm通用美工刀，带刹车，手柄防滑设计；</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.剪刀1把:无刃、圆头，总长度160mm；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.尖头镊子1把:加厚不锈钢防静电尖头镊子，全长135mm；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19</w:t>
            </w:r>
            <w:r>
              <w:rPr>
                <w:rFonts w:hint="eastAsia" w:ascii="宋体" w:hAnsi="宋体" w:eastAsia="宋体" w:cs="宋体"/>
                <w:i w:val="0"/>
                <w:iCs w:val="0"/>
                <w:color w:val="auto"/>
                <w:sz w:val="21"/>
                <w:szCs w:val="21"/>
                <w:highlight w:val="none"/>
                <w:u w:val="none"/>
                <w:lang w:val="en-US" w:eastAsia="zh-CN" w:bidi="ar"/>
              </w:rPr>
              <w:t xml:space="preserve">.弯头镊子1把:加厚不锈钢防静电弯头镊子，全长120mm；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.铝合金笔刀1把:合金防滑手柄、刀柄尺寸115*8mm，金属旋头，塑制笔帽；</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.铝合金笔刀刀片3片:11号锰钢刀头，塑盒包装2</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.切割垫板1张:A4双面PVC切割垫板；</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.打磨条1支:100/180目双面打磨条；</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.分离器1个:刀式分离器，钢制刀身，塑制刀柄，尺寸：115*17*7.2mm；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.模型胶水1瓶:10ml模型专用胶；</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.勾刀1把:ABS刀身，刀身长度140mm，刀片固定后全长162mm，可悬挂后盖内含2片备用刀片；</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.打孔器1把:手握式6mm不锈钢打孔器，底部配有纸屑收集槽；</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.订书机1台:钢制机身，防滑底座，双模式旋转钉板，整机尺寸115*35*54mm；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29</w:t>
            </w:r>
            <w:r>
              <w:rPr>
                <w:rFonts w:hint="eastAsia" w:ascii="宋体" w:hAnsi="宋体" w:eastAsia="宋体" w:cs="宋体"/>
                <w:i w:val="0"/>
                <w:iCs w:val="0"/>
                <w:color w:val="auto"/>
                <w:sz w:val="21"/>
                <w:szCs w:val="21"/>
                <w:highlight w:val="none"/>
                <w:u w:val="none"/>
                <w:lang w:val="en-US" w:eastAsia="zh-CN" w:bidi="ar"/>
              </w:rPr>
              <w:t xml:space="preserve">.订书钉1盒:1000枚，24/6订书钉，纸盒包装；3</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.胶棒5支:高粘树脂7*190mm热熔胶棒；</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.白乳胶1瓶:30ml手工白乳胶</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.花边剪1把:130mm塑制剪身，50mm铁质剪头；3</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.小锤1把:13*50mm两用锤头，10*145mm金属锤把，锤头整体镀铜防锈处理；</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.直尺1把:300mm塑制直尺，最小刻度1mm，标尺印刷清晰；</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.收纳盒1件:125*65*21.5mm塑制盒体，10格可活动隔片；</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.零件盒1件:115*85*28塑制盒体，用于配件的收纳；</w:t>
            </w:r>
            <w:r/>
          </w:p>
          <w:p>
            <w:pPr>
              <w:numPr>
                <w:ilvl w:val="0"/>
                <w:numId w:val="0"/>
              </w:num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.吹塑盒1件:中空吹塑工具箱，尺寸450*340*90mm，实现本套工具的定点定位存放，加厚型，抗摔防水</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14</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胶粘工具材料</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包含100W足功率热熔胶枪，专业级PTC发热内芯，升温快，温度稳定，带电源开关，带指示灯；11mm热熔胶条20支；500ml专业级木工白乳胶1瓶，为木工制作必备胶水；50g502胶水1瓶，20mm宽纸胶带1卷；纸盒包装</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15</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操作垫板</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尺寸：450*600mm，复合PVC材料刀痕会自动愈合，耐切割，双面印制多功能标尺网格线，双面都可切割雕刻使用，增加使用寿命。可有效保护刻刀刀片、操作台台面</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16</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木工拼装材料包</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全实木材质，木质结构均匀手感细腻不伤手，可组装成立体卡通模型：木马、飞机、卡车、推车、摇摇椅、鸟窝、木椅等不少于8种模型。尺寸：120*100*60mm，练习学生的基础木工拼装能力，提高学生对传统木工结构认知及学生动手能力。带制作图稿说明书</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17</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木工制作材料包</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鲁班锁制作：20×20×100mm实木条7根、制作图纸1份、制作说明书1份；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七巧板制作：120*120mm工艺板1张，120*120mm七巧板图案工艺板1张，速干胶水1瓶，打磨棒1支，6色水粉颜料1套，制作说明书1份；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梳子：材质：红花梨木，尺寸：12×6×1cm，开齿半成品；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发簪：材质：红花梨木材质，尺寸：长20cm，厚度1cm，切割半成品。</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18</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木工切割练习材料包</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材质：橡木，尺寸：275×170×20mm，熊猫一家（熊猫爸爸128×150×20mm、熊猫妈妈110×130×20mm。熊猫宝宝56×62×20mm），白兔一家（兔爸爸128×145×20mm、兔妈妈119×135×20mm、兔宝宝78×85×20mm、58×66×20mm），小狗一家（狗爸爸130×140×20mm、狗妈妈98×125×20mm、狗宝宝70×92×20mm），图案印刷清晰，线路明确，收纳盒包装。</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19</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木工练习套装</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纯实木材质非插接木拼装压合木：200×180×10mm是实木板1块、200×180×5mm是实木板1块、100×180×10mm是实木板2块、100×180×5mm是实木板2块、50×180×10mm是实木板2块</w:t>
            </w:r>
            <w:r>
              <w:rPr>
                <w:rFonts w:hint="eastAsia" w:ascii="宋体" w:hAnsi="宋体" w:eastAsia="宋体" w:cs="宋体"/>
                <w:i w:val="0"/>
                <w:iCs w:val="0"/>
                <w:color w:val="auto"/>
                <w:sz w:val="21"/>
                <w:szCs w:val="21"/>
                <w:highlight w:val="none"/>
                <w:u w:val="none"/>
                <w:lang w:val="en-US" w:eastAsia="zh-CN" w:bidi="ar"/>
              </w:rPr>
              <w:t xml:space="preserve">、50×180×5mm是实木板2块、20×20×180mm实木方木棒3根、15×15×180mm实木方木棒3根、10×10×180mm实木方木棒3根、5×5×180mm实木方木棒5根、20mm×180mm圆木棒2根、15mm×180mm圆木棒2根、10mm×180mm圆木棒2根、5mm×180mm圆木棒5根、10mm×100mm圆木片2块、5mm×50mm圆木片6片、30×30×30mm方木块6块、20×20×20mm方木块6块，直径25mm木球6个、直径20mm木球6个、直径15mm木球6个、专用纸箱包装</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20</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木雕工具</w:t>
            </w:r>
            <w:r/>
          </w:p>
        </w:tc>
        <w:tc>
          <w:tcPr>
            <w:tcW w:w="6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1、60mm桌虎钳1个，</w:t>
            </w:r>
            <w:r/>
          </w:p>
          <w:p>
            <w:pPr>
              <w:numPr>
                <w:ilvl w:val="0"/>
                <w:numId w:val="5"/>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包胶手柄拉花锯1把，</w:t>
            </w:r>
            <w:r/>
          </w:p>
          <w:p>
            <w:pPr>
              <w:numPr>
                <w:ilvl w:val="0"/>
                <w:numId w:val="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木工雕花凿6件套，</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4、8寸尖头黄金锉1把，</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木刻刀5件套1套，</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美工刀1把，</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7、铝合金笔刀1把、笔刀刀片3片，</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8、5×180mm什锦锉6件套1套，</w:t>
            </w:r>
            <w:r/>
          </w:p>
          <w:p>
            <w:pPr>
              <w:numPr>
                <w:ilvl w:val="0"/>
                <w:numId w:val="6"/>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抛光器1件，</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10、20g铝盒装木蜡1盒、海绵一块，</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毛刷1把</w:t>
            </w:r>
            <w:r/>
          </w:p>
          <w:p>
            <w:pPr>
              <w:numPr>
                <w:ilvl w:val="0"/>
                <w:numId w:val="0"/>
              </w:num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12、打磨砂纸5张</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21</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篆刻工具</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印床1件、石刻刀6支、木刻刀5支、绘图铅笔1支、扫尘刷1件、多用锤1把、铝合金笔刀1把、笔刀刀片3件、美工刀1把、印泥盒1件、印尼1份、石质印章2枚、尼龙印章2枚、橡皮练习章3块、砂纸5块、印模转印贴8个，产品工艺木箱内定位存放。</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22</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雕刻章料</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25*25*50mm寿山石印章2枚、25*25*50mm点墨石印章2枚、20*20*50mm寿山石印章1枚、15*35*50mm点墨石印章1枚、30*30*50mm点墨石印章1枚、20*20*50mm点墨石印章1枚、寿山石随形印章1枚、青海石随形印章6枚、点墨石随形印章1枚，橡皮章2枚，雕刻木块若干，塑料工具盒</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23</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雕花凿套装</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规格：6件；刀头材质:合金；刀柄材质：木质。</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24</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雕刻材料包</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红花梨木簪料2支、红花梨梳子料1块、榉木镇尺料1付、榉木木勺料1块，椴木材质杯垫2块、桃核10个、橄榄核5个、20ml木蜡油1瓶、收纳盒1件，有雕刻图案均印制在木料上。</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25</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根雕工具套组</w:t>
            </w:r>
            <w:r/>
          </w:p>
        </w:tc>
        <w:tc>
          <w:tcPr>
            <w:tcW w:w="6555"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包含折叠锯1把长390mm齿距4.5mm切割口径50mm；专业果枝剪1把尺寸：205*47mm,刃口长55mm，刀片厚度3.4mm，刀口硬度HRC60净重200G；45＃钢斧（半开刃）1把长360mm净重500g，6*16排钢刷1把，木锉1把200㎜，8英寸，双色塑柄，柄长100㎜，且柄顶端有悬挂孔；气动打磨机1台125mm空载转速12000（rpm）工作压力0.6MP净重1.5（kg），盒装8件套木工雕花凿1套，全长16cm，6</w:t>
            </w:r>
            <w:r>
              <w:rPr>
                <w:rFonts w:hint="eastAsia" w:ascii="宋体" w:hAnsi="宋体" w:eastAsia="宋体" w:cs="宋体"/>
                <w:i w:val="0"/>
                <w:iCs w:val="0"/>
                <w:color w:val="auto"/>
                <w:sz w:val="21"/>
                <w:szCs w:val="21"/>
                <w:highlight w:val="none"/>
                <w:u w:val="none"/>
                <w:lang w:val="en-US" w:eastAsia="zh-CN" w:bidi="ar"/>
              </w:rPr>
              <w:t xml:space="preserve">5锰钢材质锻打，刃口淬火精磨，手柄采用榉木硬木手柄，柄长98mm，刀头包含平口刀、小弧圆口刀、大弧圆口刀、弯角刀、小弯圆弧刀，直小圆弧刀，V型刀，斜口刀；木工扁铲1把，铲体采用优质CR-V合金钢锻打，刃口淬火精磨，凿削锋利，手柄采用水曲柳或PVC包胶防震手柄，10mm、15mm开刀各1把已开刃，9寸50＃平刨1把长度：215MM单个净重：0.23KG，铝合金喷枪1把涂料喷出量400（ml/s）功率300重700g，吹风机额定电压220V，50Hz，防滑手套1副、聚碳酸脂防护眼睛1副、防护口罩1盒，工具箱1个</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26</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根雕体验材料</w:t>
            </w:r>
            <w:r/>
          </w:p>
        </w:tc>
        <w:tc>
          <w:tcPr>
            <w:tcW w:w="6555"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各类红木木料下脚料随机搭配组合，可以制作各类书签、发簪、吊坠、钥匙牌、耳坠、各类小牌牌、点缀部件、杯垫、小勺，包含但不限于小叶黄杨、大红酸枝、小叶紫檀、紫光檀、微凹黄檀、大叶紫檀、科檀，不少于6公斤。</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27</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剪纸工具</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美术教学用剪刀一件：无刃、圆头，总长度160mm，花边剪刀1件：刀头总长度60mm，直尺一件：30cm,切割垫板1块：A4幅面；笔刀一件：长140mm，笔刀刀片3件39mm，订书器1件，订型26/6、24/6；蛇形尺一件：长300mm，打孔器一件：手握式单孔打孔器，有纸屑收集装置，手握处防滑细纹，打孔直径6mm，美工刀一件：长160mm；中空吹塑定位包装。</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28</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剪纸工具</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1、A4橡胶切割垫板1张22度雕刻刀一把，带5片刀片。5色剪花纸各100张。电子图样内含3000多张图片的剪纸图样1套、磨刀石一块。剪刀一把、钢勺一把、图样半成品一套</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29</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剪纸专用剪刀</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规格：长12.7</w:t>
            </w:r>
            <w:r>
              <w:rPr>
                <w:rFonts w:hint="eastAsia" w:ascii="宋体" w:hAnsi="宋体" w:cs="宋体"/>
                <w:i w:val="0"/>
                <w:iCs w:val="0"/>
                <w:color w:val="auto"/>
                <w:sz w:val="21"/>
                <w:szCs w:val="21"/>
                <w:highlight w:val="none"/>
                <w:u w:val="none"/>
                <w:lang w:val="en-US" w:eastAsia="zh-CN" w:bidi="ar"/>
              </w:rPr>
              <w:t xml:space="preserve">cm</w:t>
            </w:r>
            <w:r>
              <w:rPr>
                <w:rFonts w:hint="eastAsia" w:ascii="宋体" w:hAnsi="宋体" w:eastAsia="宋体" w:cs="宋体"/>
                <w:i w:val="0"/>
                <w:iCs w:val="0"/>
                <w:color w:val="auto"/>
                <w:sz w:val="21"/>
                <w:szCs w:val="21"/>
                <w:highlight w:val="none"/>
                <w:u w:val="none"/>
                <w:lang w:val="en-US" w:eastAsia="zh-CN" w:bidi="ar"/>
              </w:rPr>
              <w:t xml:space="preserve">，宽7.3</w:t>
            </w:r>
            <w:r>
              <w:rPr>
                <w:rFonts w:hint="eastAsia" w:ascii="宋体" w:hAnsi="宋体" w:cs="宋体"/>
                <w:i w:val="0"/>
                <w:iCs w:val="0"/>
                <w:color w:val="auto"/>
                <w:sz w:val="21"/>
                <w:szCs w:val="21"/>
                <w:highlight w:val="none"/>
                <w:u w:val="none"/>
                <w:lang w:val="en-US" w:eastAsia="zh-CN" w:bidi="ar"/>
              </w:rPr>
              <w:t xml:space="preserve">cm</w:t>
            </w:r>
            <w:r>
              <w:rPr>
                <w:rFonts w:hint="eastAsia" w:ascii="宋体" w:hAnsi="宋体" w:eastAsia="宋体" w:cs="宋体"/>
                <w:i w:val="0"/>
                <w:iCs w:val="0"/>
                <w:color w:val="auto"/>
                <w:sz w:val="21"/>
                <w:szCs w:val="21"/>
                <w:highlight w:val="none"/>
                <w:u w:val="none"/>
                <w:lang w:val="en-US" w:eastAsia="zh-CN" w:bidi="ar"/>
              </w:rPr>
              <w:t xml:space="preserve">，黄色龙凤剪刀，3CR13不锈钢刀刃</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30</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剪纸教材</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剪纸制作与欣赏</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31</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红宣纸</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四尺红色宣纸，尺寸138*70cm，优质红宣纸，每刀100张，采用优质原浆，经传统手工工艺制作，纸质厚实，韧性好。</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刀</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32</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不锈钢夹子</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材质：不锈钢，长度不小于100mm。</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33</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剪纸耗材</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双面胶、胶水、透明胶、A4海绵纸1包、A4混色剪纸1袋。</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34</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硅胶板A3大小</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A3切割垫板，优质硅胶</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35</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瓦楞纸手工材料</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规格：50*70cm，10色10张，小眼睛一包，双面胶5瓶，白胶水一瓶，剪刀一把</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36</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衍纸工具</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5mm渐变长衍纸一套（540mm长*5mm宽；36色；共720条）（6包）；2.5mm混色长衍纸一套（540mm长*5mm宽；24色；共120条）（2包）；3、时尚衍纸笔1支；4、竹节衍纸笔针1支；5、白胶1瓶；6、不锈钢镊子1支；7、；8、第三代衍纸模板1块；9、2排凹凸器1支；10、彩色珠针1盘；11、带刻度小剪刀1把；12、第二代电动衍纸笔1支；13、彩色A4底卡纸230克一张；14、精品A4线稿图5张；15、彩色吊卡纸2张；16、人形曲归器1支；17、胶水盘1支；18、衍纸尺1把；纸盒包装</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37</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篆刻套装</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配置：1、钨钢篆刻刀8件套：合金钨钢头碳钢刀柄，总长145mm，并配置刀包；2、印床：实木小号印床，100*66*40mm，最大可夹50*50mm；3、磨刀器：木架磨刀器，牢固夹板、蝶形调节螺丝、凹槽设计、平衡滑轮；4、小号磨刀石；5、小号棕帚刷刷头宽度23mm；6、勾线笔1支。7、拓包：直径30mm，手工古法制作，外层采用绸布，细腻滑瞬。</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38</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展示画框</w:t>
            </w:r>
            <w:r/>
          </w:p>
        </w:tc>
        <w:tc>
          <w:tcPr>
            <w:tcW w:w="6555"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材质：原木色实木2K展示画框，线条流畅，自然纹理，表层为透明有机玻璃板，透明度高，耐用抗摔不易碎，环保E1背板，健康环保；</w:t>
            </w:r>
            <w:r/>
          </w:p>
          <w:p>
            <w:pPr>
              <w:numPr>
                <w:ilvl w:val="0"/>
                <w:numId w:val="0"/>
              </w:num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2.规格：53cm×76cm。</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39</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展示画框</w:t>
            </w:r>
            <w:r/>
          </w:p>
        </w:tc>
        <w:tc>
          <w:tcPr>
            <w:tcW w:w="6555" w:type="dxa"/>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材质：原木色实木4K展示画框，线条流畅，自然纹理，表层为透明有机玻璃板，透明度高，耐用抗摔不易碎，环保E1背板，健康环保；</w:t>
            </w:r>
            <w:r/>
          </w:p>
          <w:p>
            <w:pPr>
              <w:numPr>
                <w:ilvl w:val="0"/>
                <w:numId w:val="0"/>
              </w:num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2.规格：38cm×53cm</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40</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塑封机</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外形尺寸≥520*220*90mm，最大封塑宽度310mm，功率600W，最大塑封厚度1mm，可分阶段调节温度。</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41</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垃圾桶</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规格：不小于225*260mm材质：塑料</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42</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剪纸围裙</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咖啡色布料围裙尺寸高：75cm，裙上宽23cm，裙下宽65cmH型双肩背带围裙，上面采用橘色布条压边，围墙中间位置加装2个布兜，方便收纳，布兜上边橘色布条压边，包扣装饰美观大方，整体。套袖为咖啡色长；35CM直径20cm两头带松紧袖口。围裙套袖套装采用优质面料，全面透气，耐刮，耐磨，易清洗。</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43</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移动存储器</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接口规格参数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 3.0/3.1 Gen1：理论速率5Gbps，实际吞吐约400-450MB/s。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 3.1 Gen2：理论速率10Gbps，实际吞吐约900-1000MB/s。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 3.2 Gen2×2：理论速率20Gbps，实际吞吐可达2000MB/s。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接口类型：Type-A、Type-C、Micro-B，Type-C支持正反插拔。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尺寸规格：移动硬盘约100×70×10-25mm，U盘约50×20×10mm。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重量：移动硬盘150-300g，U盘10-30g。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工作环境：温度5-35°C，湿度20%-80%，抗震性1500G。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供电方式：USB总线供电5V，部分移动硬盘支持外接电源。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数据安全：支持硬件加密、密码保护、S.M.A.R.T.监控。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耐用性：MTBF（平均无故障时间）≥100万小时，TBW（总写入字节）80-800TB。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防护等级：IP54防水防尘，防摔抗震设计。</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44</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时钟</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计时精度：指针式每日误差≤±10秒，数字式每月误差≤±30秒，支持校时功能（手动/自动）。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动力类型：电池款（5号/7号电池，续航≥12个月）、插电款（220V，支持断电记忆），部分型号支持双供电模式。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运行噪音：≤10dB，静音扫秒机芯，避免滴答声干扰课堂教学。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表盘材质：PC耐力板（抗摔耐磨）、亚克力面板（透光性好），防反光处理，确保教室各个角落清晰可见。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边框材质：ABS环保塑料（轻便防磕碰）、铝合金边框（防锈耐用），边缘做圆角倒角处理（倒角半径≥5mm），防止学生划伤。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安全认证：通过GB 6675玩具安全标准，无尖锐边角，无毒无味，符合教室环境使用要求。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指针式：可选配夜光刻度/指针，满足阴天或昏暗教室使用；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数字式：支持日期/星期显示、闹铃提醒（可设置多组上下课铃声）、倒计时功能，部分智能款支持同步校园广播系统。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防水防尘：防护等级≥IP20，可应对教室日常粉笔灰、轻微水渍，延长使用寿命。</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45</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白板＋可移动升降支架</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1m*1.5M可移动白板，附支架</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46</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三角钢琴</w:t>
            </w:r>
            <w:r/>
          </w:p>
        </w:tc>
        <w:tc>
          <w:tcPr>
            <w:tcW w:w="6555"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尺寸≥</w:t>
            </w:r>
            <w:r>
              <w:rPr>
                <w:rFonts w:hint="eastAsia" w:ascii="宋体" w:hAnsi="宋体" w:eastAsia="宋体" w:cs="宋体"/>
                <w:i w:val="0"/>
                <w:iCs w:val="0"/>
                <w:color w:val="auto"/>
                <w:sz w:val="21"/>
                <w:szCs w:val="21"/>
                <w:highlight w:val="none"/>
                <w:u w:val="none"/>
                <w:lang w:val="en-US" w:eastAsia="zh-CN" w:bidi="ar"/>
              </w:rPr>
              <w:t xml:space="preserve">160*150*99cm</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音板：优质实木音板（不等厚加强型）</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铁板：传统沙铸铁板</w:t>
            </w:r>
            <w:r/>
          </w:p>
          <w:p>
            <w:pPr>
              <w:jc w:val="left"/>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琴弦：优质琴弦</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弦槌：优质毛毡</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弦码：弯压结构设计</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弦轴板：多层硬木交错拼接</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琴键：原木黑键（黑檀木质感），实木键板</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制音器：毛毡</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缓降器：内置键盖缓降</w:t>
            </w:r>
            <w:r/>
          </w:p>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涂饰：不饱和树脂环保漆，静电喷涂工艺</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b/>
                <w:bCs/>
                <w:color w:val="auto"/>
                <w:sz w:val="21"/>
                <w:szCs w:val="21"/>
                <w:highlight w:val="none"/>
                <w:vertAlign w:val="baseline"/>
                <w:lang w:val="en-US" w:eastAsia="zh-CN"/>
              </w:rPr>
            </w:pPr>
            <w:r>
              <w:rPr>
                <w:rFonts w:hint="eastAsia"/>
                <w:b/>
                <w:bCs/>
                <w:color w:val="auto"/>
                <w:sz w:val="21"/>
                <w:szCs w:val="21"/>
                <w:highlight w:val="none"/>
                <w:vertAlign w:val="baseline"/>
                <w:lang w:val="en-US" w:eastAsia="zh-CN"/>
              </w:rPr>
              <w:t xml:space="preserve">（五）</w:t>
            </w:r>
            <w:r/>
          </w:p>
        </w:tc>
        <w:tc>
          <w:tcPr>
            <w:gridSpan w:val="2"/>
            <w:tcW w:w="7785" w:type="dxa"/>
            <w:vAlign w:val="center"/>
            <w:textDirection w:val="lrTb"/>
            <w:noWrap w:val="false"/>
          </w:tcPr>
          <w:p>
            <w:pPr>
              <w:jc w:val="left"/>
              <w:widowControl w:val="off"/>
              <w:rPr>
                <w:rFonts w:hint="default"/>
                <w:color w:val="auto"/>
                <w:sz w:val="21"/>
                <w:szCs w:val="21"/>
                <w:highlight w:val="none"/>
                <w:vertAlign w:val="baseline"/>
                <w:lang w:val="en-US" w:eastAsia="zh-CN"/>
              </w:rPr>
            </w:pPr>
            <w:r>
              <w:rPr>
                <w:rFonts w:hint="eastAsia"/>
                <w:b/>
                <w:bCs/>
                <w:color w:val="auto"/>
                <w:sz w:val="21"/>
                <w:szCs w:val="21"/>
                <w:highlight w:val="none"/>
                <w:vertAlign w:val="baseline"/>
                <w:lang w:val="en-US" w:eastAsia="zh-CN"/>
              </w:rPr>
              <w:t xml:space="preserve">体育器材</w:t>
            </w:r>
            <w:r/>
          </w:p>
        </w:tc>
        <w:tc>
          <w:tcPr>
            <w:tcW w:w="660"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r>
            <w:r/>
          </w:p>
        </w:tc>
        <w:tc>
          <w:tcPr>
            <w:tcW w:w="772"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计时，24秒显示器</w:t>
            </w:r>
            <w:r/>
          </w:p>
        </w:tc>
        <w:tc>
          <w:tcPr>
            <w:tcW w:w="6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产品规格：695MM*580MM*80MM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产品信号：无线 （无线控制距离 100 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产品功率：单个显示屏：单面显示 60W</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产品电源：◊显示屏 AC~190-250V</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◊控制台 AC~110-250V 或充电宝（DC5V）供电</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1.全场时间、24 秒进攻时间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①分计时：能实现 0—99 分、0—59 秒和 1/10 秒任意调整，具有启动、暂停、复位功能。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②秒计时：能实现 0—99 秒任意调整，具有启动、暂停、复位、14 秒功能。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③报警：24 秒违例自动声、光报警、终场自动声响</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 特点</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1&gt;控制台液晶显示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2&gt;显示屏全场时间为 5 位，带有十分之一秒，并且十分之一秒可调。</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3&gt;24 秒倒计时 5 秒后精确至 1/10 秒</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3.进攻时间到零时显示屏部分能给出红色的报警信号。</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4.控制方面全场时间和进攻时间能够实现单独控制。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5.高刷芯片，拍摄不闪烁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产品安装：三脚架或安装篮球架</w:t>
            </w:r>
            <w:r/>
          </w:p>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默认配件：控制台*1、显示屏*2，三脚架*2</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884"/>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篮球发球权显示器</w:t>
            </w:r>
            <w:r/>
          </w:p>
        </w:tc>
        <w:tc>
          <w:tcPr>
            <w:tcW w:w="6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产品规格：350mm×200mm×50mm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供电方式： 220V</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整机功率 ：10W</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结构材质 ：全钣金机箱</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产品重量 ：2Kg</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产品功能：显示主队或客队得球后进攻的方向。</w:t>
            </w:r>
            <w:r/>
          </w:p>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控制方式：使用按钮控制/联动记分牌打分台控制</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篮球赛全队犯规显示器</w:t>
            </w:r>
            <w:r/>
          </w:p>
        </w:tc>
        <w:tc>
          <w:tcPr>
            <w:tcW w:w="6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产品规格：320MM*235mm*205mm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产品功能：全队犯规 1-9 任意设置，开机默认第 5 次满亮，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各队达到犯规次数后全屏满亮并闪烁三次进行光报警</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供电模式：显示屏 AC~190-250V</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默认配件：显示屏*2，控制台*1</w:t>
            </w:r>
            <w:r/>
          </w:p>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控制方式：使用操作台控制/联动记分牌打分台控制</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篮球赛记录员讯响器</w:t>
            </w:r>
            <w:r/>
          </w:p>
        </w:tc>
        <w:tc>
          <w:tcPr>
            <w:tcW w:w="6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产品规格：320×235×205 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产品功能：全队犯规 1-9 任意设置，开机默认第 5 次满亮，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各队达到犯规次数后全屏满亮并闪烁三次进行光报警</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供电模式：显示屏 AC~190-250V</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默认配件：显示屏*2，控制台*1</w:t>
            </w:r>
            <w:r/>
          </w:p>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控制方式：使用操作台控制/联动记分牌打分台控制</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5</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篮球队员犯规次数牌</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9支每套，纸箱，暂停/换人，总长340mm牌长240mm宽170mm，柄长100mm直径25mm</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6</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篮球赛记分器</w:t>
            </w:r>
            <w:r/>
          </w:p>
        </w:tc>
        <w:tc>
          <w:tcPr>
            <w:tcW w:w="6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1.篮球赛记分器为立式记分器，主要由支架、记分方框和记分牌组成，外形尺寸：长×宽×高≥1380×540×1630（mm）。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2.记分器下支架主要由口≥25×25的方管与φ≥32×2焊管拼焊而成，上支架主要由口≥25×25的方管和δ≥2铁板拼焊而成，队名牌为白色雪覆板。</w:t>
            </w:r>
            <w:r/>
          </w:p>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3．记分牌为手推式记分盒，采用PVC板制作。</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7</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篮球比赛电子计分牌(屏)</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电子计分器:产品尺寸：≥长180cm*宽90cm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通讯方式：控制台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产品功能：队名、比分、节数、24S计时、球权、比赛时间、暂停次数、犯规次数</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8</w:t>
            </w:r>
            <w:r/>
          </w:p>
        </w:tc>
        <w:tc>
          <w:tcPr>
            <w:tcW w:w="1230" w:type="dxa"/>
            <w:vAlign w:val="center"/>
            <w:textDirection w:val="lrTb"/>
            <w:noWrap w:val="false"/>
          </w:tcPr>
          <w:p>
            <w:pPr>
              <w:jc w:val="center"/>
              <w:keepLines w:val="0"/>
              <w:keepNext w:val="0"/>
              <w:widowControl/>
              <w:rPr>
                <w:rFonts w:hint="eastAsia"/>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高档篮球网</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篮网长400mm～450mm，网口直径450mm，网底直径350mm</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9</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双音哨</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不锈钢材质，双管</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10</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篮球分队服</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均码，红黄蓝绿4种颜色，带有号码1-30</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11</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篮球场专用平板拖把</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180cm,2块布</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12</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电缆线插线板</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电缆线长3米、带多种插口</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13</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排球网</w:t>
            </w:r>
            <w:r/>
          </w:p>
        </w:tc>
        <w:tc>
          <w:tcPr>
            <w:tcW w:w="6555" w:type="dxa"/>
            <w:vAlign w:val="center"/>
            <w:textDirection w:val="lrTb"/>
            <w:noWrap w:val="false"/>
          </w:tcPr>
          <w:p>
            <w:pPr>
              <w:jc w:val="both"/>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排球网长度9500mm～10000mm，宽度700mm±25mm</w:t>
            </w:r>
            <w:r/>
          </w:p>
        </w:tc>
        <w:tc>
          <w:tcPr>
            <w:tcW w:w="6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W w:w="77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14</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排球换人牌</w:t>
            </w:r>
            <w:r/>
          </w:p>
        </w:tc>
        <w:tc>
          <w:tcPr>
            <w:tcW w:w="6555" w:type="dxa"/>
            <w:vAlign w:val="center"/>
            <w:textDirection w:val="lrTb"/>
            <w:noWrap w:val="false"/>
          </w:tcPr>
          <w:p>
            <w:pPr>
              <w:jc w:val="both"/>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18支每套，纸箱，暂停/换人，总长340mm牌长240mm宽170mm，柄长100mm直径25mm</w:t>
            </w:r>
            <w:r/>
          </w:p>
        </w:tc>
        <w:tc>
          <w:tcPr>
            <w:tcW w:w="6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15</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排球示教图</w:t>
            </w:r>
            <w:r/>
          </w:p>
        </w:tc>
        <w:tc>
          <w:tcPr>
            <w:tcW w:w="6555" w:type="dxa"/>
            <w:vAlign w:val="center"/>
            <w:textDirection w:val="lrTb"/>
            <w:noWrap w:val="false"/>
          </w:tcPr>
          <w:p>
            <w:pPr>
              <w:jc w:val="both"/>
              <w:keepLines w:val="0"/>
              <w:keepNext w:val="0"/>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皮革材质，尺寸:53*31</w:t>
            </w:r>
            <w:r>
              <w:rPr>
                <w:rFonts w:hint="eastAsia" w:ascii="宋体" w:hAnsi="宋体" w:cs="宋体"/>
                <w:i w:val="0"/>
                <w:iCs w:val="0"/>
                <w:color w:val="auto"/>
                <w:sz w:val="21"/>
                <w:szCs w:val="21"/>
                <w:highlight w:val="none"/>
                <w:u w:val="none"/>
                <w:lang w:val="en-US" w:eastAsia="zh-CN" w:bidi="ar"/>
              </w:rPr>
              <w:t xml:space="preserve">cm</w:t>
            </w:r>
            <w:r/>
          </w:p>
        </w:tc>
        <w:tc>
          <w:tcPr>
            <w:tcW w:w="6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p>
        </w:tc>
        <w:tc>
          <w:tcPr>
            <w:tcW w:w="77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16</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排球标志杆</w:t>
            </w:r>
            <w:r/>
          </w:p>
        </w:tc>
        <w:tc>
          <w:tcPr>
            <w:tcW w:w="6555" w:type="dxa"/>
            <w:vAlign w:val="center"/>
            <w:textDirection w:val="lrTb"/>
            <w:noWrap w:val="false"/>
          </w:tcPr>
          <w:p>
            <w:pPr>
              <w:jc w:val="both"/>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玻璃钢材质，长1.8米，直径1厘米</w:t>
            </w:r>
            <w:r/>
          </w:p>
        </w:tc>
        <w:tc>
          <w:tcPr>
            <w:tcW w:w="6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W w:w="77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17</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排球网标志带</w:t>
            </w:r>
            <w:r/>
          </w:p>
        </w:tc>
        <w:tc>
          <w:tcPr>
            <w:tcW w:w="6555" w:type="dxa"/>
            <w:vAlign w:val="center"/>
            <w:textDirection w:val="lrTb"/>
            <w:noWrap w:val="false"/>
          </w:tcPr>
          <w:p>
            <w:pPr>
              <w:jc w:val="both"/>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长1米。宽5厘米</w:t>
            </w:r>
            <w:r/>
          </w:p>
        </w:tc>
        <w:tc>
          <w:tcPr>
            <w:tcW w:w="6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W w:w="77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18</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排球网高丈量尺</w:t>
            </w:r>
            <w:r/>
          </w:p>
        </w:tc>
        <w:tc>
          <w:tcPr>
            <w:tcW w:w="6555" w:type="dxa"/>
            <w:vAlign w:val="center"/>
            <w:textDirection w:val="lrTb"/>
            <w:noWrap w:val="false"/>
          </w:tcPr>
          <w:p>
            <w:pPr>
              <w:jc w:val="both"/>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铝合金材质，总长3米，可伸缩</w:t>
            </w:r>
            <w:r/>
          </w:p>
        </w:tc>
        <w:tc>
          <w:tcPr>
            <w:tcW w:w="6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tcW w:w="77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19</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排球示教板</w:t>
            </w:r>
            <w:r/>
          </w:p>
        </w:tc>
        <w:tc>
          <w:tcPr>
            <w:tcW w:w="6555" w:type="dxa"/>
            <w:vAlign w:val="center"/>
            <w:textDirection w:val="lrTb"/>
            <w:noWrap w:val="false"/>
          </w:tcPr>
          <w:p>
            <w:pPr>
              <w:jc w:val="both"/>
              <w:keepLines w:val="0"/>
              <w:keepNext w:val="0"/>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皮革材质，尺寸:53*31</w:t>
            </w:r>
            <w:r>
              <w:rPr>
                <w:rFonts w:hint="eastAsia" w:ascii="宋体" w:hAnsi="宋体" w:cs="宋体"/>
                <w:i w:val="0"/>
                <w:iCs w:val="0"/>
                <w:color w:val="auto"/>
                <w:sz w:val="21"/>
                <w:szCs w:val="21"/>
                <w:highlight w:val="none"/>
                <w:u w:val="none"/>
                <w:lang w:val="en-US" w:eastAsia="zh-CN" w:bidi="ar"/>
              </w:rPr>
              <w:t xml:space="preserve">cm</w:t>
            </w:r>
            <w:r/>
          </w:p>
        </w:tc>
        <w:tc>
          <w:tcPr>
            <w:tcW w:w="6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tcW w:w="77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20</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排球战术板</w:t>
            </w:r>
            <w:r/>
          </w:p>
        </w:tc>
        <w:tc>
          <w:tcPr>
            <w:tcW w:w="6555" w:type="dxa"/>
            <w:vAlign w:val="center"/>
            <w:textDirection w:val="lrTb"/>
            <w:noWrap w:val="false"/>
          </w:tcPr>
          <w:p>
            <w:pPr>
              <w:jc w:val="both"/>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皮革材质，尺寸:53*31</w:t>
            </w:r>
            <w:r>
              <w:rPr>
                <w:rFonts w:hint="eastAsia" w:ascii="宋体" w:hAnsi="宋体" w:cs="宋体"/>
                <w:i w:val="0"/>
                <w:iCs w:val="0"/>
                <w:color w:val="auto"/>
                <w:sz w:val="21"/>
                <w:szCs w:val="21"/>
                <w:highlight w:val="none"/>
                <w:u w:val="none"/>
                <w:lang w:val="en-US" w:eastAsia="zh-CN" w:bidi="ar"/>
              </w:rPr>
              <w:t xml:space="preserve">cm</w:t>
            </w:r>
            <w:r/>
          </w:p>
        </w:tc>
        <w:tc>
          <w:tcPr>
            <w:tcW w:w="6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7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21</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室外乒乓球桌</w:t>
            </w:r>
            <w:r/>
          </w:p>
        </w:tc>
        <w:tc>
          <w:tcPr>
            <w:tcW w:w="6555" w:type="dxa"/>
            <w:vAlign w:val="center"/>
            <w:textDirection w:val="lrTb"/>
            <w:noWrap w:val="false"/>
          </w:tcPr>
          <w:p>
            <w:pPr>
              <w:jc w:val="both"/>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球台长度2740mm；宽度1525mm；高度760mm</w:t>
            </w:r>
            <w:r/>
          </w:p>
        </w:tc>
        <w:tc>
          <w:tcPr>
            <w:tcW w:w="6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7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22</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乒乓球拍</w:t>
            </w:r>
            <w:r/>
          </w:p>
        </w:tc>
        <w:tc>
          <w:tcPr>
            <w:tcW w:w="6555" w:type="dxa"/>
            <w:vAlign w:val="center"/>
            <w:textDirection w:val="lrTb"/>
            <w:noWrap w:val="false"/>
          </w:tcPr>
          <w:p>
            <w:pPr>
              <w:jc w:val="both"/>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横拍、双面贴反面套胶</w:t>
            </w:r>
            <w:r/>
          </w:p>
        </w:tc>
        <w:tc>
          <w:tcPr>
            <w:tcW w:w="6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W w:w="77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23</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羽毛球</w:t>
            </w:r>
            <w:r/>
          </w:p>
        </w:tc>
        <w:tc>
          <w:tcPr>
            <w:tcW w:w="6555" w:type="dxa"/>
            <w:vAlign w:val="center"/>
            <w:textDirection w:val="lrTb"/>
            <w:noWrap w:val="false"/>
          </w:tcPr>
          <w:p>
            <w:pPr>
              <w:jc w:val="both"/>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尼龙羽毛球</w:t>
            </w:r>
            <w:r/>
          </w:p>
        </w:tc>
        <w:tc>
          <w:tcPr>
            <w:tcW w:w="6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桶</w:t>
            </w:r>
            <w:r/>
          </w:p>
        </w:tc>
        <w:tc>
          <w:tcPr>
            <w:tcW w:w="77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24</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金黄1号羽毛球</w:t>
            </w:r>
            <w:r/>
          </w:p>
        </w:tc>
        <w:tc>
          <w:tcPr>
            <w:tcW w:w="6555" w:type="dxa"/>
            <w:vAlign w:val="center"/>
            <w:textDirection w:val="lrTb"/>
            <w:noWrap w:val="false"/>
          </w:tcPr>
          <w:p>
            <w:pPr>
              <w:jc w:val="both"/>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专业级、复合软木</w:t>
            </w:r>
            <w:r/>
          </w:p>
        </w:tc>
        <w:tc>
          <w:tcPr>
            <w:tcW w:w="6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桶</w:t>
            </w:r>
            <w:r/>
          </w:p>
        </w:tc>
        <w:tc>
          <w:tcPr>
            <w:tcW w:w="77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25</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接力棒</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卷边，直径3.8cm，铝合金电镀</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26</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测量卷尺</w:t>
            </w:r>
            <w:r/>
          </w:p>
        </w:tc>
        <w:tc>
          <w:tcPr>
            <w:tcW w:w="6555" w:type="dxa"/>
            <w:vAlign w:val="center"/>
            <w:textDirection w:val="lrTb"/>
            <w:noWrap w:val="false"/>
          </w:tcPr>
          <w:p>
            <w:pPr>
              <w:jc w:val="left"/>
              <w:keepLines w:val="0"/>
              <w:keepNext w:val="0"/>
              <w:widowControl/>
              <w:rPr>
                <w:rFonts w:hint="default"/>
                <w:color w:val="auto"/>
                <w:sz w:val="21"/>
                <w:szCs w:val="21"/>
                <w:highlight w:val="none"/>
                <w:vertAlign w:val="baseline"/>
                <w:lang w:val="en-US" w:eastAsia="zh-CN"/>
              </w:rPr>
              <w:suppressLineNumbers w:val="0"/>
            </w:pPr>
            <w:r>
              <w:rPr>
                <w:rStyle w:val="998"/>
                <w:color w:val="auto"/>
                <w:sz w:val="21"/>
                <w:szCs w:val="21"/>
                <w:highlight w:val="none"/>
                <w:lang w:val="en-US" w:eastAsia="zh-CN" w:bidi="ar"/>
              </w:rPr>
              <w:t xml:space="preserve">100米</w:t>
            </w:r>
            <w:r>
              <w:rPr>
                <w:rStyle w:val="999"/>
                <w:color w:val="auto"/>
                <w:sz w:val="21"/>
                <w:szCs w:val="21"/>
                <w:highlight w:val="none"/>
                <w:lang w:val="en-US" w:eastAsia="zh-CN" w:bidi="ar"/>
              </w:rPr>
              <w:t xml:space="preserve">钢尺</w:t>
            </w:r>
            <w:r/>
          </w:p>
        </w:tc>
        <w:tc>
          <w:tcPr>
            <w:tcW w:w="660"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W w:w="772" w:type="dxa"/>
            <w:vAlign w:val="center"/>
            <w:textDirection w:val="lrTb"/>
            <w:noWrap w:val="false"/>
          </w:tcPr>
          <w:p>
            <w:pPr>
              <w:jc w:val="center"/>
              <w:keepLines w:val="0"/>
              <w:keepNext w:val="0"/>
              <w:widowControl/>
              <w:rPr>
                <w:rFonts w:hint="default"/>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c>
          <w:tcPr>
            <w:tcW w:w="765" w:type="dxa"/>
            <w:vAlign w:val="center"/>
            <w:textDirection w:val="lrTb"/>
            <w:noWrap w:val="false"/>
          </w:tcPr>
          <w:p>
            <w:pPr>
              <w:jc w:val="center"/>
              <w:widowControl w:val="off"/>
              <w:rPr>
                <w:rFonts w:hint="eastAsia"/>
                <w:b/>
                <w:bCs/>
                <w:color w:val="auto"/>
                <w:sz w:val="21"/>
                <w:szCs w:val="21"/>
                <w:highlight w:val="none"/>
                <w:vertAlign w:val="baseline"/>
                <w:lang w:val="en-US" w:eastAsia="zh-CN"/>
              </w:rPr>
            </w:pPr>
            <w:r>
              <w:rPr>
                <w:rFonts w:hint="eastAsia"/>
                <w:b/>
                <w:bCs/>
                <w:color w:val="auto"/>
                <w:sz w:val="21"/>
                <w:szCs w:val="21"/>
                <w:highlight w:val="none"/>
                <w:vertAlign w:val="baseline"/>
                <w:lang w:val="en-US" w:eastAsia="zh-CN"/>
              </w:rPr>
              <w:t xml:space="preserve">（六）</w:t>
            </w:r>
            <w:r/>
          </w:p>
        </w:tc>
        <w:tc>
          <w:tcPr>
            <w:gridSpan w:val="2"/>
            <w:tcW w:w="7785" w:type="dxa"/>
            <w:vAlign w:val="center"/>
            <w:textDirection w:val="lrTb"/>
            <w:noWrap w:val="false"/>
          </w:tcPr>
          <w:p>
            <w:pPr>
              <w:jc w:val="left"/>
              <w:widowControl w:val="off"/>
              <w:rPr>
                <w:rFonts w:hint="default"/>
                <w:color w:val="auto"/>
                <w:sz w:val="21"/>
                <w:szCs w:val="21"/>
                <w:highlight w:val="none"/>
                <w:vertAlign w:val="baseline"/>
                <w:lang w:val="en-US" w:eastAsia="zh-CN"/>
              </w:rPr>
            </w:pPr>
            <w:r>
              <w:rPr>
                <w:rFonts w:hint="eastAsia" w:ascii="宋体" w:hAnsi="宋体" w:cs="宋体"/>
                <w:b/>
                <w:bCs/>
                <w:i w:val="0"/>
                <w:iCs w:val="0"/>
                <w:color w:val="auto"/>
                <w:sz w:val="21"/>
                <w:szCs w:val="21"/>
                <w:highlight w:val="none"/>
                <w:u w:val="none"/>
                <w:lang w:val="en-US" w:eastAsia="zh-CN" w:bidi="ar"/>
              </w:rPr>
              <w:t xml:space="preserve">其他</w:t>
            </w:r>
            <w:r/>
          </w:p>
        </w:tc>
        <w:tc>
          <w:tcPr>
            <w:tcW w:w="660"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r>
            <w:r/>
          </w:p>
        </w:tc>
        <w:tc>
          <w:tcPr>
            <w:tcW w:w="772"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微型消防站</w:t>
            </w:r>
            <w:r/>
          </w:p>
        </w:tc>
        <w:tc>
          <w:tcPr>
            <w:tcW w:w="6555" w:type="dxa"/>
            <w:vAlign w:val="center"/>
            <w:textDirection w:val="lrTb"/>
            <w:noWrap w:val="false"/>
          </w:tcPr>
          <w:p>
            <w:pPr>
              <w:jc w:val="left"/>
              <w:widowControl w:val="off"/>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 xml:space="preserve">1200*900mm</w:t>
            </w:r>
            <w:r/>
          </w:p>
        </w:tc>
        <w:tc>
          <w:tcPr>
            <w:tcW w:w="660"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套</w:t>
            </w:r>
            <w:r/>
          </w:p>
        </w:tc>
        <w:tc>
          <w:tcPr>
            <w:tcW w:w="772"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时钟</w:t>
            </w:r>
            <w:r/>
          </w:p>
        </w:tc>
        <w:tc>
          <w:tcPr>
            <w:tcW w:w="6555" w:type="dxa"/>
            <w:vAlign w:val="center"/>
            <w:textDirection w:val="lrTb"/>
            <w:noWrap w:val="false"/>
          </w:tcPr>
          <w:p>
            <w:pPr>
              <w:jc w:val="left"/>
              <w:widowControl w:val="off"/>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 xml:space="preserve">30cm，静音石英钟</w:t>
            </w:r>
            <w:r/>
          </w:p>
        </w:tc>
        <w:tc>
          <w:tcPr>
            <w:tcW w:w="660"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只</w:t>
            </w:r>
            <w:r/>
          </w:p>
        </w:tc>
        <w:tc>
          <w:tcPr>
            <w:tcW w:w="772"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28</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洗衣机</w:t>
            </w:r>
            <w:r/>
          </w:p>
        </w:tc>
        <w:tc>
          <w:tcPr>
            <w:tcW w:w="6555" w:type="dxa"/>
            <w:vAlign w:val="center"/>
            <w:textDirection w:val="lrTb"/>
            <w:noWrap w:val="false"/>
          </w:tcPr>
          <w:p>
            <w:pPr>
              <w:jc w:val="left"/>
              <w:widowControl w:val="off"/>
              <w:rPr>
                <w:color w:val="auto"/>
                <w:sz w:val="21"/>
                <w:szCs w:val="21"/>
                <w:highlight w:val="none"/>
                <w:lang w:eastAsia="zh-CN"/>
              </w:rPr>
            </w:pPr>
            <w:r>
              <w:rPr>
                <w:color w:val="auto"/>
                <w:sz w:val="21"/>
                <w:szCs w:val="21"/>
                <w:highlight w:val="none"/>
                <w:lang w:eastAsia="zh-CN"/>
              </w:rPr>
              <w:t xml:space="preserve">一、基础规格</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b w:val="0"/>
                <w:bCs w:val="0"/>
                <w:color w:val="auto"/>
                <w:sz w:val="21"/>
                <w:szCs w:val="21"/>
                <w:highlight w:val="none"/>
                <w:lang w:eastAsia="zh-CN"/>
              </w:rPr>
              <w:t xml:space="preserve">额定洗涤容量</w:t>
            </w:r>
            <w:r>
              <w:rPr>
                <w:color w:val="auto"/>
                <w:sz w:val="21"/>
                <w:szCs w:val="21"/>
                <w:highlight w:val="none"/>
                <w:lang w:eastAsia="zh-CN"/>
              </w:rPr>
              <w:t xml:space="preserve">：10kg</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b w:val="0"/>
                <w:bCs w:val="0"/>
                <w:color w:val="auto"/>
                <w:sz w:val="21"/>
                <w:szCs w:val="21"/>
                <w:highlight w:val="none"/>
                <w:lang w:eastAsia="zh-CN"/>
              </w:rPr>
              <w:t xml:space="preserve">脱水容量</w:t>
            </w:r>
            <w:r>
              <w:rPr>
                <w:color w:val="auto"/>
                <w:sz w:val="21"/>
                <w:szCs w:val="21"/>
                <w:highlight w:val="none"/>
                <w:lang w:eastAsia="zh-CN"/>
              </w:rPr>
              <w:t xml:space="preserve">：10kg</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b w:val="0"/>
                <w:bCs w:val="0"/>
                <w:color w:val="auto"/>
                <w:sz w:val="21"/>
                <w:szCs w:val="21"/>
                <w:highlight w:val="none"/>
                <w:lang w:eastAsia="zh-CN"/>
              </w:rPr>
              <w:t xml:space="preserve">机身类型</w:t>
            </w:r>
            <w:r>
              <w:rPr>
                <w:color w:val="auto"/>
                <w:sz w:val="21"/>
                <w:szCs w:val="21"/>
                <w:highlight w:val="none"/>
                <w:lang w:eastAsia="zh-CN"/>
              </w:rPr>
              <w:t xml:space="preserve">：滚筒全自动</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b w:val="0"/>
                <w:bCs w:val="0"/>
                <w:color w:val="auto"/>
                <w:sz w:val="21"/>
                <w:szCs w:val="21"/>
                <w:highlight w:val="none"/>
                <w:lang w:eastAsia="zh-CN"/>
              </w:rPr>
              <w:t xml:space="preserve">额定电压频率</w:t>
            </w:r>
            <w:r>
              <w:rPr>
                <w:color w:val="auto"/>
                <w:sz w:val="21"/>
                <w:szCs w:val="21"/>
                <w:highlight w:val="none"/>
                <w:lang w:eastAsia="zh-CN"/>
              </w:rPr>
              <w:t xml:space="preserve">：220V~50Hz</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b w:val="0"/>
                <w:bCs w:val="0"/>
                <w:color w:val="auto"/>
                <w:sz w:val="21"/>
                <w:szCs w:val="21"/>
                <w:highlight w:val="none"/>
                <w:lang w:eastAsia="zh-CN"/>
              </w:rPr>
              <w:t xml:space="preserve">额定输入功率</w:t>
            </w:r>
            <w:r>
              <w:rPr>
                <w:color w:val="auto"/>
                <w:sz w:val="21"/>
                <w:szCs w:val="21"/>
                <w:highlight w:val="none"/>
                <w:lang w:eastAsia="zh-CN"/>
              </w:rPr>
              <w:t xml:space="preserve">：洗涤≤400W，脱水≤550W</w:t>
            </w:r>
            <w:r/>
          </w:p>
          <w:p>
            <w:pPr>
              <w:jc w:val="left"/>
              <w:widowControl w:val="off"/>
              <w:rPr>
                <w:color w:val="auto"/>
                <w:sz w:val="21"/>
                <w:szCs w:val="21"/>
                <w:highlight w:val="none"/>
                <w:lang w:eastAsia="zh-CN"/>
              </w:rPr>
            </w:pPr>
            <w:r>
              <w:rPr>
                <w:color w:val="auto"/>
                <w:sz w:val="21"/>
                <w:szCs w:val="21"/>
                <w:highlight w:val="none"/>
                <w:lang w:eastAsia="zh-CN"/>
              </w:rPr>
              <w:t xml:space="preserve">二、洗净脱水参数</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b w:val="0"/>
                <w:bCs w:val="0"/>
                <w:color w:val="auto"/>
                <w:sz w:val="21"/>
                <w:szCs w:val="21"/>
                <w:highlight w:val="none"/>
                <w:lang w:eastAsia="zh-CN"/>
              </w:rPr>
              <w:t xml:space="preserve">洗净比</w:t>
            </w:r>
            <w:r>
              <w:rPr>
                <w:color w:val="auto"/>
                <w:sz w:val="21"/>
                <w:szCs w:val="21"/>
                <w:highlight w:val="none"/>
                <w:lang w:eastAsia="zh-CN"/>
              </w:rPr>
              <w:t xml:space="preserve">：≥1.03</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b w:val="0"/>
                <w:bCs w:val="0"/>
                <w:color w:val="auto"/>
                <w:sz w:val="21"/>
                <w:szCs w:val="21"/>
                <w:highlight w:val="none"/>
                <w:lang w:eastAsia="zh-CN"/>
              </w:rPr>
              <w:t xml:space="preserve">最高脱水转速</w:t>
            </w:r>
            <w:r>
              <w:rPr>
                <w:color w:val="auto"/>
                <w:sz w:val="21"/>
                <w:szCs w:val="21"/>
                <w:highlight w:val="none"/>
                <w:lang w:eastAsia="zh-CN"/>
              </w:rPr>
              <w:t xml:space="preserve">：≥1400 转 / 分钟</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b w:val="0"/>
                <w:bCs w:val="0"/>
                <w:color w:val="auto"/>
                <w:sz w:val="21"/>
                <w:szCs w:val="21"/>
                <w:highlight w:val="none"/>
                <w:lang w:eastAsia="zh-CN"/>
              </w:rPr>
              <w:t xml:space="preserve">噪音值</w:t>
            </w:r>
            <w:r>
              <w:rPr>
                <w:color w:val="auto"/>
                <w:sz w:val="21"/>
                <w:szCs w:val="21"/>
                <w:highlight w:val="none"/>
                <w:lang w:eastAsia="zh-CN"/>
              </w:rPr>
              <w:t xml:space="preserve">：洗涤≤52dB，脱水≤68dB</w:t>
            </w:r>
            <w:r/>
          </w:p>
          <w:p>
            <w:pPr>
              <w:jc w:val="left"/>
              <w:widowControl w:val="off"/>
              <w:rPr>
                <w:color w:val="auto"/>
                <w:sz w:val="21"/>
                <w:szCs w:val="21"/>
                <w:highlight w:val="none"/>
                <w:lang w:eastAsia="zh-CN"/>
              </w:rPr>
            </w:pPr>
            <w:r>
              <w:rPr>
                <w:color w:val="auto"/>
                <w:sz w:val="21"/>
                <w:szCs w:val="21"/>
                <w:highlight w:val="none"/>
                <w:lang w:eastAsia="zh-CN"/>
              </w:rPr>
              <w:t xml:space="preserve">三、核心洗涤功能</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color w:val="auto"/>
                <w:sz w:val="21"/>
                <w:szCs w:val="21"/>
                <w:highlight w:val="none"/>
                <w:lang w:eastAsia="zh-CN"/>
              </w:rPr>
              <w:t xml:space="preserve">标准洗、快速洗、强力洗、羊毛洗、羽绒洗、内衣洗、童装洗</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color w:val="auto"/>
                <w:sz w:val="21"/>
                <w:szCs w:val="21"/>
                <w:highlight w:val="none"/>
                <w:lang w:eastAsia="zh-CN"/>
              </w:rPr>
              <w:t xml:space="preserve">高温除菌洗、除螨洗、筒自洁、单脱水、单漂洗、浸泡洗</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color w:val="auto"/>
                <w:sz w:val="21"/>
                <w:szCs w:val="21"/>
                <w:highlight w:val="none"/>
                <w:lang w:eastAsia="zh-CN"/>
              </w:rPr>
              <w:t xml:space="preserve">预约洗衣、童锁、断电记忆</w:t>
            </w:r>
            <w:r/>
          </w:p>
          <w:p>
            <w:pPr>
              <w:jc w:val="left"/>
              <w:widowControl w:val="off"/>
              <w:rPr>
                <w:color w:val="auto"/>
                <w:sz w:val="21"/>
                <w:szCs w:val="21"/>
                <w:highlight w:val="none"/>
                <w:lang w:eastAsia="zh-CN"/>
              </w:rPr>
            </w:pPr>
            <w:r>
              <w:rPr>
                <w:color w:val="auto"/>
                <w:sz w:val="21"/>
                <w:szCs w:val="21"/>
                <w:highlight w:val="none"/>
                <w:lang w:eastAsia="zh-CN"/>
              </w:rPr>
              <w:t xml:space="preserve">四、智能与附加功能</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color w:val="auto"/>
                <w:sz w:val="21"/>
                <w:szCs w:val="21"/>
                <w:highlight w:val="none"/>
                <w:lang w:eastAsia="zh-CN"/>
              </w:rPr>
              <w:t xml:space="preserve">进水不平衡自动调整、过载保护</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color w:val="auto"/>
                <w:sz w:val="21"/>
                <w:szCs w:val="21"/>
                <w:highlight w:val="none"/>
                <w:lang w:eastAsia="zh-CN"/>
              </w:rPr>
              <w:t xml:space="preserve">高温加热洗涤：最高水温≥90℃</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color w:val="auto"/>
                <w:sz w:val="21"/>
                <w:szCs w:val="21"/>
                <w:highlight w:val="none"/>
                <w:lang w:eastAsia="zh-CN"/>
              </w:rPr>
              <w:t xml:space="preserve">智能模糊称重，自动适配水量</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color w:val="auto"/>
                <w:sz w:val="21"/>
                <w:szCs w:val="21"/>
                <w:highlight w:val="none"/>
                <w:lang w:eastAsia="zh-CN"/>
              </w:rPr>
              <w:t xml:space="preserve">防缠绕、减震静音设计</w:t>
            </w:r>
            <w:r/>
          </w:p>
          <w:p>
            <w:pPr>
              <w:numPr>
                <w:ilvl w:val="-1"/>
                <w:numId w:val="0"/>
              </w:numPr>
              <w:ind w:left="0" w:right="0" w:firstLine="0"/>
              <w:jc w:val="left"/>
              <w:keepLines w:val="0"/>
              <w:keepNext w:val="0"/>
              <w:spacing w:before="0" w:beforeAutospacing="0" w:after="0" w:afterAutospacing="0" w:line="240" w:lineRule="auto"/>
              <w:widowControl w:val="off"/>
              <w:rPr>
                <w:color w:val="auto"/>
                <w:sz w:val="21"/>
                <w:szCs w:val="21"/>
                <w:highlight w:val="none"/>
              </w:rPr>
              <w:pBdr>
                <w:top w:val="none" w:color="auto" w:sz="0" w:space="0"/>
                <w:left w:val="none" w:color="auto" w:sz="0" w:space="0"/>
                <w:bottom w:val="none" w:color="auto" w:sz="0" w:space="0"/>
                <w:right w:val="none" w:color="auto" w:sz="0" w:space="0"/>
              </w:pBdr>
              <w:suppressLineNumbers w:val="0"/>
            </w:pPr>
            <w:r>
              <w:rPr>
                <w:color w:val="auto"/>
                <w:sz w:val="21"/>
                <w:szCs w:val="21"/>
                <w:highlight w:val="none"/>
                <w:lang w:eastAsia="zh-CN"/>
              </w:rPr>
              <w:t xml:space="preserve">排水方式：上排水 / 下排水可选</w:t>
            </w:r>
            <w:r/>
          </w:p>
          <w:p>
            <w:pPr>
              <w:pStyle w:val="795"/>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五、产品能效</w:t>
            </w:r>
            <w:r/>
          </w:p>
          <w:p>
            <w:pPr>
              <w:pStyle w:val="795"/>
              <w:widowControl w:val="off"/>
              <w:rPr>
                <w:rFonts w:hint="default"/>
                <w:color w:val="auto"/>
                <w:sz w:val="21"/>
                <w:szCs w:val="21"/>
                <w:highlight w:val="none"/>
                <w:vertAlign w:val="baseline"/>
                <w:lang w:val="en-US" w:eastAsia="zh-CN"/>
              </w:rPr>
            </w:pPr>
            <w:r>
              <w:rPr>
                <w:rFonts w:hint="eastAsia"/>
                <w:color w:val="auto"/>
                <w:sz w:val="21"/>
                <w:szCs w:val="21"/>
                <w:highlight w:val="none"/>
                <w:lang w:val="en-US" w:eastAsia="zh-CN"/>
              </w:rPr>
              <w:t xml:space="preserve">一级</w:t>
            </w:r>
            <w:r/>
          </w:p>
        </w:tc>
        <w:tc>
          <w:tcPr>
            <w:tcW w:w="660"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台</w:t>
            </w:r>
            <w:r/>
          </w:p>
        </w:tc>
        <w:tc>
          <w:tcPr>
            <w:tcW w:w="772"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除湿器</w:t>
            </w:r>
            <w:r/>
          </w:p>
        </w:tc>
        <w:tc>
          <w:tcPr>
            <w:tcW w:w="6555" w:type="dxa"/>
            <w:vAlign w:val="center"/>
            <w:textDirection w:val="lrTb"/>
            <w:noWrap w:val="false"/>
          </w:tcPr>
          <w:p>
            <w:pPr>
              <w:jc w:val="left"/>
              <w:widowControl w:val="off"/>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 xml:space="preserve">除湿机/抽湿机 适用300-500平方米 别墅地下室工业商用仓库16A大功率除湿器</w:t>
            </w:r>
            <w:r/>
          </w:p>
        </w:tc>
        <w:tc>
          <w:tcPr>
            <w:tcW w:w="660"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台</w:t>
            </w:r>
            <w:r/>
          </w:p>
        </w:tc>
        <w:tc>
          <w:tcPr>
            <w:tcW w:w="772"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5</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校时服务器（时间服务器）</w:t>
            </w:r>
            <w:r/>
          </w:p>
        </w:tc>
        <w:tc>
          <w:tcPr>
            <w:tcW w:w="6555" w:type="dxa"/>
            <w:vAlign w:val="center"/>
            <w:textDirection w:val="lrTb"/>
            <w:noWrap w:val="false"/>
          </w:tcPr>
          <w:p>
            <w:pPr>
              <w:jc w:val="left"/>
              <w:widowControl w:val="off"/>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 xml:space="preserve">MORLINK 授时校时北斗双模GPS时间同步PTP时钟NTP服务器IEEE1588 【标准款】支持多模卫星+4G网络 2个独立网口</w:t>
            </w:r>
            <w:r/>
          </w:p>
        </w:tc>
        <w:tc>
          <w:tcPr>
            <w:tcW w:w="660"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台</w:t>
            </w:r>
            <w:r/>
          </w:p>
        </w:tc>
        <w:tc>
          <w:tcPr>
            <w:tcW w:w="772"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6</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无线话筒麦克风一拖二</w:t>
            </w:r>
            <w:r/>
          </w:p>
        </w:tc>
        <w:tc>
          <w:tcPr>
            <w:shd w:val="clear" w:color="auto" w:fill="auto"/>
            <w:tcW w:w="655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1.2通道接收、采用UHF频段、PLL数字频率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2.200组可选频点、手咪通用，抗干扰能力强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3.发射LCD显示频道和电池电量，电池低压闪烁至0.5V自动关机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4.接收各通道LCD分别显示：频率频道、射频强度、天线内部分极、及菜单内各指标调节内容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5.发射器分两级功率调节，低功率30米、高功率80米（空旷地区）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.具有一键自动搜空闲频点功能、一键锁定频率功能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8.任意选配手持、头戴、领夹、鹅颈</w:t>
            </w:r>
            <w:r/>
          </w:p>
        </w:tc>
        <w:tc>
          <w:tcPr>
            <w:tcW w:w="660"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套</w:t>
            </w:r>
            <w:r/>
          </w:p>
        </w:tc>
        <w:tc>
          <w:tcPr>
            <w:tcW w:w="772"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6</w:t>
            </w:r>
            <w:r/>
          </w:p>
        </w:tc>
      </w:tr>
      <w:tr>
        <w:trPr/>
        <w:tc>
          <w:tcPr>
            <w:tcW w:w="765"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7</w:t>
            </w:r>
            <w:r/>
          </w:p>
        </w:tc>
        <w:tc>
          <w:tcPr>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行知楼和教师发展中心窗帘</w:t>
            </w:r>
            <w:r/>
          </w:p>
        </w:tc>
        <w:tc>
          <w:tcPr>
            <w:tcW w:w="6555" w:type="dxa"/>
            <w:vAlign w:val="center"/>
            <w:textDirection w:val="lrTb"/>
            <w:noWrap w:val="false"/>
          </w:tcPr>
          <w:p>
            <w:pPr>
              <w:jc w:val="left"/>
              <w:widowControl w:val="off"/>
              <w:rPr>
                <w:rFonts w:hint="default" w:eastAsia="宋体"/>
                <w:color w:val="auto"/>
                <w:sz w:val="21"/>
                <w:szCs w:val="21"/>
                <w:highlight w:val="none"/>
                <w:vertAlign w:val="baseline"/>
                <w:lang w:val="en-US" w:eastAsia="zh-CN"/>
              </w:rPr>
            </w:pPr>
            <w:r>
              <w:rPr>
                <w:rFonts w:hint="eastAsia" w:ascii="宋体" w:hAnsi="宋体" w:cs="宋体"/>
                <w:color w:val="auto"/>
                <w:sz w:val="21"/>
                <w:szCs w:val="21"/>
                <w:highlight w:val="none"/>
                <w:lang w:val="en-US" w:eastAsia="zh-CN"/>
              </w:rPr>
              <w:t xml:space="preserve">布艺，采用棉麻遮光布，</w:t>
            </w:r>
            <w:r>
              <w:rPr>
                <w:rFonts w:hint="default" w:ascii="宋体" w:hAnsi="宋体" w:cs="宋体"/>
                <w:color w:val="auto"/>
                <w:sz w:val="21"/>
                <w:szCs w:val="21"/>
                <w:highlight w:val="none"/>
                <w:lang w:val="en-US" w:eastAsia="zh-CN"/>
              </w:rPr>
              <w:t xml:space="preserve">静音轨道</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含配件</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样式以甲方确认为准。</w:t>
            </w:r>
            <w:r/>
          </w:p>
        </w:tc>
        <w:tc>
          <w:tcPr>
            <w:tcW w:w="660"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w:t>
            </w:r>
            <w:r/>
          </w:p>
        </w:tc>
        <w:tc>
          <w:tcPr>
            <w:tcW w:w="772" w:type="dxa"/>
            <w:vAlign w:val="center"/>
            <w:textDirection w:val="lrTb"/>
            <w:noWrap w:val="false"/>
          </w:tcPr>
          <w:p>
            <w:pPr>
              <w:jc w:val="center"/>
              <w:widowControl w:val="off"/>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2000</w:t>
            </w:r>
            <w:r/>
          </w:p>
        </w:tc>
      </w:tr>
    </w:tbl>
    <w:p>
      <w:pPr>
        <w:rPr>
          <w:rFonts w:hint="default"/>
          <w:color w:val="auto"/>
          <w:highlight w:val="none"/>
          <w:lang w:val="en-US" w:eastAsia="zh-CN"/>
        </w:rPr>
      </w:pPr>
      <w:r>
        <w:rPr>
          <w:rFonts w:hint="default"/>
          <w:color w:val="auto"/>
          <w:highlight w:val="none"/>
          <w:lang w:val="en-US" w:eastAsia="zh-CN"/>
        </w:rPr>
      </w:r>
      <w:r/>
    </w:p>
    <w:p>
      <w:pPr>
        <w:rPr>
          <w:rFonts w:hint="eastAsia" w:ascii="宋体" w:hAnsi="宋体" w:eastAsia="宋体" w:cs="宋体"/>
          <w:b/>
          <w:bCs w:val="0"/>
          <w:iCs/>
          <w:color w:val="auto"/>
          <w:szCs w:val="21"/>
          <w:highlight w:val="none"/>
          <w:lang w:eastAsia="zh-CN"/>
        </w:rPr>
      </w:pPr>
      <w:r>
        <w:rPr>
          <w:rFonts w:hint="eastAsia" w:ascii="宋体" w:hAnsi="宋体" w:eastAsia="宋体" w:cs="宋体"/>
          <w:b/>
          <w:bCs w:val="0"/>
          <w:iCs/>
          <w:color w:val="auto"/>
          <w:szCs w:val="21"/>
          <w:highlight w:val="none"/>
          <w:lang w:eastAsia="zh-CN"/>
        </w:rPr>
      </w:r>
      <w:r/>
    </w:p>
    <w:p>
      <w:pPr>
        <w:rPr>
          <w:rFonts w:hint="eastAsia" w:ascii="宋体" w:hAnsi="宋体" w:eastAsia="宋体" w:cs="宋体"/>
          <w:b/>
          <w:bCs w:val="0"/>
          <w:iCs/>
          <w:color w:val="auto"/>
          <w:szCs w:val="21"/>
          <w:highlight w:val="none"/>
          <w:lang w:eastAsia="zh-CN"/>
        </w:rPr>
      </w:pPr>
      <w:r>
        <w:rPr>
          <w:rFonts w:hint="eastAsia" w:ascii="宋体" w:hAnsi="宋体" w:eastAsia="宋体" w:cs="宋体"/>
          <w:b/>
          <w:bCs w:val="0"/>
          <w:iCs/>
          <w:color w:val="auto"/>
          <w:szCs w:val="21"/>
          <w:highlight w:val="none"/>
          <w:lang w:eastAsia="zh-CN"/>
        </w:rPr>
      </w:r>
      <w:r/>
    </w:p>
    <w:p>
      <w:pPr>
        <w:rPr>
          <w:rFonts w:hint="eastAsia" w:ascii="宋体" w:hAnsi="宋体" w:eastAsia="宋体" w:cs="宋体"/>
          <w:b/>
          <w:bCs w:val="0"/>
          <w:iCs/>
          <w:color w:val="auto"/>
          <w:szCs w:val="21"/>
          <w:highlight w:val="none"/>
          <w:lang w:eastAsia="zh-CN"/>
        </w:rPr>
      </w:pPr>
      <w:r>
        <w:rPr>
          <w:rFonts w:hint="eastAsia" w:ascii="宋体" w:hAnsi="宋体" w:eastAsia="宋体" w:cs="宋体"/>
          <w:b/>
          <w:bCs w:val="0"/>
          <w:iCs/>
          <w:color w:val="auto"/>
          <w:szCs w:val="21"/>
          <w:highlight w:val="none"/>
          <w:lang w:eastAsia="zh-CN"/>
        </w:rPr>
        <w:br w:type="page" w:clear="all"/>
      </w:r>
      <w:r/>
    </w:p>
    <w:p>
      <w:pPr>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二、</w:t>
      </w:r>
      <w:r>
        <w:rPr>
          <w:rFonts w:hint="eastAsia" w:ascii="宋体" w:hAnsi="宋体" w:eastAsia="宋体" w:cs="宋体"/>
          <w:b/>
          <w:bCs w:val="0"/>
          <w:iCs/>
          <w:color w:val="auto"/>
          <w:szCs w:val="21"/>
          <w:highlight w:val="none"/>
        </w:rPr>
        <w:t xml:space="preserve">其它要求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2.供货、安装时间</w:t>
      </w:r>
      <w:r/>
    </w:p>
    <w:p>
      <w:pPr>
        <w:ind w:firstLine="480"/>
        <w:spacing w:line="360" w:lineRule="auto"/>
        <w:rPr>
          <w:rFonts w:hint="eastAsia" w:ascii="宋体" w:hAnsi="宋体" w:eastAsia="宋体" w:cs="宋体"/>
          <w:bCs/>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iCs/>
          <w:color w:val="auto"/>
          <w:szCs w:val="21"/>
          <w:highlight w:val="none"/>
          <w:lang w:val="en-US" w:eastAsia="zh-CN"/>
        </w:rPr>
        <w:t xml:space="preserve">合同签订之日起30日</w:t>
      </w:r>
      <w:r>
        <w:rPr>
          <w:rFonts w:hint="eastAsia" w:ascii="宋体" w:hAnsi="宋体" w:eastAsia="宋体" w:cs="宋体"/>
          <w:bCs/>
          <w:iCs/>
          <w:color w:val="auto"/>
          <w:szCs w:val="21"/>
          <w:highlight w:val="none"/>
          <w:lang w:val="en-US" w:eastAsia="zh-CN"/>
        </w:rPr>
        <w:t xml:space="preserve">（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val="en-US" w:eastAsia="zh-CN"/>
        </w:rPr>
        <w:t xml:space="preserve">3.交货</w:t>
      </w:r>
      <w:r>
        <w:rPr>
          <w:rFonts w:hint="eastAsia" w:ascii="宋体" w:hAnsi="宋体" w:eastAsia="宋体" w:cs="宋体"/>
          <w:b/>
          <w:bCs w:val="0"/>
          <w:iCs/>
          <w:color w:val="auto"/>
          <w:szCs w:val="21"/>
          <w:highlight w:val="none"/>
        </w:rPr>
        <w:t xml:space="preserve">地点</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采购人指定地点。</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4.产品要求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按采购人提出基本技术要求生产样品，招标后不得擅自更改产品样式和降低质量，供货方提供的产品必须达到现行中华人民共和国国家、行业有关标准、技术规范的要求，保证提供的货物完全符合规定的质量、规格、性能和安全的要求，保证所有产品不存在任何安全隐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5.质量要求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由于本项目所采购物品使用对象是学生，对安全、健康、环保等要求高，家长、学校、社会关注度高，投标人所提供的物品须符合国家关于安全、健康、环保等方面的要求。所购产品须原装出厂的、全新的、包装完好的产品，提供正规发票或来源渠道证明、产品供应商名单和联系方式、保修卡等。如发现使用假冒伪劣产品、三无产品，一经查实，立即终止合同，所有款项一律不付、不退，并将来货封存，交由质量监督部门处理，并按其处罚意见，处以罚款。</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6.供货验收</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（1）供应商在交验货物时必须同时提供国家法定或授权的检验机构按照国家有关法规以及招标文件中规定的标准，对</w:t>
      </w:r>
      <w:r>
        <w:rPr>
          <w:rFonts w:hint="eastAsia" w:ascii="宋体" w:hAnsi="宋体" w:cs="宋体"/>
          <w:bCs/>
          <w:iCs/>
          <w:color w:val="auto"/>
          <w:szCs w:val="21"/>
          <w:highlight w:val="none"/>
          <w:lang w:eastAsia="zh-CN"/>
        </w:rPr>
        <w:t xml:space="preserve">货物</w:t>
      </w:r>
      <w:r>
        <w:rPr>
          <w:rFonts w:hint="eastAsia" w:ascii="宋体" w:hAnsi="宋体" w:eastAsia="宋体" w:cs="宋体"/>
          <w:bCs/>
          <w:iCs/>
          <w:color w:val="auto"/>
          <w:szCs w:val="21"/>
          <w:highlight w:val="none"/>
        </w:rPr>
        <w:t xml:space="preserve">进行的环保、质量等检验检测报告。</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（2）采购人将在交付验收前随机对</w:t>
      </w:r>
      <w:r>
        <w:rPr>
          <w:rFonts w:hint="eastAsia" w:ascii="宋体" w:hAnsi="宋体" w:cs="宋体"/>
          <w:bCs/>
          <w:iCs/>
          <w:color w:val="auto"/>
          <w:szCs w:val="21"/>
          <w:highlight w:val="none"/>
          <w:lang w:val="en-US" w:eastAsia="zh-CN"/>
        </w:rPr>
        <w:t xml:space="preserve">货物</w:t>
      </w:r>
      <w:r>
        <w:rPr>
          <w:rFonts w:hint="eastAsia" w:ascii="宋体" w:hAnsi="宋体" w:eastAsia="宋体" w:cs="宋体"/>
          <w:bCs/>
          <w:iCs/>
          <w:color w:val="auto"/>
          <w:szCs w:val="21"/>
          <w:highlight w:val="none"/>
        </w:rPr>
        <w:t xml:space="preserve">进行环保抽检，检测结果必须达到国家相关规定要求，检测费由中标供应商支付。如果检测不合格一切后果由中标供应商负责。</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（3）安装队伍必须加强管理，遵守现场的一切规章制度，文明安装，注意安全。项目实施过程中若发生相关的安全事故由供应商自行负责。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7.售后服务</w:t>
      </w:r>
      <w:r/>
    </w:p>
    <w:p>
      <w:pPr>
        <w:ind w:firstLine="480"/>
        <w:jc w:val="center"/>
        <w:spacing w:line="360" w:lineRule="auto"/>
        <w:rPr>
          <w:rFonts w:hint="eastAsia" w:ascii="宋体" w:hAnsi="宋体" w:eastAsia="宋体" w:cs="宋体"/>
          <w:i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w:t>
      </w:r>
      <w:r/>
    </w:p>
    <w:p>
      <w:pPr>
        <w:ind w:firstLine="0"/>
        <w:jc w:val="left"/>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（政策调整因素除外）。</w:t>
      </w:r>
      <w:r/>
    </w:p>
    <w:p>
      <w:pPr>
        <w:pStyle w:val="783"/>
        <w:rPr>
          <w:rFonts w:hint="eastAsia"/>
          <w:color w:val="auto"/>
          <w:highlight w:val="none"/>
          <w:lang w:val="en-US" w:eastAsia="zh-CN"/>
        </w:rPr>
        <w:sectPr>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color w:val="auto"/>
          <w:highlight w:val="none"/>
          <w:lang w:val="en-US" w:eastAsia="zh-CN"/>
        </w:rPr>
      </w:r>
      <w:r/>
    </w:p>
    <w:p>
      <w:pPr>
        <w:pStyle w:val="781"/>
        <w:jc w:val="center"/>
        <w:keepLines/>
        <w:keepNext/>
        <w:pageBreakBefore w:val="0"/>
        <w:spacing w:before="0" w:after="0" w:line="360" w:lineRule="auto"/>
        <w:widowControl w:val="off"/>
        <w:rPr>
          <w:color w:val="auto"/>
          <w:highlight w:val="none"/>
        </w:rPr>
      </w:pPr>
      <w:r>
        <w:rPr>
          <w:rFonts w:hint="eastAsia" w:ascii="宋体" w:hAnsi="宋体" w:eastAsia="宋体" w:cs="Times New Roman"/>
          <w:b/>
          <w:bCs/>
          <w:color w:val="auto"/>
          <w:sz w:val="36"/>
          <w:szCs w:val="36"/>
          <w:highlight w:val="none"/>
          <w:lang w:val="en-US" w:eastAsia="zh-CN"/>
        </w:rPr>
        <w:t xml:space="preserve">第五章 评标方法及评标标准</w:t>
      </w:r>
      <w:bookmarkEnd w:id="54"/>
      <w:r/>
      <w:bookmarkEnd w:id="55"/>
      <w:r/>
      <w:r/>
    </w:p>
    <w:p>
      <w:pPr>
        <w:pStyle w:val="973"/>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73"/>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56" w:name="_Toc449017024"/>
      <w:r/>
      <w:bookmarkStart w:id="57" w:name="_Toc449016388"/>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6"/>
      <w:r/>
      <w:bookmarkEnd w:id="57"/>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97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（1）本项目对小型和微型企业产品给予20%（工程5%）的扣除价格，用扣除后的价格参与评审。</w:t>
      </w:r>
      <w:r/>
    </w:p>
    <w:p>
      <w:pPr>
        <w:pStyle w:val="97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97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97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20%（工程5%）</w:t>
      </w:r>
      <w:r>
        <w:rPr>
          <w:rFonts w:hint="eastAsia" w:ascii="宋体" w:hAnsi="宋体" w:eastAsia="宋体" w:cs="Times New Roman"/>
          <w:color w:val="auto"/>
          <w:sz w:val="21"/>
          <w:szCs w:val="21"/>
          <w:highlight w:val="none"/>
        </w:rPr>
        <w:t xml:space="preserve">的价格扣除，用扣除后的价格参与评审。</w:t>
      </w:r>
      <w:r/>
    </w:p>
    <w:p>
      <w:pPr>
        <w:pStyle w:val="97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97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97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97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97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97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97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973"/>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ind w:firstLine="422"/>
        <w:jc w:val="left"/>
        <w:keepLines w:val="0"/>
        <w:keepNext w:val="0"/>
        <w:pageBreakBefore w:val="0"/>
        <w:spacing w:line="360" w:lineRule="auto"/>
        <w:widowControl w:val="off"/>
        <w:rPr>
          <w:rFonts w:hint="default" w:asciiTheme="minorEastAsia" w:hAnsiTheme="minorEastAsia" w:cstheme="minorEastAsia"/>
          <w:b/>
          <w:bCs/>
          <w:color w:val="auto"/>
          <w:sz w:val="21"/>
          <w:szCs w:val="21"/>
          <w:highlight w:val="none"/>
        </w:rPr>
      </w:pPr>
      <w:r>
        <w:rPr>
          <w:rFonts w:hint="default" w:asciiTheme="minorEastAsia" w:hAnsiTheme="minorEastAsia" w:cstheme="minorEastAsia"/>
          <w:b/>
          <w:bCs/>
          <w:color w:val="auto"/>
          <w:sz w:val="21"/>
          <w:szCs w:val="21"/>
          <w:highlight w:val="none"/>
          <w:lang w:val="en-US" w:eastAsia="zh-CN"/>
        </w:rPr>
        <w:t xml:space="preserve">三、</w:t>
      </w:r>
      <w:r>
        <w:rPr>
          <w:rFonts w:hint="default" w:asciiTheme="minorEastAsia" w:hAnsiTheme="minorEastAsia" w:cstheme="minorEastAsia"/>
          <w:b/>
          <w:bCs/>
          <w:color w:val="auto"/>
          <w:sz w:val="21"/>
          <w:szCs w:val="21"/>
          <w:highlight w:val="none"/>
        </w:rPr>
        <w:t xml:space="preserve">采购本国产品的支持政策</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95"/>
        <w:ind w:firstLine="420"/>
        <w:keepLines w:val="0"/>
        <w:keepNext w:val="0"/>
        <w:pageBreakBefore w:val="0"/>
        <w:spacing w:line="360" w:lineRule="auto"/>
        <w:widowControl w:val="off"/>
        <w:rPr>
          <w:rFonts w:hint="default" w:asciiTheme="minorEastAsia" w:hAnsiTheme="minorEastAsia" w:cstheme="minorEastAsia"/>
          <w:color w:val="auto"/>
          <w:sz w:val="21"/>
          <w:szCs w:val="21"/>
          <w:highlight w:val="none"/>
          <w:lang w:val="en-US" w:eastAsia="zh-CN"/>
        </w:rPr>
      </w:pPr>
      <w:r>
        <w:rPr>
          <w:rFonts w:hint="default" w:asciiTheme="minorEastAsia" w:hAnsiTheme="minorEastAsia" w:cstheme="minorEastAsia"/>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5"/>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其他要求及说明</w:t>
      </w:r>
      <w:r/>
    </w:p>
    <w:p>
      <w:pPr>
        <w:pStyle w:val="99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采购需求所列需提供证明文件的产品，中标人需在收到中标通知后配合完成核查工作</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并提交相关证明材料</w:t>
      </w:r>
      <w:r>
        <w:rPr>
          <w:rFonts w:hint="eastAsia" w:ascii="宋体" w:hAnsi="宋体" w:cs="宋体"/>
          <w:color w:val="auto"/>
          <w:szCs w:val="21"/>
          <w:highlight w:val="none"/>
        </w:rPr>
        <w:t xml:space="preserve">。经核查，若产品功能不符合采购要求或证明文件存在虚假情形，将按提供虚假材料处理，取消其中标资格，由此产生的一切损失由中标人承担。</w:t>
      </w:r>
      <w:r/>
    </w:p>
    <w:p>
      <w:pPr>
        <w:pStyle w:val="995"/>
        <w:ind w:firstLine="420"/>
        <w:spacing w:line="360" w:lineRule="auto"/>
        <w:rPr>
          <w:rStyle w:val="819"/>
          <w:rFonts w:hint="eastAsia" w:ascii="宋体" w:hAnsi="宋体" w:eastAsia="宋体" w:cs="宋体"/>
          <w:b w:val="0"/>
          <w:bCs w:val="0"/>
          <w:color w:val="auto"/>
          <w:sz w:val="21"/>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本次招标产品（含核心组件、配套设备）</w:t>
      </w:r>
      <w:r>
        <w:rPr>
          <w:rStyle w:val="819"/>
          <w:rFonts w:hint="eastAsia" w:ascii="宋体" w:hAnsi="宋体" w:eastAsia="宋体" w:cs="宋体"/>
          <w:b w:val="0"/>
          <w:bCs w:val="0"/>
          <w:color w:val="auto"/>
          <w:sz w:val="21"/>
          <w:szCs w:val="21"/>
          <w:highlight w:val="none"/>
        </w:rPr>
        <w:t xml:space="preserve">禁止贴牌</w:t>
      </w:r>
      <w:r>
        <w:rPr>
          <w:rStyle w:val="819"/>
          <w:rFonts w:hint="eastAsia" w:ascii="宋体" w:hAnsi="宋体" w:eastAsia="宋体" w:cs="宋体"/>
          <w:b w:val="0"/>
          <w:bCs w:val="0"/>
          <w:color w:val="auto"/>
          <w:sz w:val="21"/>
          <w:szCs w:val="21"/>
          <w:highlight w:val="none"/>
          <w:lang w:val="en-US" w:eastAsia="zh-CN"/>
        </w:rPr>
        <w:t xml:space="preserve">供应。</w:t>
      </w:r>
      <w:r/>
    </w:p>
    <w:p>
      <w:pPr>
        <w:numPr>
          <w:ilvl w:val="0"/>
          <w:numId w:val="0"/>
        </w:numPr>
        <w:ind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五</w:t>
      </w:r>
      <w:r>
        <w:rPr>
          <w:rFonts w:hint="eastAsia" w:ascii="宋体" w:hAnsi="宋体" w:eastAsia="宋体" w:cs="宋体"/>
          <w:b/>
          <w:bCs/>
          <w:color w:val="auto"/>
          <w:sz w:val="21"/>
          <w:szCs w:val="21"/>
          <w:highlight w:val="none"/>
          <w:lang w:val="en-US" w:eastAsia="zh-CN" w:bidi="ar-SA"/>
        </w:rPr>
        <w:t xml:space="preserve">、评标标准</w:t>
      </w:r>
      <w:r/>
    </w:p>
    <w:p>
      <w:pPr>
        <w:jc w:val="center"/>
        <w:rPr>
          <w:rFonts w:hint="eastAsia"/>
          <w:b/>
          <w:bCs/>
          <w:color w:val="auto"/>
          <w:sz w:val="44"/>
          <w:szCs w:val="36"/>
          <w:highlight w:val="none"/>
          <w:lang w:val="en-US" w:eastAsia="zh-CN"/>
        </w:rPr>
      </w:pPr>
      <w:r>
        <w:rPr>
          <w:rFonts w:hint="eastAsia"/>
          <w:b/>
          <w:bCs/>
          <w:color w:val="auto"/>
          <w:sz w:val="44"/>
          <w:szCs w:val="36"/>
          <w:highlight w:val="none"/>
          <w:lang w:val="en-US" w:eastAsia="zh-CN"/>
        </w:rPr>
      </w:r>
      <w:r/>
    </w:p>
    <w:tbl>
      <w:tblPr>
        <w:tblStyle w:val="791"/>
        <w:tblW w:w="93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42"/>
        <w:gridCol w:w="8060"/>
      </w:tblGrid>
      <w:tr>
        <w:trPr>
          <w:jc w:val="center"/>
          <w:trHeight w:val="575"/>
        </w:trPr>
        <w:tc>
          <w:tcPr>
            <w:tcW w:w="1242" w:type="dxa"/>
            <w:vAlign w:val="center"/>
            <w:textDirection w:val="lrTb"/>
            <w:noWrap w:val="false"/>
          </w:tcPr>
          <w:p>
            <w:pPr>
              <w:pStyle w:val="99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  目</w:t>
            </w:r>
            <w:r/>
          </w:p>
        </w:tc>
        <w:tc>
          <w:tcPr>
            <w:tcMar>
              <w:left w:w="108" w:type="dxa"/>
              <w:top w:w="0" w:type="dxa"/>
              <w:right w:w="108" w:type="dxa"/>
              <w:bottom w:w="0" w:type="dxa"/>
            </w:tcMar>
            <w:tcW w:w="8060" w:type="dxa"/>
            <w:vAlign w:val="center"/>
            <w:textDirection w:val="lrTb"/>
            <w:noWrap w:val="false"/>
          </w:tcPr>
          <w:p>
            <w:pPr>
              <w:pStyle w:val="99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  分  标  准</w:t>
            </w:r>
            <w:r/>
          </w:p>
        </w:tc>
      </w:tr>
      <w:tr>
        <w:trPr>
          <w:jc w:val="center"/>
          <w:trHeight w:val="1026"/>
        </w:trPr>
        <w:tc>
          <w:tcPr>
            <w:tcW w:w="1242" w:type="dxa"/>
            <w:vAlign w:val="center"/>
            <w:textDirection w:val="lrTb"/>
            <w:noWrap w:val="false"/>
          </w:tcPr>
          <w:p>
            <w:pPr>
              <w:pStyle w:val="99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p>
            <w:pPr>
              <w:pStyle w:val="99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w:t>
            </w:r>
            <w:r/>
          </w:p>
        </w:tc>
        <w:tc>
          <w:tcPr>
            <w:tcW w:w="8060" w:type="dxa"/>
            <w:vAlign w:val="center"/>
            <w:textDirection w:val="lrTb"/>
            <w:noWrap w:val="false"/>
          </w:tcPr>
          <w:p>
            <w:pPr>
              <w:jc w:val="both"/>
              <w:widowControl/>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采用低价优先法计算，即满足</w:t>
            </w:r>
            <w:r>
              <w:rPr>
                <w:rFonts w:hint="eastAsia" w:ascii="宋体" w:hAnsi="宋体" w:cs="仿宋"/>
                <w:color w:val="auto"/>
                <w:sz w:val="21"/>
                <w:szCs w:val="21"/>
                <w:highlight w:val="none"/>
                <w:lang w:val="en-US" w:eastAsia="zh-CN"/>
              </w:rPr>
              <w:t xml:space="preserve">招标</w:t>
            </w:r>
            <w:r>
              <w:rPr>
                <w:rFonts w:hint="eastAsia" w:ascii="宋体" w:hAnsi="宋体" w:eastAsia="宋体" w:cs="仿宋"/>
                <w:color w:val="auto"/>
                <w:sz w:val="21"/>
                <w:szCs w:val="21"/>
                <w:highlight w:val="none"/>
                <w:lang w:eastAsia="zh-CN"/>
              </w:rPr>
              <w:t xml:space="preserve">文件要求且投标价格最低的投标报价为评标基准价，其价格分为满分。其他投标人的价格分统一按下列公式计算：</w:t>
            </w:r>
            <w:r/>
          </w:p>
          <w:p>
            <w:pPr>
              <w:pStyle w:val="995"/>
              <w:jc w:val="both"/>
              <w:spacing w:line="360" w:lineRule="auto"/>
              <w:rPr>
                <w:rFonts w:hint="eastAsia" w:ascii="宋体" w:hAnsi="宋体" w:cs="宋体"/>
                <w:color w:val="auto"/>
                <w:szCs w:val="21"/>
                <w:highlight w:val="none"/>
              </w:rPr>
            </w:pPr>
            <w:r>
              <w:rPr>
                <w:rFonts w:hint="eastAsia" w:ascii="宋体" w:hAnsi="宋体" w:eastAsia="宋体" w:cs="仿宋"/>
                <w:color w:val="auto"/>
                <w:sz w:val="21"/>
                <w:szCs w:val="21"/>
                <w:highlight w:val="none"/>
                <w:lang w:eastAsia="zh-CN"/>
              </w:rPr>
              <w:t xml:space="preserve">投标报价得分=（评标基准价/投标报价）×</w:t>
            </w:r>
            <w:r>
              <w:rPr>
                <w:rFonts w:hint="eastAsia" w:ascii="宋体" w:hAnsi="宋体" w:cs="仿宋"/>
                <w:color w:val="auto"/>
                <w:sz w:val="21"/>
                <w:szCs w:val="21"/>
                <w:highlight w:val="none"/>
                <w:lang w:val="en-US" w:eastAsia="zh-CN"/>
              </w:rPr>
              <w:t xml:space="preserve">30</w:t>
            </w:r>
            <w:r>
              <w:rPr>
                <w:rFonts w:hint="eastAsia" w:ascii="宋体" w:hAnsi="宋体" w:eastAsia="宋体" w:cs="仿宋"/>
                <w:color w:val="auto"/>
                <w:sz w:val="21"/>
                <w:szCs w:val="21"/>
                <w:highlight w:val="none"/>
                <w:lang w:eastAsia="zh-CN"/>
              </w:rPr>
              <w:t xml:space="preserve">（四舍五入，保留两位小数）</w:t>
            </w:r>
            <w:r/>
          </w:p>
        </w:tc>
      </w:tr>
      <w:tr>
        <w:trPr>
          <w:jc w:val="center"/>
          <w:trHeight w:val="841"/>
        </w:trPr>
        <w:tc>
          <w:tcPr>
            <w:tcW w:w="1242" w:type="dxa"/>
            <w:vAlign w:val="center"/>
            <w:textDirection w:val="lrTb"/>
            <w:noWrap w:val="false"/>
          </w:tcPr>
          <w:p>
            <w:pPr>
              <w:pStyle w:val="99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技术响应</w:t>
            </w:r>
            <w:r/>
          </w:p>
          <w:p>
            <w:pPr>
              <w:pStyle w:val="99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32</w:t>
            </w:r>
            <w:r>
              <w:rPr>
                <w:rFonts w:hint="eastAsia" w:ascii="宋体" w:hAnsi="宋体" w:cs="宋体"/>
                <w:color w:val="auto"/>
                <w:szCs w:val="21"/>
                <w:highlight w:val="none"/>
              </w:rPr>
              <w:t xml:space="preserve">分）</w:t>
            </w:r>
            <w:r/>
          </w:p>
        </w:tc>
        <w:tc>
          <w:tcPr>
            <w:tcW w:w="8060" w:type="dxa"/>
            <w:vAlign w:val="top"/>
            <w:textDirection w:val="lrTb"/>
            <w:noWrap w:val="false"/>
          </w:tcPr>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根据投标人所投产品技术参数，完全满足招标文件技术要求得</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val="en-US" w:eastAsia="zh-CN"/>
              </w:rPr>
              <w:t xml:space="preserve">32</w:t>
            </w:r>
            <w:r>
              <w:rPr>
                <w:rFonts w:hint="eastAsia" w:ascii="宋体" w:hAnsi="宋体" w:cs="宋体"/>
                <w:color w:val="auto"/>
                <w:szCs w:val="21"/>
                <w:highlight w:val="none"/>
              </w:rPr>
              <w:t xml:space="preserve">分，其中加“▲”项为重点功能要求，每有一项不满足或负偏离扣</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val="en-US" w:eastAsia="zh-CN"/>
              </w:rPr>
              <w:t xml:space="preserve">1 </w:t>
            </w:r>
            <w:r>
              <w:rPr>
                <w:rFonts w:hint="eastAsia" w:ascii="宋体" w:hAnsi="宋体" w:cs="宋体"/>
                <w:color w:val="auto"/>
                <w:szCs w:val="21"/>
                <w:highlight w:val="none"/>
              </w:rPr>
              <w:t xml:space="preserve">分；其他参数每有一项不满足或负偏离扣</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rPr>
              <w:t xml:space="preserve">分，扣完为止；投标人需在响应偏离表中逐条列出偏离情况并提供按招标文件要求提供相应的证明材料，未根据要求提供相关证明材料视为负偏离。</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若发现有提供虚假的证明材料或虚假应答技术偏离表的，视为无效投标，追究相关责任。</w:t>
            </w:r>
            <w:r/>
          </w:p>
        </w:tc>
      </w:tr>
      <w:tr>
        <w:trPr>
          <w:jc w:val="center"/>
          <w:trHeight w:val="1090"/>
        </w:trPr>
        <w:tc>
          <w:tcPr>
            <w:tcW w:w="1242" w:type="dxa"/>
            <w:vAlign w:val="center"/>
            <w:textDirection w:val="lrTb"/>
            <w:noWrap w:val="false"/>
          </w:tcPr>
          <w:p>
            <w:pPr>
              <w:pStyle w:val="995"/>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95"/>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9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方案</w:t>
            </w:r>
            <w:r/>
          </w:p>
          <w:p>
            <w:pPr>
              <w:pStyle w:val="99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分）</w:t>
            </w:r>
            <w:r/>
          </w:p>
        </w:tc>
        <w:tc>
          <w:tcPr>
            <w:tcW w:w="8060" w:type="dxa"/>
            <w:vAlign w:val="center"/>
            <w:textDirection w:val="lrTb"/>
            <w:noWrap w:val="false"/>
          </w:tcPr>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整体</w:t>
            </w:r>
            <w:r>
              <w:rPr>
                <w:rFonts w:hint="eastAsia" w:ascii="宋体" w:hAnsi="宋体" w:cs="宋体"/>
                <w:color w:val="auto"/>
                <w:szCs w:val="21"/>
                <w:highlight w:val="none"/>
                <w:lang w:val="en-US" w:eastAsia="zh-CN"/>
              </w:rPr>
              <w:t xml:space="preserve">建设</w:t>
            </w:r>
            <w:r>
              <w:rPr>
                <w:rFonts w:hint="eastAsia" w:ascii="宋体" w:hAnsi="宋体" w:cs="宋体"/>
                <w:color w:val="auto"/>
                <w:szCs w:val="21"/>
                <w:highlight w:val="none"/>
              </w:rPr>
              <w:t xml:space="preserve">方案（</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分）：投标人根据招标文件对本项目需求提供整体</w:t>
            </w:r>
            <w:r>
              <w:rPr>
                <w:rFonts w:hint="eastAsia" w:ascii="宋体" w:hAnsi="宋体" w:cs="宋体"/>
                <w:color w:val="auto"/>
                <w:szCs w:val="21"/>
                <w:highlight w:val="none"/>
                <w:lang w:val="en-US" w:eastAsia="zh-CN"/>
              </w:rPr>
              <w:t xml:space="preserve">建设</w:t>
            </w:r>
            <w:r>
              <w:rPr>
                <w:rFonts w:hint="eastAsia" w:ascii="宋体" w:hAnsi="宋体" w:cs="宋体"/>
                <w:color w:val="auto"/>
                <w:szCs w:val="21"/>
                <w:highlight w:val="none"/>
              </w:rPr>
              <w:t xml:space="preserve">方案，根据各</w:t>
            </w: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的方案进行综合评比打分：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整体</w:t>
            </w:r>
            <w:r>
              <w:rPr>
                <w:rFonts w:hint="eastAsia" w:ascii="宋体" w:hAnsi="宋体" w:cs="宋体"/>
                <w:color w:val="auto"/>
                <w:szCs w:val="21"/>
                <w:highlight w:val="none"/>
                <w:lang w:val="en-US" w:eastAsia="zh-CN"/>
              </w:rPr>
              <w:t xml:space="preserve">建设</w:t>
            </w:r>
            <w:r>
              <w:rPr>
                <w:rFonts w:hint="eastAsia" w:ascii="宋体" w:hAnsi="宋体" w:cs="宋体"/>
                <w:color w:val="auto"/>
                <w:szCs w:val="21"/>
                <w:highlight w:val="none"/>
              </w:rPr>
              <w:t xml:space="preserve">方案科学合理、可行性高，得</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rPr>
              <w:t xml:space="preserve">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整体</w:t>
            </w:r>
            <w:r>
              <w:rPr>
                <w:rFonts w:hint="eastAsia" w:ascii="宋体" w:hAnsi="宋体" w:cs="宋体"/>
                <w:color w:val="auto"/>
                <w:szCs w:val="21"/>
                <w:highlight w:val="none"/>
                <w:lang w:val="en-US" w:eastAsia="zh-CN"/>
              </w:rPr>
              <w:t xml:space="preserve">建设</w:t>
            </w:r>
            <w:r>
              <w:rPr>
                <w:rFonts w:hint="eastAsia" w:ascii="宋体" w:hAnsi="宋体" w:cs="宋体"/>
                <w:color w:val="auto"/>
                <w:szCs w:val="21"/>
                <w:highlight w:val="none"/>
              </w:rPr>
              <w:t xml:space="preserve">方案较科学、合理、可行性</w:t>
            </w:r>
            <w:r>
              <w:rPr>
                <w:rFonts w:hint="eastAsia" w:ascii="宋体" w:hAnsi="宋体" w:cs="宋体"/>
                <w:color w:val="auto"/>
                <w:szCs w:val="21"/>
                <w:highlight w:val="none"/>
                <w:lang w:val="en-US" w:eastAsia="zh-CN"/>
              </w:rPr>
              <w:t xml:space="preserve">较高</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rPr>
              <w:t xml:space="preserve">分；</w:t>
            </w:r>
            <w:r/>
          </w:p>
          <w:p>
            <w:pPr>
              <w:pStyle w:val="995"/>
              <w:ind w:firstLine="420"/>
              <w:jc w:val="left"/>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整体</w:t>
            </w:r>
            <w:r>
              <w:rPr>
                <w:rFonts w:hint="eastAsia" w:ascii="宋体" w:hAnsi="宋体" w:cs="宋体"/>
                <w:color w:val="auto"/>
                <w:szCs w:val="21"/>
                <w:highlight w:val="none"/>
                <w:lang w:val="en-US" w:eastAsia="zh-CN"/>
              </w:rPr>
              <w:t xml:space="preserve">建设方案</w:t>
            </w:r>
            <w:r>
              <w:rPr>
                <w:rFonts w:hint="eastAsia" w:ascii="宋体" w:hAnsi="宋体" w:cs="宋体"/>
                <w:color w:val="auto"/>
                <w:szCs w:val="21"/>
                <w:highlight w:val="none"/>
              </w:rPr>
              <w:t xml:space="preserve">基本科学、相对合理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可行性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，得</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整体</w:t>
            </w:r>
            <w:r>
              <w:rPr>
                <w:rFonts w:hint="eastAsia" w:ascii="宋体" w:hAnsi="宋体" w:cs="宋体"/>
                <w:color w:val="auto"/>
                <w:szCs w:val="21"/>
                <w:highlight w:val="none"/>
                <w:lang w:val="en-US" w:eastAsia="zh-CN"/>
              </w:rPr>
              <w:t xml:space="preserve">建设</w:t>
            </w:r>
            <w:r>
              <w:rPr>
                <w:rFonts w:hint="eastAsia" w:ascii="宋体" w:hAnsi="宋体" w:cs="宋体"/>
                <w:color w:val="auto"/>
                <w:szCs w:val="21"/>
                <w:highlight w:val="none"/>
              </w:rPr>
              <w:t xml:space="preserve">方案不够科学、不合理、可行性低，得1分，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未提供不得分。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项目实施方案（</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分）：投标人根据招标文件对本项目提供</w:t>
            </w:r>
            <w:r>
              <w:rPr>
                <w:rFonts w:hint="eastAsia" w:ascii="宋体" w:hAnsi="宋体" w:cs="宋体"/>
                <w:color w:val="auto"/>
                <w:szCs w:val="21"/>
                <w:highlight w:val="none"/>
                <w:lang w:val="en-US" w:eastAsia="zh-CN"/>
              </w:rPr>
              <w:t xml:space="preserve">项目实施</w:t>
            </w:r>
            <w:r>
              <w:rPr>
                <w:rFonts w:hint="eastAsia" w:ascii="宋体" w:hAnsi="宋体" w:cs="宋体"/>
                <w:color w:val="auto"/>
                <w:szCs w:val="21"/>
                <w:highlight w:val="none"/>
              </w:rPr>
              <w:t xml:space="preserve">方案，根据各</w:t>
            </w: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的方案进行综合评比打分：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项目实施方案科学合理、可行性高，得</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rPr>
              <w:t xml:space="preserve">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项目实施方案</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科学、合理、可行性</w:t>
            </w:r>
            <w:r>
              <w:rPr>
                <w:rFonts w:hint="eastAsia" w:ascii="宋体" w:hAnsi="宋体" w:cs="宋体"/>
                <w:color w:val="auto"/>
                <w:szCs w:val="21"/>
                <w:highlight w:val="none"/>
                <w:lang w:val="en-US" w:eastAsia="zh-CN"/>
              </w:rPr>
              <w:t xml:space="preserve">较高</w:t>
            </w:r>
            <w:r>
              <w:rPr>
                <w:rFonts w:hint="eastAsia" w:ascii="宋体" w:hAnsi="宋体" w:cs="宋体"/>
                <w:color w:val="auto"/>
                <w:szCs w:val="21"/>
                <w:highlight w:val="none"/>
              </w:rPr>
              <w:t xml:space="preserve">，得</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pStyle w:val="995"/>
              <w:ind w:firstLine="420"/>
              <w:jc w:val="left"/>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项目实施方案基本科学、相对合理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可行性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项目实施方案不够科学、不合理、可行性低，得1分，</w:t>
            </w:r>
            <w:r/>
          </w:p>
          <w:p>
            <w:pPr>
              <w:pStyle w:val="995"/>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未提供不得分。</w:t>
            </w:r>
            <w:r/>
          </w:p>
          <w:p>
            <w:pPr>
              <w:pStyle w:val="995"/>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3、质量及进度保障方案（6分）：投标人根据招标文件对本项目提供项目实施质量及进度保障方案，根据各投标人的方案进行综合评比打分：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质量及进度保障方案</w:t>
            </w:r>
            <w:r>
              <w:rPr>
                <w:rFonts w:hint="eastAsia" w:ascii="宋体" w:hAnsi="宋体" w:cs="宋体"/>
                <w:color w:val="auto"/>
                <w:szCs w:val="21"/>
                <w:highlight w:val="none"/>
              </w:rPr>
              <w:t xml:space="preserve">科学合理、可行性高，得</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质量及进度保障方案较</w:t>
            </w:r>
            <w:r>
              <w:rPr>
                <w:rFonts w:hint="eastAsia" w:ascii="宋体" w:hAnsi="宋体" w:cs="宋体"/>
                <w:color w:val="auto"/>
                <w:szCs w:val="21"/>
                <w:highlight w:val="none"/>
              </w:rPr>
              <w:t xml:space="preserve">科学、合理、可行性</w:t>
            </w:r>
            <w:r>
              <w:rPr>
                <w:rFonts w:hint="eastAsia" w:ascii="宋体" w:hAnsi="宋体" w:cs="宋体"/>
                <w:color w:val="auto"/>
                <w:szCs w:val="21"/>
                <w:highlight w:val="none"/>
                <w:lang w:val="en-US" w:eastAsia="zh-CN"/>
              </w:rPr>
              <w:t xml:space="preserve">较高</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质量及进度保障方案</w:t>
            </w:r>
            <w:r>
              <w:rPr>
                <w:rFonts w:hint="eastAsia" w:ascii="宋体" w:hAnsi="宋体" w:cs="宋体"/>
                <w:color w:val="auto"/>
                <w:szCs w:val="21"/>
                <w:highlight w:val="none"/>
              </w:rPr>
              <w:t xml:space="preserve">基本科学、相对合理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可行性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质量及进度保障方案</w:t>
            </w:r>
            <w:r>
              <w:rPr>
                <w:rFonts w:hint="eastAsia" w:ascii="宋体" w:hAnsi="宋体" w:cs="宋体"/>
                <w:color w:val="auto"/>
                <w:szCs w:val="21"/>
                <w:highlight w:val="none"/>
              </w:rPr>
              <w:t xml:space="preserve">不够科学、不合理、可行性低，得1分，</w:t>
            </w:r>
            <w:r/>
          </w:p>
          <w:p>
            <w:pPr>
              <w:pStyle w:val="995"/>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未提供不得分。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4、售后服务方案（6分）：</w:t>
            </w:r>
            <w:r>
              <w:rPr>
                <w:rFonts w:hint="eastAsia" w:ascii="宋体" w:hAnsi="宋体" w:cs="宋体"/>
                <w:color w:val="auto"/>
                <w:szCs w:val="21"/>
                <w:highlight w:val="none"/>
              </w:rPr>
              <w:t xml:space="preserve">提供详细的项目售后</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方案，</w:t>
            </w:r>
            <w:r>
              <w:rPr>
                <w:rFonts w:hint="eastAsia" w:ascii="宋体" w:hAnsi="宋体" w:cs="宋体"/>
                <w:color w:val="auto"/>
                <w:szCs w:val="21"/>
                <w:highlight w:val="none"/>
                <w:lang w:val="en-US" w:eastAsia="zh-CN"/>
              </w:rPr>
              <w:t xml:space="preserve">根据各投标人</w:t>
            </w:r>
            <w:r>
              <w:rPr>
                <w:rFonts w:hint="eastAsia" w:ascii="宋体" w:hAnsi="宋体" w:cs="宋体"/>
                <w:color w:val="auto"/>
                <w:szCs w:val="21"/>
                <w:highlight w:val="none"/>
              </w:rPr>
              <w:t xml:space="preserve">的方案进行综合评比打分。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售后服务</w:t>
            </w:r>
            <w:r>
              <w:rPr>
                <w:rFonts w:hint="eastAsia" w:ascii="宋体" w:hAnsi="宋体" w:cs="宋体"/>
                <w:color w:val="auto"/>
                <w:szCs w:val="21"/>
                <w:highlight w:val="none"/>
              </w:rPr>
              <w:t xml:space="preserve">方案内容完整、详细，完全满足项目需求得</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rPr>
              <w:t xml:space="preserve">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售后服务</w:t>
            </w:r>
            <w:r>
              <w:rPr>
                <w:rFonts w:hint="eastAsia" w:ascii="宋体" w:hAnsi="宋体" w:cs="宋体"/>
                <w:color w:val="auto"/>
                <w:szCs w:val="21"/>
                <w:highlight w:val="none"/>
              </w:rPr>
              <w:t xml:space="preserve">方案内容有缺项，部分满足项目需求得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售后服务</w:t>
            </w:r>
            <w:r>
              <w:rPr>
                <w:rFonts w:hint="eastAsia" w:ascii="宋体" w:hAnsi="宋体" w:cs="宋体"/>
                <w:color w:val="auto"/>
                <w:szCs w:val="21"/>
                <w:highlight w:val="none"/>
              </w:rPr>
              <w:t xml:space="preserve">方案内容不满足项目需求得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未提供方案的不得分。</w:t>
            </w:r>
            <w:r/>
          </w:p>
          <w:p>
            <w:pPr>
              <w:pStyle w:val="995"/>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5、培训方案（5分）：提供详细项目培训方案，根据各投标人的方案进行综合评比打分。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培训</w:t>
            </w:r>
            <w:r>
              <w:rPr>
                <w:rFonts w:hint="eastAsia" w:ascii="宋体" w:hAnsi="宋体" w:cs="宋体"/>
                <w:color w:val="auto"/>
                <w:szCs w:val="21"/>
                <w:highlight w:val="none"/>
              </w:rPr>
              <w:t xml:space="preserve">方案内容完整、详细，完全满足项目需求得</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rPr>
              <w:t xml:space="preserve">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培训</w:t>
            </w:r>
            <w:r>
              <w:rPr>
                <w:rFonts w:hint="eastAsia" w:ascii="宋体" w:hAnsi="宋体" w:cs="宋体"/>
                <w:color w:val="auto"/>
                <w:szCs w:val="21"/>
                <w:highlight w:val="none"/>
              </w:rPr>
              <w:t xml:space="preserve">方案内容有缺项，部分满足项目需求得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培训</w:t>
            </w:r>
            <w:r>
              <w:rPr>
                <w:rFonts w:hint="eastAsia" w:ascii="宋体" w:hAnsi="宋体" w:cs="宋体"/>
                <w:color w:val="auto"/>
                <w:szCs w:val="21"/>
                <w:highlight w:val="none"/>
              </w:rPr>
              <w:t xml:space="preserve">方案内容不满足项目需求得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pStyle w:val="995"/>
              <w:ind w:firstLine="420"/>
              <w:jc w:val="left"/>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未提供方案的不得分。</w:t>
            </w:r>
            <w:r/>
          </w:p>
          <w:p>
            <w:pPr>
              <w:pStyle w:val="995"/>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6、故障响应承诺（2分）：</w:t>
            </w:r>
            <w:r>
              <w:rPr>
                <w:rFonts w:hint="eastAsia" w:ascii="宋体" w:hAnsi="宋体" w:cs="宋体"/>
                <w:color w:val="auto"/>
                <w:szCs w:val="21"/>
                <w:highlight w:val="none"/>
              </w:rPr>
              <w:t xml:space="preserve">接到采购人故障通知，能够半小时响应，1小时内（不含）到达务</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现场进行处理的得2分；半小时响应，1小时以上时间到达现场处理的得1分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（提供承诺函</w:t>
            </w:r>
            <w:bookmarkStart w:id="89" w:name="_GoBack"/>
            <w:r/>
            <w:bookmarkEnd w:id="89"/>
            <w:r>
              <w:rPr>
                <w:rFonts w:hint="eastAsia" w:ascii="宋体" w:hAnsi="宋体" w:cs="宋体"/>
                <w:color w:val="auto"/>
                <w:szCs w:val="21"/>
                <w:highlight w:val="none"/>
                <w:lang w:val="en-US" w:eastAsia="zh-CN"/>
              </w:rPr>
              <w:t xml:space="preserve">原件扫描上传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承诺函格式自拟</w:t>
            </w:r>
            <w:r>
              <w:rPr>
                <w:rFonts w:hint="eastAsia" w:ascii="宋体" w:hAnsi="宋体" w:cs="宋体"/>
                <w:color w:val="auto"/>
                <w:szCs w:val="21"/>
                <w:highlight w:val="none"/>
              </w:rPr>
              <w:t xml:space="preserve">）</w:t>
            </w:r>
            <w:r/>
          </w:p>
        </w:tc>
      </w:tr>
      <w:tr>
        <w:trPr>
          <w:jc w:val="center"/>
          <w:trHeight w:val="360"/>
        </w:trPr>
        <w:tc>
          <w:tcPr>
            <w:tcW w:w="1242" w:type="dxa"/>
            <w:vAlign w:val="center"/>
            <w:textDirection w:val="lrTb"/>
            <w:noWrap w:val="false"/>
          </w:tcPr>
          <w:p>
            <w:pPr>
              <w:pStyle w:val="995"/>
              <w:jc w:val="center"/>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产品演示（4分）</w:t>
            </w:r>
            <w:r/>
          </w:p>
        </w:tc>
        <w:tc>
          <w:tcPr>
            <w:tcW w:w="8060" w:type="dxa"/>
            <w:vAlign w:val="center"/>
            <w:textDirection w:val="lrTb"/>
            <w:noWrap w:val="false"/>
          </w:tcPr>
          <w:p>
            <w:pPr>
              <w:pStyle w:val="995"/>
              <w:ind w:firstLine="420"/>
              <w:jc w:val="left"/>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为保证产品质量要求，开标现场投标人按照要求提供样品及演示，为验证部分产品性能，投标人开标时需提供以下产品演示内容，演示符合要求一条得1分，不符合或者未提供不得分，总分4分。（中标人在设备供货期提供现场实物演示，内容需与开标现场演示内容一致，若不一致视为虚假应标，采购人将报采购监督部门处理）</w:t>
            </w:r>
            <w:r/>
          </w:p>
          <w:p>
            <w:pPr>
              <w:pStyle w:val="995"/>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1.所投多功能瀑布流除常规的资源内容展示外，系统还支持配置应用，已配置的应用以图标的形式悬浮于瀑布流右侧区域，不影响设备的资源展示，用户通过点击应用图标，打开该应用进行浏览。</w:t>
            </w:r>
            <w:r/>
          </w:p>
          <w:p>
            <w:pPr>
              <w:pStyle w:val="995"/>
              <w:ind w:firstLine="420"/>
              <w:jc w:val="left"/>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2.所投多功能瀑布流</w:t>
            </w:r>
            <w:r>
              <w:rPr>
                <w:rFonts w:hint="default" w:ascii="宋体" w:hAnsi="宋体" w:cs="宋体"/>
                <w:color w:val="auto"/>
                <w:szCs w:val="21"/>
                <w:highlight w:val="none"/>
                <w:lang w:val="en-US" w:eastAsia="zh-CN"/>
              </w:rPr>
              <w:t xml:space="preserve">支持按文献类型查看典型相似图书列表、典型相似报纸列表、典型相似期刊列表、典型相似网络文档列表；支持在检测结果中，单独查看两两文献的比对结果</w:t>
            </w:r>
            <w:r>
              <w:rPr>
                <w:rFonts w:hint="eastAsia" w:ascii="宋体" w:hAnsi="宋体" w:cs="宋体"/>
                <w:color w:val="auto"/>
                <w:szCs w:val="21"/>
                <w:highlight w:val="none"/>
                <w:lang w:val="en-US" w:eastAsia="zh-CN"/>
              </w:rPr>
              <w:t xml:space="preserve">；</w:t>
            </w:r>
            <w:r/>
          </w:p>
          <w:p>
            <w:pPr>
              <w:pStyle w:val="995"/>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3.所投多功能瀑布流支持选择不同的比对库，包含全部全文比对库、图书全文比对库、非图书全文比对库、法律法规比对库、自建库选择进行检测。</w:t>
            </w:r>
            <w:r/>
          </w:p>
          <w:p>
            <w:pPr>
              <w:pStyle w:val="995"/>
              <w:ind w:firstLine="420"/>
              <w:jc w:val="left"/>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4.所投</w:t>
            </w:r>
            <w:r>
              <w:rPr>
                <w:rFonts w:hint="default" w:ascii="宋体" w:hAnsi="宋体" w:cs="宋体"/>
                <w:color w:val="auto"/>
                <w:szCs w:val="21"/>
                <w:highlight w:val="none"/>
                <w:lang w:val="en-US" w:eastAsia="zh-CN"/>
              </w:rPr>
              <w:t xml:space="preserve">录播主机内置降噪功能，强度可选择高、中、低、自定义四个选项。支持从高级管理界面自定义参数100级AI降噪和传统降噪等级设置</w:t>
            </w:r>
            <w:r>
              <w:rPr>
                <w:rFonts w:hint="eastAsia" w:ascii="宋体" w:hAnsi="宋体" w:cs="宋体"/>
                <w:color w:val="auto"/>
                <w:szCs w:val="21"/>
                <w:highlight w:val="none"/>
                <w:lang w:val="en-US" w:eastAsia="zh-CN"/>
              </w:rPr>
              <w:t xml:space="preserve">。</w:t>
            </w:r>
            <w:r/>
          </w:p>
        </w:tc>
      </w:tr>
      <w:tr>
        <w:trPr>
          <w:jc w:val="center"/>
          <w:trHeight w:val="794"/>
        </w:trPr>
        <w:tc>
          <w:tcPr>
            <w:tcW w:w="1242" w:type="dxa"/>
            <w:vAlign w:val="center"/>
            <w:textDirection w:val="lrTb"/>
            <w:noWrap w:val="false"/>
          </w:tcPr>
          <w:p>
            <w:pPr>
              <w:pStyle w:val="99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 绩</w:t>
            </w:r>
            <w:r/>
          </w:p>
          <w:p>
            <w:pPr>
              <w:pStyle w:val="99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tc>
        <w:tc>
          <w:tcPr>
            <w:tcMar>
              <w:left w:w="108" w:type="dxa"/>
              <w:top w:w="0" w:type="dxa"/>
              <w:right w:w="108" w:type="dxa"/>
              <w:bottom w:w="0" w:type="dxa"/>
            </w:tcMar>
            <w:tcW w:w="8060" w:type="dxa"/>
            <w:vAlign w:val="top"/>
            <w:textDirection w:val="lrTb"/>
            <w:noWrap w:val="false"/>
          </w:tcPr>
          <w:p>
            <w:pPr>
              <w:pStyle w:val="995"/>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投标人自20</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年1月1日以来承担过的类似项目业绩，每有一个得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分，满分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分。（提供业绩合同</w:t>
            </w:r>
            <w:r>
              <w:rPr>
                <w:rFonts w:hint="eastAsia" w:ascii="宋体" w:hAnsi="宋体" w:cs="宋体"/>
                <w:color w:val="auto"/>
                <w:szCs w:val="21"/>
                <w:highlight w:val="none"/>
                <w:lang w:val="en-US" w:eastAsia="zh-CN"/>
              </w:rPr>
              <w:t xml:space="preserve">原件扫描上传</w:t>
            </w:r>
            <w:r>
              <w:rPr>
                <w:rFonts w:hint="eastAsia" w:ascii="宋体" w:hAnsi="宋体" w:cs="宋体"/>
                <w:color w:val="auto"/>
                <w:szCs w:val="21"/>
                <w:highlight w:val="none"/>
              </w:rPr>
              <w:t xml:space="preserve">）</w:t>
            </w:r>
            <w:r/>
          </w:p>
        </w:tc>
      </w:tr>
    </w:tbl>
    <w:p>
      <w:pPr>
        <w:rPr>
          <w:rFonts w:hint="default"/>
          <w:color w:val="auto"/>
          <w:highlight w:val="none"/>
          <w:lang w:val="en-US" w:eastAsia="zh-CN"/>
        </w:rPr>
      </w:pPr>
      <w:r>
        <w:rPr>
          <w:rFonts w:hint="default"/>
          <w:color w:val="auto"/>
          <w:highlight w:val="none"/>
          <w:lang w:val="en-US" w:eastAsia="zh-CN"/>
        </w:rPr>
      </w:r>
      <w:r/>
    </w:p>
    <w:p>
      <w:pPr>
        <w:rPr>
          <w:color w:val="auto"/>
          <w:highlight w:val="none"/>
        </w:rPr>
      </w:pPr>
      <w:r>
        <w:rPr>
          <w:color w:val="auto"/>
          <w:highlight w:val="none"/>
        </w:rPr>
      </w:r>
      <w:r/>
    </w:p>
    <w:p>
      <w:pPr>
        <w:spacing w:line="400" w:lineRule="exact"/>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：1、评委应对以上各得分项独立评分，投标人最终得分为所有评委评分汇总的平均值。</w:t>
      </w:r>
      <w:r/>
    </w:p>
    <w:p>
      <w:pPr>
        <w:numPr>
          <w:ilvl w:val="0"/>
          <w:numId w:val="0"/>
        </w:numPr>
        <w:ind w:left="422" w:hanging="422"/>
        <w:jc w:val="left"/>
        <w:spacing w:line="400" w:lineRule="exact"/>
        <w:rPr>
          <w:rFonts w:hint="eastAsia" w:ascii="宋体" w:hAnsi="宋体" w:cs="宋体"/>
          <w:color w:val="auto"/>
          <w:highlight w:val="none"/>
        </w:rPr>
      </w:pPr>
      <w:r>
        <w:rPr>
          <w:rFonts w:hint="eastAsia" w:ascii="宋体" w:hAnsi="宋体" w:cs="宋体"/>
          <w:color w:val="auto"/>
          <w:sz w:val="21"/>
          <w:szCs w:val="22"/>
          <w:highlight w:val="none"/>
          <w:lang w:val="en-US" w:eastAsia="zh-CN" w:bidi="ar-SA"/>
        </w:rPr>
        <w:t xml:space="preserve">2</w:t>
      </w:r>
      <w:r>
        <w:rPr>
          <w:rFonts w:hint="eastAsia" w:ascii="宋体" w:hAnsi="宋体" w:eastAsia="宋体" w:cs="宋体"/>
          <w:color w:val="auto"/>
          <w:sz w:val="21"/>
          <w:szCs w:val="22"/>
          <w:highlight w:val="none"/>
          <w:lang w:val="en-US" w:eastAsia="zh-CN" w:bidi="ar-SA"/>
        </w:rPr>
        <w:t xml:space="preserve">、</w:t>
      </w:r>
      <w:r>
        <w:rPr>
          <w:rFonts w:hint="eastAsia" w:ascii="宋体" w:hAnsi="宋体" w:cs="宋体"/>
          <w:color w:val="auto"/>
          <w:highlight w:val="none"/>
        </w:rPr>
        <w:t xml:space="preserve">以上参与评分的相关证书、合同等其他证明材料，均须以原件扫描件形式上传，否则</w:t>
      </w:r>
      <w:r>
        <w:rPr>
          <w:rFonts w:hint="eastAsia" w:ascii="宋体" w:hAnsi="宋体" w:cs="宋体"/>
          <w:color w:val="auto"/>
          <w:highlight w:val="none"/>
          <w:lang w:val="en-US" w:eastAsia="zh-CN"/>
        </w:rPr>
        <w:t xml:space="preserve">不</w:t>
      </w:r>
      <w:r>
        <w:rPr>
          <w:rFonts w:hint="eastAsia" w:ascii="宋体" w:hAnsi="宋体" w:cs="宋体"/>
          <w:color w:val="auto"/>
          <w:highlight w:val="none"/>
        </w:rPr>
        <w:t xml:space="preserve">得分。</w:t>
      </w:r>
      <w:r/>
    </w:p>
    <w:p>
      <w:pPr>
        <w:numPr>
          <w:ilvl w:val="0"/>
          <w:numId w:val="9"/>
        </w:numPr>
        <w:ind w:left="0" w:firstLine="0"/>
        <w:jc w:val="left"/>
        <w:spacing w:line="400" w:lineRule="exact"/>
        <w:rPr>
          <w:rFonts w:hint="eastAsia"/>
          <w:color w:val="auto"/>
          <w:highlight w:val="none"/>
        </w:rPr>
      </w:pPr>
      <w:r>
        <w:rPr>
          <w:rFonts w:hint="eastAsia"/>
          <w:color w:val="auto"/>
          <w:highlight w:val="none"/>
        </w:rPr>
        <w:br w:type="page" w:clear="all"/>
      </w:r>
      <w:r/>
    </w:p>
    <w:p>
      <w:pPr>
        <w:keepLines w:val="0"/>
        <w:keepNext w:val="0"/>
        <w:pageBreakBefore w:val="0"/>
        <w:spacing w:line="360" w:lineRule="auto"/>
        <w:rPr>
          <w:rFonts w:hint="eastAsia"/>
          <w:color w:val="auto"/>
          <w:highlight w:val="none"/>
        </w:rPr>
      </w:pPr>
      <w:r>
        <w:rPr>
          <w:rFonts w:hint="eastAsia"/>
          <w:color w:val="auto"/>
          <w:highlight w:val="none"/>
        </w:rPr>
      </w:r>
      <w:r/>
    </w:p>
    <w:p>
      <w:pPr>
        <w:pStyle w:val="781"/>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58" w:name="_Toc9166"/>
      <w:r>
        <w:rPr>
          <w:rFonts w:hint="eastAsia" w:ascii="宋体" w:hAnsi="宋体" w:eastAsia="宋体" w:cs="Times New Roman"/>
          <w:b/>
          <w:bCs/>
          <w:color w:val="auto"/>
          <w:sz w:val="36"/>
          <w:szCs w:val="36"/>
          <w:highlight w:val="none"/>
          <w:lang w:val="en-US" w:eastAsia="zh-CN"/>
        </w:rPr>
        <w:t xml:space="preserve">第六章 投标文件格式</w:t>
      </w:r>
      <w:bookmarkEnd w:id="58"/>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807"/>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807"/>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pStyle w:val="807"/>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82"/>
        <w:numPr>
          <w:ilvl w:val="0"/>
          <w:numId w:val="10"/>
        </w:numPr>
        <w:spacing w:line="360" w:lineRule="auto"/>
        <w:rPr>
          <w:rFonts w:hint="eastAsia" w:asciiTheme="minorEastAsia" w:hAnsiTheme="minorEastAsia" w:eastAsiaTheme="minorEastAsia"/>
          <w:color w:val="auto"/>
          <w:sz w:val="32"/>
          <w:highlight w:val="none"/>
        </w:rPr>
      </w:pPr>
      <w:r>
        <w:rPr>
          <w:rFonts w:hint="eastAsia" w:ascii="宋体" w:hAnsi="宋体"/>
          <w:color w:val="auto"/>
          <w:sz w:val="32"/>
          <w:szCs w:val="32"/>
          <w:highlight w:val="none"/>
        </w:rPr>
        <w:br w:type="page" w:clear="all"/>
      </w:r>
      <w:bookmarkStart w:id="59" w:name="_Toc9167"/>
      <w:r/>
      <w:bookmarkStart w:id="60" w:name="_Toc7159"/>
      <w:r>
        <w:rPr>
          <w:rFonts w:hint="eastAsia" w:asciiTheme="minorEastAsia" w:hAnsiTheme="minorEastAsia" w:eastAsiaTheme="minorEastAsia"/>
          <w:color w:val="auto"/>
          <w:sz w:val="32"/>
          <w:highlight w:val="none"/>
        </w:rPr>
        <w:t xml:space="preserve">资格审查响应对照表</w:t>
      </w:r>
      <w:bookmarkEnd w:id="59"/>
      <w:r/>
      <w:bookmarkEnd w:id="60"/>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i/>
                <w:iCs/>
                <w:color w:val="auto"/>
                <w:szCs w:val="21"/>
                <w:highlight w:val="none"/>
                <w:u w:val="single"/>
                <w:lang w:val="en-US" w:eastAsia="zh-C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w:t>
            </w:r>
            <w:r/>
          </w:p>
        </w:tc>
        <w:tc>
          <w:tcPr>
            <w:tcW w:w="5447" w:type="dxa"/>
            <w:vAlign w:val="center"/>
            <w:textDirection w:val="lrTb"/>
            <w:noWrap w:val="false"/>
          </w:tcPr>
          <w:p>
            <w:pPr>
              <w:jc w:val="left"/>
              <w:keepLines w:val="0"/>
              <w:keepNext w:val="0"/>
              <w:pageBreakBefore w:val="0"/>
              <w:spacing w:line="360" w:lineRule="auto"/>
              <w:widowControl w:val="off"/>
              <w:rPr>
                <w:rFonts w:hint="eastAsia" w:ascii="宋体" w:hAnsi="宋体"/>
                <w:iCs/>
                <w:color w:val="auto"/>
                <w:sz w:val="21"/>
                <w:szCs w:val="21"/>
                <w:highlight w:val="none"/>
              </w:rPr>
            </w:pPr>
            <w:r>
              <w:rPr>
                <w:rFonts w:hint="eastAsia" w:ascii="宋体" w:hAnsi="宋体"/>
                <w:iCs/>
                <w:color w:val="auto"/>
                <w:sz w:val="21"/>
                <w:szCs w:val="21"/>
                <w:highlight w:val="none"/>
              </w:rPr>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807"/>
        <w:rPr>
          <w:color w:val="auto"/>
          <w:highlight w:val="none"/>
        </w:rPr>
      </w:pPr>
      <w:r>
        <w:rPr>
          <w:color w:val="auto"/>
          <w:highlight w:val="none"/>
        </w:rPr>
      </w:r>
      <w:r/>
    </w:p>
    <w:p>
      <w:pPr>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keepLines w:val="0"/>
        <w:keepNext w:val="0"/>
        <w:pageBreakBefore w:val="0"/>
        <w:spacing w:before="157" w:after="157" w:line="360" w:lineRule="auto"/>
        <w:widowControl w:val="off"/>
        <w:rPr>
          <w:rFonts w:ascii="Times New Roman" w:hAnsi="Times New Roman"/>
          <w:color w:val="auto"/>
          <w:sz w:val="28"/>
          <w:szCs w:val="28"/>
          <w:highlight w:val="none"/>
        </w:rPr>
      </w:pPr>
      <w:r>
        <w:rPr>
          <w:rFonts w:ascii="宋体" w:hAnsi="宋体"/>
          <w:b/>
          <w:color w:val="auto"/>
          <w:sz w:val="28"/>
          <w:szCs w:val="28"/>
          <w:highlight w:val="none"/>
        </w:rPr>
        <w:t xml:space="preserve">基本资格条件承诺函</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973"/>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97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7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7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7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7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73"/>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73"/>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73"/>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73"/>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7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7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7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7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7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7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7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7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74"/>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7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7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974"/>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74"/>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974"/>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974"/>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974"/>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974"/>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Cs/>
          <w:color w:val="auto"/>
          <w:highlight w:val="none"/>
        </w:rPr>
        <w:t xml:space="preserve">被授权人身份证复印件</w:t>
      </w:r>
      <w:r/>
    </w:p>
    <w:p>
      <w:pPr>
        <w:pStyle w:val="782"/>
        <w:spacing w:line="360" w:lineRule="auto"/>
        <w:rPr>
          <w:rFonts w:asciiTheme="minorEastAsia" w:hAnsiTheme="minorEastAsia" w:eastAsiaTheme="minorEastAsia"/>
          <w:color w:val="auto"/>
          <w:sz w:val="32"/>
          <w:highlight w:val="none"/>
        </w:rPr>
      </w:pPr>
      <w:r/>
      <w:bookmarkStart w:id="61" w:name="_Toc13313"/>
      <w:r/>
      <w:bookmarkStart w:id="62" w:name="_Toc27055"/>
      <w:r>
        <w:rPr>
          <w:rFonts w:hint="eastAsia" w:asciiTheme="minorEastAsia" w:hAnsiTheme="minorEastAsia" w:eastAsiaTheme="minorEastAsia"/>
          <w:color w:val="auto"/>
          <w:sz w:val="32"/>
          <w:highlight w:val="none"/>
        </w:rPr>
        <w:t xml:space="preserve">二、符合性审查响应对照表</w:t>
      </w:r>
      <w:bookmarkEnd w:id="61"/>
      <w:r/>
      <w:bookmarkEnd w:id="62"/>
      <w:r/>
      <w:r/>
    </w:p>
    <w:tbl>
      <w:tblPr>
        <w:tblStyle w:val="791"/>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782"/>
        <w:spacing w:line="360" w:lineRule="auto"/>
        <w:rPr>
          <w:rFonts w:hint="eastAsia" w:asciiTheme="minorEastAsia" w:hAnsiTheme="minorEastAsia" w:eastAsiaTheme="minorEastAsia"/>
          <w:color w:val="auto"/>
          <w:sz w:val="32"/>
          <w:highlight w:val="none"/>
        </w:rPr>
      </w:pPr>
      <w:r/>
      <w:bookmarkStart w:id="63" w:name="_Toc17600"/>
      <w:r/>
      <w:bookmarkStart w:id="64" w:name="_Toc30257"/>
      <w:r/>
      <w:r/>
    </w:p>
    <w:p>
      <w:pPr>
        <w:pStyle w:val="782"/>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三、非实质性响应对照表</w:t>
      </w:r>
      <w:bookmarkEnd w:id="63"/>
      <w:r/>
      <w:bookmarkEnd w:id="64"/>
      <w:r/>
      <w:r/>
    </w:p>
    <w:tbl>
      <w:tblPr>
        <w:tblStyle w:val="791"/>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82"/>
        <w:jc w:val="center"/>
        <w:spacing w:before="300" w:after="300" w:line="360" w:lineRule="auto"/>
        <w:widowControl/>
        <w:rPr>
          <w:rFonts w:ascii="宋体" w:hAnsi="宋体"/>
          <w:color w:val="auto"/>
          <w:sz w:val="21"/>
          <w:szCs w:val="21"/>
          <w:highlight w:val="none"/>
        </w:rPr>
      </w:pPr>
      <w:r/>
      <w:bookmarkStart w:id="65" w:name="_Toc14516"/>
      <w:r/>
      <w:bookmarkStart w:id="66" w:name="_Toc29667"/>
      <w:r/>
      <w:bookmarkStart w:id="67" w:name="_Toc20920"/>
      <w:r>
        <w:rPr>
          <w:rFonts w:hint="eastAsia" w:ascii="宋体" w:hAnsi="宋体" w:cs="微软雅黑"/>
          <w:bCs w:val="0"/>
          <w:color w:val="auto"/>
          <w:sz w:val="21"/>
          <w:szCs w:val="21"/>
          <w:highlight w:val="none"/>
        </w:rPr>
        <w:t xml:space="preserve">中小微企业划型标准 </w:t>
      </w:r>
      <w:bookmarkEnd w:id="65"/>
      <w:r/>
      <w:bookmarkEnd w:id="66"/>
      <w:r/>
      <w:bookmarkEnd w:id="67"/>
      <w:r/>
      <w:r/>
    </w:p>
    <w:p>
      <w:pPr>
        <w:pStyle w:val="815"/>
        <w:ind w:firstLine="420"/>
        <w:keepLines w:val="0"/>
        <w:keepNext w:val="0"/>
        <w:pageBreakBefore w:val="0"/>
        <w:spacing w:before="300" w:after="212" w:line="360" w:lineRule="auto"/>
        <w:widowControl/>
        <w:rPr>
          <w:rStyle w:val="819"/>
          <w:rFonts w:hint="eastAsia" w:ascii="宋体" w:hAnsi="宋体" w:cs="仿宋"/>
          <w:color w:val="auto"/>
          <w:sz w:val="21"/>
          <w:szCs w:val="21"/>
          <w:highlight w:val="none"/>
        </w:rPr>
      </w:pPr>
      <w:r>
        <w:rPr>
          <w:rStyle w:val="819"/>
          <w:rFonts w:hint="eastAsia" w:ascii="宋体" w:hAnsi="宋体" w:cs="仿宋"/>
          <w:color w:val="auto"/>
          <w:sz w:val="21"/>
          <w:szCs w:val="21"/>
          <w:highlight w:val="none"/>
        </w:rPr>
        <w:t xml:space="preserve">中小微企业划型标准如下：</w:t>
      </w:r>
      <w:r/>
    </w:p>
    <w:tbl>
      <w:tblPr>
        <w:tblStyle w:val="791"/>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815"/>
        <w:ind w:firstLine="420"/>
        <w:spacing w:before="300" w:after="452" w:line="360" w:lineRule="auto"/>
        <w:widowControl/>
        <w:rPr>
          <w:rStyle w:val="819"/>
          <w:rFonts w:cs="仿宋"/>
          <w:b w:val="0"/>
          <w:color w:val="auto"/>
          <w:sz w:val="21"/>
          <w:szCs w:val="21"/>
          <w:highlight w:val="none"/>
        </w:rPr>
      </w:pPr>
      <w:r>
        <w:rPr>
          <w:rStyle w:val="819"/>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19"/>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82"/>
        <w:spacing w:line="360" w:lineRule="auto"/>
        <w:rPr>
          <w:rFonts w:asciiTheme="minorEastAsia" w:hAnsiTheme="minorEastAsia" w:eastAsiaTheme="minorEastAsia"/>
          <w:color w:val="auto"/>
          <w:sz w:val="32"/>
          <w:highlight w:val="none"/>
        </w:rPr>
      </w:pPr>
      <w:r/>
      <w:bookmarkStart w:id="68" w:name="_Toc26139"/>
      <w:r/>
      <w:bookmarkStart w:id="69" w:name="_Toc27571"/>
      <w:r>
        <w:rPr>
          <w:rFonts w:hint="eastAsia" w:asciiTheme="minorEastAsia" w:hAnsiTheme="minorEastAsia" w:eastAsiaTheme="minorEastAsia"/>
          <w:color w:val="auto"/>
          <w:sz w:val="32"/>
          <w:highlight w:val="none"/>
        </w:rPr>
        <w:t xml:space="preserve">四、开标一览表</w:t>
      </w:r>
      <w:bookmarkEnd w:id="68"/>
      <w:r/>
      <w:bookmarkEnd w:id="69"/>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91"/>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9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73"/>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73"/>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73"/>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92"/>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92"/>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82"/>
        <w:spacing w:line="360" w:lineRule="auto"/>
        <w:rPr>
          <w:rFonts w:asciiTheme="minorEastAsia" w:hAnsiTheme="minorEastAsia" w:eastAsiaTheme="minorEastAsia"/>
          <w:color w:val="auto"/>
          <w:sz w:val="32"/>
          <w:highlight w:val="none"/>
        </w:rPr>
      </w:pPr>
      <w:r/>
      <w:bookmarkStart w:id="70" w:name="_Toc25042"/>
      <w:r/>
      <w:bookmarkStart w:id="71" w:name="_Toc12991"/>
      <w:r>
        <w:rPr>
          <w:rFonts w:hint="eastAsia" w:asciiTheme="minorEastAsia" w:hAnsiTheme="minorEastAsia" w:eastAsiaTheme="minorEastAsia"/>
          <w:color w:val="auto"/>
          <w:sz w:val="32"/>
          <w:highlight w:val="none"/>
        </w:rPr>
        <w:t xml:space="preserve">五、投标产品配置及分项报价表</w:t>
      </w:r>
      <w:bookmarkEnd w:id="70"/>
      <w:r/>
      <w:bookmarkEnd w:id="71"/>
      <w:r/>
      <w:r/>
    </w:p>
    <w:tbl>
      <w:tblPr>
        <w:tblStyle w:val="791"/>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206"/>
        <w:gridCol w:w="776"/>
        <w:gridCol w:w="1168"/>
        <w:gridCol w:w="665"/>
        <w:gridCol w:w="1130"/>
        <w:gridCol w:w="1130"/>
        <w:gridCol w:w="1391"/>
        <w:gridCol w:w="1371"/>
      </w:tblGrid>
      <w:tr>
        <w:trPr>
          <w:cantSplit/>
          <w:jc w:val="center"/>
          <w:trHeight w:val="397"/>
        </w:trPr>
        <w:tc>
          <w:tcPr>
            <w:gridSpan w:val="9"/>
            <w:tcW w:w="10079"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项目名称：</w:t>
            </w:r>
            <w:r/>
          </w:p>
          <w:p>
            <w:pPr>
              <w:pStyle w:val="783"/>
              <w:rPr>
                <w:rFonts w:hint="default"/>
                <w:color w:val="auto"/>
                <w:highlight w:val="none"/>
                <w:lang w:val="en-US" w:eastAsia="zh-CN"/>
              </w:rPr>
            </w:pPr>
            <w:r>
              <w:rPr>
                <w:rFonts w:hint="eastAsia" w:ascii="微软雅黑" w:hAnsi="微软雅黑" w:eastAsia="微软雅黑" w:cs="微软雅黑"/>
                <w:b/>
                <w:bCs/>
                <w:i w:val="0"/>
                <w:iCs w:val="0"/>
                <w:color w:val="auto"/>
                <w:sz w:val="20"/>
                <w:szCs w:val="20"/>
                <w:highlight w:val="none"/>
                <w:u w:val="none"/>
                <w:lang w:val="en-US" w:eastAsia="zh-CN" w:bidi="ar"/>
              </w:rPr>
              <w:t xml:space="preserve">包号：</w:t>
            </w:r>
            <w:r/>
          </w:p>
        </w:tc>
      </w:tr>
      <w:tr>
        <w:trPr>
          <w:cantSplit/>
          <w:jc w:val="center"/>
          <w:trHeight w:val="1014"/>
        </w:trPr>
        <w:tc>
          <w:tcPr>
            <w:tcW w:w="1242"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序号</w:t>
            </w:r>
            <w:r/>
          </w:p>
        </w:tc>
        <w:tc>
          <w:tcPr>
            <w:tcW w:w="1206"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物料名称</w:t>
            </w:r>
            <w:r/>
          </w:p>
        </w:tc>
        <w:tc>
          <w:tcPr>
            <w:tcW w:w="776"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品牌</w:t>
            </w:r>
            <w:r/>
          </w:p>
        </w:tc>
        <w:tc>
          <w:tcPr>
            <w:tcW w:w="1168"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材质或技术参数描述</w:t>
            </w:r>
            <w:r/>
          </w:p>
        </w:tc>
        <w:tc>
          <w:tcPr>
            <w:tcW w:w="665"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数量</w:t>
            </w:r>
            <w:r/>
          </w:p>
        </w:tc>
        <w:tc>
          <w:tcPr>
            <w:tcW w:w="1130"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单位</w:t>
            </w:r>
            <w:r/>
          </w:p>
        </w:tc>
        <w:tc>
          <w:tcPr>
            <w:tcW w:w="1130"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单价（元）</w:t>
            </w:r>
            <w:r/>
          </w:p>
        </w:tc>
        <w:tc>
          <w:tcPr>
            <w:tcW w:w="1391"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总价（元）</w:t>
            </w:r>
            <w:r/>
          </w:p>
        </w:tc>
        <w:tc>
          <w:tcPr>
            <w:tcW w:w="1371" w:type="dxa"/>
            <w:vAlign w:val="center"/>
            <w:textDirection w:val="lrTb"/>
            <w:noWrap w:val="false"/>
          </w:tcPr>
          <w:p>
            <w:pPr>
              <w:jc w:val="center"/>
              <w:keepLines w:val="0"/>
              <w:keepNext w:val="0"/>
              <w:widowControl/>
              <w:rPr>
                <w:rFonts w:hint="default"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备注</w:t>
            </w:r>
            <w:r/>
          </w:p>
        </w:tc>
      </w:tr>
      <w:tr>
        <w:trPr>
          <w:cantSplit/>
          <w:jc w:val="center"/>
          <w:trHeight w:val="408"/>
        </w:trPr>
        <w:tc>
          <w:tcPr>
            <w:tcW w:w="1242"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408"/>
        </w:trPr>
        <w:tc>
          <w:tcPr>
            <w:tcW w:w="1242"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408"/>
        </w:trPr>
        <w:tc>
          <w:tcPr>
            <w:tcW w:w="1242"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610"/>
        </w:trPr>
        <w:tc>
          <w:tcPr>
            <w:tcW w:w="1242"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合计</w:t>
            </w:r>
            <w:r/>
          </w:p>
        </w:tc>
        <w:tc>
          <w:tcPr>
            <w:gridSpan w:val="5"/>
            <w:tcW w:w="4945"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w:t>
            </w:r>
            <w:r/>
          </w:p>
        </w:tc>
        <w:tc>
          <w:tcPr>
            <w:tcW w:w="1130"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708"/>
        </w:trPr>
        <w:tc>
          <w:tcPr>
            <w:gridSpan w:val="9"/>
            <w:tcW w:w="10079" w:type="dxa"/>
            <w:vAlign w:val="center"/>
            <w:textDirection w:val="lrTb"/>
            <w:noWrap w:val="false"/>
          </w:tcPr>
          <w:p>
            <w:pPr>
              <w:jc w:val="left"/>
              <w:spacing w:line="360" w:lineRule="auto"/>
              <w:rPr>
                <w:rFonts w:hint="eastAsia" w:ascii="宋体" w:hAnsi="宋体" w:eastAsia="宋体"/>
                <w:color w:val="auto"/>
                <w:szCs w:val="21"/>
                <w:highlight w:val="none"/>
                <w:lang w:val="en-US"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auto"/>
                <w:sz w:val="24"/>
                <w:szCs w:val="24"/>
                <w:highlight w:val="none"/>
                <w:lang w:eastAsia="zh-CN"/>
              </w:rPr>
              <w:t xml:space="preserve">）</w:t>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w:t>
      </w:r>
      <w:r/>
    </w:p>
    <w:p>
      <w:pPr>
        <w:pStyle w:val="815"/>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5"/>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5"/>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21"/>
          <w:rFonts w:hint="eastAsia" w:ascii="宋体" w:hAnsi="宋体" w:eastAsia="宋体" w:cs="宋体"/>
          <w:i w:val="0"/>
          <w:color w:val="auto"/>
          <w:sz w:val="24"/>
          <w:szCs w:val="24"/>
          <w:highlight w:val="none"/>
          <w:u w:val="single"/>
          <w:shd w:val="clear" w:color="auto" w:fill="ffffff"/>
        </w:rPr>
        <w:t xml:space="preserve">（产品名称1）</w:t>
      </w:r>
      <w:r>
        <w:rPr>
          <w:rStyle w:val="821"/>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21"/>
          <w:rFonts w:hint="eastAsia" w:ascii="宋体" w:hAnsi="宋体" w:eastAsia="宋体" w:cs="宋体"/>
          <w:i w:val="0"/>
          <w:color w:val="auto"/>
          <w:sz w:val="24"/>
          <w:szCs w:val="24"/>
          <w:highlight w:val="none"/>
          <w:u w:val="single"/>
          <w:shd w:val="clear" w:color="auto" w:fill="ffffff"/>
        </w:rPr>
        <w:t xml:space="preserve">（厂名）</w:t>
      </w:r>
      <w:r>
        <w:rPr>
          <w:rStyle w:val="82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2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21"/>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21"/>
          <w:rFonts w:hint="eastAsia" w:ascii="宋体" w:hAnsi="宋体" w:eastAsia="宋体" w:cs="宋体"/>
          <w:i w:val="0"/>
          <w:color w:val="auto"/>
          <w:sz w:val="24"/>
          <w:szCs w:val="24"/>
          <w:highlight w:val="none"/>
          <w:u w:val="single"/>
          <w:shd w:val="clear" w:color="auto" w:fill="ffffff"/>
        </w:rPr>
        <w:t xml:space="preserve">（规定比例）</w:t>
      </w:r>
      <w:r>
        <w:rPr>
          <w:rStyle w:val="82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2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21"/>
          <w:rFonts w:hint="eastAsia" w:ascii="宋体" w:hAnsi="宋体" w:eastAsia="宋体" w:cs="宋体"/>
          <w:i w:val="0"/>
          <w:color w:val="auto"/>
          <w:sz w:val="24"/>
          <w:szCs w:val="24"/>
          <w:highlight w:val="none"/>
          <w:u w:val="single"/>
          <w:shd w:val="clear" w:color="auto" w:fill="ffffff"/>
        </w:rPr>
        <w:t xml:space="preserve">（关键组件）</w:t>
      </w:r>
      <w:r>
        <w:rPr>
          <w:rStyle w:val="82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2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21"/>
          <w:rFonts w:hint="eastAsia" w:ascii="宋体" w:hAnsi="宋体" w:eastAsia="宋体" w:cs="宋体"/>
          <w:i w:val="0"/>
          <w:color w:val="auto"/>
          <w:sz w:val="24"/>
          <w:szCs w:val="24"/>
          <w:highlight w:val="none"/>
          <w:u w:val="single"/>
          <w:shd w:val="clear" w:color="auto" w:fill="ffffff"/>
        </w:rPr>
        <w:t xml:space="preserve">（关键工序）</w:t>
      </w:r>
      <w:r>
        <w:rPr>
          <w:rStyle w:val="82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15"/>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1552;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82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21"/>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2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2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21"/>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2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21"/>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2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21"/>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15"/>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15"/>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15"/>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5"/>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15"/>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15"/>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15"/>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15"/>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15"/>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15"/>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widowControl/>
        <w:rPr>
          <w:rFonts w:ascii="宋体" w:hAnsi="宋体" w:cs="Arial"/>
          <w:b/>
          <w:bCs/>
          <w:color w:val="auto"/>
          <w:highlight w:val="none"/>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Theme="minorEastAsia" w:hAnsiTheme="minorEastAsia" w:eastAsiaTheme="minorEastAsia"/>
          <w:color w:val="auto"/>
          <w:sz w:val="32"/>
          <w:szCs w:val="32"/>
          <w:highlight w:val="none"/>
        </w:rPr>
      </w:pPr>
      <w:r>
        <w:rPr>
          <w:color w:val="auto"/>
          <w:highlight w:val="none"/>
        </w:rPr>
        <w:br w:type="page" w:clear="all"/>
      </w:r>
      <w:r/>
    </w:p>
    <w:p>
      <w:pPr>
        <w:pStyle w:val="782"/>
        <w:spacing w:line="360" w:lineRule="auto"/>
        <w:rPr>
          <w:rFonts w:asciiTheme="minorEastAsia" w:hAnsiTheme="minorEastAsia" w:eastAsiaTheme="minorEastAsia"/>
          <w:color w:val="auto"/>
          <w:highlight w:val="none"/>
        </w:rPr>
      </w:pPr>
      <w:r/>
      <w:bookmarkStart w:id="72" w:name="_Toc24330"/>
      <w:r/>
      <w:bookmarkStart w:id="73" w:name="_Toc8605"/>
      <w:r>
        <w:rPr>
          <w:rFonts w:hint="eastAsia" w:asciiTheme="minorEastAsia" w:hAnsiTheme="minorEastAsia" w:eastAsiaTheme="minorEastAsia"/>
          <w:color w:val="auto"/>
          <w:sz w:val="32"/>
          <w:highlight w:val="none"/>
        </w:rPr>
        <w:t xml:space="preserve">六、技术参数响应及偏离表</w:t>
      </w:r>
      <w:bookmarkEnd w:id="72"/>
      <w:r/>
      <w:bookmarkEnd w:id="73"/>
      <w:r/>
      <w:r/>
    </w:p>
    <w:tbl>
      <w:tblPr>
        <w:tblStyle w:val="791"/>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74" w:name="_Hlt26955054"/>
      <w:r/>
      <w:bookmarkEnd w:id="74"/>
      <w:r/>
      <w:bookmarkStart w:id="75" w:name="_Toc6354"/>
      <w:r>
        <w:rPr>
          <w:rFonts w:hint="eastAsia" w:asciiTheme="minorEastAsia" w:hAnsiTheme="minorEastAsia" w:eastAsiaTheme="minorEastAsia"/>
          <w:color w:val="auto"/>
          <w:sz w:val="32"/>
          <w:highlight w:val="none"/>
        </w:rPr>
        <w:br w:type="page" w:clear="all"/>
      </w:r>
      <w:r/>
    </w:p>
    <w:p>
      <w:pPr>
        <w:pStyle w:val="782"/>
        <w:spacing w:line="360" w:lineRule="auto"/>
        <w:rPr>
          <w:rFonts w:asciiTheme="minorEastAsia" w:hAnsiTheme="minorEastAsia" w:eastAsiaTheme="minorEastAsia"/>
          <w:color w:val="auto"/>
          <w:sz w:val="32"/>
          <w:highlight w:val="none"/>
        </w:rPr>
      </w:pPr>
      <w:r/>
      <w:bookmarkStart w:id="76" w:name="_Toc25045"/>
      <w:r>
        <w:rPr>
          <w:rFonts w:hint="eastAsia" w:asciiTheme="minorEastAsia" w:hAnsiTheme="minorEastAsia" w:eastAsiaTheme="minorEastAsia"/>
          <w:color w:val="auto"/>
          <w:sz w:val="32"/>
          <w:highlight w:val="none"/>
        </w:rPr>
        <w:t xml:space="preserve">七、商务条款响应及偏离表</w:t>
      </w:r>
      <w:bookmarkEnd w:id="75"/>
      <w:r/>
      <w:bookmarkEnd w:id="76"/>
      <w:r/>
      <w:r/>
    </w:p>
    <w:tbl>
      <w:tblPr>
        <w:tblStyle w:val="791"/>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77" w:name="_Hlt26955064"/>
            <w:r/>
            <w:bookmarkEnd w:id="77"/>
            <w:r/>
            <w:bookmarkStart w:id="78" w:name="_Hlt26609391"/>
            <w:r/>
            <w:bookmarkEnd w:id="78"/>
            <w:r/>
            <w:bookmarkStart w:id="79" w:name="_Hlt26671372"/>
            <w:r/>
            <w:bookmarkEnd w:id="79"/>
            <w:r/>
            <w:bookmarkStart w:id="80" w:name="_Hlt24879081"/>
            <w:r/>
            <w:bookmarkEnd w:id="80"/>
            <w:r/>
            <w:bookmarkStart w:id="81" w:name="_Hlt26955056"/>
            <w:r/>
            <w:bookmarkEnd w:id="81"/>
            <w:r/>
            <w:bookmarkStart w:id="82" w:name="_Hlt26782999"/>
            <w:r/>
            <w:bookmarkEnd w:id="82"/>
            <w:r/>
            <w:bookmarkStart w:id="83" w:name="_Hlt26580838"/>
            <w:r/>
            <w:bookmarkEnd w:id="83"/>
            <w:r/>
            <w:bookmarkStart w:id="84" w:name="_Hlt26671343"/>
            <w:r/>
            <w:bookmarkEnd w:id="84"/>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92"/>
        <w:ind w:firstLine="480"/>
        <w:spacing w:line="360" w:lineRule="auto"/>
        <w:rPr>
          <w:rFonts w:ascii="宋体" w:hAnsi="宋体"/>
          <w:color w:val="auto"/>
          <w:sz w:val="24"/>
          <w:highlight w:val="none"/>
        </w:rPr>
      </w:pPr>
      <w:r/>
      <w:bookmarkStart w:id="85" w:name="_Hlt26671374"/>
      <w:r/>
      <w:bookmarkEnd w:id="85"/>
      <w:r/>
      <w:bookmarkStart w:id="86" w:name="_Hlt26609389"/>
      <w:r/>
      <w:bookmarkEnd w:id="86"/>
      <w:r/>
      <w:bookmarkStart w:id="87" w:name="_Hlt26955066"/>
      <w:r/>
      <w:bookmarkEnd w:id="87"/>
      <w:r/>
      <w:bookmarkStart w:id="88" w:name="_Toc462564146"/>
      <w:r/>
      <w:r/>
    </w:p>
    <w:p>
      <w:pPr>
        <w:pStyle w:val="792"/>
        <w:ind w:firstLine="480"/>
        <w:spacing w:line="360" w:lineRule="auto"/>
        <w:rPr>
          <w:rFonts w:ascii="宋体" w:hAnsi="宋体"/>
          <w:color w:val="auto"/>
          <w:sz w:val="24"/>
          <w:highlight w:val="none"/>
        </w:rPr>
      </w:pPr>
      <w:r>
        <w:rPr>
          <w:rFonts w:ascii="宋体" w:hAnsi="宋体"/>
          <w:color w:val="auto"/>
          <w:sz w:val="24"/>
          <w:highlight w:val="none"/>
        </w:rPr>
      </w:r>
      <w:r/>
    </w:p>
    <w:p>
      <w:pPr>
        <w:pStyle w:val="792"/>
        <w:ind w:firstLine="480"/>
        <w:spacing w:line="360" w:lineRule="auto"/>
        <w:rPr>
          <w:rFonts w:ascii="宋体" w:hAnsi="宋体"/>
          <w:color w:val="auto"/>
          <w:sz w:val="24"/>
          <w:highlight w:val="none"/>
        </w:rPr>
      </w:pPr>
      <w:r>
        <w:rPr>
          <w:rFonts w:ascii="宋体" w:hAnsi="宋体"/>
          <w:color w:val="auto"/>
          <w:sz w:val="24"/>
          <w:highlight w:val="none"/>
        </w:rPr>
      </w:r>
      <w:r/>
    </w:p>
    <w:p>
      <w:pPr>
        <w:pStyle w:val="792"/>
        <w:ind w:firstLine="480"/>
        <w:spacing w:line="360" w:lineRule="auto"/>
        <w:rPr>
          <w:rFonts w:ascii="宋体" w:hAnsi="宋体"/>
          <w:color w:val="auto"/>
          <w:sz w:val="24"/>
          <w:highlight w:val="none"/>
        </w:rPr>
      </w:pPr>
      <w:r>
        <w:rPr>
          <w:rFonts w:ascii="宋体" w:hAnsi="宋体"/>
          <w:color w:val="auto"/>
          <w:sz w:val="24"/>
          <w:highlight w:val="none"/>
        </w:rPr>
      </w:r>
      <w:r/>
    </w:p>
    <w:p>
      <w:pPr>
        <w:pStyle w:val="792"/>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792"/>
        <w:ind w:firstLine="480"/>
        <w:spacing w:line="360" w:lineRule="auto"/>
        <w:rPr>
          <w:rFonts w:ascii="宋体" w:hAnsi="宋体"/>
          <w:color w:val="auto"/>
          <w:sz w:val="24"/>
          <w:highlight w:val="none"/>
        </w:rPr>
      </w:pPr>
      <w:r>
        <w:rPr>
          <w:rFonts w:ascii="宋体" w:hAnsi="宋体"/>
          <w:color w:val="auto"/>
          <w:sz w:val="24"/>
          <w:highlight w:val="none"/>
        </w:rPr>
      </w:r>
      <w:r/>
    </w:p>
    <w:p>
      <w:pPr>
        <w:pStyle w:val="792"/>
        <w:ind w:firstLine="480"/>
        <w:spacing w:line="360" w:lineRule="auto"/>
        <w:rPr>
          <w:rFonts w:ascii="宋体" w:hAnsi="宋体"/>
          <w:color w:val="auto"/>
          <w:sz w:val="24"/>
          <w:highlight w:val="none"/>
        </w:rPr>
      </w:pPr>
      <w:r>
        <w:rPr>
          <w:rFonts w:ascii="宋体" w:hAnsi="宋体"/>
          <w:color w:val="auto"/>
          <w:sz w:val="24"/>
          <w:highlight w:val="none"/>
        </w:rPr>
      </w:r>
      <w:r/>
    </w:p>
    <w:p>
      <w:pPr>
        <w:pStyle w:val="792"/>
        <w:ind w:firstLine="480"/>
        <w:spacing w:line="360" w:lineRule="auto"/>
        <w:rPr>
          <w:rFonts w:ascii="宋体" w:hAnsi="宋体"/>
          <w:color w:val="auto"/>
          <w:sz w:val="24"/>
          <w:highlight w:val="none"/>
        </w:rPr>
      </w:pPr>
      <w:r>
        <w:rPr>
          <w:rFonts w:ascii="宋体" w:hAnsi="宋体"/>
          <w:color w:val="auto"/>
          <w:sz w:val="24"/>
          <w:highlight w:val="none"/>
        </w:rPr>
      </w:r>
      <w:r/>
    </w:p>
    <w:p>
      <w:pPr>
        <w:pStyle w:val="792"/>
        <w:ind w:firstLine="480"/>
        <w:spacing w:line="360" w:lineRule="auto"/>
        <w:rPr>
          <w:rFonts w:ascii="宋体" w:hAnsi="宋体"/>
          <w:color w:val="auto"/>
          <w:sz w:val="24"/>
          <w:highlight w:val="none"/>
        </w:rPr>
      </w:pPr>
      <w:r>
        <w:rPr>
          <w:rFonts w:ascii="宋体" w:hAnsi="宋体"/>
          <w:color w:val="auto"/>
          <w:sz w:val="24"/>
          <w:highlight w:val="none"/>
        </w:rPr>
      </w:r>
      <w:r/>
    </w:p>
    <w:p>
      <w:pPr>
        <w:pStyle w:val="792"/>
        <w:ind w:firstLine="480"/>
        <w:spacing w:line="360" w:lineRule="auto"/>
        <w:rPr>
          <w:rFonts w:ascii="宋体" w:hAnsi="宋体"/>
          <w:color w:val="auto"/>
          <w:sz w:val="24"/>
          <w:highlight w:val="none"/>
        </w:rPr>
      </w:pPr>
      <w:r>
        <w:rPr>
          <w:rFonts w:ascii="宋体" w:hAnsi="宋体"/>
          <w:color w:val="auto"/>
          <w:sz w:val="24"/>
          <w:highlight w:val="none"/>
        </w:rPr>
      </w:r>
      <w:r/>
    </w:p>
    <w:p>
      <w:pPr>
        <w:pStyle w:val="792"/>
        <w:ind w:firstLine="480"/>
        <w:spacing w:line="360" w:lineRule="auto"/>
        <w:rPr>
          <w:rFonts w:ascii="宋体" w:hAnsi="宋体"/>
          <w:color w:val="auto"/>
          <w:sz w:val="24"/>
          <w:highlight w:val="none"/>
        </w:rPr>
      </w:pPr>
      <w:r>
        <w:rPr>
          <w:rFonts w:ascii="宋体" w:hAnsi="宋体"/>
          <w:color w:val="auto"/>
          <w:sz w:val="24"/>
          <w:highlight w:val="none"/>
        </w:rPr>
      </w:r>
      <w:r/>
    </w:p>
    <w:p>
      <w:pPr>
        <w:pStyle w:val="792"/>
        <w:ind w:firstLine="480"/>
        <w:spacing w:line="360" w:lineRule="auto"/>
        <w:rPr>
          <w:rFonts w:ascii="宋体" w:hAnsi="宋体"/>
          <w:color w:val="auto"/>
          <w:sz w:val="24"/>
          <w:highlight w:val="none"/>
        </w:rPr>
      </w:pPr>
      <w:r>
        <w:rPr>
          <w:rFonts w:ascii="宋体" w:hAnsi="宋体"/>
          <w:color w:val="auto"/>
          <w:sz w:val="24"/>
          <w:highlight w:val="none"/>
        </w:rPr>
      </w:r>
      <w:r/>
    </w:p>
    <w:p>
      <w:pPr>
        <w:pStyle w:val="792"/>
        <w:ind w:firstLine="480"/>
        <w:spacing w:line="360" w:lineRule="auto"/>
        <w:rPr>
          <w:rFonts w:ascii="宋体" w:hAnsi="宋体"/>
          <w:color w:val="auto"/>
          <w:sz w:val="24"/>
          <w:highlight w:val="none"/>
        </w:rPr>
      </w:pPr>
      <w:r>
        <w:rPr>
          <w:rFonts w:ascii="宋体" w:hAnsi="宋体"/>
          <w:color w:val="auto"/>
          <w:sz w:val="24"/>
          <w:highlight w:val="none"/>
        </w:rPr>
      </w:r>
      <w:r/>
    </w:p>
    <w:p>
      <w:pPr>
        <w:pStyle w:val="792"/>
        <w:ind w:firstLine="480"/>
        <w:spacing w:line="360" w:lineRule="auto"/>
        <w:rPr>
          <w:rFonts w:ascii="宋体" w:hAnsi="宋体"/>
          <w:color w:val="auto"/>
          <w:sz w:val="24"/>
          <w:highlight w:val="none"/>
        </w:rPr>
      </w:pPr>
      <w:r>
        <w:rPr>
          <w:rFonts w:ascii="宋体" w:hAnsi="宋体"/>
          <w:color w:val="auto"/>
          <w:sz w:val="24"/>
          <w:highlight w:val="none"/>
        </w:rPr>
      </w:r>
      <w:r/>
    </w:p>
    <w:p>
      <w:pPr>
        <w:pStyle w:val="792"/>
        <w:ind w:firstLine="480"/>
        <w:spacing w:line="360" w:lineRule="auto"/>
        <w:rPr>
          <w:rFonts w:ascii="宋体" w:hAnsi="宋体"/>
          <w:color w:val="auto"/>
          <w:sz w:val="24"/>
          <w:highlight w:val="none"/>
        </w:rPr>
      </w:pPr>
      <w:r>
        <w:rPr>
          <w:rFonts w:ascii="宋体" w:hAnsi="宋体"/>
          <w:color w:val="auto"/>
          <w:sz w:val="24"/>
          <w:highlight w:val="none"/>
        </w:rPr>
      </w:r>
      <w:bookmarkEnd w:id="88"/>
      <w:r/>
      <w:r/>
    </w:p>
    <w:p>
      <w:pPr>
        <w:pStyle w:val="792"/>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91"/>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9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08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9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color w:val="auto"/>
          <w:highlight w:val="none"/>
        </w:rPr>
      </w:pPr>
      <w:r>
        <w:rPr>
          <w:color w:val="auto"/>
          <w:highlight w:val="none"/>
        </w:rPr>
      </w:r>
      <w:r/>
    </w:p>
    <w:p>
      <w:pPr>
        <w:jc w:val="left"/>
        <w:spacing w:before="100" w:beforeAutospacing="1" w:after="143"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default">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jc w:val="center"/>
                          </w:pPr>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jc w:val="center"/>
                    </w:pPr>
                    <w:r/>
                    <w:r/>
                  </w:p>
                </w:txbxContent>
              </v:textbox>
            </v:shape>
          </w:pict>
        </mc:Fallback>
      </mc:AlternateContent>
    </w:r>
    <w:r/>
  </w:p>
  <w:p>
    <w:pPr>
      <w:pStyle w:val="8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80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right"/>
      <w:rPr>
        <w:rFonts w:hint="eastAsia" w:ascii="宋体" w:hAnsi="宋体" w:eastAsia="宋体" w:cs="宋体"/>
        <w:lang w:val="en-US" w:eastAsia="zh-CN"/>
      </w:rPr>
    </w:pPr>
    <w:r>
      <w:rPr>
        <w:rFonts w:hint="eastAsia" w:ascii="宋体" w:hAnsi="宋体" w:eastAsia="宋体" w:cs="宋体"/>
        <w:lang w:val="en-US"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right"/>
    </w:pPr>
    <w:r>
      <w:rPr>
        <w:rFonts w:hint="eastAsia" w:ascii="宋体" w:hAnsi="宋体" w:eastAsia="宋体" w:cs="宋体"/>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0"/>
  </w:num>
  <w:num w:numId="4">
    <w:abstractNumId w:val="6"/>
  </w:num>
  <w:num w:numId="5">
    <w:abstractNumId w:val="8"/>
  </w:num>
  <w:num w:numId="6">
    <w:abstractNumId w:val="4"/>
  </w:num>
  <w:num w:numId="7">
    <w:abstractNumId w:val="2"/>
  </w:num>
  <w:num w:numId="8">
    <w:abstractNumId w:val="7"/>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uiPriority w:val="9"/>
    <w:qFormat/>
    <w:pPr>
      <w:keepLines/>
      <w:keepNext/>
      <w:spacing w:before="340" w:after="330" w:line="578" w:lineRule="auto"/>
      <w:outlineLvl w:val="0"/>
    </w:pPr>
    <w:rPr>
      <w:b/>
      <w:bCs/>
      <w:sz w:val="44"/>
      <w:szCs w:val="44"/>
    </w:rPr>
  </w:style>
  <w:style w:type="paragraph" w:styleId="782">
    <w:name w:val="Heading 2"/>
    <w:basedOn w:val="780"/>
    <w:next w:val="79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3">
    <w:name w:val="Heading 3"/>
    <w:basedOn w:val="780"/>
    <w:next w:val="780"/>
    <w:uiPriority w:val="0"/>
    <w:qFormat/>
    <w:pPr>
      <w:keepLines/>
      <w:keepNext/>
      <w:spacing w:before="260" w:after="260" w:line="416" w:lineRule="auto"/>
      <w:outlineLvl w:val="2"/>
    </w:pPr>
    <w:rPr>
      <w:b/>
      <w:bCs/>
      <w:sz w:val="32"/>
      <w:szCs w:val="32"/>
    </w:rPr>
  </w:style>
  <w:style w:type="paragraph" w:styleId="784">
    <w:name w:val="Heading 4"/>
    <w:basedOn w:val="780"/>
    <w:next w:val="780"/>
    <w:link w:val="828"/>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29"/>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3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32"/>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33"/>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Normal Indent"/>
    <w:basedOn w:val="780"/>
    <w:uiPriority w:val="0"/>
    <w:unhideWhenUsed/>
    <w:qFormat/>
    <w:pPr>
      <w:ind w:firstLine="420"/>
    </w:pPr>
  </w:style>
  <w:style w:type="paragraph" w:styleId="793">
    <w:name w:val="toc 7"/>
    <w:basedOn w:val="780"/>
    <w:next w:val="780"/>
    <w:uiPriority w:val="39"/>
    <w:unhideWhenUsed/>
    <w:qFormat/>
    <w:pPr>
      <w:ind w:left="1701" w:right="0" w:firstLine="0"/>
      <w:spacing w:after="57"/>
    </w:pPr>
  </w:style>
  <w:style w:type="paragraph" w:styleId="794">
    <w:name w:val="Caption"/>
    <w:basedOn w:val="780"/>
    <w:next w:val="78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5">
    <w:name w:val="annotation text"/>
    <w:basedOn w:val="780"/>
    <w:uiPriority w:val="0"/>
    <w:qFormat/>
    <w:pPr>
      <w:jc w:val="left"/>
    </w:pPr>
  </w:style>
  <w:style w:type="paragraph" w:styleId="796">
    <w:name w:val="Body Text"/>
    <w:basedOn w:val="780"/>
    <w:uiPriority w:val="0"/>
    <w:qFormat/>
    <w:rPr>
      <w:rFonts w:ascii="楷体_GB2312" w:hAnsi="Arial" w:eastAsia="楷体_GB2312"/>
      <w:sz w:val="28"/>
      <w:szCs w:val="28"/>
    </w:rPr>
  </w:style>
  <w:style w:type="paragraph" w:styleId="797">
    <w:name w:val="Body Text Indent"/>
    <w:basedOn w:val="780"/>
    <w:uiPriority w:val="99"/>
    <w:unhideWhenUsed/>
    <w:qFormat/>
    <w:pPr>
      <w:ind w:left="420"/>
      <w:spacing w:after="120"/>
    </w:pPr>
  </w:style>
  <w:style w:type="paragraph" w:styleId="798">
    <w:name w:val="index 4"/>
    <w:basedOn w:val="780"/>
    <w:next w:val="780"/>
    <w:uiPriority w:val="99"/>
    <w:unhideWhenUsed/>
    <w:qFormat/>
    <w:pPr>
      <w:ind w:left="600"/>
    </w:pPr>
    <w:rPr>
      <w:rFonts w:asciiTheme="minorHAnsi" w:hAnsiTheme="minorHAnsi" w:eastAsiaTheme="minorEastAsia" w:cstheme="minorBidi"/>
      <w:szCs w:val="22"/>
    </w:rPr>
  </w:style>
  <w:style w:type="paragraph" w:styleId="799">
    <w:name w:val="toc 5"/>
    <w:basedOn w:val="780"/>
    <w:next w:val="780"/>
    <w:uiPriority w:val="39"/>
    <w:unhideWhenUsed/>
    <w:qFormat/>
    <w:pPr>
      <w:ind w:left="1134" w:right="0" w:firstLine="0"/>
      <w:spacing w:after="57"/>
    </w:pPr>
  </w:style>
  <w:style w:type="paragraph" w:styleId="800">
    <w:name w:val="toc 3"/>
    <w:basedOn w:val="780"/>
    <w:next w:val="780"/>
    <w:uiPriority w:val="39"/>
    <w:unhideWhenUsed/>
    <w:qFormat/>
    <w:pPr>
      <w:ind w:left="567" w:right="0" w:firstLine="0"/>
      <w:spacing w:after="57"/>
    </w:pPr>
  </w:style>
  <w:style w:type="paragraph" w:styleId="801">
    <w:name w:val="Plain Text"/>
    <w:basedOn w:val="780"/>
    <w:uiPriority w:val="99"/>
    <w:qFormat/>
    <w:rPr>
      <w:rFonts w:ascii="宋体" w:hAnsi="Courier New"/>
      <w:sz w:val="20"/>
      <w:szCs w:val="21"/>
    </w:rPr>
  </w:style>
  <w:style w:type="paragraph" w:styleId="802">
    <w:name w:val="toc 8"/>
    <w:basedOn w:val="780"/>
    <w:next w:val="780"/>
    <w:uiPriority w:val="39"/>
    <w:unhideWhenUsed/>
    <w:qFormat/>
    <w:pPr>
      <w:ind w:left="1984" w:right="0" w:firstLine="0"/>
      <w:spacing w:after="57"/>
    </w:pPr>
  </w:style>
  <w:style w:type="paragraph" w:styleId="803">
    <w:name w:val="endnote text"/>
    <w:basedOn w:val="780"/>
    <w:link w:val="970"/>
    <w:uiPriority w:val="99"/>
    <w:semiHidden/>
    <w:unhideWhenUsed/>
    <w:qFormat/>
    <w:pPr>
      <w:spacing w:after="0" w:line="240" w:lineRule="auto"/>
    </w:pPr>
    <w:rPr>
      <w:sz w:val="20"/>
    </w:rPr>
  </w:style>
  <w:style w:type="paragraph" w:styleId="804">
    <w:name w:val="Balloon Text"/>
    <w:basedOn w:val="780"/>
    <w:link w:val="975"/>
    <w:uiPriority w:val="0"/>
    <w:qFormat/>
    <w:rPr>
      <w:sz w:val="18"/>
      <w:szCs w:val="18"/>
    </w:rPr>
  </w:style>
  <w:style w:type="paragraph" w:styleId="805">
    <w:name w:val="Footer"/>
    <w:basedOn w:val="780"/>
    <w:uiPriority w:val="99"/>
    <w:unhideWhenUsed/>
    <w:qFormat/>
    <w:pPr>
      <w:jc w:val="left"/>
      <w:tabs>
        <w:tab w:val="center" w:pos="4153" w:leader="none"/>
        <w:tab w:val="right" w:pos="8306" w:leader="none"/>
      </w:tabs>
    </w:pPr>
    <w:rPr>
      <w:sz w:val="18"/>
      <w:szCs w:val="18"/>
    </w:rPr>
  </w:style>
  <w:style w:type="paragraph" w:styleId="806">
    <w:name w:val="Header"/>
    <w:basedOn w:val="7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7">
    <w:name w:val="toc 1"/>
    <w:basedOn w:val="780"/>
    <w:next w:val="780"/>
    <w:uiPriority w:val="39"/>
    <w:unhideWhenUsed/>
    <w:qFormat/>
  </w:style>
  <w:style w:type="paragraph" w:styleId="808">
    <w:name w:val="toc 4"/>
    <w:basedOn w:val="780"/>
    <w:next w:val="780"/>
    <w:uiPriority w:val="39"/>
    <w:unhideWhenUsed/>
    <w:qFormat/>
    <w:pPr>
      <w:ind w:left="850" w:right="0" w:firstLine="0"/>
      <w:spacing w:after="57"/>
    </w:pPr>
  </w:style>
  <w:style w:type="paragraph" w:styleId="809">
    <w:name w:val="Subtitle"/>
    <w:basedOn w:val="780"/>
    <w:next w:val="780"/>
    <w:link w:val="836"/>
    <w:uiPriority w:val="11"/>
    <w:qFormat/>
    <w:pPr>
      <w:spacing w:before="200" w:after="200"/>
    </w:pPr>
    <w:rPr>
      <w:sz w:val="24"/>
      <w:szCs w:val="24"/>
    </w:rPr>
  </w:style>
  <w:style w:type="paragraph" w:styleId="810">
    <w:name w:val="footnote text"/>
    <w:basedOn w:val="780"/>
    <w:link w:val="969"/>
    <w:uiPriority w:val="99"/>
    <w:semiHidden/>
    <w:unhideWhenUsed/>
    <w:qFormat/>
    <w:pPr>
      <w:spacing w:after="40" w:line="240" w:lineRule="auto"/>
    </w:pPr>
    <w:rPr>
      <w:sz w:val="18"/>
    </w:rPr>
  </w:style>
  <w:style w:type="paragraph" w:styleId="811">
    <w:name w:val="toc 6"/>
    <w:basedOn w:val="780"/>
    <w:next w:val="780"/>
    <w:uiPriority w:val="39"/>
    <w:unhideWhenUsed/>
    <w:qFormat/>
    <w:pPr>
      <w:ind w:left="1417" w:right="0" w:firstLine="0"/>
      <w:spacing w:after="57"/>
    </w:pPr>
  </w:style>
  <w:style w:type="paragraph" w:styleId="812">
    <w:name w:val="table of figures"/>
    <w:basedOn w:val="780"/>
    <w:next w:val="780"/>
    <w:uiPriority w:val="99"/>
    <w:unhideWhenUsed/>
    <w:qFormat/>
    <w:pPr>
      <w:spacing w:after="0" w:afterAutospacing="0"/>
    </w:pPr>
  </w:style>
  <w:style w:type="paragraph" w:styleId="813">
    <w:name w:val="toc 2"/>
    <w:basedOn w:val="780"/>
    <w:next w:val="780"/>
    <w:uiPriority w:val="0"/>
    <w:qFormat/>
    <w:pPr>
      <w:ind w:left="420"/>
    </w:pPr>
  </w:style>
  <w:style w:type="paragraph" w:styleId="814">
    <w:name w:val="toc 9"/>
    <w:basedOn w:val="780"/>
    <w:next w:val="780"/>
    <w:uiPriority w:val="39"/>
    <w:unhideWhenUsed/>
    <w:qFormat/>
    <w:pPr>
      <w:ind w:left="2268" w:right="0" w:firstLine="0"/>
      <w:spacing w:after="57"/>
    </w:pPr>
  </w:style>
  <w:style w:type="paragraph" w:styleId="815">
    <w:name w:val="Normal (Web)"/>
    <w:basedOn w:val="780"/>
    <w:uiPriority w:val="0"/>
    <w:qFormat/>
    <w:rPr>
      <w:rFonts w:ascii="Times New Roman" w:hAnsi="Times New Roman"/>
      <w:sz w:val="24"/>
    </w:rPr>
  </w:style>
  <w:style w:type="paragraph" w:styleId="816">
    <w:name w:val="Title"/>
    <w:basedOn w:val="780"/>
    <w:next w:val="780"/>
    <w:link w:val="835"/>
    <w:uiPriority w:val="10"/>
    <w:qFormat/>
    <w:pPr>
      <w:contextualSpacing/>
      <w:spacing w:before="300" w:after="200"/>
    </w:pPr>
    <w:rPr>
      <w:sz w:val="48"/>
      <w:szCs w:val="48"/>
    </w:rPr>
  </w:style>
  <w:style w:type="paragraph" w:styleId="817">
    <w:name w:val="Body Text First Indent 2"/>
    <w:basedOn w:val="797"/>
    <w:uiPriority w:val="0"/>
    <w:qFormat/>
    <w:pPr>
      <w:ind w:left="0" w:firstLine="420"/>
      <w:spacing w:after="0" w:line="360" w:lineRule="auto"/>
    </w:pPr>
    <w:rPr>
      <w:rFonts w:ascii="宋体" w:hAnsi="宋体"/>
      <w:sz w:val="20"/>
      <w:szCs w:val="20"/>
    </w:rPr>
  </w:style>
  <w:style w:type="table" w:styleId="818">
    <w:name w:val="Table Grid"/>
    <w:basedOn w:val="791"/>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Strong"/>
    <w:basedOn w:val="790"/>
    <w:uiPriority w:val="0"/>
    <w:qFormat/>
    <w:rPr>
      <w:b/>
    </w:rPr>
  </w:style>
  <w:style w:type="character" w:styleId="820">
    <w:name w:val="endnote reference"/>
    <w:basedOn w:val="790"/>
    <w:uiPriority w:val="99"/>
    <w:semiHidden/>
    <w:unhideWhenUsed/>
    <w:qFormat/>
    <w:rPr>
      <w:vertAlign w:val="superscript"/>
    </w:rPr>
  </w:style>
  <w:style w:type="character" w:styleId="821">
    <w:name w:val="Emphasis"/>
    <w:uiPriority w:val="0"/>
    <w:qFormat/>
    <w:rPr>
      <w:i/>
    </w:rPr>
  </w:style>
  <w:style w:type="character" w:styleId="822">
    <w:name w:val="Hyperlink"/>
    <w:uiPriority w:val="99"/>
    <w:unhideWhenUsed/>
    <w:qFormat/>
    <w:rPr>
      <w:color w:val="0563c1" w:themeColor="hyperlink"/>
      <w:u w:val="single"/>
      <w14:textFill>
        <w14:solidFill>
          <w14:schemeClr w14:val="hlink"/>
        </w14:solidFill>
      </w14:textFill>
    </w:rPr>
  </w:style>
  <w:style w:type="character" w:styleId="823">
    <w:name w:val="annotation reference"/>
    <w:basedOn w:val="790"/>
    <w:uiPriority w:val="0"/>
    <w:qFormat/>
    <w:rPr>
      <w:sz w:val="21"/>
      <w:szCs w:val="21"/>
    </w:rPr>
  </w:style>
  <w:style w:type="character" w:styleId="824">
    <w:name w:val="footnote reference"/>
    <w:basedOn w:val="790"/>
    <w:uiPriority w:val="99"/>
    <w:unhideWhenUsed/>
    <w:qFormat/>
    <w:rPr>
      <w:vertAlign w:val="superscript"/>
    </w:rPr>
  </w:style>
  <w:style w:type="character" w:styleId="825" w:customStyle="1">
    <w:name w:val="Heading 1 Char"/>
    <w:basedOn w:val="790"/>
    <w:uiPriority w:val="9"/>
    <w:qFormat/>
    <w:rPr>
      <w:rFonts w:ascii="Arial" w:hAnsi="Arial" w:eastAsia="Arial" w:cs="Arial"/>
      <w:sz w:val="40"/>
      <w:szCs w:val="40"/>
    </w:rPr>
  </w:style>
  <w:style w:type="character" w:styleId="826" w:customStyle="1">
    <w:name w:val="Heading 2 Char"/>
    <w:basedOn w:val="790"/>
    <w:uiPriority w:val="9"/>
    <w:qFormat/>
    <w:rPr>
      <w:rFonts w:ascii="Arial" w:hAnsi="Arial" w:eastAsia="Arial" w:cs="Arial"/>
      <w:sz w:val="34"/>
    </w:rPr>
  </w:style>
  <w:style w:type="character" w:styleId="827" w:customStyle="1">
    <w:name w:val="Heading 3 Char"/>
    <w:basedOn w:val="790"/>
    <w:uiPriority w:val="9"/>
    <w:qFormat/>
    <w:rPr>
      <w:rFonts w:ascii="Arial" w:hAnsi="Arial" w:eastAsia="Arial" w:cs="Arial"/>
      <w:sz w:val="30"/>
      <w:szCs w:val="30"/>
    </w:rPr>
  </w:style>
  <w:style w:type="character" w:styleId="828" w:customStyle="1">
    <w:name w:val="Heading 4 Char"/>
    <w:basedOn w:val="790"/>
    <w:link w:val="784"/>
    <w:uiPriority w:val="9"/>
    <w:qFormat/>
    <w:rPr>
      <w:rFonts w:ascii="Arial" w:hAnsi="Arial" w:eastAsia="Arial" w:cs="Arial"/>
      <w:b/>
      <w:bCs/>
      <w:sz w:val="26"/>
      <w:szCs w:val="26"/>
    </w:rPr>
  </w:style>
  <w:style w:type="character" w:styleId="829" w:customStyle="1">
    <w:name w:val="Heading 5 Char"/>
    <w:basedOn w:val="790"/>
    <w:link w:val="785"/>
    <w:uiPriority w:val="9"/>
    <w:qFormat/>
    <w:rPr>
      <w:rFonts w:ascii="Arial" w:hAnsi="Arial" w:eastAsia="Arial" w:cs="Arial"/>
      <w:b/>
      <w:bCs/>
      <w:sz w:val="24"/>
      <w:szCs w:val="24"/>
    </w:rPr>
  </w:style>
  <w:style w:type="character" w:styleId="830" w:customStyle="1">
    <w:name w:val="Heading 6 Char"/>
    <w:basedOn w:val="790"/>
    <w:link w:val="786"/>
    <w:uiPriority w:val="9"/>
    <w:qFormat/>
    <w:rPr>
      <w:rFonts w:ascii="Arial" w:hAnsi="Arial" w:eastAsia="Arial" w:cs="Arial"/>
      <w:b/>
      <w:bCs/>
      <w:sz w:val="22"/>
      <w:szCs w:val="22"/>
    </w:rPr>
  </w:style>
  <w:style w:type="character" w:styleId="831" w:customStyle="1">
    <w:name w:val="Heading 7 Char"/>
    <w:basedOn w:val="790"/>
    <w:link w:val="787"/>
    <w:uiPriority w:val="9"/>
    <w:qFormat/>
    <w:rPr>
      <w:rFonts w:ascii="Arial" w:hAnsi="Arial" w:eastAsia="Arial" w:cs="Arial"/>
      <w:b/>
      <w:bCs/>
      <w:i/>
      <w:iCs/>
      <w:sz w:val="22"/>
      <w:szCs w:val="22"/>
    </w:rPr>
  </w:style>
  <w:style w:type="character" w:styleId="832" w:customStyle="1">
    <w:name w:val="Heading 8 Char"/>
    <w:basedOn w:val="790"/>
    <w:link w:val="788"/>
    <w:uiPriority w:val="9"/>
    <w:qFormat/>
    <w:rPr>
      <w:rFonts w:ascii="Arial" w:hAnsi="Arial" w:eastAsia="Arial" w:cs="Arial"/>
      <w:i/>
      <w:iCs/>
      <w:sz w:val="22"/>
      <w:szCs w:val="22"/>
    </w:rPr>
  </w:style>
  <w:style w:type="character" w:styleId="833" w:customStyle="1">
    <w:name w:val="Heading 9 Char"/>
    <w:basedOn w:val="790"/>
    <w:link w:val="789"/>
    <w:uiPriority w:val="9"/>
    <w:qFormat/>
    <w:rPr>
      <w:rFonts w:ascii="Arial" w:hAnsi="Arial" w:eastAsia="Arial" w:cs="Arial"/>
      <w:i/>
      <w:iCs/>
      <w:sz w:val="21"/>
      <w:szCs w:val="21"/>
    </w:rPr>
  </w:style>
  <w:style w:type="paragraph" w:styleId="834">
    <w:name w:val="No Spacing"/>
    <w:uiPriority w:val="1"/>
    <w:qFormat/>
    <w:pPr>
      <w:spacing w:before="0" w:after="0" w:line="240" w:lineRule="auto"/>
    </w:pPr>
    <w:rPr>
      <w:rFonts w:hint="default" w:ascii="Times New Roman" w:hAnsi="Times New Roman" w:eastAsia="宋体" w:cs="Times New Roman"/>
    </w:rPr>
  </w:style>
  <w:style w:type="character" w:styleId="835" w:customStyle="1">
    <w:name w:val="Title Char"/>
    <w:basedOn w:val="790"/>
    <w:link w:val="816"/>
    <w:uiPriority w:val="10"/>
    <w:qFormat/>
    <w:rPr>
      <w:sz w:val="48"/>
      <w:szCs w:val="48"/>
    </w:rPr>
  </w:style>
  <w:style w:type="character" w:styleId="836" w:customStyle="1">
    <w:name w:val="Subtitle Char"/>
    <w:basedOn w:val="790"/>
    <w:link w:val="809"/>
    <w:uiPriority w:val="11"/>
    <w:qFormat/>
    <w:rPr>
      <w:sz w:val="24"/>
      <w:szCs w:val="24"/>
    </w:rPr>
  </w:style>
  <w:style w:type="paragraph" w:styleId="837">
    <w:name w:val="Quote"/>
    <w:basedOn w:val="780"/>
    <w:next w:val="780"/>
    <w:link w:val="838"/>
    <w:uiPriority w:val="29"/>
    <w:qFormat/>
    <w:pPr>
      <w:ind w:left="720" w:right="720"/>
    </w:pPr>
    <w:rPr>
      <w:i/>
    </w:rPr>
  </w:style>
  <w:style w:type="character" w:styleId="838" w:customStyle="1">
    <w:name w:val="Quote Char"/>
    <w:link w:val="837"/>
    <w:uiPriority w:val="29"/>
    <w:qFormat/>
    <w:rPr>
      <w:i/>
    </w:rPr>
  </w:style>
  <w:style w:type="paragraph" w:styleId="839">
    <w:name w:val="Intense Quote"/>
    <w:basedOn w:val="780"/>
    <w:next w:val="780"/>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Intense Quote Char"/>
    <w:link w:val="839"/>
    <w:uiPriority w:val="30"/>
    <w:qFormat/>
    <w:rPr>
      <w:i/>
    </w:rPr>
  </w:style>
  <w:style w:type="character" w:styleId="841" w:customStyle="1">
    <w:name w:val="Header Char"/>
    <w:basedOn w:val="790"/>
    <w:uiPriority w:val="99"/>
    <w:qFormat/>
  </w:style>
  <w:style w:type="character" w:styleId="842" w:customStyle="1">
    <w:name w:val="Footer Char"/>
    <w:basedOn w:val="790"/>
    <w:uiPriority w:val="99"/>
    <w:qFormat/>
  </w:style>
  <w:style w:type="character" w:styleId="843" w:customStyle="1">
    <w:name w:val="Caption Char"/>
    <w:uiPriority w:val="99"/>
    <w:qFormat/>
  </w:style>
  <w:style w:type="table" w:styleId="844" w:customStyle="1">
    <w:name w:val="Table Grid Light"/>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9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9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9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9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9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9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9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9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9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9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9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9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4" w:customStyle="1">
    <w:name w:val="Grid Table 3"/>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9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9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9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9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9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9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9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3" w:customStyle="1">
    <w:name w:val="Grid Table 4 - Accent 2"/>
    <w:basedOn w:val="79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4" w:customStyle="1">
    <w:name w:val="Grid Table 4 - Accent 3"/>
    <w:basedOn w:val="79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5" w:customStyle="1">
    <w:name w:val="Grid Table 4 - Accent 4"/>
    <w:basedOn w:val="79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6" w:customStyle="1">
    <w:name w:val="Grid Table 4 - Accent 5"/>
    <w:basedOn w:val="79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7" w:customStyle="1">
    <w:name w:val="Grid Table 4 - Accent 6"/>
    <w:basedOn w:val="79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8" w:customStyle="1">
    <w:name w:val="Grid Table 5 Dark"/>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0" w:customStyle="1">
    <w:name w:val="Grid Table 5 Dark - Accent 2"/>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1" w:customStyle="1">
    <w:name w:val="Grid Table 5 Dark - Accent 3"/>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2" w:customStyle="1">
    <w:name w:val="Grid Table 5 Dark- Accent 4"/>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3" w:customStyle="1">
    <w:name w:val="Grid Table 5 Dark - Accent 5"/>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4" w:customStyle="1">
    <w:name w:val="Grid Table 5 Dark - Accent 6"/>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5" w:customStyle="1">
    <w:name w:val="Grid Table 6 Colorful"/>
    <w:basedOn w:val="7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basedOn w:val="79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9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9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9" w:customStyle="1">
    <w:name w:val="Grid Table 6 Colorful - Accent 4"/>
    <w:basedOn w:val="79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9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1" w:customStyle="1">
    <w:name w:val="Grid Table 6 Colorful - Accent 6"/>
    <w:basedOn w:val="79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2" w:customStyle="1">
    <w:name w:val="Grid Table 7 Colorful"/>
    <w:basedOn w:val="7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9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9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9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9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9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9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basedOn w:val="7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9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9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9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9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9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9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6" w:customStyle="1">
    <w:name w:val="List Table 2"/>
    <w:basedOn w:val="7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9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8" w:customStyle="1">
    <w:name w:val="List Table 2 - Accent 2"/>
    <w:basedOn w:val="79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9" w:customStyle="1">
    <w:name w:val="List Table 2 - Accent 3"/>
    <w:basedOn w:val="79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0" w:customStyle="1">
    <w:name w:val="List Table 2 - Accent 4"/>
    <w:basedOn w:val="79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1" w:customStyle="1">
    <w:name w:val="List Table 2 - Accent 5"/>
    <w:basedOn w:val="79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2" w:customStyle="1">
    <w:name w:val="List Table 2 - Accent 6"/>
    <w:basedOn w:val="79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3" w:customStyle="1">
    <w:name w:val="List Table 3"/>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9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5" w:customStyle="1">
    <w:name w:val="List Table 3 - Accent 2"/>
    <w:basedOn w:val="79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9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9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9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9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0" w:customStyle="1">
    <w:name w:val="List Table 4"/>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9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2" w:customStyle="1">
    <w:name w:val="List Table 4 - Accent 2"/>
    <w:basedOn w:val="79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3" w:customStyle="1">
    <w:name w:val="List Table 4 - Accent 3"/>
    <w:basedOn w:val="79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4" w:customStyle="1">
    <w:name w:val="List Table 4 - Accent 4"/>
    <w:basedOn w:val="79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5" w:customStyle="1">
    <w:name w:val="List Table 4 - Accent 5"/>
    <w:basedOn w:val="79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6" w:customStyle="1">
    <w:name w:val="List Table 4 - Accent 6"/>
    <w:basedOn w:val="79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7" w:customStyle="1">
    <w:name w:val="List Table 5 Dark"/>
    <w:basedOn w:val="7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basedOn w:val="79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9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9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9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9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9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basedOn w:val="7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basedOn w:val="79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6" w:customStyle="1">
    <w:name w:val="List Table 6 Colorful - Accent 2"/>
    <w:basedOn w:val="79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7" w:customStyle="1">
    <w:name w:val="List Table 6 Colorful - Accent 3"/>
    <w:basedOn w:val="79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8" w:customStyle="1">
    <w:name w:val="List Table 6 Colorful - Accent 4"/>
    <w:basedOn w:val="79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9" w:customStyle="1">
    <w:name w:val="List Table 6 Colorful - Accent 5"/>
    <w:basedOn w:val="79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0" w:customStyle="1">
    <w:name w:val="List Table 6 Colorful - Accent 6"/>
    <w:basedOn w:val="79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1" w:customStyle="1">
    <w:name w:val="List Table 7 Colorful"/>
    <w:basedOn w:val="7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9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9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9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9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9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9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0" w:customStyle="1">
    <w:name w:val="Lined - Accent 2"/>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1" w:customStyle="1">
    <w:name w:val="Lined - Accent 3"/>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2" w:customStyle="1">
    <w:name w:val="Lined - Accent 4"/>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3" w:customStyle="1">
    <w:name w:val="Lined - Accent 5"/>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4" w:customStyle="1">
    <w:name w:val="Lined - Accent 6"/>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5" w:customStyle="1">
    <w:name w:val="Bordered &amp; Lined - Accent"/>
    <w:basedOn w:val="7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9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7" w:customStyle="1">
    <w:name w:val="Bordered &amp; Lined - Accent 2"/>
    <w:basedOn w:val="79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8" w:customStyle="1">
    <w:name w:val="Bordered &amp; Lined - Accent 3"/>
    <w:basedOn w:val="79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9" w:customStyle="1">
    <w:name w:val="Bordered &amp; Lined - Accent 4"/>
    <w:basedOn w:val="79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0" w:customStyle="1">
    <w:name w:val="Bordered &amp; Lined - Accent 5"/>
    <w:basedOn w:val="79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1" w:customStyle="1">
    <w:name w:val="Bordered &amp; Lined - Accent 6"/>
    <w:basedOn w:val="79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2" w:customStyle="1">
    <w:name w:val="Bordered"/>
    <w:basedOn w:val="7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9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4" w:customStyle="1">
    <w:name w:val="Bordered - Accent 2"/>
    <w:basedOn w:val="79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5" w:customStyle="1">
    <w:name w:val="Bordered - Accent 3"/>
    <w:basedOn w:val="79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6" w:customStyle="1">
    <w:name w:val="Bordered - Accent 4"/>
    <w:basedOn w:val="79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7" w:customStyle="1">
    <w:name w:val="Bordered - Accent 5"/>
    <w:basedOn w:val="79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8" w:customStyle="1">
    <w:name w:val="Bordered - Accent 6"/>
    <w:basedOn w:val="79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9" w:customStyle="1">
    <w:name w:val="Footnote Text Char"/>
    <w:link w:val="810"/>
    <w:uiPriority w:val="99"/>
    <w:qFormat/>
    <w:rPr>
      <w:sz w:val="18"/>
    </w:rPr>
  </w:style>
  <w:style w:type="character" w:styleId="970" w:customStyle="1">
    <w:name w:val="Endnote Text Char"/>
    <w:link w:val="803"/>
    <w:uiPriority w:val="99"/>
    <w:qFormat/>
    <w:rPr>
      <w:sz w:val="20"/>
    </w:rPr>
  </w:style>
  <w:style w:type="paragraph" w:styleId="971" w:customStyle="1">
    <w:name w:val="TOC Heading"/>
    <w:uiPriority w:val="39"/>
    <w:unhideWhenUsed/>
    <w:qFormat/>
    <w:rPr>
      <w:rFonts w:hint="default" w:ascii="Times New Roman" w:hAnsi="Times New Roman" w:eastAsia="宋体" w:cs="Times New Roman"/>
    </w:rPr>
  </w:style>
  <w:style w:type="paragraph" w:styleId="972" w:customStyle="1">
    <w:name w:val="正文（缩进）"/>
    <w:basedOn w:val="780"/>
    <w:uiPriority w:val="99"/>
    <w:qFormat/>
    <w:pPr>
      <w:ind w:firstLine="480"/>
      <w:spacing w:before="156" w:after="156"/>
    </w:pPr>
  </w:style>
  <w:style w:type="paragraph" w:styleId="973"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974" w:customStyle="1">
    <w:name w:val="Char"/>
    <w:basedOn w:val="780"/>
    <w:uiPriority w:val="0"/>
    <w:qFormat/>
    <w:pPr>
      <w:ind w:firstLine="200"/>
      <w:tabs>
        <w:tab w:val="left" w:pos="360" w:leader="none"/>
      </w:tabs>
    </w:pPr>
    <w:rPr>
      <w:rFonts w:ascii="Times New Roman" w:hAnsi="Times New Roman"/>
      <w:sz w:val="28"/>
      <w:szCs w:val="30"/>
    </w:rPr>
  </w:style>
  <w:style w:type="character" w:styleId="975" w:customStyle="1">
    <w:name w:val="批注框文本 Char"/>
    <w:basedOn w:val="790"/>
    <w:link w:val="804"/>
    <w:uiPriority w:val="0"/>
    <w:qFormat/>
    <w:rPr>
      <w:sz w:val="18"/>
      <w:szCs w:val="18"/>
    </w:rPr>
  </w:style>
  <w:style w:type="paragraph" w:styleId="976" w:customStyle="1">
    <w:name w:val="正文1"/>
    <w:basedOn w:val="780"/>
    <w:next w:val="977"/>
    <w:uiPriority w:val="0"/>
    <w:qFormat/>
    <w:pPr>
      <w:jc w:val="left"/>
      <w:spacing w:line="360" w:lineRule="atLeast"/>
    </w:pPr>
    <w:rPr>
      <w:rFonts w:ascii="宋体" w:hAnsiTheme="minorHAnsi" w:eastAsiaTheme="minorEastAsia" w:cstheme="minorBidi"/>
      <w:sz w:val="24"/>
      <w:szCs w:val="20"/>
    </w:rPr>
  </w:style>
  <w:style w:type="paragraph" w:styleId="977" w:customStyle="1">
    <w:name w:val="正文文本1"/>
    <w:basedOn w:val="976"/>
    <w:next w:val="978"/>
    <w:uiPriority w:val="0"/>
    <w:qFormat/>
    <w:pPr>
      <w:spacing w:after="120"/>
    </w:pPr>
    <w:rPr>
      <w:lang w:eastAsia="en-US"/>
    </w:rPr>
  </w:style>
  <w:style w:type="paragraph" w:styleId="978" w:customStyle="1">
    <w:name w:val="一级条标题"/>
    <w:basedOn w:val="979"/>
    <w:next w:val="9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9" w:customStyle="1">
    <w:name w:val="章标题"/>
    <w:next w:val="78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0" w:customStyle="1">
    <w:name w:val="段"/>
    <w:basedOn w:val="976"/>
    <w:next w:val="780"/>
    <w:uiPriority w:val="0"/>
    <w:qFormat/>
    <w:pPr>
      <w:ind w:firstLine="200"/>
      <w:widowControl/>
    </w:pPr>
    <w:rPr>
      <w:sz w:val="20"/>
    </w:rPr>
  </w:style>
  <w:style w:type="paragraph" w:styleId="981" w:customStyle="1">
    <w:name w:val="正文缩进1"/>
    <w:basedOn w:val="780"/>
    <w:uiPriority w:val="99"/>
    <w:qFormat/>
    <w:pPr>
      <w:ind w:firstLine="420"/>
    </w:pPr>
  </w:style>
  <w:style w:type="paragraph" w:styleId="982">
    <w:name w:val="List Paragraph"/>
    <w:basedOn w:val="780"/>
    <w:uiPriority w:val="34"/>
    <w:qFormat/>
    <w:pPr>
      <w:contextualSpacing/>
      <w:ind w:left="720" w:firstLine="360"/>
      <w:jc w:val="left"/>
      <w:widowControl/>
    </w:pPr>
    <w:rPr>
      <w:sz w:val="22"/>
      <w:lang w:eastAsia="en-US" w:bidi="en-US"/>
    </w:rPr>
  </w:style>
  <w:style w:type="table" w:styleId="983" w:customStyle="1">
    <w:name w:val="网格型2"/>
    <w:basedOn w:val="791"/>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4" w:customStyle="1">
    <w:name w:val="NormalCharacter"/>
    <w:uiPriority w:val="0"/>
    <w:qFormat/>
  </w:style>
  <w:style w:type="paragraph" w:styleId="985" w:customStyle="1">
    <w:name w:val="UserStyle_6"/>
    <w:uiPriority w:val="0"/>
    <w:qFormat/>
    <w:rPr>
      <w:rFonts w:hint="default" w:ascii="宋体" w:hAnsi="Calibri" w:eastAsia="宋体" w:cstheme="minorBidi"/>
      <w:color w:val="000000"/>
      <w:sz w:val="24"/>
      <w:szCs w:val="24"/>
      <w:lang w:val="en-US" w:eastAsia="zh-CN" w:bidi="ar-SA"/>
    </w:rPr>
  </w:style>
  <w:style w:type="paragraph" w:styleId="986" w:customStyle="1">
    <w:name w:val="纯文本1"/>
    <w:basedOn w:val="780"/>
    <w:uiPriority w:val="99"/>
    <w:unhideWhenUsed/>
    <w:qFormat/>
    <w:rPr>
      <w:rFonts w:ascii="宋体" w:hAnsi="Courier New"/>
      <w:sz w:val="20"/>
      <w:szCs w:val="20"/>
      <w:lang w:eastAsia="en-US"/>
    </w:rPr>
  </w:style>
  <w:style w:type="paragraph" w:styleId="987" w:customStyle="1">
    <w:name w:val="纯文本11"/>
    <w:basedOn w:val="976"/>
    <w:uiPriority w:val="0"/>
    <w:qFormat/>
    <w:rPr>
      <w:rFonts w:hAnsi="Courier New"/>
      <w:sz w:val="20"/>
      <w:szCs w:val="21"/>
    </w:rPr>
  </w:style>
  <w:style w:type="character" w:styleId="988" w:customStyle="1">
    <w:name w:val="font51"/>
    <w:basedOn w:val="790"/>
    <w:uiPriority w:val="0"/>
    <w:qFormat/>
    <w:rPr>
      <w:rFonts w:hint="default" w:ascii="default" w:hAnsi="default" w:eastAsia="default" w:cs="default"/>
      <w:color w:val="000000"/>
      <w:sz w:val="20"/>
      <w:szCs w:val="20"/>
      <w:u w:val="none"/>
    </w:rPr>
  </w:style>
  <w:style w:type="character" w:styleId="989" w:customStyle="1">
    <w:name w:val="font112"/>
    <w:basedOn w:val="790"/>
    <w:uiPriority w:val="0"/>
    <w:qFormat/>
    <w:rPr>
      <w:rFonts w:hint="eastAsia" w:ascii="宋体" w:hAnsi="宋体" w:eastAsia="宋体" w:cs="宋体"/>
      <w:color w:val="000000"/>
      <w:sz w:val="20"/>
      <w:szCs w:val="20"/>
      <w:u w:val="none"/>
    </w:rPr>
  </w:style>
  <w:style w:type="character" w:styleId="990" w:customStyle="1">
    <w:name w:val="font11"/>
    <w:basedOn w:val="790"/>
    <w:uiPriority w:val="0"/>
    <w:qFormat/>
    <w:rPr>
      <w:rFonts w:hint="eastAsia" w:ascii="宋体" w:hAnsi="宋体" w:eastAsia="宋体" w:cs="宋体"/>
      <w:color w:val="000000"/>
      <w:sz w:val="20"/>
      <w:szCs w:val="20"/>
      <w:u w:val="none"/>
    </w:rPr>
  </w:style>
  <w:style w:type="character" w:styleId="991" w:customStyle="1">
    <w:name w:val="font71"/>
    <w:basedOn w:val="790"/>
    <w:uiPriority w:val="0"/>
    <w:qFormat/>
    <w:rPr>
      <w:rFonts w:hint="eastAsia" w:ascii="宋体" w:hAnsi="宋体" w:eastAsia="宋体" w:cs="宋体"/>
      <w:color w:val="000000"/>
      <w:sz w:val="20"/>
      <w:szCs w:val="20"/>
      <w:u w:val="none"/>
    </w:rPr>
  </w:style>
  <w:style w:type="character" w:styleId="992" w:customStyle="1">
    <w:name w:val="font61"/>
    <w:basedOn w:val="790"/>
    <w:uiPriority w:val="0"/>
    <w:qFormat/>
    <w:rPr>
      <w:rFonts w:hint="default" w:ascii="default" w:hAnsi="default" w:eastAsia="default" w:cs="default"/>
      <w:color w:val="000000"/>
      <w:sz w:val="20"/>
      <w:szCs w:val="20"/>
      <w:u w:val="none"/>
    </w:rPr>
  </w:style>
  <w:style w:type="character" w:styleId="993" w:customStyle="1">
    <w:name w:val="font81"/>
    <w:basedOn w:val="790"/>
    <w:uiPriority w:val="0"/>
    <w:qFormat/>
    <w:rPr>
      <w:rFonts w:hint="eastAsia" w:ascii="宋体" w:hAnsi="宋体" w:eastAsia="宋体" w:cs="宋体"/>
      <w:color w:val="000000"/>
      <w:sz w:val="20"/>
      <w:szCs w:val="20"/>
      <w:u w:val="none"/>
    </w:rPr>
  </w:style>
  <w:style w:type="character" w:styleId="994" w:customStyle="1">
    <w:name w:val="font121"/>
    <w:basedOn w:val="790"/>
    <w:uiPriority w:val="0"/>
    <w:qFormat/>
    <w:rPr>
      <w:rFonts w:hint="eastAsia" w:ascii="宋体" w:hAnsi="宋体" w:eastAsia="宋体" w:cs="宋体"/>
      <w:color w:val="000000"/>
      <w:sz w:val="20"/>
      <w:szCs w:val="20"/>
      <w:u w:val="none"/>
    </w:rPr>
  </w:style>
  <w:style w:type="paragraph" w:styleId="995"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character" w:styleId="996" w:customStyle="1">
    <w:name w:val="font91"/>
    <w:basedOn w:val="790"/>
    <w:uiPriority w:val="0"/>
    <w:qFormat/>
    <w:rPr>
      <w:rFonts w:hint="eastAsia" w:ascii="宋体" w:hAnsi="宋体" w:eastAsia="宋体" w:cs="宋体"/>
      <w:color w:val="000000"/>
      <w:sz w:val="12"/>
      <w:szCs w:val="12"/>
      <w:u w:val="none"/>
    </w:rPr>
  </w:style>
  <w:style w:type="character" w:styleId="997" w:customStyle="1">
    <w:name w:val="font21"/>
    <w:basedOn w:val="790"/>
    <w:uiPriority w:val="0"/>
    <w:qFormat/>
    <w:rPr>
      <w:rFonts w:hint="eastAsia" w:ascii="宋体" w:hAnsi="宋体" w:eastAsia="宋体" w:cs="宋体"/>
      <w:color w:val="000000"/>
      <w:sz w:val="20"/>
      <w:szCs w:val="20"/>
      <w:u w:val="none"/>
    </w:rPr>
  </w:style>
  <w:style w:type="character" w:styleId="998" w:customStyle="1">
    <w:name w:val="font01"/>
    <w:basedOn w:val="790"/>
    <w:uiPriority w:val="0"/>
    <w:qFormat/>
    <w:rPr>
      <w:rFonts w:hint="eastAsia" w:ascii="宋体" w:hAnsi="宋体" w:eastAsia="宋体" w:cs="宋体"/>
      <w:color w:val="000000"/>
      <w:sz w:val="22"/>
      <w:szCs w:val="22"/>
      <w:u w:val="none"/>
    </w:rPr>
  </w:style>
  <w:style w:type="character" w:styleId="999" w:customStyle="1">
    <w:name w:val="font31"/>
    <w:basedOn w:val="790"/>
    <w:uiPriority w:val="0"/>
    <w:qFormat/>
    <w:rPr>
      <w:rFonts w:hint="eastAsia" w:ascii="宋体" w:hAnsi="宋体" w:eastAsia="宋体" w:cs="宋体"/>
      <w:color w:val="ff0000"/>
      <w:sz w:val="22"/>
      <w:szCs w:val="22"/>
      <w:u w:val="none"/>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庄诚</cp:lastModifiedBy>
  <cp:revision>27</cp:revision>
  <dcterms:created xsi:type="dcterms:W3CDTF">2014-10-29T12:08:00Z</dcterms:created>
  <dcterms:modified xsi:type="dcterms:W3CDTF">2026-06-10T08:29:12Z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EF2EC215801F4F5A86D048BD051ECAE0_13</vt:lpwstr>
  </property>
  <property fmtid="{D5CDD505-2E9C-101B-9397-08002B2CF9AE}" pid="4" name="KSOTemplateDocerSaveRecord">
    <vt:lpwstr>eyJoZGlkIjoiMzFhN2I1MjYxOTA3ZWY4NjA2MDNlZDI5ZTBkMzFjNzAiLCJ1c2VySWQiOiIzNzg2Mzc1NjAifQ==</vt:lpwstr>
  </property>
</Properties>
</file>