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964"/>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项目名称：扬州市中医院新院区信息终端设备第二批</w:t>
      </w:r>
      <w:r/>
    </w:p>
    <w:p>
      <w:pPr>
        <w:ind w:right="0" w:firstLine="964"/>
        <w:jc w:val="both"/>
        <w:spacing w:before="120" w:after="12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cs="宋体"/>
          <w:b/>
          <w:color w:val="000000"/>
          <w:sz w:val="32"/>
          <w:lang w:eastAsia="zh-CN"/>
        </w:rPr>
        <w:t xml:space="preserve">JSZC-321000-JZCG-G2026-0064</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lang w:val="en-US" w:eastAsia="zh-CN"/>
        </w:rPr>
        <w:t xml:space="preserve">2026</w:t>
      </w:r>
      <w:r>
        <w:rPr>
          <w:rFonts w:ascii="宋体" w:hAnsi="宋体" w:eastAsia="宋体" w:cs="宋体"/>
          <w:b/>
          <w:color w:val="000000"/>
          <w:sz w:val="32"/>
        </w:rPr>
        <w:t xml:space="preserve">年</w:t>
      </w:r>
      <w:r>
        <w:rPr>
          <w:rFonts w:hint="eastAsia" w:ascii="Arial" w:hAnsi="Arial" w:cs="Arial"/>
          <w:b/>
          <w:color w:val="000000"/>
          <w:sz w:val="32"/>
          <w:lang w:val="en-US" w:eastAsia="zh-CN"/>
        </w:rPr>
        <w:t xml:space="preserve">06</w:t>
      </w:r>
      <w:r>
        <w:rPr>
          <w:rFonts w:ascii="宋体" w:hAnsi="宋体" w:eastAsia="宋体" w:cs="宋体"/>
          <w:b/>
          <w:color w:val="000000"/>
          <w:sz w:val="32"/>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34</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43</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46</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29"/>
      </w:pPr>
      <w:r>
        <w:rPr>
          <w:rFonts w:ascii="黑体" w:hAnsi="黑体" w:eastAsia="黑体" w:cs="黑体"/>
          <w:color w:val="000000"/>
          <w:sz w:val="44"/>
        </w:rPr>
        <w:t xml:space="preserve">第一章投标邀请</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受[扬州市中医院]的委托，扬州市公共资源交易中心就[扬州市中医院新院区信息终端设备第二批](</w:t>
      </w:r>
      <w:r>
        <w:rPr>
          <w:rFonts w:hint="eastAsia" w:ascii="宋体" w:hAnsi="宋体" w:cs="宋体"/>
          <w:color w:val="000000"/>
          <w:sz w:val="24"/>
          <w:lang w:eastAsia="zh-CN"/>
        </w:rPr>
        <w:t xml:space="preserve">JSZC-321000-JZCG-G2026-0064</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(扬州市中医院新院区信息终端设备第二批)</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sz w:val="24"/>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07</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cs="宋体"/>
          <w:color w:val="000000"/>
          <w:sz w:val="24"/>
          <w:lang w:eastAsia="zh-CN"/>
        </w:rPr>
        <w:t xml:space="preserve">JSZC-321000-JZCG-G2026-0064</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2.项目名称：扬州市中医院新院区信息终端设备第二批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38"/>
        <w:tblW w:w="564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4804"/>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118.96</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38"/>
        <w:tblW w:w="564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349"/>
        <w:gridCol w:w="25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118.96</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eastAsia="宋体" w:cs="宋体"/>
          <w:color w:val="000000"/>
          <w:sz w:val="24"/>
        </w:rPr>
        <w:t xml:space="preserve">本次采购设备需满足新院区开业后对门诊和病房虚拟化医疗终端、医疗工作电脑等基础信息设施的扩容需求，且需要与新院区现有系统平台兼容，确保与整个信息化平台无缝对接及长期稳定运行。</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rPr>
        <w:t xml:space="preserve">合同签订之日起30个日历天内完成供货、安装、调试、验收。</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38"/>
        <w:tblW w:w="730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617"/>
        <w:gridCol w:w="39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0"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38"/>
        <w:tblW w:w="733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65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38"/>
        <w:tblW w:w="732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64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2"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 2026年</w:t>
      </w:r>
      <w:r>
        <w:rPr>
          <w:rFonts w:hint="eastAsia" w:ascii="宋体" w:hAnsi="宋体" w:cs="宋体"/>
          <w:color w:val="ff0000"/>
          <w:sz w:val="24"/>
          <w:u w:val="single"/>
          <w:lang w:val="en-US" w:eastAsia="zh-CN"/>
        </w:rPr>
        <w:t xml:space="preserve">07</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日09点30分</w:t>
      </w:r>
      <w:r>
        <w:rPr>
          <w:rFonts w:ascii="宋体" w:hAnsi="宋体" w:eastAsia="宋体" w:cs="宋体"/>
          <w:color w:val="000000"/>
          <w:sz w:val="24"/>
        </w:rPr>
        <w:t xml:space="preserve">（北京时间）</w:t>
      </w:r>
      <w:r>
        <w:rPr>
          <w:rFonts w:hint="eastAsia" w:ascii="宋体" w:hAnsi="宋体" w:cs="宋体"/>
          <w:color w:val="000000"/>
          <w:sz w:val="24"/>
          <w:lang w:eastAsia="zh-CN"/>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sz w:val="24"/>
          <w:szCs w:val="24"/>
          <w:u w:val="single"/>
        </w:rPr>
        <w:t xml:space="preserve">扬州市中医院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color w:val="000000"/>
          <w:sz w:val="24"/>
          <w:szCs w:val="24"/>
          <w:u w:val="single"/>
        </w:rPr>
        <w:t xml:space="preserve">扬州市文昌中路577号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olor w:val="000000"/>
          <w:sz w:val="24"/>
          <w:szCs w:val="24"/>
          <w:u w:val="single"/>
        </w:rPr>
        <w:t xml:space="preserve">王老师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lang w:eastAsia="zh-CN"/>
        </w:rPr>
        <w:t xml:space="preserve">：</w:t>
      </w:r>
      <w:r>
        <w:rPr>
          <w:rFonts w:hint="eastAsia" w:ascii="宋体" w:hAnsi="宋体"/>
          <w:sz w:val="24"/>
          <w:szCs w:val="24"/>
          <w:u w:val="single"/>
        </w:rPr>
        <w:t xml:space="preserve">0514-87326203</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2.扬州市公共资源交易中心信息</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ascii="宋体" w:hAnsi="宋体" w:eastAsia="宋体" w:cs="宋体"/>
          <w:color w:val="000000"/>
          <w:sz w:val="24"/>
          <w:u w:val="single"/>
        </w:rPr>
        <w:t xml:space="preserve">扬州市文昌东路9号广陵新城市民中心1号楼5楼1529室</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u w:val="single"/>
          <w:lang w:val="en-US" w:eastAsia="zh-CN"/>
        </w:rPr>
        <w:t xml:space="preserve">姜涛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ascii="宋体" w:hAnsi="宋体" w:eastAsia="宋体" w:cs="宋体"/>
          <w:color w:val="000000"/>
          <w:sz w:val="24"/>
          <w:u w:val="single"/>
        </w:rPr>
        <w:t xml:space="preserve">0514-82087195</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29"/>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26.1.10 异常低价投标（响应）</w:t>
      </w:r>
      <w:r/>
    </w:p>
    <w:p>
      <w:pPr>
        <w:ind w:left="0" w:right="0" w:firstLine="480"/>
        <w:jc w:val="both"/>
        <w:spacing w:before="0" w:after="0"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26.1.10.1</w:t>
      </w:r>
      <w:r>
        <w:rPr>
          <w:rFonts w:ascii="宋体" w:hAnsi="宋体" w:eastAsia="宋体" w:cs="宋体"/>
          <w:color w:val="383838"/>
          <w:sz w:val="24"/>
          <w:highlight w:val="yellow"/>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26.1.10.2</w:t>
      </w:r>
      <w:r>
        <w:rPr>
          <w:rFonts w:ascii="宋体" w:hAnsi="宋体" w:eastAsia="宋体" w:cs="宋体"/>
          <w:color w:val="383838"/>
          <w:sz w:val="24"/>
          <w:highlight w:val="yellow"/>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26.1.10.3投标（响应）报价低于采购项目最高限价 45% 的，即投标（响应）报价&lt;采购项目最高限价×45% ；</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yellow"/>
        </w:rPr>
        <w:t xml:space="preserve">26.1.10.5</w:t>
      </w:r>
      <w:r>
        <w:rPr>
          <w:rFonts w:ascii="宋体" w:hAnsi="宋体" w:eastAsia="宋体" w:cs="宋体"/>
          <w:color w:val="383838"/>
          <w:sz w:val="24"/>
          <w:highlight w:val="yellow"/>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yellow"/>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yellow"/>
        </w:rPr>
        <w:t xml:space="preserve">给予相关供应商的合理时间一般</w:t>
      </w:r>
      <w:r>
        <w:rPr>
          <w:rFonts w:ascii="宋体" w:hAnsi="宋体" w:eastAsia="宋体" w:cs="宋体"/>
          <w:color w:val="ff0000"/>
          <w:sz w:val="24"/>
          <w:highlight w:val="yellow"/>
        </w:rPr>
        <w:t xml:space="preserve">不少于30分钟</w:t>
      </w:r>
      <w:r>
        <w:rPr>
          <w:rFonts w:ascii="宋体" w:hAnsi="宋体" w:eastAsia="宋体" w:cs="宋体"/>
          <w:color w:val="383838"/>
          <w:sz w:val="24"/>
          <w:highlight w:val="yellow"/>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982"/>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6"/>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06"/>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8"/>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left="0" w:right="0" w:firstLine="630"/>
        <w:jc w:val="both"/>
        <w:spacing w:before="0" w:after="0" w:line="400" w:lineRule="atLeast"/>
        <w:rPr>
          <w:rFonts w:ascii="宋体" w:hAnsi="宋体" w:eastAsia="宋体" w:cs="宋体"/>
          <w:color w:val="000000"/>
          <w:sz w:val="21"/>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分期付款：</w:t>
      </w:r>
      <w:r>
        <w:rPr>
          <w:rFonts w:hint="eastAsia" w:ascii="宋体" w:hAnsi="宋体" w:eastAsia="宋体" w:cs="宋体"/>
          <w:color w:val="000000"/>
          <w:sz w:val="21"/>
          <w:u w:val="single"/>
        </w:rPr>
        <w:t xml:space="preserve">合同签订，乙方向甲方开具发票，甲方自收到发票之日起10个工作日内支付合同总价30%的预付款；项目验收合格后，乙方向甲方开具发票，甲方自收到发票之日起10个工作日内支付余款。</w:t>
      </w:r>
      <w:r>
        <w:rPr>
          <w:rFonts w:ascii="宋体" w:hAnsi="宋体" w:eastAsia="宋体" w:cs="宋体"/>
          <w:color w:val="000000"/>
          <w:sz w:val="21"/>
          <w:u w:val="single"/>
        </w:rPr>
        <w:t xml:space="preserve"> </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其中涉及预付款的：（</w:t>
      </w:r>
      <w:r>
        <w:rPr>
          <w:rFonts w:hint="eastAsia" w:ascii="宋体" w:hAnsi="宋体" w:eastAsia="宋体" w:cs="宋体"/>
          <w:color w:val="000000"/>
          <w:sz w:val="21"/>
          <w:u w:val="single"/>
        </w:rPr>
        <w:t xml:space="preserve">合同签订，乙方向甲方开具发票，甲方自收到发票之日起10个工作日内支付合同总价30%的预付款</w:t>
      </w:r>
      <w:r>
        <w:rPr>
          <w:rFonts w:ascii="宋体" w:hAnsi="宋体" w:eastAsia="宋体" w:cs="宋体"/>
          <w:color w:val="000000"/>
          <w:sz w:val="21"/>
          <w:u w:val="single"/>
        </w:rPr>
        <w:t xml:space="preserve">） </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06"/>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38"/>
        <w:tblW w:w="668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965"/>
        <w:gridCol w:w="951"/>
        <w:gridCol w:w="2686"/>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3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W w:w="1087"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1965"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9"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06"/>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06"/>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2.</w:t>
      </w: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23.</w:t>
      </w:r>
      <w:r>
        <w:rPr>
          <w:rFonts w:ascii="宋体" w:hAnsi="宋体" w:eastAsia="宋体" w:cs="宋体"/>
          <w:b/>
          <w:color w:val="000000"/>
          <w:sz w:val="24"/>
        </w:rPr>
        <w:t xml:space="preserve">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06"/>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38"/>
        <w:tblW w:w="6213"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636"/>
        <w:gridCol w:w="4836"/>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741"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rPr>
          <w:rFonts w:ascii="黑体" w:hAnsi="黑体" w:eastAsia="黑体" w:cs="黑体"/>
          <w:color w:val="000000"/>
          <w:sz w:val="44"/>
        </w:rPr>
      </w:pPr>
      <w:r>
        <w:rPr>
          <w:rFonts w:ascii="黑体" w:hAnsi="黑体" w:eastAsia="黑体" w:cs="黑体"/>
          <w:color w:val="000000"/>
          <w:sz w:val="44"/>
        </w:rPr>
        <w:br w:type="page" w:clear="all"/>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hanging="495"/>
        <w:spacing w:line="0" w:lineRule="atLeast"/>
        <w:rPr>
          <w:rFonts w:hint="eastAsia"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 xml:space="preserve">本项目强制节能产品有：</w:t>
      </w:r>
      <w:r>
        <w:rPr>
          <w:rFonts w:hint="eastAsia" w:ascii="宋体" w:hAnsi="宋体"/>
          <w:bCs/>
          <w:color w:val="000000"/>
          <w:sz w:val="24"/>
          <w:szCs w:val="24"/>
          <w:lang w:val="en-US" w:eastAsia="zh-CN"/>
        </w:rPr>
        <w:t xml:space="preserve">一体式</w:t>
      </w:r>
      <w:r>
        <w:rPr>
          <w:rFonts w:hint="eastAsia" w:ascii="宋体" w:hAnsi="宋体"/>
          <w:bCs/>
          <w:color w:val="000000"/>
          <w:sz w:val="24"/>
          <w:szCs w:val="24"/>
        </w:rPr>
        <w:t xml:space="preserve">电脑</w:t>
      </w:r>
      <w:r>
        <w:rPr>
          <w:rFonts w:hint="eastAsia"/>
          <w:bCs/>
          <w:iCs/>
          <w:sz w:val="24"/>
          <w:szCs w:val="24"/>
        </w:rPr>
        <w:t xml:space="preserve">。</w:t>
      </w:r>
      <w:r/>
    </w:p>
    <w:p>
      <w:pPr>
        <w:ind w:firstLine="480"/>
        <w:spacing w:line="360" w:lineRule="auto"/>
        <w:rPr>
          <w:rFonts w:hint="eastAsia" w:ascii="Times New Roman" w:hAnsi="Times New Roman" w:eastAsia="宋体" w:cs="Times New Roman"/>
          <w:bCs/>
          <w:iCs/>
          <w:sz w:val="24"/>
          <w:szCs w:val="24"/>
        </w:rPr>
      </w:pPr>
      <w:r>
        <w:rPr>
          <w:rFonts w:hint="eastAsia" w:ascii="Times New Roman" w:hAnsi="Times New Roman" w:eastAsia="宋体" w:cs="Times New Roman"/>
          <w:bCs/>
          <w:iCs/>
          <w:sz w:val="24"/>
          <w:szCs w:val="24"/>
        </w:rPr>
        <w:t xml:space="preserve">2. 供应商对于投标产品的包装应按照“财办库〔2020〕123号《关于印发《商品包装政府采购需求标准（试行）》、《快递包装政府采购需求标准（试行）》的通知》”执行。</w:t>
      </w:r>
      <w:r/>
    </w:p>
    <w:p>
      <w:pPr>
        <w:ind w:firstLine="480"/>
        <w:rPr>
          <w:rFonts w:hint="eastAsia" w:ascii="宋体" w:hAnsi="宋体"/>
          <w:b/>
          <w:bCs/>
          <w:color w:val="ff0000"/>
          <w:sz w:val="24"/>
          <w:szCs w:val="24"/>
        </w:rPr>
      </w:pPr>
      <w:r>
        <w:rPr>
          <w:rFonts w:hint="eastAsia"/>
          <w:bCs/>
          <w:iCs/>
          <w:sz w:val="24"/>
          <w:szCs w:val="24"/>
        </w:rPr>
        <w:t xml:space="preserve">3</w:t>
      </w:r>
      <w:r>
        <w:rPr>
          <w:bCs/>
          <w:iCs/>
          <w:sz w:val="24"/>
          <w:szCs w:val="24"/>
        </w:rPr>
        <w:t xml:space="preserve">.采购需求中</w:t>
      </w:r>
      <w:r>
        <w:rPr>
          <w:rFonts w:hint="eastAsia" w:ascii="宋体" w:hAnsi="宋体"/>
          <w:b/>
          <w:bCs/>
          <w:i/>
          <w:color w:val="ff0000"/>
          <w:sz w:val="24"/>
          <w:szCs w:val="24"/>
          <w:u w:val="single"/>
        </w:rPr>
        <w:t xml:space="preserve">斜体且有下划线部分</w:t>
      </w:r>
      <w:r>
        <w:rPr>
          <w:rFonts w:hint="eastAsia" w:ascii="宋体" w:hAnsi="宋体"/>
          <w:b/>
          <w:bCs/>
          <w:color w:val="ff0000"/>
          <w:sz w:val="24"/>
          <w:szCs w:val="24"/>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spacing w:line="360" w:lineRule="auto"/>
        <w:rPr>
          <w:rFonts w:hint="eastAsia" w:ascii="Times New Roman" w:hAnsi="Times New Roman" w:eastAsia="宋体" w:cs="Times New Roman"/>
          <w:bCs/>
          <w:iCs/>
          <w:sz w:val="24"/>
          <w:szCs w:val="24"/>
        </w:rPr>
      </w:pPr>
      <w:r>
        <w:rPr>
          <w:rFonts w:hint="eastAsia" w:ascii="Times New Roman" w:hAnsi="Times New Roman" w:eastAsia="宋体" w:cs="Times New Roman"/>
          <w:bCs/>
          <w:iCs/>
          <w:sz w:val="24"/>
          <w:szCs w:val="24"/>
          <w:lang w:val="en-US" w:eastAsia="zh-CN"/>
        </w:rPr>
        <w:t xml:space="preserve">4</w:t>
      </w:r>
      <w:r>
        <w:rPr>
          <w:rFonts w:hint="eastAsia" w:ascii="Times New Roman" w:hAnsi="Times New Roman" w:eastAsia="宋体" w:cs="Times New Roman"/>
          <w:bCs/>
          <w:iCs/>
          <w:sz w:val="24"/>
          <w:szCs w:val="24"/>
        </w:rPr>
        <w:t xml:space="preserve">. 投标人需对商务要求（未加斜体下划线的非实质性要求）逐条做出明确响应。如果招标文件要求提供证明材料，投标人需将证明材料列于商务要求响应及偏离表之下。</w:t>
      </w:r>
      <w:r/>
    </w:p>
    <w:p>
      <w:pPr>
        <w:ind w:firstLine="480"/>
        <w:spacing w:line="360" w:lineRule="auto"/>
        <w:rPr>
          <w:rFonts w:hint="eastAsia" w:ascii="Times New Roman" w:hAnsi="Times New Roman" w:eastAsia="宋体" w:cs="Times New Roman"/>
          <w:bCs/>
          <w:iCs/>
          <w:sz w:val="24"/>
          <w:szCs w:val="24"/>
        </w:rPr>
      </w:pPr>
      <w:r>
        <w:rPr>
          <w:rFonts w:hint="eastAsia" w:ascii="Times New Roman" w:hAnsi="Times New Roman" w:eastAsia="宋体" w:cs="Times New Roman"/>
          <w:bCs/>
          <w:iCs/>
          <w:sz w:val="24"/>
          <w:szCs w:val="24"/>
          <w:lang w:val="en-US" w:eastAsia="zh-CN"/>
        </w:rPr>
        <w:t xml:space="preserve">5</w:t>
      </w:r>
      <w:r>
        <w:rPr>
          <w:rFonts w:hint="eastAsia" w:ascii="Times New Roman" w:hAnsi="Times New Roman" w:eastAsia="宋体" w:cs="Times New Roman"/>
          <w:bCs/>
          <w:iCs/>
          <w:sz w:val="24"/>
          <w:szCs w:val="24"/>
        </w:rPr>
        <w:t xml:space="preserve">. 供应商对于投标产品的包装应按照“财办库〔2020〕123号《关于印发《商品包装政府采购需求标准（试行）》、《快递包装政府采购需求标准（试行）》的通知》”执行。</w:t>
      </w:r>
      <w:r/>
    </w:p>
    <w:p>
      <w:pPr>
        <w:ind w:firstLine="480"/>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15"/>
        <w:tblW w:w="7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扬州市中医院新院区信息终端设备采购(第二批)</w:t>
            </w:r>
            <w:r/>
          </w:p>
        </w:tc>
        <w:tc>
          <w:tcPr>
            <w:tcW w:w="302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工业</w:t>
            </w:r>
            <w:r/>
          </w:p>
        </w:tc>
      </w:tr>
    </w:tbl>
    <w:p>
      <w:pPr>
        <w:ind w:firstLine="480"/>
        <w:spacing w:line="0" w:lineRule="atLeast"/>
        <w:rPr>
          <w:rFonts w:hint="eastAsia"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．核心产品</w:t>
      </w:r>
      <w:r/>
    </w:p>
    <w:tbl>
      <w:tblPr>
        <w:tblStyle w:val="715"/>
        <w:tblW w:w="472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481"/>
      </w:tblGrid>
      <w:tr>
        <w:trPr/>
        <w:tc>
          <w:tcPr>
            <w:tcW w:w="124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w:t>
            </w:r>
            <w:r/>
          </w:p>
          <w:p>
            <w:pPr>
              <w:jc w:val="center"/>
              <w:rPr>
                <w:rFonts w:hint="eastAsia" w:ascii="宋体" w:hAnsi="宋体"/>
                <w:sz w:val="24"/>
                <w:szCs w:val="24"/>
              </w:rPr>
            </w:pPr>
            <w:r>
              <w:rPr>
                <w:rFonts w:hint="eastAsia" w:ascii="宋体" w:hAnsi="宋体"/>
                <w:sz w:val="24"/>
                <w:szCs w:val="24"/>
              </w:rPr>
              <w:t xml:space="preserve">包号</w:t>
            </w:r>
            <w:r/>
          </w:p>
        </w:tc>
        <w:tc>
          <w:tcPr>
            <w:tcW w:w="348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核心产品</w:t>
            </w:r>
            <w:r/>
          </w:p>
        </w:tc>
      </w:tr>
      <w:tr>
        <w:trPr/>
        <w:tc>
          <w:tcPr>
            <w:tcW w:w="124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3481" w:type="dxa"/>
            <w:vAlign w:val="center"/>
            <w:textDirection w:val="lrTb"/>
            <w:noWrap w:val="false"/>
          </w:tcPr>
          <w:p>
            <w:pPr>
              <w:jc w:val="center"/>
              <w:rPr>
                <w:rFonts w:hint="eastAsia" w:ascii="宋体" w:hAnsi="宋体"/>
                <w:sz w:val="24"/>
                <w:szCs w:val="24"/>
              </w:rPr>
            </w:pPr>
            <w:r>
              <w:rPr>
                <w:rFonts w:hint="eastAsia" w:ascii="宋体" w:hAnsi="宋体"/>
                <w:bCs/>
                <w:color w:val="000000"/>
                <w:sz w:val="24"/>
                <w:szCs w:val="24"/>
                <w:lang w:val="en-US" w:eastAsia="zh-CN"/>
              </w:rPr>
              <w:t xml:space="preserve">一体式</w:t>
            </w:r>
            <w:r>
              <w:rPr>
                <w:rFonts w:hint="eastAsia" w:ascii="宋体" w:hAnsi="宋体"/>
                <w:bCs/>
                <w:color w:val="000000"/>
                <w:sz w:val="24"/>
                <w:szCs w:val="24"/>
              </w:rPr>
              <w:t xml:space="preserve">电脑</w:t>
            </w:r>
            <w:r/>
          </w:p>
        </w:tc>
      </w:tr>
    </w:tbl>
    <w:p>
      <w:pPr>
        <w:spacing w:line="0" w:lineRule="atLeast"/>
        <w:rPr>
          <w:rFonts w:hint="eastAsia" w:ascii="宋体" w:hAnsi="宋体"/>
          <w:b/>
          <w:bCs/>
          <w:color w:val="000000"/>
          <w:sz w:val="24"/>
          <w:szCs w:val="24"/>
        </w:rPr>
        <w:outlineLvl w:val="1"/>
      </w:pPr>
      <w:r>
        <w:rPr>
          <w:rFonts w:hint="eastAsia" w:ascii="宋体" w:hAnsi="宋体"/>
          <w:b/>
          <w:bCs/>
          <w:color w:val="000000"/>
          <w:sz w:val="24"/>
          <w:szCs w:val="24"/>
        </w:rPr>
      </w:r>
      <w:r/>
    </w:p>
    <w:p>
      <w:pPr>
        <w:spacing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ff0000"/>
          <w:sz w:val="24"/>
          <w:szCs w:val="24"/>
          <w:highlight w:val="green"/>
        </w:rPr>
        <w:t xml:space="preserve">二、政府采购中实施本国产品标准及相关政策</w:t>
      </w:r>
      <w:r/>
    </w:p>
    <w:p>
      <w:pPr>
        <w:ind w:firstLine="555"/>
        <w:spacing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green"/>
        </w:rPr>
        <w:t xml:space="preserve">1.本项目对采购本国产品给予政策支持，具体内容见招标文件“第五章 评标方法与评标标准”。</w:t>
      </w:r>
      <w:r/>
    </w:p>
    <w:p>
      <w:pPr>
        <w:ind w:firstLine="555"/>
        <w:spacing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gree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gree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bCs/>
          <w:color w:val="000000"/>
          <w:sz w:val="24"/>
          <w:szCs w:val="24"/>
        </w:rPr>
        <w:outlineLvl w:val="1"/>
      </w:pPr>
      <w:r>
        <w:rPr>
          <w:rFonts w:hint="eastAsia" w:ascii="宋体" w:hAnsi="宋体"/>
          <w:b/>
          <w:bCs/>
          <w:color w:val="000000"/>
          <w:sz w:val="24"/>
          <w:szCs w:val="24"/>
        </w:rPr>
      </w:r>
      <w:r/>
    </w:p>
    <w:p>
      <w:pPr>
        <w:spacing w:line="0" w:lineRule="atLeast"/>
        <w:rPr>
          <w:rFonts w:hint="eastAsia" w:ascii="宋体" w:hAnsi="宋体"/>
          <w:b/>
          <w:bCs/>
          <w:color w:val="000000"/>
          <w:sz w:val="24"/>
          <w:szCs w:val="24"/>
        </w:rPr>
        <w:outlineLvl w:val="1"/>
      </w:pPr>
      <w:r>
        <w:rPr>
          <w:rFonts w:ascii="宋体" w:hAnsi="宋体"/>
          <w:b/>
          <w:color w:val="000000"/>
          <w:sz w:val="24"/>
          <w:szCs w:val="24"/>
        </w:rPr>
        <w:t xml:space="preserve">三、技术要求</w:t>
      </w:r>
      <w:r/>
    </w:p>
    <w:p>
      <w:pPr>
        <w:ind w:firstLine="240"/>
        <w:rPr>
          <w:rFonts w:hint="eastAsia" w:ascii="宋体" w:hAnsi="宋体"/>
          <w:b/>
          <w:bCs/>
          <w:color w:val="ff0000"/>
          <w:sz w:val="24"/>
          <w:szCs w:val="24"/>
        </w:rPr>
      </w:pPr>
      <w:r>
        <w:rPr>
          <w:rFonts w:hint="eastAsia" w:ascii="宋体" w:hAnsi="宋体"/>
          <w:bCs/>
          <w:color w:val="000000"/>
          <w:sz w:val="24"/>
          <w:szCs w:val="24"/>
        </w:rPr>
        <w:t xml:space="preserve">技术要求是指对采购标的功能和质量要求，包括性能、材料、结构、外观、安全，或者服务内容和标准等。</w:t>
      </w:r>
      <w:r/>
    </w:p>
    <w:p>
      <w:pPr>
        <w:spacing w:line="0" w:lineRule="atLeast"/>
        <w:rPr>
          <w:rFonts w:hint="eastAsia" w:ascii="宋体" w:hAnsi="宋体"/>
          <w:b/>
          <w:color w:val="000000"/>
          <w:sz w:val="24"/>
          <w:szCs w:val="24"/>
        </w:rPr>
        <w:outlineLvl w:val="1"/>
      </w:pPr>
      <w:r>
        <w:rPr>
          <w:rFonts w:ascii="宋体" w:hAnsi="宋体"/>
          <w:b/>
          <w:color w:val="000000"/>
          <w:sz w:val="24"/>
          <w:szCs w:val="24"/>
        </w:rPr>
        <w:t xml:space="preserve">采购清单</w:t>
      </w:r>
      <w:r/>
    </w:p>
    <w:tbl>
      <w:tblPr>
        <w:tblStyle w:val="715"/>
        <w:tblW w:w="9948" w:type="dxa"/>
        <w:tblInd w:w="0" w:type="dxa"/>
        <w:tblLayout w:type="fixed"/>
        <w:tblCellMar>
          <w:left w:w="108" w:type="dxa"/>
          <w:top w:w="0" w:type="dxa"/>
          <w:right w:w="108" w:type="dxa"/>
          <w:bottom w:w="0" w:type="dxa"/>
        </w:tblCellMar>
        <w:tblLook w:val="04A0" w:firstRow="1" w:lastRow="0" w:firstColumn="1" w:lastColumn="0" w:noHBand="0" w:noVBand="1"/>
      </w:tblPr>
      <w:tblGrid>
        <w:gridCol w:w="780"/>
        <w:gridCol w:w="3760"/>
        <w:gridCol w:w="3760"/>
        <w:gridCol w:w="782"/>
        <w:gridCol w:w="866"/>
      </w:tblGrid>
      <w:tr>
        <w:trPr>
          <w:trHeight w:val="454"/>
          <w:tblHeader/>
        </w:trPr>
        <w:tc>
          <w:tcPr>
            <w:shd w:val="clear" w:color="auto" w:fill="bfbfb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p>
        </w:tc>
      </w:tr>
      <w:tr>
        <w:trPr>
          <w:trHeight w:val="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bCs/>
                <w:color w:val="000000"/>
                <w:sz w:val="24"/>
                <w:szCs w:val="24"/>
              </w:rPr>
            </w:pPr>
            <w:r>
              <w:rPr>
                <w:rFonts w:ascii="宋体" w:hAnsi="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widowControl/>
              <w:rPr>
                <w:rFonts w:hint="eastAsia" w:ascii="宋体" w:hAnsi="宋体"/>
                <w:bCs/>
                <w:color w:val="000000"/>
                <w:sz w:val="24"/>
                <w:szCs w:val="24"/>
              </w:rPr>
            </w:pPr>
            <w:r>
              <w:rPr>
                <w:rFonts w:hint="eastAsia" w:ascii="宋体" w:hAnsi="宋体"/>
                <w:bCs/>
                <w:color w:val="000000"/>
                <w:sz w:val="24"/>
                <w:szCs w:val="24"/>
              </w:rPr>
              <w:t xml:space="preserve">重症监护移动推车</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color w:val="000000"/>
                <w:sz w:val="24"/>
                <w:szCs w:val="24"/>
              </w:rPr>
            </w:pPr>
            <w:r>
              <w:rPr>
                <w:rFonts w:hint="eastAsia"/>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bCs/>
                <w:color w:val="000000"/>
                <w:sz w:val="24"/>
                <w:szCs w:val="24"/>
              </w:rPr>
            </w:pPr>
            <w:r>
              <w:rPr>
                <w:rFonts w:ascii="宋体" w:hAnsi="宋体"/>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widowControl/>
              <w:rPr>
                <w:rFonts w:hint="eastAsia" w:ascii="宋体" w:hAnsi="宋体"/>
                <w:bCs/>
                <w:color w:val="000000"/>
                <w:sz w:val="24"/>
                <w:szCs w:val="24"/>
              </w:rPr>
            </w:pPr>
            <w:r>
              <w:rPr>
                <w:rFonts w:hint="eastAsia" w:ascii="宋体" w:hAnsi="宋体"/>
                <w:bCs/>
                <w:color w:val="000000"/>
                <w:sz w:val="24"/>
                <w:szCs w:val="24"/>
                <w:lang w:val="en-US" w:eastAsia="zh-CN"/>
              </w:rPr>
              <w:t xml:space="preserve">一体式</w:t>
            </w:r>
            <w:r>
              <w:rPr>
                <w:rFonts w:hint="eastAsia" w:ascii="宋体" w:hAnsi="宋体"/>
                <w:bCs/>
                <w:color w:val="000000"/>
                <w:sz w:val="24"/>
                <w:szCs w:val="24"/>
              </w:rPr>
              <w:t xml:space="preserve">电脑</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color w:val="000000"/>
                <w:sz w:val="24"/>
                <w:szCs w:val="24"/>
              </w:rPr>
            </w:pPr>
            <w:r>
              <w:rPr>
                <w:rFonts w:hint="eastAsia"/>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bCs/>
                <w:color w:val="000000"/>
                <w:sz w:val="24"/>
                <w:szCs w:val="24"/>
              </w:rPr>
            </w:pPr>
            <w:r>
              <w:rPr>
                <w:rFonts w:hint="eastAsia" w:ascii="宋体" w:hAnsi="宋体"/>
                <w:bCs/>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widowControl/>
              <w:rPr>
                <w:rFonts w:hint="eastAsia" w:ascii="宋体" w:hAnsi="宋体"/>
                <w:bCs/>
                <w:color w:val="000000"/>
                <w:sz w:val="24"/>
                <w:szCs w:val="24"/>
              </w:rPr>
            </w:pPr>
            <w:r>
              <w:rPr>
                <w:rFonts w:hint="eastAsia" w:ascii="宋体" w:hAnsi="宋体"/>
                <w:bCs/>
                <w:color w:val="000000"/>
                <w:sz w:val="24"/>
                <w:szCs w:val="24"/>
              </w:rPr>
              <w:t xml:space="preserve">医疗工作电脑</w:t>
            </w:r>
            <w:r/>
          </w:p>
        </w:tc>
        <w:tc>
          <w:tcPr>
            <w:tcBorders>
              <w:top w:val="single" w:color="000000" w:sz="4" w:space="0"/>
              <w:left w:val="single" w:color="000000" w:sz="4" w:space="0"/>
              <w:bottom w:val="single" w:color="000000" w:sz="4" w:space="0"/>
              <w:right w:val="single" w:color="000000" w:sz="4" w:space="0"/>
            </w:tcBorders>
            <w:tcW w:w="3760" w:type="dxa"/>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bCs/>
                <w:color w:val="000000"/>
                <w:sz w:val="24"/>
                <w:szCs w:val="24"/>
              </w:rPr>
            </w:pPr>
            <w:r>
              <w:rPr>
                <w:rFonts w:hint="eastAsia" w:ascii="宋体" w:hAnsi="宋体"/>
                <w:bCs/>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widowControl/>
              <w:rPr>
                <w:rFonts w:hint="eastAsia" w:ascii="宋体" w:hAnsi="宋体"/>
                <w:bCs/>
                <w:color w:val="000000"/>
                <w:sz w:val="24"/>
                <w:szCs w:val="24"/>
              </w:rPr>
            </w:pPr>
            <w:r>
              <w:rPr>
                <w:rFonts w:hint="eastAsia" w:ascii="宋体" w:hAnsi="宋体"/>
                <w:bCs/>
                <w:color w:val="000000"/>
                <w:sz w:val="24"/>
                <w:szCs w:val="24"/>
              </w:rPr>
              <w:t xml:space="preserve">虚拟化医疗终端</w:t>
            </w:r>
            <w:r/>
          </w:p>
        </w:tc>
        <w:tc>
          <w:tcPr>
            <w:tcBorders>
              <w:top w:val="single" w:color="000000" w:sz="4" w:space="0"/>
              <w:left w:val="single" w:color="000000" w:sz="4" w:space="0"/>
              <w:bottom w:val="single" w:color="000000" w:sz="4" w:space="0"/>
              <w:right w:val="single" w:color="000000" w:sz="4" w:space="0"/>
            </w:tcBorders>
            <w:tcW w:w="3760" w:type="dxa"/>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150</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p>
        </w:tc>
      </w:tr>
    </w:tbl>
    <w:p>
      <w:pPr>
        <w:rPr>
          <w:b/>
          <w:bCs/>
          <w:sz w:val="24"/>
          <w:szCs w:val="24"/>
        </w:rPr>
      </w:pPr>
      <w:r>
        <w:rPr>
          <w:rFonts w:hint="eastAsia"/>
          <w:b/>
          <w:bCs/>
          <w:sz w:val="24"/>
          <w:szCs w:val="24"/>
        </w:rPr>
        <w:t xml:space="preserve">一、技术指标要求</w:t>
      </w:r>
      <w:r/>
    </w:p>
    <w:p>
      <w:pPr>
        <w:pStyle w:val="790"/>
        <w:numPr>
          <w:ilvl w:val="0"/>
          <w:numId w:val="13"/>
        </w:numPr>
        <w:rPr>
          <w:sz w:val="24"/>
          <w:szCs w:val="24"/>
        </w:rPr>
      </w:pPr>
      <w:r>
        <w:rPr>
          <w:rFonts w:hint="eastAsia"/>
          <w:sz w:val="24"/>
          <w:szCs w:val="24"/>
        </w:rPr>
        <w:t xml:space="preserve">重症监护移动推车  </w:t>
      </w:r>
      <w:r/>
    </w:p>
    <w:p>
      <w:pPr>
        <w:ind w:firstLine="480"/>
        <w:rPr>
          <w:sz w:val="24"/>
          <w:szCs w:val="24"/>
        </w:rPr>
      </w:pPr>
      <w:r>
        <w:rPr>
          <w:rFonts w:hint="eastAsia"/>
          <w:sz w:val="24"/>
          <w:szCs w:val="24"/>
        </w:rPr>
        <w:t xml:space="preserve">注：以下均为单台/套技术要求</w:t>
      </w:r>
      <w:r/>
    </w:p>
    <w:tbl>
      <w:tblPr>
        <w:tblStyle w:val="715"/>
        <w:tblW w:w="901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418"/>
        <w:gridCol w:w="7595"/>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b/>
                <w:bCs/>
                <w:sz w:val="24"/>
                <w:szCs w:val="24"/>
              </w:rPr>
            </w:pPr>
            <w:r>
              <w:rPr>
                <w:rFonts w:hint="eastAsia" w:cs="宋体"/>
                <w:b/>
                <w:bCs/>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jc w:val="center"/>
              <w:widowControl/>
              <w:rPr>
                <w:rFonts w:cs="宋体"/>
                <w:b/>
                <w:bCs/>
                <w:sz w:val="24"/>
                <w:szCs w:val="24"/>
              </w:rPr>
            </w:pPr>
            <w:r>
              <w:rPr>
                <w:rFonts w:hint="eastAsia" w:cs="宋体"/>
                <w:b/>
                <w:bCs/>
                <w:sz w:val="24"/>
                <w:szCs w:val="24"/>
              </w:rPr>
              <w:t xml:space="preserve">技术规格要求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olor w:val="000000" w:themeColor="text1"/>
                <w:sz w:val="24"/>
                <w:szCs w:val="24"/>
                <w14:textFill>
                  <w14:solidFill>
                    <w14:schemeClr w14:val="tx1"/>
                  </w14:solidFill>
                </w14:textFill>
              </w:rPr>
              <w:t xml:space="preserve">整车重量</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color w:val="000000" w:themeColor="text1"/>
                <w:sz w:val="24"/>
                <w:szCs w:val="24"/>
                <w14:textFill>
                  <w14:solidFill>
                    <w14:schemeClr w14:val="tx1"/>
                  </w14:solidFill>
                </w14:textFill>
              </w:rPr>
              <w:t xml:space="preserve">整车含电脑电池≤60kg；</w:t>
            </w:r>
            <w:r/>
          </w:p>
        </w:tc>
      </w:tr>
      <w:tr>
        <w:trPr>
          <w:trHeight w:val="317"/>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olor w:val="000000" w:themeColor="text1"/>
                <w:sz w:val="24"/>
                <w:szCs w:val="24"/>
                <w14:textFill>
                  <w14:solidFill>
                    <w14:schemeClr w14:val="tx1"/>
                  </w14:solidFill>
                </w14:textFill>
              </w:rPr>
              <w:t xml:space="preserve">抽屉配置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i/>
                <w:iCs/>
                <w:sz w:val="24"/>
                <w:szCs w:val="24"/>
                <w:u w:val="single"/>
              </w:rPr>
            </w:pPr>
            <w:r>
              <w:rPr>
                <w:rFonts w:hint="eastAsia"/>
                <w:color w:val="000000" w:themeColor="text1"/>
                <w:sz w:val="24"/>
                <w:szCs w:val="24"/>
                <w14:textFill>
                  <w14:solidFill>
                    <w14:schemeClr w14:val="tx1"/>
                  </w14:solidFill>
                </w14:textFill>
              </w:rPr>
              <w:t xml:space="preserve">台面下方第一层为鼠标键盘小抽，下面是四层储物抽屉，两中抽，两大抽，金属抽屉拉手，每层抽屉内有3*3隔板，自由分格药盒使用，三折静音滑轨，抽拉顺畅自如无噪音，箱体底部有防撞护角；</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olor w:val="000000" w:themeColor="text1"/>
                <w:sz w:val="24"/>
                <w:szCs w:val="24"/>
                <w14:textFill>
                  <w14:solidFill>
                    <w14:schemeClr w14:val="tx1"/>
                  </w14:solidFill>
                </w14:textFill>
              </w:rPr>
              <w:t xml:space="preserve">车体材质</w:t>
            </w:r>
            <w:r/>
          </w:p>
        </w:tc>
        <w:tc>
          <w:tcPr>
            <w:shd w:val="clear" w:color="auto" w:fill="ffffff"/>
            <w:tcBorders>
              <w:top w:val="single" w:color="auto" w:sz="4" w:space="0"/>
              <w:left w:val="single" w:color="auto" w:sz="4" w:space="0"/>
              <w:bottom w:val="single" w:color="auto" w:sz="4" w:space="0"/>
              <w:right w:val="single" w:color="auto" w:sz="4" w:space="0"/>
            </w:tcBorders>
            <w:tcW w:w="7595" w:type="dxa"/>
            <w:textDirection w:val="lrTb"/>
            <w:noWrap w:val="false"/>
          </w:tcPr>
          <w:p>
            <w:pPr>
              <w:widowControl/>
              <w:rPr>
                <w:rFonts w:cs="宋体"/>
                <w:i/>
                <w:iCs/>
                <w:sz w:val="24"/>
                <w:szCs w:val="24"/>
                <w:u w:val="single"/>
              </w:rPr>
            </w:pPr>
            <w:r>
              <w:rPr>
                <w:rFonts w:hint="eastAsia"/>
                <w:color w:val="000000" w:themeColor="text1"/>
                <w:sz w:val="24"/>
                <w:szCs w:val="24"/>
                <w14:textFill>
                  <w14:solidFill>
                    <w14:schemeClr w14:val="tx1"/>
                  </w14:solidFill>
                </w14:textFill>
              </w:rPr>
              <w:t xml:space="preserve">★主体材质采用冷轧钢折弯焊接成型，板材厚度0.8mm,表面易清洗，擦拭，耐腐蚀，4铝合金立柱承重</w:t>
            </w:r>
            <w:r>
              <w:rPr>
                <w:rFonts w:hint="eastAsia" w:ascii="宋体" w:hAnsi="宋体"/>
                <w:b/>
                <w:bCs/>
                <w:color w:val="000000" w:themeColor="text1"/>
                <w:sz w:val="24"/>
                <w:szCs w:val="24"/>
                <w14:textFill>
                  <w14:solidFill>
                    <w14:schemeClr w14:val="tx1"/>
                  </w14:solidFill>
                </w14:textFill>
              </w:rPr>
              <w:t xml:space="preserve">（提供4柱实物图）</w:t>
            </w:r>
            <w:r>
              <w:rPr>
                <w:rFonts w:hint="eastAsia"/>
                <w:color w:val="000000" w:themeColor="text1"/>
                <w:sz w:val="24"/>
                <w:szCs w:val="24"/>
                <w14:textFill>
                  <w14:solidFill>
                    <w14:schemeClr w14:val="tx1"/>
                  </w14:solidFill>
                </w14:textFill>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悬挂附件</w:t>
            </w:r>
            <w:r/>
          </w:p>
        </w:tc>
        <w:tc>
          <w:tcPr>
            <w:shd w:val="clear" w:color="auto" w:fill="ffffff"/>
            <w:tcBorders>
              <w:top w:val="single" w:color="auto" w:sz="4" w:space="0"/>
              <w:left w:val="single" w:color="auto" w:sz="4" w:space="0"/>
              <w:bottom w:val="single" w:color="auto" w:sz="4" w:space="0"/>
              <w:right w:val="single" w:color="auto" w:sz="4" w:space="0"/>
            </w:tcBorders>
            <w:tcW w:w="7595" w:type="dxa"/>
            <w:textDirection w:val="lrTb"/>
            <w:noWrap w:val="false"/>
          </w:tcPr>
          <w:p>
            <w:pPr>
              <w:widowControl/>
              <w:rPr>
                <w:color w:val="000000" w:themeColor="text1"/>
                <w:sz w:val="24"/>
                <w:szCs w:val="24"/>
                <w14:textFill>
                  <w14:solidFill>
                    <w14:schemeClr w14:val="tx1"/>
                  </w14:solidFill>
                </w14:textFill>
              </w:rPr>
            </w:pPr>
            <w:r/>
            <w:bookmarkStart w:id="0" w:name="OLE_LINK5"/>
            <w:r>
              <w:rPr>
                <w:rFonts w:hint="eastAsia"/>
                <w:sz w:val="24"/>
                <w:szCs w:val="24"/>
              </w:rPr>
              <w:t xml:space="preserve">★车体两侧可悬挂</w:t>
            </w:r>
            <w:r>
              <w:rPr>
                <w:sz w:val="24"/>
                <w:szCs w:val="24"/>
              </w:rPr>
              <w:t xml:space="preserve">2</w:t>
            </w:r>
            <w:r>
              <w:rPr>
                <w:rFonts w:hint="eastAsia"/>
                <w:sz w:val="24"/>
                <w:szCs w:val="24"/>
              </w:rPr>
              <w:t xml:space="preserve">个垃圾桶，</w:t>
            </w:r>
            <w:r>
              <w:rPr>
                <w:sz w:val="24"/>
                <w:szCs w:val="24"/>
              </w:rPr>
              <w:t xml:space="preserve">1</w:t>
            </w:r>
            <w:r>
              <w:rPr>
                <w:rFonts w:hint="eastAsia"/>
                <w:sz w:val="24"/>
                <w:szCs w:val="24"/>
              </w:rPr>
              <w:t xml:space="preserve">个锐器桶置物筐，</w:t>
            </w:r>
            <w:r>
              <w:rPr>
                <w:sz w:val="24"/>
                <w:szCs w:val="24"/>
              </w:rPr>
              <w:t xml:space="preserve">2</w:t>
            </w:r>
            <w:r>
              <w:rPr>
                <w:rFonts w:hint="eastAsia"/>
                <w:sz w:val="24"/>
                <w:szCs w:val="24"/>
              </w:rPr>
              <w:t xml:space="preserve">个置物盒；</w:t>
            </w:r>
            <w:r>
              <w:rPr>
                <w:rFonts w:hint="eastAsia" w:ascii="宋体" w:hAnsi="宋体"/>
                <w:b/>
                <w:sz w:val="24"/>
                <w:szCs w:val="24"/>
              </w:rPr>
              <w:t xml:space="preserve">（提供实物图）</w:t>
            </w:r>
            <w:bookmarkEnd w:id="0"/>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车轮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车体底部配有静音脚轮四只，其中2只带刹车；</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计算机配置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 xml:space="preserve">CPU≥双核四线程，基础主频≥2.6GHz</w:t>
            </w:r>
            <w:r>
              <w:rPr>
                <w:rStyle w:val="741"/>
                <w:rFonts w:hint="eastAsia"/>
                <w:i/>
                <w:iCs/>
                <w:sz w:val="24"/>
                <w:szCs w:val="24"/>
                <w:highlight w:val="none"/>
                <w:u w:val="single"/>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内存</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highlight w:val="non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 xml:space="preserve">内存DDR4≥8G</w:t>
            </w:r>
            <w:r>
              <w:rPr>
                <w:rFonts w:hint="eastAsia"/>
                <w:color w:val="000000" w:themeColor="text1"/>
                <w:sz w:val="24"/>
                <w:szCs w:val="24"/>
                <w:highlight w:val="none"/>
                <w14:textFill>
                  <w14:solidFill>
                    <w14:schemeClr w14:val="tx1"/>
                  </w14:solidFill>
                </w14:textFill>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硬盘</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highlight w:val="non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 xml:space="preserve">硬盘为固态硬盘≥256G</w:t>
            </w:r>
            <w:r>
              <w:rPr>
                <w:rFonts w:hint="eastAsia"/>
                <w:color w:val="000000" w:themeColor="text1"/>
                <w:sz w:val="24"/>
                <w:szCs w:val="24"/>
                <w:highlight w:val="none"/>
                <w14:textFill>
                  <w14:solidFill>
                    <w14:schemeClr w14:val="tx1"/>
                  </w14:solidFill>
                </w14:textFill>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接口配置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highlight w:val="non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 xml:space="preserve">USB2.0接口≥4个，USB3.0接口≥2个，VGA≥1个，HDMI接口≥1个；</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显示屏</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highlight w:val="non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 xml:space="preserve">LED显示屏≥21.5，分辨率≥1920*1080，无边框全面屏设计，屏幕占比≥90%；</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集成设计</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电脑主板、显示屏、电池、网络模块等全部集成设计于一体化机壳内</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★A</w:t>
            </w:r>
            <w:r>
              <w:rPr>
                <w:color w:val="000000" w:themeColor="text1"/>
                <w:sz w:val="24"/>
                <w:szCs w:val="24"/>
                <w14:textFill>
                  <w14:solidFill>
                    <w14:schemeClr w14:val="tx1"/>
                  </w14:solidFill>
                </w14:textFill>
              </w:rPr>
              <w:t xml:space="preserve">BS</w:t>
            </w:r>
            <w:r>
              <w:rPr>
                <w:rFonts w:hint="eastAsia"/>
                <w:color w:val="000000" w:themeColor="text1"/>
                <w:sz w:val="24"/>
                <w:szCs w:val="24"/>
                <w14:textFill>
                  <w14:solidFill>
                    <w14:schemeClr w14:val="tx1"/>
                  </w14:solidFill>
                </w14:textFill>
              </w:rPr>
              <w:t xml:space="preserve">材质，抗菌处理</w:t>
            </w:r>
            <w:r>
              <w:rPr>
                <w:rFonts w:hint="eastAsia" w:ascii="宋体" w:hAnsi="宋体"/>
                <w:b/>
                <w:bCs/>
                <w:color w:val="000000" w:themeColor="text1"/>
                <w:sz w:val="24"/>
                <w:szCs w:val="24"/>
                <w14:textFill>
                  <w14:solidFill>
                    <w14:schemeClr w14:val="tx1"/>
                  </w14:solidFill>
                </w14:textFill>
              </w:rPr>
              <w:t xml:space="preserve">（提供带CMA标识的抗菌检测报告，委托单位为整车</w:t>
            </w:r>
            <w:r>
              <w:rPr>
                <w:rFonts w:hint="eastAsia" w:ascii="宋体" w:hAnsi="宋体"/>
                <w:b/>
                <w:bCs/>
                <w:color w:val="000000" w:themeColor="text1"/>
                <w:sz w:val="24"/>
                <w:szCs w:val="24"/>
                <w:lang w:val="en-US" w:eastAsia="zh-CN"/>
                <w14:textFill>
                  <w14:solidFill>
                    <w14:schemeClr w14:val="tx1"/>
                  </w14:solidFill>
                </w14:textFill>
              </w:rPr>
              <w:t xml:space="preserve">制造商</w:t>
            </w:r>
            <w:r>
              <w:rPr>
                <w:rFonts w:hint="eastAsia" w:ascii="宋体" w:hAnsi="宋体"/>
                <w:b/>
                <w:bCs/>
                <w:color w:val="000000" w:themeColor="text1"/>
                <w:sz w:val="24"/>
                <w:szCs w:val="24"/>
                <w14:textFill>
                  <w14:solidFill>
                    <w14:schemeClr w14:val="tx1"/>
                  </w14:solidFill>
                </w14:textFill>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内置天线及网络</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支持2.4G/5G WiFi网络,内置天线防拖挂，支持802.11 b/g/n/ac及以上标准</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电池参数</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★磷酸铁锂电池，连续充电≤5小时，在所有设备同时运行的情况下，连续工作≥12小时，待机≥18小时</w:t>
            </w:r>
            <w:r>
              <w:rPr>
                <w:rFonts w:hint="eastAsia"/>
                <w:color w:val="000000" w:themeColor="text1"/>
                <w:sz w:val="24"/>
                <w:szCs w:val="24"/>
                <w:lang w:eastAsia="zh-CN"/>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（提供第三方检测报告）</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电池放置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★电池完全内置于电脑一体机内</w:t>
            </w:r>
            <w:r>
              <w:rPr>
                <w:rFonts w:hint="eastAsia" w:ascii="宋体" w:hAnsi="宋体"/>
                <w:b/>
                <w:bCs/>
                <w:color w:val="000000" w:themeColor="text1"/>
                <w:sz w:val="24"/>
                <w:szCs w:val="24"/>
                <w14:textFill>
                  <w14:solidFill>
                    <w14:schemeClr w14:val="tx1"/>
                  </w14:solidFill>
                </w14:textFill>
              </w:rPr>
              <w:t xml:space="preserve">（提供</w:t>
            </w:r>
            <w:r>
              <w:rPr>
                <w:rFonts w:hint="eastAsia" w:ascii="宋体" w:hAnsi="宋体"/>
                <w:b/>
                <w:bCs/>
                <w:color w:val="000000" w:themeColor="text1"/>
                <w:sz w:val="24"/>
                <w:szCs w:val="24"/>
                <w:lang w:val="en-US" w:eastAsia="zh-CN"/>
                <w14:textFill>
                  <w14:solidFill>
                    <w14:schemeClr w14:val="tx1"/>
                  </w14:solidFill>
                </w14:textFill>
              </w:rPr>
              <w:t xml:space="preserve">电池内置在电脑一体机内的实物图片证明</w:t>
            </w:r>
            <w:r>
              <w:rPr>
                <w:rFonts w:hint="eastAsia" w:ascii="宋体" w:hAnsi="宋体"/>
                <w:b/>
                <w:bCs/>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，无需更换，避免因误操作和备用电池放置不当而带来安全隐患，售后整体更换电脑或调修，极其便利</w:t>
            </w:r>
            <w:r>
              <w:rPr>
                <w:rFonts w:hint="eastAsia"/>
                <w:color w:val="000000" w:themeColor="text1"/>
                <w:sz w:val="24"/>
                <w:szCs w:val="24"/>
                <w:lang w:eastAsia="zh-CN"/>
                <w14:textFill>
                  <w14:solidFill>
                    <w14:schemeClr w14:val="tx1"/>
                  </w14:solidFill>
                </w14:textFill>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充放电管理</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电脑主板集成充放电管理模块，BIOS集成电池EC管理系统，具有漏电、短路、过压、过载保护功能，具有低电量报警以及休眠保护功能；</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电量显示</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电脑桌面右下角任务栏有电池图标，可肉眼直接观察电量情况，也可将鼠标移动到图标上自动显示电量百分比和续航时间，以及充电时显示充满电需要的时间，点即标识还可查看详细参数，和设置电池管理计划；</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线材收纳</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充电适配器收纳于车体内，充电线为螺旋弹簧电源线，悬挂于车体背部，便于远近收纳，</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显示屏供电线等从支架内穿过，其它线材全部内置</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电气安全</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hint="eastAsia"/>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 xml:space="preserve">电脑一体机通过电磁辐射（EMC）和电气安全检测，保证使用者安全（提供带CMA标识的EMC和电气安全检测报告，委托单位为整车</w:t>
            </w:r>
            <w:r>
              <w:rPr>
                <w:rFonts w:hint="eastAsia"/>
                <w:i/>
                <w:iCs/>
                <w:color w:val="000000" w:themeColor="text1"/>
                <w:sz w:val="24"/>
                <w:szCs w:val="24"/>
                <w:highlight w:val="none"/>
                <w:u w:val="single"/>
                <w:lang w:val="en-US" w:eastAsia="zh-CN"/>
                <w14:textFill>
                  <w14:solidFill>
                    <w14:schemeClr w14:val="tx1"/>
                  </w14:solidFill>
                </w14:textFill>
              </w:rPr>
              <w:t xml:space="preserve">制造商</w:t>
            </w:r>
            <w:r>
              <w:rPr>
                <w:rFonts w:hint="eastAsia"/>
                <w:i/>
                <w:iCs/>
                <w:color w:val="000000" w:themeColor="text1"/>
                <w:sz w:val="24"/>
                <w:szCs w:val="24"/>
                <w:highlight w:val="none"/>
                <w:u w:val="single"/>
                <w14:textFill>
                  <w14:solidFill>
                    <w14:schemeClr w14:val="tx1"/>
                  </w14:solidFill>
                </w14:textFill>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95" w:type="dxa"/>
            <w:textDirection w:val="lrTb"/>
            <w:noWrap w:val="false"/>
          </w:tcPr>
          <w:p>
            <w:pPr>
              <w:widowControl/>
              <w:rPr>
                <w:color w:val="000000" w:themeColor="text1"/>
                <w:sz w:val="24"/>
                <w:szCs w:val="24"/>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提供5年原厂免费质保服务（从项目验收合格之日起计算</w:t>
            </w:r>
            <w:r>
              <w:rPr>
                <w:rFonts w:hint="eastAsia"/>
                <w:b/>
                <w:bCs/>
                <w:i/>
                <w:color w:val="000000" w:themeColor="text1"/>
                <w:sz w:val="24"/>
                <w:szCs w:val="24"/>
                <w:u w:val="single"/>
                <w14:textFill>
                  <w14:solidFill>
                    <w14:schemeClr w14:val="tx1"/>
                  </w14:solidFill>
                </w14:textFill>
              </w:rPr>
              <w:t xml:space="preserve">）</w:t>
            </w:r>
            <w:r/>
          </w:p>
        </w:tc>
      </w:tr>
    </w:tbl>
    <w:p>
      <w:pPr>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790"/>
        <w:numPr>
          <w:ilvl w:val="0"/>
          <w:numId w:val="13"/>
        </w:numPr>
        <w:rPr>
          <w:sz w:val="24"/>
          <w:szCs w:val="24"/>
        </w:rPr>
      </w:pPr>
      <w:r>
        <w:rPr>
          <w:rFonts w:hint="eastAsia"/>
          <w:sz w:val="24"/>
          <w:szCs w:val="24"/>
        </w:rPr>
        <w:t xml:space="preserve">一体</w:t>
      </w:r>
      <w:r>
        <w:rPr>
          <w:rFonts w:hint="eastAsia"/>
          <w:sz w:val="24"/>
          <w:szCs w:val="24"/>
          <w:lang w:val="en-US" w:eastAsia="zh-CN"/>
        </w:rPr>
        <w:t xml:space="preserve">式</w:t>
      </w:r>
      <w:r>
        <w:rPr>
          <w:rFonts w:hint="eastAsia"/>
          <w:sz w:val="24"/>
          <w:szCs w:val="24"/>
        </w:rPr>
        <w:t xml:space="preserve">电脑</w:t>
      </w:r>
      <w:r/>
    </w:p>
    <w:p>
      <w:pPr>
        <w:ind w:firstLine="480"/>
        <w:rPr>
          <w:sz w:val="24"/>
          <w:szCs w:val="24"/>
        </w:rPr>
      </w:pPr>
      <w:r>
        <w:rPr>
          <w:rFonts w:hint="eastAsia"/>
          <w:sz w:val="24"/>
          <w:szCs w:val="24"/>
        </w:rPr>
        <w:t xml:space="preserve">注：以下均为单台/套技术要求</w:t>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一体</w:t>
      </w:r>
      <w:r>
        <w:rPr>
          <w:rFonts w:hint="eastAsia" w:ascii="Times New Roman" w:hAnsi="Times New Roman" w:eastAsia="宋体" w:cs="Times New Roman"/>
          <w:sz w:val="24"/>
          <w:szCs w:val="24"/>
          <w:lang w:val="en-US" w:eastAsia="zh-CN"/>
        </w:rPr>
        <w:t xml:space="preserve">式</w:t>
      </w:r>
      <w:r>
        <w:rPr>
          <w:rFonts w:hint="eastAsia" w:ascii="Times New Roman" w:hAnsi="Times New Roman" w:eastAsia="宋体" w:cs="Times New Roman"/>
          <w:sz w:val="24"/>
          <w:szCs w:val="24"/>
        </w:rPr>
        <w:t xml:space="preserve">电脑</w:t>
      </w:r>
      <w:r>
        <w:rPr>
          <w:rFonts w:hint="eastAsia" w:ascii="Times New Roman" w:hAnsi="Times New Roman" w:eastAsia="宋体" w:cs="Times New Roman"/>
          <w:sz w:val="24"/>
          <w:szCs w:val="24"/>
          <w:lang w:val="en-US" w:eastAsia="zh-CN"/>
        </w:rPr>
        <w:t xml:space="preserve">应符合</w:t>
      </w:r>
      <w:r>
        <w:rPr>
          <w:rFonts w:hint="eastAsia" w:ascii="Times New Roman" w:hAnsi="Times New Roman" w:eastAsia="宋体" w:cs="Times New Roman"/>
          <w:sz w:val="24"/>
          <w:szCs w:val="24"/>
        </w:rPr>
        <w:t xml:space="preserve">《一体式计算机政府采购需求标准（2023年版）》【财库〔2023〕31号】</w:t>
      </w:r>
      <w:r>
        <w:rPr>
          <w:rFonts w:hint="eastAsia" w:ascii="Times New Roman" w:hAnsi="Times New Roman" w:eastAsia="宋体" w:cs="Times New Roman"/>
          <w:sz w:val="24"/>
          <w:szCs w:val="24"/>
          <w:lang w:val="en-US" w:eastAsia="zh-CN"/>
        </w:rPr>
        <w:t xml:space="preserve">要求。</w:t>
      </w:r>
      <w:r/>
    </w:p>
    <w:tbl>
      <w:tblPr>
        <w:tblStyle w:val="715"/>
        <w:tblpPr w:horzAnchor="page" w:tblpX="1712" w:vertAnchor="text" w:tblpY="600" w:leftFromText="180" w:topFromText="0" w:rightFromText="180" w:bottomFromText="0"/>
        <w:tblW w:w="89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2216"/>
        <w:gridCol w:w="5529"/>
      </w:tblGrid>
      <w:tr>
        <w:trPr/>
        <w:tc>
          <w:tcPr>
            <w:tcW w:w="1181"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一级指标</w:t>
            </w:r>
            <w:r/>
          </w:p>
        </w:tc>
        <w:tc>
          <w:tcPr>
            <w:tcW w:w="2216"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二级指标</w:t>
            </w:r>
            <w:r/>
          </w:p>
        </w:tc>
        <w:tc>
          <w:tcPr>
            <w:tcW w:w="5529"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指标要求 </w:t>
            </w:r>
            <w:r/>
          </w:p>
        </w:tc>
      </w:tr>
      <w:tr>
        <w:trPr/>
        <w:tc>
          <w:tcPr>
            <w:tcW w:w="1181"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CPU规格</w:t>
            </w:r>
            <w:r/>
          </w:p>
        </w:tc>
        <w:tc>
          <w:tcPr>
            <w:tcW w:w="2216"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CPU 信息</w:t>
            </w:r>
            <w:r/>
          </w:p>
        </w:tc>
        <w:tc>
          <w:tcPr>
            <w:tcW w:w="5529" w:type="dxa"/>
            <w:vAlign w:val="center"/>
            <w:textDirection w:val="lrTb"/>
            <w:noWrap w:val="false"/>
          </w:tcPr>
          <w:p>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配置1颗国产CPU，CPU物理核心数≥8核，CPU主频≥2.7GHz，8MB二级缓存</w:t>
            </w:r>
            <w:r/>
          </w:p>
        </w:tc>
      </w:tr>
      <w:tr>
        <w:trPr/>
        <w:tc>
          <w:tcPr>
            <w:tcW w:w="1181"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内存规格</w:t>
            </w:r>
            <w:r/>
          </w:p>
        </w:tc>
        <w:tc>
          <w:tcPr>
            <w:tcW w:w="2216"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内存配置容量</w:t>
            </w:r>
            <w:r/>
          </w:p>
        </w:tc>
        <w:tc>
          <w:tcPr>
            <w:tcW w:w="5529" w:type="dxa"/>
            <w:vAlign w:val="center"/>
            <w:textDirection w:val="lrTb"/>
            <w:noWrap w:val="false"/>
          </w:tcPr>
          <w:p>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≥8GB</w:t>
            </w:r>
            <w:r/>
          </w:p>
        </w:tc>
      </w:tr>
      <w:tr>
        <w:trPr/>
        <w:tc>
          <w:tcPr>
            <w:tcBorders>
              <w:bottom w:val="single" w:color="auto" w:sz="4" w:space="0"/>
            </w:tcBorders>
            <w:tcW w:w="1181"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主板规格</w:t>
            </w:r>
            <w:r/>
          </w:p>
        </w:tc>
        <w:tc>
          <w:tcPr>
            <w:tcBorders>
              <w:bottom w:val="single" w:color="auto" w:sz="4" w:space="0"/>
            </w:tcBorders>
            <w:tcW w:w="2216"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主板其他内置接口</w:t>
            </w:r>
            <w:r/>
          </w:p>
        </w:tc>
        <w:tc>
          <w:tcPr>
            <w:tcW w:w="5529" w:type="dxa"/>
            <w:vAlign w:val="center"/>
            <w:textDirection w:val="lrTb"/>
            <w:noWrap w:val="false"/>
          </w:tcPr>
          <w:p>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提供≥2个内存插槽，接口：≥4个USB接口（其中USB Type-C≥1个），USB接口支持有瞬间过流保护功能；最少一个1个HDMI in，1个HDMI out接口，集成声卡，千兆网口，支持国产BIOS</w:t>
            </w:r>
            <w:r/>
          </w:p>
        </w:tc>
      </w:tr>
      <w:tr>
        <w:trPr/>
        <w:tc>
          <w:tcPr>
            <w:tcBorders>
              <w:top w:val="single" w:color="auto" w:sz="4" w:space="0"/>
              <w:bottom w:val="single" w:color="auto" w:sz="4" w:space="0"/>
            </w:tcBorders>
            <w:tcW w:w="1181"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存储设备规格</w:t>
            </w:r>
            <w:r/>
          </w:p>
        </w:tc>
        <w:tc>
          <w:tcPr>
            <w:tcBorders>
              <w:top w:val="single" w:color="auto" w:sz="4" w:space="0"/>
            </w:tcBorders>
            <w:tcW w:w="2216"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固态存储容量</w:t>
            </w:r>
            <w:r/>
          </w:p>
        </w:tc>
        <w:tc>
          <w:tcPr>
            <w:tcW w:w="5529" w:type="dxa"/>
            <w:vAlign w:val="center"/>
            <w:textDirection w:val="lrTb"/>
            <w:noWrap w:val="false"/>
          </w:tcPr>
          <w:p>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≥512GB</w:t>
            </w:r>
            <w:r/>
          </w:p>
        </w:tc>
      </w:tr>
      <w:tr>
        <w:trPr>
          <w:trHeight w:val="800"/>
        </w:trPr>
        <w:tc>
          <w:tcPr>
            <w:tcBorders>
              <w:top w:val="single" w:color="auto" w:sz="4" w:space="0"/>
            </w:tcBorders>
            <w:tcW w:w="1181"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显示设备规格</w:t>
            </w:r>
            <w:r/>
          </w:p>
        </w:tc>
        <w:tc>
          <w:tcPr>
            <w:gridSpan w:val="2"/>
            <w:tcBorders>
              <w:top w:val="single" w:color="auto" w:sz="4" w:space="0"/>
              <w:bottom w:val="single" w:color="auto" w:sz="4" w:space="0"/>
            </w:tcBorders>
            <w:tcW w:w="7745" w:type="dxa"/>
            <w:vAlign w:val="center"/>
            <w:textDirection w:val="lrTb"/>
            <w:noWrap w:val="false"/>
          </w:tcPr>
          <w:p>
            <w:pPr>
              <w:spacing w:line="288" w:lineRule="auto"/>
              <w:rPr>
                <w:b/>
                <w:bCs/>
                <w:i/>
                <w:iCs/>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显示屏尺寸</w:t>
            </w:r>
            <w:r>
              <w:rPr>
                <w:rFonts w:hint="eastAsia"/>
                <w:b/>
                <w:bCs/>
                <w:i/>
                <w:iCs/>
                <w:color w:val="000000" w:themeColor="text1"/>
                <w:sz w:val="24"/>
                <w:szCs w:val="24"/>
                <w:u w:val="single"/>
                <w14:textFill>
                  <w14:solidFill>
                    <w14:schemeClr w14:val="tx1"/>
                  </w14:solidFill>
                </w14:textFill>
              </w:rPr>
              <w:t xml:space="preserve">≥23.8 英寸</w:t>
            </w:r>
            <w:r/>
          </w:p>
        </w:tc>
      </w:tr>
      <w:tr>
        <w:trPr>
          <w:trHeight w:val="860"/>
        </w:trPr>
        <w:tc>
          <w:tcPr>
            <w:tcBorders>
              <w:top w:val="single" w:color="auto" w:sz="4" w:space="0"/>
              <w:bottom w:val="single" w:color="auto" w:sz="4" w:space="0"/>
            </w:tcBorders>
            <w:tcW w:w="1181"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显示设备性能</w:t>
            </w:r>
            <w:r/>
          </w:p>
        </w:tc>
        <w:tc>
          <w:tcPr>
            <w:tcBorders>
              <w:top w:val="single" w:color="auto" w:sz="4" w:space="0"/>
            </w:tcBorders>
            <w:tcW w:w="2216"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显示屏刷新率</w:t>
            </w:r>
            <w:r/>
          </w:p>
        </w:tc>
        <w:tc>
          <w:tcPr>
            <w:tcW w:w="5529" w:type="dxa"/>
            <w:vAlign w:val="center"/>
            <w:textDirection w:val="lrTb"/>
            <w:noWrap w:val="false"/>
          </w:tcPr>
          <w:p>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显示器刷新率≥85Hz</w:t>
            </w:r>
            <w:r/>
          </w:p>
        </w:tc>
      </w:tr>
      <w:tr>
        <w:trPr>
          <w:trHeight w:val="750"/>
        </w:trPr>
        <w:tc>
          <w:tcPr>
            <w:tcBorders>
              <w:top w:val="single" w:color="auto" w:sz="4" w:space="0"/>
            </w:tcBorders>
            <w:tcW w:w="1181" w:type="dxa"/>
            <w:vAlign w:val="center"/>
            <w:vMerge w:val="restart"/>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外设规格</w:t>
            </w:r>
            <w:r/>
          </w:p>
        </w:tc>
        <w:tc>
          <w:tcPr>
            <w:tcBorders>
              <w:top w:val="single" w:color="auto" w:sz="4" w:space="0"/>
            </w:tcBorders>
            <w:tcW w:w="2216"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摄像头像素</w:t>
            </w:r>
            <w:r/>
          </w:p>
        </w:tc>
        <w:tc>
          <w:tcPr>
            <w:tcW w:w="5529" w:type="dxa"/>
            <w:vAlign w:val="center"/>
            <w:textDirection w:val="lrTb"/>
            <w:noWrap w:val="false"/>
          </w:tcPr>
          <w:p>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≥500w</w:t>
            </w:r>
            <w:r/>
          </w:p>
        </w:tc>
      </w:tr>
      <w:tr>
        <w:trPr>
          <w:trHeight w:val="750"/>
        </w:trPr>
        <w:tc>
          <w:tcPr>
            <w:tcBorders>
              <w:bottom w:val="single" w:color="auto" w:sz="4" w:space="0"/>
            </w:tcBorders>
            <w:tcW w:w="1181" w:type="dxa"/>
            <w:vAlign w:val="center"/>
            <w:vMerge w:val="continue"/>
            <w:textDirection w:val="lrTb"/>
            <w:noWrap w:val="false"/>
          </w:tcPr>
          <w:p>
            <w:pPr>
              <w:spacing w:line="288"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auto" w:sz="4" w:space="0"/>
            </w:tcBorders>
            <w:tcW w:w="2216"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摄像头分辨率</w:t>
            </w:r>
            <w:r/>
          </w:p>
        </w:tc>
        <w:tc>
          <w:tcPr>
            <w:tcW w:w="5529" w:type="dxa"/>
            <w:vAlign w:val="center"/>
            <w:textDirection w:val="lrTb"/>
            <w:noWrap w:val="false"/>
          </w:tcPr>
          <w:p>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≥2560*1440</w:t>
            </w:r>
            <w:r/>
          </w:p>
        </w:tc>
      </w:tr>
      <w:tr>
        <w:trPr>
          <w:trHeight w:val="653"/>
        </w:trPr>
        <w:tc>
          <w:tcPr>
            <w:tcBorders>
              <w:top w:val="single" w:color="auto" w:sz="4" w:space="0"/>
            </w:tcBorders>
            <w:tcW w:w="1181"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整机可靠性要求</w:t>
            </w:r>
            <w:r/>
          </w:p>
        </w:tc>
        <w:tc>
          <w:tcPr>
            <w:tcW w:w="2216"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MTBF 测试</w:t>
            </w:r>
            <w:r/>
          </w:p>
        </w:tc>
        <w:tc>
          <w:tcPr>
            <w:tcW w:w="5529" w:type="dxa"/>
            <w:vAlign w:val="center"/>
            <w:textDirection w:val="lrTb"/>
            <w:noWrap w:val="false"/>
          </w:tcPr>
          <w:p>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MTBF(m1)≥50万小时</w:t>
            </w:r>
            <w:r/>
          </w:p>
        </w:tc>
      </w:tr>
      <w:tr>
        <w:trPr>
          <w:trHeight w:val="573"/>
        </w:trPr>
        <w:tc>
          <w:tcPr>
            <w:tcW w:w="1181"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质保及服务</w:t>
            </w:r>
            <w:r/>
          </w:p>
        </w:tc>
        <w:tc>
          <w:tcPr>
            <w:gridSpan w:val="2"/>
            <w:tcW w:w="7745" w:type="dxa"/>
            <w:vAlign w:val="center"/>
            <w:textDirection w:val="lrTb"/>
            <w:noWrap w:val="false"/>
          </w:tcPr>
          <w:p>
            <w:pPr>
              <w:spacing w:line="288" w:lineRule="auto"/>
              <w:rPr>
                <w:color w:val="000000" w:themeColor="text1"/>
                <w:sz w:val="24"/>
                <w:szCs w:val="24"/>
                <w14:textFill>
                  <w14:solidFill>
                    <w14:schemeClr w14:val="tx1"/>
                  </w14:solidFill>
                </w14:textFill>
              </w:rPr>
            </w:pPr>
            <w:r>
              <w:rPr>
                <w:rFonts w:hint="eastAsia" w:cs="宋体"/>
                <w:b/>
                <w:bCs/>
                <w:i/>
                <w:iCs/>
                <w:sz w:val="24"/>
                <w:szCs w:val="24"/>
                <w:u w:val="single"/>
              </w:rPr>
              <w:t xml:space="preserve">提供5年原厂免费质保服务（从项目验收合格之日起计算）</w:t>
            </w:r>
            <w:r/>
          </w:p>
        </w:tc>
      </w:tr>
      <w:tr>
        <w:trPr>
          <w:trHeight w:val="573"/>
        </w:trPr>
        <w:tc>
          <w:tcPr>
            <w:gridSpan w:val="3"/>
            <w:tcW w:w="8926" w:type="dxa"/>
            <w:vAlign w:val="center"/>
            <w:textDirection w:val="lrTb"/>
            <w:noWrap w:val="false"/>
          </w:tcPr>
          <w:p>
            <w:pPr>
              <w:spacing w:line="288" w:lineRule="auto"/>
              <w:rPr>
                <w:rFonts w:cs="宋体"/>
                <w:i/>
                <w:iCs/>
                <w:sz w:val="24"/>
                <w:szCs w:val="24"/>
                <w:u w:val="single"/>
              </w:rPr>
            </w:pPr>
            <w:r>
              <w:rPr>
                <w:rFonts w:hint="eastAsia" w:cs="宋体"/>
                <w:b/>
                <w:bCs/>
                <w:i/>
                <w:iCs/>
                <w:sz w:val="24"/>
                <w:szCs w:val="24"/>
                <w:u w:val="single"/>
              </w:rPr>
              <w:t xml:space="preserve">其他未列明参数必须满足</w:t>
            </w:r>
            <w:r>
              <w:rPr>
                <w:rFonts w:hint="eastAsia"/>
                <w:b/>
                <w:bCs/>
                <w:i/>
                <w:sz w:val="24"/>
                <w:szCs w:val="24"/>
                <w:u w:val="single"/>
              </w:rPr>
              <w:t xml:space="preserve">【财库〔</w:t>
            </w:r>
            <w:r>
              <w:rPr>
                <w:b/>
                <w:bCs/>
                <w:i/>
                <w:sz w:val="24"/>
                <w:szCs w:val="24"/>
                <w:u w:val="single"/>
              </w:rPr>
              <w:t xml:space="preserve">2023</w:t>
            </w:r>
            <w:r>
              <w:rPr>
                <w:rFonts w:hint="eastAsia"/>
                <w:b/>
                <w:bCs/>
                <w:i/>
                <w:sz w:val="24"/>
                <w:szCs w:val="24"/>
                <w:u w:val="single"/>
              </w:rPr>
              <w:t xml:space="preserve">〕31号】要求</w:t>
            </w:r>
            <w:r/>
          </w:p>
        </w:tc>
      </w:tr>
    </w:tbl>
    <w:p>
      <w:pPr>
        <w:pStyle w:val="790"/>
        <w:numPr>
          <w:ilvl w:val="0"/>
          <w:numId w:val="13"/>
        </w:num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医疗工作电脑</w:t>
      </w:r>
      <w:r/>
    </w:p>
    <w:p>
      <w:pPr>
        <w:ind w:firstLine="480"/>
        <w:spacing w:line="360" w:lineRule="auto"/>
        <w:rPr>
          <w:bCs/>
          <w:iCs/>
          <w:sz w:val="24"/>
          <w:szCs w:val="24"/>
        </w:rPr>
      </w:pPr>
      <w:r>
        <w:rPr>
          <w:rFonts w:hint="eastAsia"/>
          <w:bCs/>
          <w:iCs/>
          <w:sz w:val="24"/>
          <w:szCs w:val="24"/>
        </w:rPr>
        <w:t xml:space="preserve">以下均为单台/套技术要求</w:t>
      </w:r>
      <w:r/>
    </w:p>
    <w:p>
      <w:pPr>
        <w:ind w:firstLine="480"/>
        <w:spacing w:line="360" w:lineRule="auto"/>
        <w:rPr>
          <w:bCs/>
          <w:iCs/>
          <w:sz w:val="24"/>
          <w:szCs w:val="24"/>
        </w:rPr>
      </w:pPr>
      <w:r>
        <w:rPr>
          <w:rFonts w:hint="eastAsia"/>
          <w:b/>
          <w:bCs/>
          <w:i/>
          <w:iCs/>
          <w:color w:val="000000" w:themeColor="text1"/>
          <w:sz w:val="24"/>
          <w:szCs w:val="24"/>
          <w:u w:val="single"/>
          <w14:textFill>
            <w14:solidFill>
              <w14:schemeClr w14:val="tx1"/>
            </w14:solidFill>
          </w14:textFill>
        </w:rPr>
        <w:t xml:space="preserve">医疗工作台式</w:t>
      </w:r>
      <w:r>
        <w:rPr>
          <w:rFonts w:hint="eastAsia"/>
          <w:b/>
          <w:bCs/>
          <w:i/>
          <w:iCs/>
          <w:color w:val="000000" w:themeColor="text1"/>
          <w:sz w:val="24"/>
          <w:szCs w:val="24"/>
          <w:u w:val="single"/>
          <w:lang w:val="en-US" w:eastAsia="zh-CN"/>
          <w14:textFill>
            <w14:solidFill>
              <w14:schemeClr w14:val="tx1"/>
            </w14:solidFill>
          </w14:textFill>
        </w:rPr>
        <w:t xml:space="preserve">电脑应符合</w:t>
      </w:r>
      <w:r>
        <w:rPr>
          <w:rFonts w:hint="eastAsia"/>
          <w:b/>
          <w:bCs/>
          <w:i/>
          <w:iCs/>
          <w:color w:val="000000" w:themeColor="text1"/>
          <w:sz w:val="24"/>
          <w:szCs w:val="24"/>
          <w:u w:val="single"/>
          <w14:textFill>
            <w14:solidFill>
              <w14:schemeClr w14:val="tx1"/>
            </w14:solidFill>
          </w14:textFill>
        </w:rPr>
        <w:t xml:space="preserve">《台式计算机政府采购需求标准（2023年版）》</w:t>
      </w:r>
      <w:r>
        <w:rPr>
          <w:rFonts w:hint="eastAsia"/>
          <w:b/>
          <w:bCs/>
          <w:i/>
          <w:iCs/>
          <w:color w:val="000000" w:themeColor="text1"/>
          <w:sz w:val="24"/>
          <w:szCs w:val="24"/>
          <w:u w:val="single"/>
          <w:lang w:val="en-US" w:eastAsia="zh-CN"/>
          <w14:textFill>
            <w14:solidFill>
              <w14:schemeClr w14:val="tx1"/>
            </w14:solidFill>
          </w14:textFill>
        </w:rPr>
        <w:t xml:space="preserve">(</w:t>
      </w:r>
      <w:r>
        <w:rPr>
          <w:rFonts w:hint="eastAsia"/>
          <w:b/>
          <w:bCs/>
          <w:i/>
          <w:iCs/>
          <w:color w:val="000000" w:themeColor="text1"/>
          <w:sz w:val="24"/>
          <w:szCs w:val="24"/>
          <w:u w:val="single"/>
          <w14:textFill>
            <w14:solidFill>
              <w14:schemeClr w14:val="tx1"/>
            </w14:solidFill>
          </w14:textFill>
        </w:rPr>
        <w:t xml:space="preserve">财库〔2023〕29号</w:t>
      </w:r>
      <w:r>
        <w:rPr>
          <w:rFonts w:hint="eastAsia"/>
          <w:b/>
          <w:bCs/>
          <w:i/>
          <w:iCs/>
          <w:color w:val="000000" w:themeColor="text1"/>
          <w:sz w:val="24"/>
          <w:szCs w:val="24"/>
          <w:u w:val="single"/>
          <w:lang w:val="en-US" w:eastAsia="zh-CN"/>
          <w14:textFill>
            <w14:solidFill>
              <w14:schemeClr w14:val="tx1"/>
            </w14:solidFill>
          </w14:textFill>
        </w:rPr>
        <w:t xml:space="preserve">)要求</w:t>
      </w:r>
      <w:r>
        <w:rPr>
          <w:rFonts w:hint="eastAsia"/>
          <w:b/>
          <w:bCs/>
          <w:i/>
          <w:iCs/>
          <w:color w:val="000000" w:themeColor="text1"/>
          <w:sz w:val="24"/>
          <w:szCs w:val="24"/>
          <w:u w:val="single"/>
          <w14:textFill>
            <w14:solidFill>
              <w14:schemeClr w14:val="tx1"/>
            </w14:solidFill>
          </w14:textFill>
        </w:rPr>
        <w:t xml:space="preserve">。</w:t>
      </w:r>
      <w:r/>
    </w:p>
    <w:tbl>
      <w:tblPr>
        <w:tblStyle w:val="715"/>
        <w:tblpPr w:horzAnchor="page" w:tblpX="1712" w:vertAnchor="text" w:tblpY="600" w:leftFromText="180" w:topFromText="0" w:rightFromText="180" w:bottomFromText="0"/>
        <w:tblW w:w="92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701"/>
        <w:gridCol w:w="6097"/>
      </w:tblGrid>
      <w:tr>
        <w:trPr/>
        <w:tc>
          <w:tcPr>
            <w:tcW w:w="1413"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一级指标</w:t>
            </w:r>
            <w:r/>
          </w:p>
        </w:tc>
        <w:tc>
          <w:tcPr>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二级指标</w:t>
            </w:r>
            <w:r/>
          </w:p>
        </w:tc>
        <w:tc>
          <w:tcPr>
            <w:tcW w:w="6097"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指标要求 </w:t>
            </w:r>
            <w:r/>
          </w:p>
        </w:tc>
      </w:tr>
      <w:tr>
        <w:trPr/>
        <w:tc>
          <w:tcPr>
            <w:tcW w:w="1413"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CPU规格</w:t>
            </w:r>
            <w:r/>
          </w:p>
        </w:tc>
        <w:tc>
          <w:tcPr>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CPU 信息</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配置1颗国产CPU，CPU物理核心数≥8核，CPU主频≥3.0GHz，支持超线程技术，处理器基础功耗≤70W</w:t>
            </w:r>
            <w:r/>
          </w:p>
        </w:tc>
      </w:tr>
      <w:tr>
        <w:trPr/>
        <w:tc>
          <w:tcPr>
            <w:tcW w:w="1413"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内存规格</w:t>
            </w:r>
            <w:r/>
          </w:p>
        </w:tc>
        <w:tc>
          <w:tcPr>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内存配置容量</w:t>
            </w:r>
            <w:r/>
          </w:p>
        </w:tc>
        <w:tc>
          <w:tcPr>
            <w:tcW w:w="6097" w:type="dxa"/>
            <w:vAlign w:val="center"/>
            <w:textDirection w:val="lrTb"/>
            <w:noWrap w:val="false"/>
          </w:tcPr>
          <w:p>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≥8G</w:t>
            </w:r>
            <w:r/>
          </w:p>
        </w:tc>
      </w:tr>
      <w:tr>
        <w:trPr/>
        <w:tc>
          <w:tcPr>
            <w:tcBorders>
              <w:bottom w:val="single" w:color="auto" w:sz="4" w:space="0"/>
            </w:tcBorders>
            <w:tcW w:w="1413"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主板规格</w:t>
            </w:r>
            <w:r/>
          </w:p>
        </w:tc>
        <w:tc>
          <w:tcPr>
            <w:tcBorders>
              <w:bottom w:val="single" w:color="auto" w:sz="4" w:space="0"/>
            </w:tcBorders>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主板其他内置接口</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USB接口不少于8个（其中前置USB3.0 Type A数量≥4个，后置USB3.0接口≥4个）；≥5个音频接口：</w:t>
            </w:r>
            <w:r/>
          </w:p>
        </w:tc>
      </w:tr>
      <w:tr>
        <w:trPr/>
        <w:tc>
          <w:tcPr>
            <w:tcBorders>
              <w:top w:val="single" w:color="auto" w:sz="4" w:space="0"/>
              <w:bottom w:val="single" w:color="auto" w:sz="4" w:space="0"/>
            </w:tcBorders>
            <w:tcW w:w="1413"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存储设备规格</w:t>
            </w:r>
            <w:r/>
          </w:p>
        </w:tc>
        <w:tc>
          <w:tcPr>
            <w:tcBorders>
              <w:top w:val="single" w:color="auto" w:sz="4" w:space="0"/>
              <w:bottom w:val="single" w:color="auto" w:sz="4" w:space="0"/>
            </w:tcBorders>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固态存储容量</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≥512G SSD</w:t>
            </w:r>
            <w:r/>
          </w:p>
        </w:tc>
      </w:tr>
      <w:tr>
        <w:trPr/>
        <w:tc>
          <w:tcPr>
            <w:tcBorders>
              <w:top w:val="single" w:color="auto" w:sz="4" w:space="0"/>
            </w:tcBorders>
            <w:tcW w:w="1413" w:type="dxa"/>
            <w:vAlign w:val="center"/>
            <w:vMerge w:val="restart"/>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显卡规格</w:t>
            </w:r>
            <w:r/>
          </w:p>
        </w:tc>
        <w:tc>
          <w:tcPr>
            <w:tcBorders>
              <w:top w:val="single" w:color="auto" w:sz="4" w:space="0"/>
              <w:bottom w:val="single" w:color="auto" w:sz="4" w:space="0"/>
            </w:tcBorders>
            <w:tcW w:w="1701" w:type="dxa"/>
            <w:vAlign w:val="center"/>
            <w:textDirection w:val="lrTb"/>
            <w:noWrap w:val="false"/>
          </w:tcPr>
          <w:p>
            <w:pPr>
              <w:widowControl/>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显卡类别</w:t>
            </w:r>
            <w:r/>
          </w:p>
        </w:tc>
        <w:tc>
          <w:tcPr>
            <w:tcW w:w="6097" w:type="dxa"/>
            <w:vAlign w:val="center"/>
            <w:textDirection w:val="lrTb"/>
            <w:noWrap w:val="false"/>
          </w:tcPr>
          <w:p>
            <w:pPr>
              <w:spacing w:line="360" w:lineRule="auto"/>
              <w:rPr>
                <w:rFonts w:hint="eastAsia" w:ascii="Times New Roman" w:hAnsi="Times New Roman" w:eastAsia="宋体" w:cs="Times New Roman"/>
                <w:b/>
                <w:bCs/>
                <w:i/>
                <w:iCs/>
                <w:color w:val="000000" w:themeColor="text1"/>
                <w:sz w:val="24"/>
                <w:szCs w:val="24"/>
                <w:u w:val="single"/>
                <w14:textFill>
                  <w14:solidFill>
                    <w14:schemeClr w14:val="tx1"/>
                  </w14:solidFill>
                </w14:textFill>
              </w:rPr>
            </w:pPr>
            <w:r>
              <w:rPr>
                <w:rFonts w:hint="eastAsia" w:ascii="Times New Roman" w:hAnsi="Times New Roman" w:eastAsia="宋体" w:cs="Times New Roman"/>
                <w:b/>
                <w:bCs/>
                <w:i/>
                <w:iCs/>
                <w:color w:val="000000" w:themeColor="text1"/>
                <w:sz w:val="24"/>
                <w:szCs w:val="24"/>
                <w:u w:val="single"/>
                <w14:textFill>
                  <w14:solidFill>
                    <w14:schemeClr w14:val="tx1"/>
                  </w14:solidFill>
                </w14:textFill>
              </w:rPr>
              <w:t xml:space="preserve">独立显卡</w:t>
            </w:r>
            <w:r/>
          </w:p>
        </w:tc>
      </w:tr>
      <w:tr>
        <w:trPr/>
        <w:tc>
          <w:tcPr>
            <w:tcW w:w="1413" w:type="dxa"/>
            <w:vAlign w:val="center"/>
            <w:vMerge w:val="continue"/>
            <w:textDirection w:val="lrTb"/>
            <w:noWrap w:val="false"/>
          </w:tcPr>
          <w:p>
            <w:pPr>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auto" w:sz="4" w:space="0"/>
            </w:tcBorders>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显存位宽</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显存位宽≥64 位</w:t>
            </w:r>
            <w:r/>
          </w:p>
        </w:tc>
      </w:tr>
      <w:tr>
        <w:trPr/>
        <w:tc>
          <w:tcPr>
            <w:tcBorders>
              <w:bottom w:val="single" w:color="auto" w:sz="4" w:space="0"/>
            </w:tcBorders>
            <w:tcW w:w="1413" w:type="dxa"/>
            <w:vAlign w:val="center"/>
            <w:vMerge w:val="continue"/>
            <w:textDirection w:val="lrTb"/>
            <w:noWrap w:val="false"/>
          </w:tcPr>
          <w:p>
            <w:pPr>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显存容量</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显存容量≥2GB</w:t>
            </w:r>
            <w:r/>
          </w:p>
        </w:tc>
      </w:tr>
      <w:tr>
        <w:trPr>
          <w:trHeight w:val="914"/>
        </w:trPr>
        <w:tc>
          <w:tcPr>
            <w:tcBorders>
              <w:top w:val="single" w:color="auto" w:sz="4" w:space="0"/>
              <w:bottom w:val="single" w:color="auto" w:sz="4" w:space="0"/>
            </w:tcBorders>
            <w:tcW w:w="1413" w:type="dxa"/>
            <w:vAlign w:val="center"/>
            <w:vMerge w:val="restart"/>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显示设备规格</w:t>
            </w:r>
            <w:r/>
          </w:p>
        </w:tc>
        <w:tc>
          <w:tcPr>
            <w:gridSpan w:val="2"/>
            <w:tcBorders>
              <w:top w:val="single" w:color="auto" w:sz="4" w:space="0"/>
              <w:bottom w:val="single" w:color="auto" w:sz="4" w:space="0"/>
            </w:tcBorders>
            <w:tcW w:w="7798"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显示屏尺寸≥23.8 英寸</w:t>
            </w:r>
            <w:r/>
          </w:p>
        </w:tc>
      </w:tr>
      <w:tr>
        <w:trPr>
          <w:trHeight w:val="557"/>
        </w:trPr>
        <w:tc>
          <w:tcPr>
            <w:tcBorders>
              <w:top w:val="single" w:color="auto" w:sz="4" w:space="0"/>
            </w:tcBorders>
            <w:tcW w:w="1413" w:type="dxa"/>
            <w:vAlign w:val="center"/>
            <w:vMerge w:val="restart"/>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整机基础规格</w:t>
            </w:r>
            <w:r/>
          </w:p>
        </w:tc>
        <w:tc>
          <w:tcPr>
            <w:tcBorders>
              <w:top w:val="single" w:color="auto" w:sz="4" w:space="0"/>
            </w:tcBorders>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整机噪音</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产品工作在空闲状态下，产品的声功率级应不超过3Bel</w:t>
            </w:r>
            <w:r/>
          </w:p>
        </w:tc>
      </w:tr>
      <w:tr>
        <w:trPr>
          <w:trHeight w:val="860"/>
        </w:trPr>
        <w:tc>
          <w:tcPr>
            <w:tcW w:w="1413" w:type="dxa"/>
            <w:vAlign w:val="center"/>
            <w:vMerge w:val="continue"/>
            <w:textDirection w:val="lrTb"/>
            <w:noWrap w:val="false"/>
          </w:tcPr>
          <w:p>
            <w:pPr>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auto" w:sz="4" w:space="0"/>
            </w:tcBorders>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机箱尺寸容量</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≥13L，不超过20L，须提供全扩展标准的塔式机箱。</w:t>
            </w:r>
            <w:r/>
          </w:p>
        </w:tc>
      </w:tr>
      <w:tr>
        <w:trPr>
          <w:trHeight w:val="257"/>
        </w:trPr>
        <w:tc>
          <w:tcPr>
            <w:tcBorders>
              <w:top w:val="single" w:color="auto" w:sz="4" w:space="0"/>
            </w:tcBorders>
            <w:tcW w:w="1413" w:type="dxa"/>
            <w:vAlign w:val="center"/>
            <w:vMerge w:val="restart"/>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显卡性能</w:t>
            </w:r>
            <w:r/>
          </w:p>
        </w:tc>
        <w:tc>
          <w:tcPr>
            <w:tcBorders>
              <w:top w:val="single" w:color="auto" w:sz="4" w:space="0"/>
            </w:tcBorders>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显卡显示芯片核心频率</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≥400MHz</w:t>
            </w:r>
            <w:r/>
          </w:p>
        </w:tc>
      </w:tr>
      <w:tr>
        <w:trPr>
          <w:trHeight w:val="337"/>
        </w:trPr>
        <w:tc>
          <w:tcPr>
            <w:tcW w:w="1413" w:type="dxa"/>
            <w:vAlign w:val="center"/>
            <w:vMerge w:val="continue"/>
            <w:textDirection w:val="lrTb"/>
            <w:noWrap w:val="false"/>
          </w:tcPr>
          <w:p>
            <w:pPr>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auto" w:sz="4" w:space="0"/>
            </w:tcBorders>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显存等效频率</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≥2666MT/s</w:t>
            </w:r>
            <w:r/>
          </w:p>
        </w:tc>
      </w:tr>
      <w:tr>
        <w:trPr>
          <w:trHeight w:val="412"/>
        </w:trPr>
        <w:tc>
          <w:tcPr>
            <w:tcBorders>
              <w:top w:val="single" w:color="auto" w:sz="4" w:space="0"/>
            </w:tcBorders>
            <w:tcW w:w="1413" w:type="dxa"/>
            <w:vAlign w:val="center"/>
            <w:vMerge w:val="restart"/>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显示设备性能</w:t>
            </w:r>
            <w:r/>
          </w:p>
        </w:tc>
        <w:tc>
          <w:tcPr>
            <w:tcBorders>
              <w:top w:val="single" w:color="auto" w:sz="4" w:space="0"/>
            </w:tcBorders>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显示屏刷新率</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显示器刷新率≥85Hz</w:t>
            </w:r>
            <w:r/>
          </w:p>
        </w:tc>
      </w:tr>
      <w:tr>
        <w:trPr>
          <w:trHeight w:val="561"/>
        </w:trPr>
        <w:tc>
          <w:tcPr>
            <w:tcBorders>
              <w:bottom w:val="single" w:color="auto" w:sz="4" w:space="0"/>
            </w:tcBorders>
            <w:tcW w:w="1413" w:type="dxa"/>
            <w:vAlign w:val="center"/>
            <w:vMerge w:val="continue"/>
            <w:textDirection w:val="lrTb"/>
            <w:noWrap w:val="false"/>
          </w:tcPr>
          <w:p>
            <w:pPr>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显示屏对比度</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显示屏对比度≥1500：1</w:t>
            </w:r>
            <w:r/>
          </w:p>
        </w:tc>
      </w:tr>
      <w:tr>
        <w:trPr>
          <w:trHeight w:val="554"/>
        </w:trPr>
        <w:tc>
          <w:tcPr>
            <w:tcW w:w="1413"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整机可靠性要求</w:t>
            </w:r>
            <w:r/>
          </w:p>
        </w:tc>
        <w:tc>
          <w:tcPr>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MTBF测试</w:t>
            </w:r>
            <w:r/>
          </w:p>
        </w:tc>
        <w:tc>
          <w:tcPr>
            <w:tcW w:w="6097" w:type="dxa"/>
            <w:vAlign w:val="center"/>
            <w:textDirection w:val="lrTb"/>
            <w:noWrap w:val="false"/>
          </w:tcPr>
          <w:p>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MTBF(m1)≥50万小时</w:t>
            </w:r>
            <w:r/>
          </w:p>
        </w:tc>
      </w:tr>
      <w:tr>
        <w:trPr>
          <w:trHeight w:val="620"/>
        </w:trPr>
        <w:tc>
          <w:tcPr>
            <w:tcW w:w="1413" w:type="dxa"/>
            <w:vAlign w:val="center"/>
            <w:vMerge w:val="restart"/>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服务要求</w:t>
            </w:r>
            <w:r/>
          </w:p>
        </w:tc>
        <w:tc>
          <w:tcPr>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配置检查工具</w:t>
            </w:r>
            <w:r/>
          </w:p>
        </w:tc>
        <w:tc>
          <w:tcPr>
            <w:tcW w:w="6097" w:type="dxa"/>
            <w:vAlign w:val="center"/>
            <w:textDirection w:val="lrTb"/>
            <w:noWrap w:val="false"/>
          </w:tcPr>
          <w:p>
            <w:pPr>
              <w:widowControl/>
              <w:rPr>
                <w:b/>
                <w:bCs/>
                <w:i/>
                <w:iCs/>
                <w:color w:val="000000" w:themeColor="text1"/>
                <w:sz w:val="24"/>
                <w:szCs w:val="24"/>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 xml:space="preserve">硬件主要参数检测，优化加速，系统垃圾清理，病毒查杀，原厂驱动更新，网络测速，网络诊断，自动识别品牌型号、序列号，自动识别保修开始至截止信息。</w:t>
            </w:r>
            <w:r/>
          </w:p>
        </w:tc>
      </w:tr>
      <w:tr>
        <w:trPr>
          <w:trHeight w:val="393"/>
        </w:trPr>
        <w:tc>
          <w:tcPr>
            <w:tcW w:w="1413" w:type="dxa"/>
            <w:vAlign w:val="center"/>
            <w:vMerge w:val="continue"/>
            <w:textDirection w:val="lrTb"/>
            <w:noWrap w:val="false"/>
          </w:tcPr>
          <w:p>
            <w:pPr>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01" w:type="dxa"/>
            <w:vAlign w:val="center"/>
            <w:textDirection w:val="lrTb"/>
            <w:noWrap w:val="false"/>
          </w:tcPr>
          <w:p>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质保及服务</w:t>
            </w:r>
            <w:r/>
          </w:p>
        </w:tc>
        <w:tc>
          <w:tcPr>
            <w:tcW w:w="6097" w:type="dxa"/>
            <w:vAlign w:val="center"/>
            <w:textDirection w:val="lrTb"/>
            <w:noWrap w:val="false"/>
          </w:tcPr>
          <w:p>
            <w:pPr>
              <w:widowControl/>
              <w:rPr>
                <w:color w:val="000000" w:themeColor="text1"/>
                <w:sz w:val="24"/>
                <w:szCs w:val="24"/>
                <w14:textFill>
                  <w14:solidFill>
                    <w14:schemeClr w14:val="tx1"/>
                  </w14:solidFill>
                </w14:textFill>
              </w:rPr>
            </w:pPr>
            <w:r>
              <w:rPr>
                <w:rFonts w:hint="eastAsia" w:cs="宋体"/>
                <w:b/>
                <w:bCs/>
                <w:i/>
                <w:iCs/>
                <w:sz w:val="24"/>
                <w:szCs w:val="24"/>
                <w:u w:val="single"/>
              </w:rPr>
              <w:t xml:space="preserve">提供5年原厂免费质保服务（从项目验收合格之日起计算）</w:t>
            </w:r>
            <w:r/>
          </w:p>
        </w:tc>
      </w:tr>
      <w:tr>
        <w:trPr>
          <w:trHeight w:val="393"/>
        </w:trPr>
        <w:tc>
          <w:tcPr>
            <w:gridSpan w:val="3"/>
            <w:tcW w:w="9211" w:type="dxa"/>
            <w:vAlign w:val="center"/>
            <w:textDirection w:val="lrTb"/>
            <w:noWrap w:val="false"/>
          </w:tcPr>
          <w:p>
            <w:pPr>
              <w:widowControl/>
              <w:rPr>
                <w:rFonts w:cs="宋体"/>
                <w:b/>
                <w:bCs/>
                <w:i/>
                <w:iCs/>
                <w:sz w:val="24"/>
                <w:szCs w:val="24"/>
                <w:u w:val="single"/>
              </w:rPr>
            </w:pPr>
            <w:r>
              <w:rPr>
                <w:rFonts w:hint="eastAsia" w:cs="宋体"/>
                <w:b/>
                <w:bCs/>
                <w:i/>
                <w:iCs/>
                <w:sz w:val="24"/>
                <w:szCs w:val="24"/>
                <w:u w:val="single"/>
              </w:rPr>
              <w:t xml:space="preserve">其他未列明参数必须满足</w:t>
            </w:r>
            <w:r>
              <w:rPr>
                <w:rFonts w:hint="eastAsia"/>
                <w:b/>
                <w:bCs/>
                <w:i/>
                <w:sz w:val="24"/>
                <w:szCs w:val="24"/>
                <w:u w:val="single"/>
              </w:rPr>
              <w:t xml:space="preserve">【财库〔</w:t>
            </w:r>
            <w:r>
              <w:rPr>
                <w:b/>
                <w:bCs/>
                <w:i/>
                <w:sz w:val="24"/>
                <w:szCs w:val="24"/>
                <w:u w:val="single"/>
              </w:rPr>
              <w:t xml:space="preserve">2023</w:t>
            </w:r>
            <w:r>
              <w:rPr>
                <w:rFonts w:hint="eastAsia"/>
                <w:b/>
                <w:bCs/>
                <w:i/>
                <w:sz w:val="24"/>
                <w:szCs w:val="24"/>
                <w:u w:val="single"/>
              </w:rPr>
              <w:t xml:space="preserve">〕</w:t>
            </w:r>
            <w:r>
              <w:rPr>
                <w:b/>
                <w:bCs/>
                <w:i/>
                <w:sz w:val="24"/>
                <w:szCs w:val="24"/>
                <w:u w:val="single"/>
              </w:rPr>
              <w:t xml:space="preserve">29</w:t>
            </w:r>
            <w:r>
              <w:rPr>
                <w:rFonts w:hint="eastAsia"/>
                <w:b/>
                <w:bCs/>
                <w:i/>
                <w:sz w:val="24"/>
                <w:szCs w:val="24"/>
                <w:u w:val="single"/>
              </w:rPr>
              <w:t xml:space="preserve">号】要求</w:t>
            </w:r>
            <w:r/>
          </w:p>
        </w:tc>
      </w:tr>
    </w:tbl>
    <w:p>
      <w:pPr>
        <w:pStyle w:val="790"/>
        <w:rPr>
          <w:sz w:val="24"/>
          <w:szCs w:val="24"/>
        </w:rPr>
      </w:pPr>
      <w:r>
        <w:rPr>
          <w:sz w:val="24"/>
          <w:szCs w:val="24"/>
        </w:rPr>
      </w:r>
      <w:r/>
    </w:p>
    <w:p>
      <w:pPr>
        <w:pStyle w:val="790"/>
        <w:numPr>
          <w:ilvl w:val="0"/>
          <w:numId w:val="13"/>
        </w:numPr>
        <w:rPr>
          <w:sz w:val="24"/>
          <w:szCs w:val="24"/>
        </w:rPr>
      </w:pPr>
      <w:r>
        <w:rPr>
          <w:rFonts w:hint="eastAsia"/>
          <w:sz w:val="24"/>
          <w:szCs w:val="24"/>
        </w:rPr>
        <w:t xml:space="preserve">虚拟化医疗终端</w:t>
      </w:r>
      <w:r/>
    </w:p>
    <w:p>
      <w:pPr>
        <w:ind w:firstLine="480"/>
        <w:rPr>
          <w:rFonts w:hint="eastAsia" w:ascii="宋体" w:hAnsi="宋体" w:cs="宋体"/>
          <w:color w:val="000000"/>
          <w:sz w:val="24"/>
          <w:szCs w:val="24"/>
          <w:lang w:bidi="ar"/>
        </w:rPr>
      </w:pPr>
      <w:r>
        <w:rPr>
          <w:rFonts w:hint="eastAsia"/>
          <w:sz w:val="24"/>
          <w:szCs w:val="24"/>
        </w:rPr>
        <w:t xml:space="preserve">注：以下均为单台/套技术要求</w:t>
      </w:r>
      <w:r/>
    </w:p>
    <w:tbl>
      <w:tblPr>
        <w:tblStyle w:val="715"/>
        <w:tblpPr w:horzAnchor="page" w:tblpX="1712" w:vertAnchor="text" w:tblpY="600" w:leftFromText="180" w:topFromText="0" w:rightFromText="180" w:bottomFromText="0"/>
        <w:tblW w:w="89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3"/>
        <w:gridCol w:w="1791"/>
        <w:gridCol w:w="5811"/>
      </w:tblGrid>
      <w:tr>
        <w:trPr/>
        <w:tc>
          <w:tcPr>
            <w:gridSpan w:val="2"/>
            <w:shd w:val="clear" w:color="auto" w:fill="a5a5a5" w:themeFill="background1" w:themeFillShade="A6"/>
            <w:tcW w:w="3114" w:type="dxa"/>
            <w:vAlign w:val="center"/>
            <w:textDirection w:val="lrTb"/>
            <w:noWrap w:val="false"/>
          </w:tcPr>
          <w:p>
            <w:pPr>
              <w:jc w:val="center"/>
              <w:widowControl/>
              <w:rPr>
                <w:rFonts w:hint="eastAsia" w:ascii="宋体" w:hAnsi="宋体" w:cs="宋体"/>
                <w:sz w:val="24"/>
                <w:szCs w:val="24"/>
              </w:rPr>
            </w:pPr>
            <w:r>
              <w:rPr>
                <w:rFonts w:hint="eastAsia" w:cs="宋体"/>
                <w:b/>
                <w:bCs/>
                <w:sz w:val="24"/>
                <w:szCs w:val="24"/>
              </w:rPr>
              <w:t xml:space="preserve">指标项</w:t>
            </w:r>
            <w:r/>
          </w:p>
        </w:tc>
        <w:tc>
          <w:tcPr>
            <w:shd w:val="clear" w:color="auto" w:fill="a5a5a5" w:themeFill="background1" w:themeFillShade="A6"/>
            <w:tcW w:w="5811" w:type="dxa"/>
            <w:vAlign w:val="center"/>
            <w:textDirection w:val="lrTb"/>
            <w:noWrap w:val="false"/>
          </w:tcPr>
          <w:p>
            <w:pPr>
              <w:jc w:val="center"/>
              <w:widowControl/>
              <w:rPr>
                <w:rFonts w:hint="eastAsia" w:ascii="宋体" w:hAnsi="宋体" w:cs="宋体"/>
                <w:sz w:val="24"/>
                <w:szCs w:val="24"/>
              </w:rPr>
            </w:pPr>
            <w:r>
              <w:rPr>
                <w:rFonts w:hint="eastAsia" w:cs="宋体"/>
                <w:b/>
                <w:bCs/>
                <w:sz w:val="24"/>
                <w:szCs w:val="24"/>
              </w:rPr>
              <w:t xml:space="preserve">技术规格要求</w:t>
            </w:r>
            <w:r/>
          </w:p>
        </w:tc>
      </w:tr>
      <w:tr>
        <w:trPr/>
        <w:tc>
          <w:tcPr>
            <w:tcW w:w="1323"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一级指标</w:t>
            </w:r>
            <w:r/>
          </w:p>
        </w:tc>
        <w:tc>
          <w:tcPr>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二级指标</w:t>
            </w:r>
            <w:r/>
          </w:p>
        </w:tc>
        <w:tc>
          <w:tcPr>
            <w:tcW w:w="581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指标要求 </w:t>
            </w:r>
            <w:r/>
          </w:p>
        </w:tc>
      </w:tr>
      <w:tr>
        <w:trPr/>
        <w:tc>
          <w:tcPr>
            <w:tcW w:w="1323"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CPU规格</w:t>
            </w:r>
            <w:r/>
          </w:p>
        </w:tc>
        <w:tc>
          <w:tcPr>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CPU 信息</w:t>
            </w:r>
            <w:r/>
          </w:p>
        </w:tc>
        <w:tc>
          <w:tcPr>
            <w:tcW w:w="5811" w:type="dxa"/>
            <w:vAlign w:val="center"/>
            <w:textDirection w:val="lrTb"/>
            <w:noWrap w:val="false"/>
          </w:tcPr>
          <w:p>
            <w:pPr>
              <w:widowControl/>
              <w:rPr>
                <w:rFonts w:hint="eastAsia" w:ascii="宋体" w:hAnsi="宋体" w:cs="宋体"/>
                <w:sz w:val="24"/>
                <w:szCs w:val="24"/>
              </w:rPr>
            </w:pPr>
            <w:r>
              <w:rPr>
                <w:rFonts w:hint="eastAsia" w:ascii="宋体" w:hAnsi="宋体" w:cs="宋体"/>
                <w:i/>
                <w:iCs/>
                <w:sz w:val="24"/>
                <w:szCs w:val="24"/>
                <w:u w:val="single"/>
              </w:rPr>
              <w:t xml:space="preserve">配置≥国产化八核八线程处理器（处理器主频≥3.0GHz）</w:t>
            </w:r>
            <w:r>
              <w:rPr>
                <w:rFonts w:hint="eastAsia" w:ascii="宋体" w:hAnsi="宋体" w:cs="宋体"/>
                <w:sz w:val="24"/>
                <w:szCs w:val="24"/>
              </w:rPr>
              <w:t xml:space="preserve">；</w:t>
            </w:r>
            <w:r/>
          </w:p>
        </w:tc>
      </w:tr>
      <w:tr>
        <w:trPr/>
        <w:tc>
          <w:tcPr>
            <w:tcW w:w="1323"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内存规格</w:t>
            </w:r>
            <w:r/>
          </w:p>
        </w:tc>
        <w:tc>
          <w:tcPr>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内存配置容量</w:t>
            </w:r>
            <w:r/>
          </w:p>
        </w:tc>
        <w:tc>
          <w:tcPr>
            <w:tcW w:w="5811" w:type="dxa"/>
            <w:vAlign w:val="center"/>
            <w:textDirection w:val="lrTb"/>
            <w:noWrap w:val="false"/>
          </w:tcPr>
          <w:p>
            <w:pPr>
              <w:widowControl/>
              <w:rPr>
                <w:rFonts w:hint="eastAsia" w:ascii="宋体" w:hAnsi="宋体" w:eastAsia="宋体" w:cs="宋体"/>
                <w:i/>
                <w:iCs/>
                <w:sz w:val="24"/>
                <w:szCs w:val="24"/>
                <w:u w:val="single"/>
                <w:lang w:val="en-US" w:eastAsia="zh-CN"/>
              </w:rPr>
            </w:pPr>
            <w:r>
              <w:rPr>
                <w:rFonts w:hint="eastAsia" w:ascii="宋体" w:hAnsi="宋体" w:cs="宋体"/>
                <w:i/>
                <w:iCs/>
                <w:sz w:val="24"/>
                <w:szCs w:val="24"/>
                <w:u w:val="single"/>
              </w:rPr>
              <w:t xml:space="preserve">≥</w:t>
            </w:r>
            <w:r>
              <w:rPr>
                <w:rFonts w:hint="eastAsia" w:ascii="宋体" w:hAnsi="宋体" w:cs="宋体"/>
                <w:i/>
                <w:iCs/>
                <w:sz w:val="24"/>
                <w:szCs w:val="24"/>
                <w:u w:val="single"/>
                <w:lang w:val="en-US" w:eastAsia="zh-CN"/>
              </w:rPr>
              <w:t xml:space="preserve">8</w:t>
            </w:r>
            <w:r>
              <w:rPr>
                <w:rFonts w:hint="eastAsia" w:ascii="宋体" w:hAnsi="宋体" w:cs="宋体"/>
                <w:i/>
                <w:iCs/>
                <w:sz w:val="24"/>
                <w:szCs w:val="24"/>
                <w:u w:val="single"/>
              </w:rPr>
              <w:t xml:space="preserve">G</w:t>
            </w:r>
            <w:r>
              <w:rPr>
                <w:rFonts w:hint="eastAsia" w:ascii="宋体" w:hAnsi="宋体" w:cs="宋体"/>
                <w:i/>
                <w:iCs/>
                <w:sz w:val="24"/>
                <w:szCs w:val="24"/>
                <w:u w:val="single"/>
                <w:lang w:val="en-US" w:eastAsia="zh-CN"/>
              </w:rPr>
              <w:t xml:space="preserve">B</w:t>
            </w:r>
            <w:r/>
          </w:p>
        </w:tc>
      </w:tr>
      <w:tr>
        <w:trPr/>
        <w:tc>
          <w:tcPr>
            <w:tcBorders>
              <w:bottom w:val="single" w:color="auto" w:sz="4" w:space="0"/>
            </w:tcBorders>
            <w:tcW w:w="1323"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主板规格</w:t>
            </w:r>
            <w:r/>
          </w:p>
        </w:tc>
        <w:tc>
          <w:tcPr>
            <w:tcBorders>
              <w:bottom w:val="single" w:color="auto" w:sz="4" w:space="0"/>
            </w:tcBorders>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主板其他内置接口</w:t>
            </w:r>
            <w:r/>
          </w:p>
        </w:tc>
        <w:tc>
          <w:tcPr>
            <w:tcW w:w="581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★USB接口≥9个，千兆网口≥1个，VGA接口≥1个，HDMI接口≥2个。</w:t>
            </w:r>
            <w:r>
              <w:rPr>
                <w:rFonts w:hint="eastAsia" w:ascii="宋体" w:hAnsi="宋体" w:cs="Calibri"/>
                <w:b/>
                <w:bCs/>
                <w:color w:val="000000" w:themeColor="text1"/>
                <w:sz w:val="24"/>
                <w:szCs w:val="24"/>
                <w14:textFill>
                  <w14:solidFill>
                    <w14:schemeClr w14:val="tx1"/>
                  </w14:solidFill>
                </w14:textFill>
              </w:rPr>
              <w:t xml:space="preserve">（提供官网链接</w:t>
            </w:r>
            <w:r>
              <w:rPr>
                <w:rFonts w:hint="eastAsia" w:ascii="宋体" w:hAnsi="宋体" w:cs="Calibri"/>
                <w:b/>
                <w:bCs/>
                <w:color w:val="000000" w:themeColor="text1"/>
                <w:sz w:val="24"/>
                <w:szCs w:val="24"/>
                <w:lang w:val="en-US" w:eastAsia="zh-CN"/>
                <w14:textFill>
                  <w14:solidFill>
                    <w14:schemeClr w14:val="tx1"/>
                  </w14:solidFill>
                </w14:textFill>
              </w:rPr>
              <w:t xml:space="preserve">或</w:t>
            </w:r>
            <w:r>
              <w:rPr>
                <w:rFonts w:hint="eastAsia" w:ascii="宋体" w:hAnsi="宋体" w:cs="Calibri"/>
                <w:b/>
                <w:bCs/>
                <w:color w:val="000000" w:themeColor="text1"/>
                <w:sz w:val="24"/>
                <w:szCs w:val="24"/>
                <w14:textFill>
                  <w14:solidFill>
                    <w14:schemeClr w14:val="tx1"/>
                  </w14:solidFill>
                </w14:textFill>
              </w:rPr>
              <w:t xml:space="preserve">截图证明）</w:t>
            </w:r>
            <w:r/>
          </w:p>
        </w:tc>
      </w:tr>
      <w:tr>
        <w:trPr/>
        <w:tc>
          <w:tcPr>
            <w:tcBorders>
              <w:top w:val="single" w:color="auto" w:sz="4" w:space="0"/>
              <w:bottom w:val="single" w:color="auto" w:sz="4" w:space="0"/>
            </w:tcBorders>
            <w:tcW w:w="1323"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存储设备规格</w:t>
            </w:r>
            <w:r/>
          </w:p>
        </w:tc>
        <w:tc>
          <w:tcPr>
            <w:tcBorders>
              <w:top w:val="single" w:color="auto" w:sz="4" w:space="0"/>
              <w:bottom w:val="single" w:color="auto" w:sz="4" w:space="0"/>
            </w:tcBorders>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固态存储容量</w:t>
            </w:r>
            <w:r/>
          </w:p>
        </w:tc>
        <w:tc>
          <w:tcPr>
            <w:tcW w:w="5811" w:type="dxa"/>
            <w:vAlign w:val="center"/>
            <w:textDirection w:val="lrTb"/>
            <w:noWrap w:val="false"/>
          </w:tcPr>
          <w:p>
            <w:pPr>
              <w:widowControl/>
              <w:rPr>
                <w:rFonts w:hint="eastAsia" w:ascii="宋体" w:hAnsi="宋体" w:cs="宋体"/>
                <w:i/>
                <w:iCs/>
                <w:sz w:val="24"/>
                <w:szCs w:val="24"/>
                <w:u w:val="single"/>
              </w:rPr>
            </w:pPr>
            <w:r>
              <w:rPr>
                <w:rFonts w:hint="eastAsia" w:ascii="宋体" w:hAnsi="宋体" w:cs="宋体"/>
                <w:i/>
                <w:iCs/>
                <w:sz w:val="24"/>
                <w:szCs w:val="24"/>
                <w:u w:val="single"/>
              </w:rPr>
              <w:t xml:space="preserve">≥256 GB NVME SSD</w:t>
            </w:r>
            <w:r/>
          </w:p>
        </w:tc>
      </w:tr>
      <w:tr>
        <w:trPr/>
        <w:tc>
          <w:tcPr>
            <w:tcBorders>
              <w:top w:val="single" w:color="auto" w:sz="4" w:space="0"/>
            </w:tcBorders>
            <w:tcW w:w="1323"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显卡规格</w:t>
            </w:r>
            <w:r/>
          </w:p>
        </w:tc>
        <w:tc>
          <w:tcPr>
            <w:tcBorders>
              <w:top w:val="single" w:color="auto" w:sz="4" w:space="0"/>
            </w:tcBorders>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集成显卡显存位宽</w:t>
            </w:r>
            <w:r/>
          </w:p>
        </w:tc>
        <w:tc>
          <w:tcPr>
            <w:tcW w:w="5811" w:type="dxa"/>
            <w:vAlign w:val="center"/>
            <w:textDirection w:val="lrTb"/>
            <w:noWrap w:val="false"/>
          </w:tcPr>
          <w:p>
            <w:pPr>
              <w:widowControl/>
              <w:rPr>
                <w:rFonts w:hint="eastAsia" w:ascii="宋体" w:hAnsi="宋体" w:cs="宋体"/>
                <w:i/>
                <w:iCs/>
                <w:sz w:val="24"/>
                <w:szCs w:val="24"/>
                <w:u w:val="single"/>
              </w:rPr>
            </w:pPr>
            <w:r>
              <w:rPr>
                <w:rFonts w:hint="eastAsia" w:ascii="宋体" w:hAnsi="宋体" w:cs="宋体"/>
                <w:i/>
                <w:iCs/>
                <w:sz w:val="24"/>
                <w:szCs w:val="24"/>
                <w:u w:val="single"/>
              </w:rPr>
              <w:t xml:space="preserve">配置集成显卡，显存位宽≥64 位</w:t>
            </w:r>
            <w:r/>
          </w:p>
        </w:tc>
      </w:tr>
      <w:tr>
        <w:trPr/>
        <w:tc>
          <w:tcPr>
            <w:tcBorders>
              <w:bottom w:val="single" w:color="auto" w:sz="4" w:space="0"/>
            </w:tcBorders>
            <w:tcW w:w="1323"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集成显卡显存容量</w:t>
            </w:r>
            <w:r/>
          </w:p>
        </w:tc>
        <w:tc>
          <w:tcPr>
            <w:tcW w:w="5811" w:type="dxa"/>
            <w:vAlign w:val="center"/>
            <w:textDirection w:val="lrTb"/>
            <w:noWrap w:val="false"/>
          </w:tcPr>
          <w:p>
            <w:pPr>
              <w:widowControl/>
              <w:rPr>
                <w:rFonts w:hint="eastAsia" w:ascii="宋体" w:hAnsi="宋体" w:cs="宋体"/>
                <w:i/>
                <w:iCs/>
                <w:sz w:val="24"/>
                <w:szCs w:val="24"/>
                <w:u w:val="single"/>
              </w:rPr>
            </w:pPr>
            <w:r>
              <w:rPr>
                <w:rFonts w:hint="eastAsia" w:ascii="宋体" w:hAnsi="宋体" w:cs="宋体"/>
                <w:i/>
                <w:iCs/>
                <w:sz w:val="24"/>
                <w:szCs w:val="24"/>
                <w:u w:val="single"/>
              </w:rPr>
              <w:t xml:space="preserve">配置集成显卡，显存容量≥2GB</w:t>
            </w:r>
            <w:r/>
          </w:p>
        </w:tc>
      </w:tr>
      <w:tr>
        <w:trPr/>
        <w:tc>
          <w:tcPr>
            <w:tcBorders>
              <w:top w:val="single" w:color="auto" w:sz="4" w:space="0"/>
              <w:bottom w:val="single" w:color="auto" w:sz="4" w:space="0"/>
            </w:tcBorders>
            <w:tcW w:w="1323"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显示设备规格</w:t>
            </w:r>
            <w:r/>
          </w:p>
        </w:tc>
        <w:tc>
          <w:tcPr>
            <w:tcBorders>
              <w:top w:val="single" w:color="auto" w:sz="4" w:space="0"/>
              <w:bottom w:val="single" w:color="auto" w:sz="4" w:space="0"/>
            </w:tcBorders>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显示屏可视角度</w:t>
            </w:r>
            <w:r/>
          </w:p>
        </w:tc>
        <w:tc>
          <w:tcPr>
            <w:tcW w:w="5811" w:type="dxa"/>
            <w:vAlign w:val="center"/>
            <w:textDirection w:val="lrTb"/>
            <w:noWrap w:val="false"/>
          </w:tcPr>
          <w:p>
            <w:pPr>
              <w:widowControl/>
              <w:rPr>
                <w:rFonts w:hint="eastAsia" w:ascii="宋体" w:hAnsi="宋体" w:cs="宋体"/>
                <w:i/>
                <w:iCs/>
                <w:sz w:val="24"/>
                <w:szCs w:val="24"/>
                <w:u w:val="single"/>
              </w:rPr>
            </w:pPr>
            <w:r>
              <w:rPr>
                <w:rFonts w:hint="eastAsia" w:ascii="宋体" w:hAnsi="宋体" w:cs="宋体"/>
                <w:i/>
                <w:iCs/>
                <w:sz w:val="24"/>
                <w:szCs w:val="24"/>
                <w:u w:val="single"/>
              </w:rPr>
              <w:t xml:space="preserve">显示屏可视角度≥175°</w:t>
            </w:r>
            <w:r/>
          </w:p>
        </w:tc>
      </w:tr>
      <w:tr>
        <w:trPr>
          <w:trHeight w:val="475"/>
        </w:trPr>
        <w:tc>
          <w:tcPr>
            <w:tcBorders>
              <w:top w:val="single" w:color="auto" w:sz="4" w:space="0"/>
              <w:bottom w:val="single" w:color="auto" w:sz="4" w:space="0"/>
            </w:tcBorders>
            <w:tcW w:w="1323"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bottom w:val="single" w:color="auto" w:sz="4" w:space="0"/>
            </w:tcBorders>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显示屏尺寸</w:t>
            </w:r>
            <w:r/>
          </w:p>
        </w:tc>
        <w:tc>
          <w:tcPr>
            <w:tcW w:w="5811" w:type="dxa"/>
            <w:vAlign w:val="center"/>
            <w:textDirection w:val="lrTb"/>
            <w:noWrap w:val="false"/>
          </w:tcPr>
          <w:p>
            <w:pPr>
              <w:widowControl/>
              <w:rPr>
                <w:rFonts w:hint="eastAsia" w:ascii="宋体" w:hAnsi="宋体" w:cs="宋体"/>
                <w:i/>
                <w:iCs/>
                <w:sz w:val="24"/>
                <w:szCs w:val="24"/>
                <w:u w:val="single"/>
              </w:rPr>
            </w:pPr>
            <w:r>
              <w:rPr>
                <w:rFonts w:hint="eastAsia" w:ascii="宋体" w:hAnsi="宋体" w:cs="宋体"/>
                <w:i/>
                <w:iCs/>
                <w:sz w:val="24"/>
                <w:szCs w:val="24"/>
                <w:u w:val="single"/>
              </w:rPr>
              <w:t xml:space="preserve">≥27寸</w:t>
            </w:r>
            <w:r/>
          </w:p>
        </w:tc>
      </w:tr>
      <w:tr>
        <w:trPr>
          <w:trHeight w:val="459"/>
        </w:trPr>
        <w:tc>
          <w:tcPr>
            <w:tcBorders>
              <w:top w:val="single" w:color="auto" w:sz="4" w:space="0"/>
            </w:tcBorders>
            <w:tcW w:w="1323"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整机基础规格</w:t>
            </w:r>
            <w:r/>
          </w:p>
        </w:tc>
        <w:tc>
          <w:tcPr>
            <w:tcBorders>
              <w:top w:val="single" w:color="auto" w:sz="4" w:space="0"/>
            </w:tcBorders>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整机噪音</w:t>
            </w:r>
            <w:r/>
          </w:p>
        </w:tc>
        <w:tc>
          <w:tcPr>
            <w:tcW w:w="581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产品在工作状态下，产品的声功率应不超过3</w:t>
            </w:r>
            <w:r>
              <w:rPr>
                <w:rFonts w:ascii="宋体" w:hAnsi="宋体" w:cs="宋体"/>
                <w:sz w:val="24"/>
                <w:szCs w:val="24"/>
              </w:rPr>
              <w:t xml:space="preserve">.13</w:t>
            </w:r>
            <w:r>
              <w:rPr>
                <w:rFonts w:hint="eastAsia" w:ascii="宋体" w:hAnsi="宋体" w:cs="宋体"/>
                <w:sz w:val="24"/>
                <w:szCs w:val="24"/>
              </w:rPr>
              <w:t xml:space="preserve">B</w:t>
            </w:r>
            <w:r/>
          </w:p>
        </w:tc>
      </w:tr>
      <w:tr>
        <w:trPr>
          <w:trHeight w:val="860"/>
        </w:trPr>
        <w:tc>
          <w:tcPr>
            <w:tcW w:w="1323"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tcBorders>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机箱尺寸容量</w:t>
            </w:r>
            <w:r/>
          </w:p>
        </w:tc>
        <w:tc>
          <w:tcPr>
            <w:tcW w:w="581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★主体尺寸≤240mm（宽）×195mm（深）×56mm（高）。</w:t>
            </w:r>
            <w:r>
              <w:rPr>
                <w:rFonts w:hint="eastAsia" w:ascii="宋体" w:hAnsi="宋体" w:cs="Calibri"/>
                <w:b/>
                <w:bCs/>
                <w:color w:val="000000" w:themeColor="text1"/>
                <w:sz w:val="24"/>
                <w:szCs w:val="24"/>
                <w14:textFill>
                  <w14:solidFill>
                    <w14:schemeClr w14:val="tx1"/>
                  </w14:solidFill>
                </w14:textFill>
              </w:rPr>
              <w:t xml:space="preserve">（提供官网链接</w:t>
            </w:r>
            <w:r>
              <w:rPr>
                <w:rFonts w:hint="eastAsia" w:ascii="宋体" w:hAnsi="宋体" w:cs="Calibri"/>
                <w:b/>
                <w:bCs/>
                <w:color w:val="000000" w:themeColor="text1"/>
                <w:sz w:val="24"/>
                <w:szCs w:val="24"/>
                <w:lang w:val="en-US" w:eastAsia="zh-CN"/>
                <w14:textFill>
                  <w14:solidFill>
                    <w14:schemeClr w14:val="tx1"/>
                  </w14:solidFill>
                </w14:textFill>
              </w:rPr>
              <w:t xml:space="preserve">或</w:t>
            </w:r>
            <w:r>
              <w:rPr>
                <w:rFonts w:hint="eastAsia" w:ascii="宋体" w:hAnsi="宋体" w:cs="Calibri"/>
                <w:b/>
                <w:bCs/>
                <w:color w:val="000000" w:themeColor="text1"/>
                <w:sz w:val="24"/>
                <w:szCs w:val="24"/>
                <w14:textFill>
                  <w14:solidFill>
                    <w14:schemeClr w14:val="tx1"/>
                  </w14:solidFill>
                </w14:textFill>
              </w:rPr>
              <w:t xml:space="preserve">截图证明）</w:t>
            </w:r>
            <w:r/>
          </w:p>
        </w:tc>
      </w:tr>
      <w:tr>
        <w:trPr>
          <w:trHeight w:val="384"/>
        </w:trPr>
        <w:tc>
          <w:tcPr>
            <w:tcBorders>
              <w:top w:val="single" w:color="auto" w:sz="4" w:space="0"/>
            </w:tcBorders>
            <w:tcW w:w="1323"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显卡性能</w:t>
            </w:r>
            <w:r/>
          </w:p>
        </w:tc>
        <w:tc>
          <w:tcPr>
            <w:tcBorders>
              <w:top w:val="single" w:color="auto" w:sz="4" w:space="0"/>
            </w:tcBorders>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显卡显示芯片核心频率</w:t>
            </w:r>
            <w:r/>
          </w:p>
        </w:tc>
        <w:tc>
          <w:tcPr>
            <w:tcW w:w="581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≥600MHz</w:t>
            </w:r>
            <w:r/>
          </w:p>
        </w:tc>
      </w:tr>
      <w:tr>
        <w:trPr>
          <w:trHeight w:val="450"/>
        </w:trPr>
        <w:tc>
          <w:tcPr>
            <w:tcW w:w="1323"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tcBorders>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显存等效频率</w:t>
            </w:r>
            <w:r/>
          </w:p>
        </w:tc>
        <w:tc>
          <w:tcPr>
            <w:tcW w:w="581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≥3200MT/s</w:t>
            </w:r>
            <w:r/>
          </w:p>
        </w:tc>
      </w:tr>
      <w:tr>
        <w:trPr>
          <w:trHeight w:val="556"/>
        </w:trPr>
        <w:tc>
          <w:tcPr>
            <w:tcBorders>
              <w:top w:val="single" w:color="auto" w:sz="4" w:space="0"/>
            </w:tcBorders>
            <w:tcW w:w="1323"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显示设备性能</w:t>
            </w:r>
            <w:r/>
          </w:p>
        </w:tc>
        <w:tc>
          <w:tcPr>
            <w:tcBorders>
              <w:top w:val="single" w:color="auto" w:sz="4" w:space="0"/>
            </w:tcBorders>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显示屏刷新率</w:t>
            </w:r>
            <w:r/>
          </w:p>
        </w:tc>
        <w:tc>
          <w:tcPr>
            <w:tcW w:w="581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显示器刷新率≥85Hz</w:t>
            </w:r>
            <w:r/>
          </w:p>
        </w:tc>
      </w:tr>
      <w:tr>
        <w:trPr>
          <w:trHeight w:val="422"/>
        </w:trPr>
        <w:tc>
          <w:tcPr>
            <w:tcBorders>
              <w:bottom w:val="single" w:color="auto" w:sz="4" w:space="0"/>
            </w:tcBorders>
            <w:tcW w:w="1323"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显示屏对比度</w:t>
            </w:r>
            <w:r/>
          </w:p>
        </w:tc>
        <w:tc>
          <w:tcPr>
            <w:tcW w:w="581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显示屏对比度≥1500：1</w:t>
            </w:r>
            <w:r/>
          </w:p>
        </w:tc>
      </w:tr>
      <w:tr>
        <w:trPr>
          <w:trHeight w:val="564"/>
        </w:trPr>
        <w:tc>
          <w:tcPr>
            <w:tcW w:w="1323"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整机可靠性要求</w:t>
            </w:r>
            <w:r/>
          </w:p>
        </w:tc>
        <w:tc>
          <w:tcPr>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MTBF测试</w:t>
            </w:r>
            <w:r/>
          </w:p>
        </w:tc>
        <w:tc>
          <w:tcPr>
            <w:tcW w:w="581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★平均故障间隔时间（MTBF）≥30万小时。</w:t>
            </w:r>
            <w:r>
              <w:rPr>
                <w:rFonts w:hint="eastAsia" w:ascii="宋体" w:hAnsi="宋体" w:cs="Calibri"/>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提供具有CMA标识的测试报告</w:t>
            </w:r>
            <w:r>
              <w:rPr>
                <w:rFonts w:hint="eastAsia" w:ascii="宋体" w:hAnsi="宋体" w:cs="Calibri"/>
                <w:b/>
                <w:bCs/>
                <w:color w:val="000000" w:themeColor="text1"/>
                <w:sz w:val="24"/>
                <w:szCs w:val="24"/>
                <w14:textFill>
                  <w14:solidFill>
                    <w14:schemeClr w14:val="tx1"/>
                  </w14:solidFill>
                </w14:textFill>
              </w:rPr>
              <w:t xml:space="preserve">）</w:t>
            </w:r>
            <w:r/>
          </w:p>
        </w:tc>
      </w:tr>
      <w:tr>
        <w:trPr>
          <w:trHeight w:val="280"/>
        </w:trPr>
        <w:tc>
          <w:tcPr>
            <w:tcW w:w="1323"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服务要求</w:t>
            </w:r>
            <w:r/>
          </w:p>
        </w:tc>
        <w:tc>
          <w:tcPr>
            <w:tcW w:w="179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质保与服务</w:t>
            </w:r>
            <w:r/>
          </w:p>
        </w:tc>
        <w:tc>
          <w:tcPr>
            <w:tcW w:w="5811" w:type="dxa"/>
            <w:vAlign w:val="center"/>
            <w:textDirection w:val="lrTb"/>
            <w:noWrap w:val="false"/>
          </w:tcPr>
          <w:p>
            <w:pPr>
              <w:widowControl/>
              <w:rPr>
                <w:rFonts w:hint="eastAsia" w:ascii="宋体" w:hAnsi="宋体" w:cs="宋体"/>
                <w:i/>
                <w:iCs/>
                <w:sz w:val="24"/>
                <w:szCs w:val="24"/>
                <w:u w:val="single"/>
              </w:rPr>
            </w:pPr>
            <w:r>
              <w:rPr>
                <w:rFonts w:hint="eastAsia" w:ascii="宋体" w:hAnsi="宋体" w:cs="宋体"/>
                <w:b/>
                <w:bCs/>
                <w:i/>
                <w:iCs/>
                <w:sz w:val="24"/>
                <w:szCs w:val="24"/>
                <w:u w:val="single"/>
              </w:rPr>
              <w:t xml:space="preserve">提供5年原厂免费质保服务（从项目验收合格之日起计算）。</w:t>
            </w:r>
            <w:r/>
          </w:p>
        </w:tc>
      </w:tr>
      <w:tr>
        <w:trPr>
          <w:trHeight w:val="656"/>
        </w:trPr>
        <w:tc>
          <w:tcPr>
            <w:tcW w:w="1323"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性能要求</w:t>
            </w:r>
            <w:r/>
          </w:p>
        </w:tc>
        <w:tc>
          <w:tcPr>
            <w:gridSpan w:val="2"/>
            <w:tcW w:w="7602"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1、为防止人体触电，要求所投终端产品满足抗电强度要求：（1）电源初级与地之间施加AC1500V产品无击穿现象；（2）电源初级与适配器次级之间施加AC3000V产品无击穿现象；（3）电源初级与机壳之间施加AC3000V产品无击穿现象。</w:t>
            </w:r>
            <w:r>
              <w:rPr>
                <w:rFonts w:hint="eastAsia" w:ascii="宋体" w:hAnsi="宋体" w:cs="Calibri"/>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提供具有CMA标识的测试报告</w:t>
            </w:r>
            <w:r>
              <w:rPr>
                <w:rFonts w:hint="eastAsia" w:ascii="宋体" w:hAnsi="宋体" w:cs="Calibri"/>
                <w:b/>
                <w:bCs/>
                <w:color w:val="000000" w:themeColor="text1"/>
                <w:sz w:val="24"/>
                <w:szCs w:val="24"/>
                <w14:textFill>
                  <w14:solidFill>
                    <w14:schemeClr w14:val="tx1"/>
                  </w14:solidFill>
                </w14:textFill>
              </w:rPr>
              <w:t xml:space="preserve">）</w:t>
            </w:r>
            <w:r/>
          </w:p>
          <w:p>
            <w:pPr>
              <w:widowControl/>
              <w:rPr>
                <w:rFonts w:hint="eastAsia" w:ascii="宋体" w:hAnsi="宋体" w:cs="宋体"/>
                <w:sz w:val="24"/>
                <w:szCs w:val="24"/>
              </w:rPr>
            </w:pPr>
            <w:r>
              <w:rPr>
                <w:rFonts w:hint="eastAsia" w:ascii="宋体" w:hAnsi="宋体" w:cs="宋体"/>
                <w:sz w:val="24"/>
                <w:szCs w:val="24"/>
              </w:rPr>
              <w:t xml:space="preserve">★2、为避免干燥环境下静电对设备造成损坏，要求所投终端产品满足静电放电抗扰度要求：接触放电6kV，空气放电15kV，达到性能判据A的要求；并且所投终端产品满足静电放电抗扰度3级(接口内部信号线接触放电6kV，达到性能判据B的要求)，静电放电抗扰度4级(接口内部信号线接触放电8kV，达到性能判定C的要求)。</w:t>
            </w:r>
            <w:r>
              <w:rPr>
                <w:rFonts w:hint="eastAsia" w:ascii="宋体" w:hAnsi="宋体" w:cs="Calibri"/>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提供具有CMA标识的测试报告</w:t>
            </w:r>
            <w:r>
              <w:rPr>
                <w:rFonts w:hint="eastAsia" w:ascii="宋体" w:hAnsi="宋体" w:cs="Calibri"/>
                <w:b/>
                <w:bCs/>
                <w:color w:val="000000" w:themeColor="text1"/>
                <w:sz w:val="24"/>
                <w:szCs w:val="24"/>
                <w14:textFill>
                  <w14:solidFill>
                    <w14:schemeClr w14:val="tx1"/>
                  </w14:solidFill>
                </w14:textFill>
              </w:rPr>
              <w:t xml:space="preserve">）</w:t>
            </w:r>
            <w:r/>
          </w:p>
          <w:p>
            <w:pPr>
              <w:widowControl/>
              <w:rPr>
                <w:rFonts w:hint="eastAsia" w:ascii="宋体" w:hAnsi="宋体" w:cs="宋体"/>
                <w:sz w:val="24"/>
                <w:szCs w:val="24"/>
              </w:rPr>
            </w:pPr>
            <w:r>
              <w:rPr>
                <w:rFonts w:hint="eastAsia" w:ascii="宋体" w:hAnsi="宋体" w:cs="宋体"/>
                <w:sz w:val="24"/>
                <w:szCs w:val="24"/>
              </w:rPr>
              <w:t xml:space="preserve">★3、夏季多高温炎热多雨季节，常常会出现潮热环境，为防止类似天气对设备造成损害，要求所投设备在温度≤50℃、湿度≤95%RH的潮热环境下不会受损。</w:t>
            </w:r>
            <w:r>
              <w:rPr>
                <w:rFonts w:hint="eastAsia" w:ascii="宋体" w:hAnsi="宋体" w:cs="Calibri"/>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提供具有CMA标识的测试报告</w:t>
            </w:r>
            <w:r>
              <w:rPr>
                <w:rFonts w:hint="eastAsia" w:ascii="宋体" w:hAnsi="宋体" w:cs="Calibri"/>
                <w:b/>
                <w:bCs/>
                <w:color w:val="000000" w:themeColor="text1"/>
                <w:sz w:val="24"/>
                <w:szCs w:val="24"/>
                <w14:textFill>
                  <w14:solidFill>
                    <w14:schemeClr w14:val="tx1"/>
                  </w14:solidFill>
                </w14:textFill>
              </w:rPr>
              <w:t xml:space="preserve">）</w:t>
            </w:r>
            <w:r/>
          </w:p>
        </w:tc>
      </w:tr>
      <w:tr>
        <w:trPr>
          <w:trHeight w:val="607"/>
        </w:trPr>
        <w:tc>
          <w:tcPr>
            <w:tcW w:w="1323"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其他功能要求</w:t>
            </w:r>
            <w:r/>
          </w:p>
        </w:tc>
        <w:tc>
          <w:tcPr>
            <w:gridSpan w:val="2"/>
            <w:tcW w:w="7602"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1、支持IDV虚拟化技术，在虚拟化层上能流畅</w:t>
            </w:r>
            <w:r>
              <w:rPr>
                <w:rFonts w:hint="eastAsia" w:ascii="宋体" w:hAnsi="宋体" w:cs="宋体"/>
                <w:sz w:val="24"/>
                <w:szCs w:val="24"/>
                <w:highlight w:val="none"/>
              </w:rPr>
              <w:t xml:space="preserve">运行</w:t>
            </w:r>
            <w:r>
              <w:rPr>
                <w:rFonts w:hint="eastAsia" w:ascii="宋体" w:hAnsi="宋体" w:cs="宋体"/>
                <w:color w:val="000000" w:themeColor="text1"/>
                <w:sz w:val="24"/>
                <w:szCs w:val="24"/>
                <w:highlight w:val="none"/>
                <w14:textFill>
                  <w14:solidFill>
                    <w14:schemeClr w14:val="tx1"/>
                  </w14:solidFill>
                </w14:textFill>
              </w:rPr>
              <w:t xml:space="preserve">UOS\KOS</w:t>
            </w:r>
            <w:r>
              <w:rPr>
                <w:rFonts w:hint="eastAsia" w:ascii="宋体" w:hAnsi="宋体" w:cs="宋体"/>
                <w:sz w:val="24"/>
                <w:szCs w:val="24"/>
                <w:highlight w:val="none"/>
              </w:rPr>
              <w:t xml:space="preserve">等</w:t>
            </w:r>
            <w:r>
              <w:rPr>
                <w:rFonts w:hint="eastAsia" w:ascii="宋体" w:hAnsi="宋体" w:cs="宋体"/>
                <w:sz w:val="24"/>
                <w:szCs w:val="24"/>
              </w:rPr>
              <w:t xml:space="preserve">操作系统；兼容我院现有医疗软件，保障业务连续性。</w:t>
            </w:r>
            <w:r/>
          </w:p>
          <w:p>
            <w:pPr>
              <w:widowControl/>
              <w:rPr>
                <w:rFonts w:hint="eastAsia" w:ascii="宋体" w:hAnsi="宋体" w:cs="宋体"/>
                <w:sz w:val="24"/>
                <w:szCs w:val="24"/>
              </w:rPr>
            </w:pPr>
            <w:r>
              <w:rPr>
                <w:rFonts w:hint="eastAsia" w:ascii="宋体" w:hAnsi="宋体" w:cs="宋体"/>
                <w:sz w:val="24"/>
                <w:szCs w:val="24"/>
              </w:rPr>
              <w:t xml:space="preserve">2、支持硬件透传技术，兼容医疗读卡器、高拍仪等行业设备。</w:t>
            </w:r>
            <w:r/>
          </w:p>
          <w:p>
            <w:pPr>
              <w:widowControl/>
              <w:rPr>
                <w:rFonts w:hint="eastAsia" w:ascii="宋体" w:hAnsi="宋体" w:cs="宋体"/>
                <w:sz w:val="24"/>
                <w:szCs w:val="24"/>
              </w:rPr>
            </w:pPr>
            <w:r>
              <w:rPr>
                <w:rFonts w:hint="eastAsia" w:ascii="宋体" w:hAnsi="宋体" w:cs="宋体"/>
                <w:sz w:val="24"/>
                <w:szCs w:val="24"/>
              </w:rPr>
              <w:t xml:space="preserve">3、支持被后端云管平台统一纳管：远程批量部署桌面、策略下发、故障恢复等。</w:t>
            </w:r>
            <w:r/>
          </w:p>
          <w:p>
            <w:pPr>
              <w:widowControl/>
              <w:rPr>
                <w:rFonts w:hint="eastAsia" w:ascii="宋体" w:hAnsi="宋体" w:cs="宋体"/>
                <w:sz w:val="24"/>
                <w:szCs w:val="24"/>
              </w:rPr>
            </w:pPr>
            <w:r>
              <w:rPr>
                <w:rFonts w:hint="eastAsia" w:ascii="宋体" w:hAnsi="宋体" w:cs="宋体"/>
                <w:color w:val="000000" w:themeColor="text1"/>
                <w:sz w:val="24"/>
                <w:szCs w:val="24"/>
                <w:highlight w:val="none"/>
                <w14:textFill>
                  <w14:solidFill>
                    <w14:schemeClr w14:val="tx1"/>
                  </w14:solidFill>
                </w14:textFill>
              </w:rPr>
              <w:t xml:space="preserve">★4、用户在远程访问时可对已关机的IDV桌面进行远程开机，不借助第三方外设。</w:t>
            </w:r>
            <w:r>
              <w:rPr>
                <w:rFonts w:hint="eastAsia" w:ascii="宋体" w:hAnsi="宋体" w:cs="Calibri"/>
                <w:b/>
                <w:bCs/>
                <w:color w:val="000000" w:themeColor="text1"/>
                <w:sz w:val="24"/>
                <w:szCs w:val="24"/>
                <w:highlight w:val="none"/>
                <w14:textFill>
                  <w14:solidFill>
                    <w14:schemeClr w14:val="tx1"/>
                  </w14:solidFill>
                </w14:textFill>
              </w:rPr>
              <w:t xml:space="preserve">（提供产品功能演示视频）</w:t>
            </w:r>
            <w:r/>
          </w:p>
        </w:tc>
      </w:tr>
      <w:tr>
        <w:trPr>
          <w:trHeight w:val="607"/>
        </w:trPr>
        <w:tc>
          <w:tcPr>
            <w:tcW w:w="1323" w:type="dxa"/>
            <w:vAlign w:val="center"/>
            <w:textDirection w:val="lrTb"/>
            <w:noWrap w:val="false"/>
          </w:tcPr>
          <w:p>
            <w:pPr>
              <w:widowControl/>
              <w:rPr>
                <w:rFonts w:hint="eastAsia" w:ascii="宋体" w:hAnsi="宋体" w:cs="宋体"/>
                <w:i/>
                <w:iCs/>
                <w:sz w:val="24"/>
                <w:szCs w:val="24"/>
                <w:u w:val="single"/>
              </w:rPr>
            </w:pPr>
            <w:r>
              <w:rPr>
                <w:rFonts w:hint="eastAsia" w:ascii="宋体" w:hAnsi="宋体" w:cs="宋体"/>
                <w:i/>
                <w:iCs/>
                <w:sz w:val="24"/>
                <w:szCs w:val="24"/>
                <w:u w:val="single"/>
              </w:rPr>
              <w:t xml:space="preserve">扩容要求</w:t>
            </w:r>
            <w:r/>
          </w:p>
        </w:tc>
        <w:tc>
          <w:tcPr>
            <w:gridSpan w:val="2"/>
            <w:tcW w:w="7602" w:type="dxa"/>
            <w:vAlign w:val="center"/>
            <w:textDirection w:val="lrTb"/>
            <w:noWrap w:val="false"/>
          </w:tcPr>
          <w:p>
            <w:pPr>
              <w:widowControl/>
              <w:rPr>
                <w:rFonts w:hint="eastAsia" w:ascii="宋体" w:hAnsi="宋体" w:cs="宋体"/>
                <w:i/>
                <w:iCs/>
                <w:sz w:val="24"/>
                <w:szCs w:val="24"/>
                <w:u w:val="single"/>
              </w:rPr>
            </w:pPr>
            <w:r>
              <w:rPr>
                <w:rFonts w:hint="eastAsia" w:ascii="宋体" w:hAnsi="宋体" w:cs="宋体"/>
                <w:b/>
                <w:bCs/>
                <w:i/>
                <w:iCs/>
                <w:sz w:val="24"/>
                <w:szCs w:val="24"/>
                <w:u w:val="single"/>
              </w:rPr>
              <w:t xml:space="preserve">需要与原有的虚拟化服务器管理平台完全兼容，并且包含相应的虚拟化终端软件授权。（提供承诺函）</w:t>
            </w:r>
            <w:r/>
          </w:p>
        </w:tc>
      </w:tr>
    </w:tbl>
    <w:p>
      <w:pPr>
        <w:pStyle w:val="790"/>
        <w:rPr>
          <w:b/>
          <w:bCs/>
          <w:sz w:val="24"/>
          <w:szCs w:val="24"/>
        </w:rPr>
      </w:pPr>
      <w:r>
        <w:rPr>
          <w:b/>
          <w:bCs/>
          <w:sz w:val="24"/>
          <w:szCs w:val="24"/>
        </w:rPr>
      </w:r>
      <w:r/>
    </w:p>
    <w:p>
      <w:pPr>
        <w:pStyle w:val="790"/>
        <w:ind w:left="0"/>
        <w:rPr>
          <w:b/>
          <w:bCs/>
          <w:sz w:val="24"/>
          <w:szCs w:val="24"/>
        </w:rPr>
      </w:pPr>
      <w:r>
        <w:rPr>
          <w:b/>
          <w:bCs/>
          <w:sz w:val="24"/>
          <w:szCs w:val="24"/>
        </w:rPr>
      </w:r>
      <w:r/>
    </w:p>
    <w:p>
      <w:pPr>
        <w:rPr>
          <w:b/>
          <w:bCs/>
          <w:sz w:val="24"/>
          <w:szCs w:val="24"/>
        </w:rPr>
        <w:outlineLvl w:val="1"/>
      </w:pPr>
      <w:r>
        <w:rPr>
          <w:rFonts w:hint="eastAsia"/>
          <w:b/>
          <w:bCs/>
          <w:sz w:val="24"/>
          <w:szCs w:val="24"/>
        </w:rPr>
        <w:t xml:space="preserve">四、人员要求</w:t>
      </w:r>
      <w:r/>
    </w:p>
    <w:p>
      <w:pPr>
        <w:ind w:firstLine="480"/>
        <w:spacing w:line="360" w:lineRule="auto"/>
        <w:rPr>
          <w:bCs/>
          <w:iCs/>
          <w:sz w:val="24"/>
          <w:szCs w:val="24"/>
        </w:rPr>
      </w:pPr>
      <w:r>
        <w:rPr>
          <w:rFonts w:hint="eastAsia"/>
          <w:bCs/>
          <w:iCs/>
          <w:sz w:val="24"/>
          <w:szCs w:val="24"/>
        </w:rPr>
        <w:t xml:space="preserve">（1）本项目为医院新院区核心网络基础设施建设，涉及内网、外网计算机设备部署，以及相应的网络地址分配、网络访问控制、安全设备对相应的计算机进行安全域划分等，直接影响新院区营业后医疗业务连续性、患者数据安全性及网络系统稳定性。因此本项目的负责人，需要具备全面的问题处理能力，包含但不限于以下几种：计算机管理、电子信息基础、网络架构设计，网络信息安全等。</w:t>
      </w:r>
      <w:r/>
    </w:p>
    <w:p>
      <w:pPr>
        <w:ind w:firstLine="480"/>
        <w:spacing w:line="360" w:lineRule="auto"/>
        <w:rPr>
          <w:bCs/>
          <w:iCs/>
          <w:sz w:val="24"/>
          <w:szCs w:val="24"/>
        </w:rPr>
      </w:pPr>
      <w:r>
        <w:rPr>
          <w:rFonts w:hint="eastAsia"/>
          <w:bCs/>
          <w:iCs/>
          <w:sz w:val="24"/>
          <w:szCs w:val="24"/>
        </w:rPr>
        <w:t xml:space="preserve">（2）为保障项目顺利实施，投标人的项目团队成员应当具备网络搭建、测试联通的能力、医疗工作电脑的电源的处理、网络安全域划分、准入控制、前端杀毒软件调试、国产操作系统麒麟的安装调试等，以及维护网络安全、调试安全设备的能力。</w:t>
      </w:r>
      <w:r/>
    </w:p>
    <w:p>
      <w:pPr>
        <w:rPr>
          <w:rFonts w:hint="eastAsia"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五、实施要求</w:t>
      </w:r>
      <w:r/>
    </w:p>
    <w:p>
      <w:pPr>
        <w:ind w:firstLine="480"/>
        <w:spacing w:line="360" w:lineRule="auto"/>
        <w:rPr>
          <w:bCs/>
          <w:iCs/>
          <w:sz w:val="24"/>
          <w:szCs w:val="24"/>
        </w:rPr>
      </w:pPr>
      <w:r>
        <w:rPr>
          <w:rFonts w:hint="eastAsia"/>
          <w:bCs/>
          <w:iCs/>
          <w:sz w:val="24"/>
          <w:szCs w:val="24"/>
        </w:rPr>
        <w:t xml:space="preserve">1、交付或者供货时间：合同签订之日起30个日历天内完成供货、安装、调试、验收。供应商应当按照投标承诺如期供货，如不能如期供货，供应商须承担由此对采购人造成的损失。</w:t>
      </w:r>
      <w:r/>
    </w:p>
    <w:p>
      <w:pPr>
        <w:ind w:firstLine="480"/>
        <w:spacing w:line="360" w:lineRule="auto"/>
        <w:rPr>
          <w:bCs/>
          <w:iCs/>
          <w:sz w:val="24"/>
          <w:szCs w:val="24"/>
        </w:rPr>
      </w:pPr>
      <w:r>
        <w:rPr>
          <w:rFonts w:hint="eastAsia"/>
          <w:bCs/>
          <w:iCs/>
          <w:sz w:val="24"/>
          <w:szCs w:val="24"/>
        </w:rPr>
        <w:t xml:space="preserve">2、交货方式及地点：供货至采购人指定地点并完成安装调试、通过验收后交</w:t>
      </w:r>
      <w:r>
        <w:rPr>
          <w:rFonts w:hint="eastAsia"/>
          <w:bCs/>
          <w:iCs/>
          <w:sz w:val="24"/>
          <w:szCs w:val="24"/>
          <w:lang w:val="en-US" w:eastAsia="zh-CN"/>
        </w:rPr>
        <w:t xml:space="preserve">付</w:t>
      </w:r>
      <w:r>
        <w:rPr>
          <w:rFonts w:hint="eastAsia"/>
          <w:bCs/>
          <w:iCs/>
          <w:sz w:val="24"/>
          <w:szCs w:val="24"/>
        </w:rPr>
        <w:t xml:space="preserve">。</w:t>
      </w:r>
      <w:r/>
    </w:p>
    <w:p>
      <w:pPr>
        <w:ind w:firstLine="480"/>
        <w:spacing w:line="360" w:lineRule="auto"/>
        <w:rPr>
          <w:bCs/>
          <w:iCs/>
          <w:sz w:val="24"/>
          <w:szCs w:val="24"/>
        </w:rPr>
      </w:pPr>
      <w:r>
        <w:rPr>
          <w:rFonts w:hint="eastAsia"/>
          <w:bCs/>
          <w:iCs/>
          <w:sz w:val="24"/>
          <w:szCs w:val="24"/>
        </w:rPr>
        <w:t xml:space="preserve">3、服务保障和承诺要求</w:t>
      </w:r>
      <w:r/>
    </w:p>
    <w:p>
      <w:pPr>
        <w:ind w:firstLine="480"/>
        <w:spacing w:line="360" w:lineRule="auto"/>
        <w:rPr>
          <w:bCs/>
          <w:iCs/>
          <w:sz w:val="24"/>
          <w:szCs w:val="24"/>
        </w:rPr>
      </w:pPr>
      <w:r>
        <w:rPr>
          <w:rFonts w:hint="eastAsia"/>
          <w:bCs/>
          <w:iCs/>
          <w:sz w:val="24"/>
          <w:szCs w:val="24"/>
        </w:rPr>
        <w:t xml:space="preserve">1）供应商自行承担运输、安装、调试、售后服务等全过程中的所有安全责任。</w:t>
      </w:r>
      <w:r/>
    </w:p>
    <w:p>
      <w:pPr>
        <w:ind w:firstLine="480"/>
        <w:spacing w:line="360" w:lineRule="auto"/>
        <w:rPr>
          <w:bCs/>
          <w:iCs/>
          <w:sz w:val="24"/>
          <w:szCs w:val="24"/>
        </w:rPr>
      </w:pPr>
      <w:r>
        <w:rPr>
          <w:rFonts w:hint="eastAsia"/>
          <w:bCs/>
          <w:iCs/>
          <w:sz w:val="24"/>
          <w:szCs w:val="24"/>
        </w:rPr>
        <w:t xml:space="preserve">2）供应商在设备安装过程中涉及第三方产品知识产权情况，若出现技术、经济或法律上的纠纷，应由供应商全面承担并全权解决，并确保不影响项目的进度。</w:t>
      </w:r>
      <w:r/>
    </w:p>
    <w:p>
      <w:pPr>
        <w:ind w:firstLine="480"/>
        <w:spacing w:line="360" w:lineRule="auto"/>
        <w:rPr>
          <w:bCs/>
          <w:iCs/>
          <w:sz w:val="24"/>
          <w:szCs w:val="24"/>
        </w:rPr>
      </w:pPr>
      <w:r>
        <w:rPr>
          <w:rFonts w:hint="eastAsia"/>
          <w:bCs/>
          <w:iCs/>
          <w:sz w:val="24"/>
          <w:szCs w:val="24"/>
        </w:rPr>
        <w:t xml:space="preserve">4、实施进度及安装要求</w:t>
      </w:r>
      <w:r/>
    </w:p>
    <w:p>
      <w:pPr>
        <w:ind w:firstLine="480"/>
        <w:spacing w:line="360" w:lineRule="auto"/>
        <w:rPr>
          <w:bCs/>
          <w:iCs/>
          <w:sz w:val="24"/>
          <w:szCs w:val="24"/>
        </w:rPr>
      </w:pPr>
      <w:r>
        <w:rPr>
          <w:rFonts w:hint="eastAsia"/>
          <w:bCs/>
          <w:iCs/>
          <w:sz w:val="24"/>
          <w:szCs w:val="24"/>
        </w:rPr>
        <w:t xml:space="preserve">1）设备安装由供应商负责。供应商应根据采购人的项目进度要求，提出具体的项目进度安排。供应商应提交本项目的项目计划进度表。该计划进度表首先对本项目的工作内容进行分解，针对不同的工作内容提出相应的实施进度。</w:t>
      </w:r>
      <w:r/>
    </w:p>
    <w:p>
      <w:pPr>
        <w:ind w:firstLine="480"/>
        <w:spacing w:line="360" w:lineRule="auto"/>
        <w:rPr>
          <w:bCs/>
          <w:iCs/>
          <w:sz w:val="24"/>
          <w:szCs w:val="24"/>
        </w:rPr>
      </w:pPr>
      <w:r>
        <w:rPr>
          <w:rFonts w:hint="eastAsia"/>
          <w:bCs/>
          <w:iCs/>
          <w:sz w:val="24"/>
          <w:szCs w:val="24"/>
        </w:rPr>
        <w:t xml:space="preserve">2）供应商提供全部安装、调试过程中所需的特殊工具和易损件，安装调试结果符合有关标准要求。供应商有责任对采购人的技术人员提出的问题作出解答。系统调试结束后，由采购人验收。</w:t>
      </w:r>
      <w:r/>
    </w:p>
    <w:p>
      <w:pPr>
        <w:ind w:firstLine="480"/>
        <w:spacing w:line="360" w:lineRule="auto"/>
        <w:rPr>
          <w:bCs/>
          <w:iCs/>
          <w:sz w:val="24"/>
          <w:szCs w:val="24"/>
        </w:rPr>
      </w:pPr>
      <w:r>
        <w:rPr>
          <w:rFonts w:hint="eastAsia"/>
          <w:bCs/>
          <w:iCs/>
          <w:sz w:val="24"/>
          <w:szCs w:val="24"/>
        </w:rPr>
        <w:t xml:space="preserve">5、设备供货验货</w:t>
      </w:r>
      <w:r/>
    </w:p>
    <w:p>
      <w:pPr>
        <w:ind w:firstLine="480"/>
        <w:spacing w:line="360" w:lineRule="auto"/>
        <w:rPr>
          <w:bCs/>
          <w:iCs/>
          <w:sz w:val="24"/>
          <w:szCs w:val="24"/>
        </w:rPr>
      </w:pPr>
      <w:r>
        <w:rPr>
          <w:rFonts w:hint="eastAsia"/>
          <w:bCs/>
          <w:iCs/>
          <w:sz w:val="24"/>
          <w:szCs w:val="24"/>
        </w:rPr>
        <w:t xml:space="preserve">1)所供货物必须是全新的，同一批次，完全符合国家规定的质量标准。因产品质量或安装不当导致验收不合格，应及时处理直至验收合格</w:t>
      </w:r>
      <w:r>
        <w:rPr>
          <w:rFonts w:hint="eastAsia"/>
          <w:bCs/>
          <w:iCs/>
          <w:sz w:val="24"/>
          <w:szCs w:val="24"/>
        </w:rPr>
        <w:t xml:space="preserve">，期间产生的一切费用由供应商承担；若二次验收不合格，采购人有权退货。采购人在此期间保留对供应商的索赔权利。供应商必须满足所有功能要求，有义务保证采购人系统的功能性和完整性。货物由采购人组织验收，检验不合格或不符合质量要求，供应商除无条件退货、返工外，还应承担采购人的一切损失。若因供应商原因导致货物不能按时交付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bCs/>
          <w:iCs/>
          <w:sz w:val="24"/>
          <w:szCs w:val="24"/>
        </w:rPr>
      </w:pPr>
      <w:r>
        <w:rPr>
          <w:rFonts w:hint="eastAsia"/>
          <w:bCs/>
          <w:iCs/>
          <w:sz w:val="24"/>
          <w:szCs w:val="24"/>
        </w:rPr>
        <w:t xml:space="preserve">2）所有货物进场前需经采购人确认，确认无误后由供应商运至采购人指定地点，验收交货前存放及保管概由供应商负责。未经采购人确认或经采购人确认参数等与招标文件要求和投标文件承诺不符的，不得进场，因此产生的延期或退换货等风险及相关费用，由供应商自行承担。</w:t>
      </w:r>
      <w:r/>
    </w:p>
    <w:p>
      <w:pPr>
        <w:ind w:firstLine="480"/>
        <w:spacing w:line="360" w:lineRule="auto"/>
        <w:rPr>
          <w:bCs/>
          <w:iCs/>
          <w:sz w:val="24"/>
          <w:szCs w:val="24"/>
        </w:rPr>
      </w:pPr>
      <w:r>
        <w:rPr>
          <w:rFonts w:hint="eastAsia"/>
          <w:bCs/>
          <w:iCs/>
          <w:sz w:val="24"/>
          <w:szCs w:val="24"/>
        </w:rPr>
        <w:t xml:space="preserve">3）设备材料的包装均应有良好的防湿、防锈、防潮、防雨、防腐及防碰撞的措施。凡由于包装不良造成的损失和由此产生的费用均由供应商承担。</w:t>
      </w:r>
      <w:r/>
    </w:p>
    <w:p>
      <w:pPr>
        <w:ind w:firstLine="480"/>
        <w:spacing w:line="360" w:lineRule="auto"/>
        <w:rPr>
          <w:bCs/>
          <w:iCs/>
          <w:sz w:val="24"/>
          <w:szCs w:val="24"/>
        </w:rPr>
      </w:pPr>
      <w:r>
        <w:rPr>
          <w:rFonts w:hint="eastAsia"/>
          <w:bCs/>
          <w:iCs/>
          <w:sz w:val="24"/>
          <w:szCs w:val="24"/>
        </w:rPr>
        <w:t xml:space="preserve">4）供应商提供产品必须随货提供出厂产品合格证、质保书和产品使用说明书等相关资料，产品质量和各种技术指标，经验收达不到规范要求、招标文件要求和响应文件承诺的，必须更换设备，并按国家有关规定进行处罚，直至赔偿采购人的一切损失。如发现使用假冒伪劣产品、三无产品，一经查实，立即终止合同，所有款项一律不付、不退，并将来货封存，交由质量监督部门处理，并按其处罚意见，处以罚款。</w:t>
      </w:r>
      <w:r/>
    </w:p>
    <w:p>
      <w:pPr>
        <w:ind w:firstLine="480"/>
        <w:spacing w:line="360" w:lineRule="auto"/>
        <w:rPr>
          <w:bCs/>
          <w:iCs/>
          <w:sz w:val="24"/>
          <w:szCs w:val="24"/>
        </w:rPr>
      </w:pPr>
      <w:r>
        <w:rPr>
          <w:rFonts w:hint="eastAsia"/>
          <w:bCs/>
          <w:iCs/>
          <w:sz w:val="24"/>
          <w:szCs w:val="24"/>
        </w:rPr>
        <w:t xml:space="preserve">5）设备运抵采购人指定地点后，供应商需提前24小时通知采购人验货时间。采购人代表（或指定人员）</w:t>
      </w:r>
      <w:r>
        <w:rPr>
          <w:rFonts w:hint="eastAsia"/>
          <w:bCs/>
          <w:iCs/>
          <w:sz w:val="24"/>
          <w:szCs w:val="24"/>
        </w:rPr>
        <w:t xml:space="preserve">与供应商代表共同在场方可开箱验货。以招标文件、中标通知书、采购合同（含技术规格附件）、设备装箱单及制造商提供的标准规格为验货依据。如发现外包装严重破损、数量短缺、型号不符、外观严重损坏或加电异常等问题，采购人有权拒绝签收或签署“异常签收”，供应商须立即负责免费更换、补货或修复，并承担由此产生的一切费用和延误责任。货物由供应商运至采购人指定地点，验收交货前存放及保管概由供应商负责。在硬件安装、系统部署、软件安装、网络配置等主要阶段完成后，由供应商申请，采购人组织进行阶段性验收，确认符合要求后方可进入下一阶段。</w:t>
      </w:r>
      <w:r/>
    </w:p>
    <w:p>
      <w:pPr>
        <w:ind w:firstLine="240"/>
        <w:rPr>
          <w:rFonts w:hint="eastAsia" w:ascii="宋体" w:hAnsi="宋体" w:cs="宋体"/>
          <w:color w:val="000000"/>
          <w:sz w:val="24"/>
          <w:szCs w:val="24"/>
          <w:lang w:bidi="ar"/>
        </w:rPr>
      </w:pPr>
      <w:r>
        <w:rPr>
          <w:rFonts w:hint="eastAsia" w:ascii="宋体" w:hAnsi="宋体" w:cs="宋体"/>
          <w:color w:val="000000"/>
          <w:sz w:val="24"/>
          <w:szCs w:val="24"/>
          <w:lang w:bidi="ar"/>
        </w:rPr>
      </w:r>
      <w:r/>
    </w:p>
    <w:p>
      <w:pPr>
        <w:rPr>
          <w:rFonts w:hint="eastAsia"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六、应急响应要求</w:t>
      </w:r>
      <w:r/>
    </w:p>
    <w:p>
      <w:pPr>
        <w:ind w:firstLine="480"/>
        <w:spacing w:line="360" w:lineRule="auto"/>
        <w:rPr>
          <w:bCs/>
          <w:iCs/>
          <w:sz w:val="24"/>
          <w:szCs w:val="24"/>
        </w:rPr>
      </w:pPr>
      <w:r>
        <w:rPr>
          <w:rFonts w:hint="eastAsia"/>
          <w:bCs/>
          <w:iCs/>
          <w:sz w:val="24"/>
          <w:szCs w:val="24"/>
        </w:rPr>
        <w:t xml:space="preserve">1、应急处置：投标人需承诺一般故障半小时内响应并恢复设备，如不能在规定时间内排除故障，必须提供同等型号或以上的备用机供我院免费顶替使用。</w:t>
      </w:r>
      <w:r/>
    </w:p>
    <w:p>
      <w:pPr>
        <w:ind w:firstLine="480"/>
        <w:spacing w:line="360" w:lineRule="auto"/>
        <w:rPr>
          <w:bCs/>
          <w:iCs/>
          <w:sz w:val="24"/>
          <w:szCs w:val="24"/>
        </w:rPr>
      </w:pPr>
      <w:r>
        <w:rPr>
          <w:rFonts w:hint="eastAsia"/>
          <w:bCs/>
          <w:iCs/>
          <w:sz w:val="24"/>
          <w:szCs w:val="24"/>
        </w:rPr>
        <w:t xml:space="preserve">2、人员安排：为了保证我院新院区终端设备正常工作，需安排本地工作人员对设备的维护和维修及时响应，响应时间不超过半小时。</w:t>
      </w:r>
      <w:r/>
    </w:p>
    <w:p>
      <w:pPr>
        <w:ind w:firstLine="480"/>
        <w:spacing w:line="360" w:lineRule="auto"/>
        <w:rPr>
          <w:bCs/>
          <w:iCs/>
          <w:sz w:val="24"/>
          <w:szCs w:val="24"/>
        </w:rPr>
      </w:pPr>
      <w:r>
        <w:rPr>
          <w:rFonts w:hint="eastAsia"/>
          <w:bCs/>
          <w:iCs/>
          <w:sz w:val="24"/>
          <w:szCs w:val="24"/>
        </w:rPr>
        <w:t xml:space="preserve">3、预案制定：供应商需在投标时提交《新院区终端设备应急处置预案》，包含网络中断、设备故障、系统恢复等常见应急场景，明确应急响应流程、责任分工、处置措施、恢复步骤。​</w:t>
      </w:r>
      <w:r/>
    </w:p>
    <w:p>
      <w:pPr>
        <w:rPr>
          <w:sz w:val="24"/>
          <w:szCs w:val="24"/>
        </w:rPr>
      </w:pPr>
      <w:r>
        <w:rPr>
          <w:sz w:val="24"/>
          <w:szCs w:val="24"/>
        </w:rPr>
      </w:r>
      <w:r/>
    </w:p>
    <w:p>
      <w:pPr>
        <w:pStyle w:val="790"/>
        <w:ind w:left="0"/>
        <w:rPr>
          <w:rFonts w:hint="eastAsia"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七、培训要求</w:t>
      </w:r>
      <w:r/>
    </w:p>
    <w:p>
      <w:pPr>
        <w:ind w:firstLine="480"/>
        <w:spacing w:line="360" w:lineRule="auto"/>
        <w:rPr>
          <w:bCs/>
          <w:iCs/>
          <w:sz w:val="24"/>
          <w:szCs w:val="24"/>
        </w:rPr>
      </w:pPr>
      <w:r>
        <w:rPr>
          <w:rFonts w:hint="eastAsia"/>
          <w:bCs/>
          <w:iCs/>
          <w:sz w:val="24"/>
          <w:szCs w:val="24"/>
        </w:rPr>
        <w:t xml:space="preserve">1、供应商须提供培训计划，为采购人使用人员提供免费培训。</w:t>
      </w:r>
      <w:r/>
    </w:p>
    <w:p>
      <w:pPr>
        <w:ind w:firstLine="480"/>
        <w:spacing w:line="360" w:lineRule="auto"/>
        <w:rPr>
          <w:bCs/>
          <w:iCs/>
          <w:sz w:val="24"/>
          <w:szCs w:val="24"/>
        </w:rPr>
      </w:pPr>
      <w:r>
        <w:rPr>
          <w:rFonts w:hint="eastAsia"/>
          <w:bCs/>
          <w:iCs/>
          <w:sz w:val="24"/>
          <w:szCs w:val="24"/>
        </w:rPr>
        <w:t xml:space="preserve">2、培训内容：对虚拟化终端、医疗移动查房车等相关设备操作方面开展培训，组织运维人员进行操作培训，使他们熟悉所有提供设备的操作界面和操作流程，能够高效地完成日常工作任务。</w:t>
      </w:r>
      <w:r/>
    </w:p>
    <w:p>
      <w:pPr>
        <w:ind w:firstLine="480"/>
        <w:spacing w:line="360" w:lineRule="auto"/>
        <w:rPr>
          <w:bCs/>
          <w:iCs/>
          <w:sz w:val="24"/>
          <w:szCs w:val="24"/>
        </w:rPr>
      </w:pPr>
      <w:r>
        <w:rPr>
          <w:rFonts w:hint="eastAsia"/>
          <w:bCs/>
          <w:iCs/>
          <w:sz w:val="24"/>
          <w:szCs w:val="24"/>
        </w:rPr>
        <w:t xml:space="preserve">3、培训方式</w:t>
      </w:r>
      <w:r/>
    </w:p>
    <w:p>
      <w:pPr>
        <w:ind w:firstLine="480"/>
        <w:spacing w:line="360" w:lineRule="auto"/>
        <w:rPr>
          <w:bCs/>
          <w:iCs/>
          <w:sz w:val="24"/>
          <w:szCs w:val="24"/>
        </w:rPr>
      </w:pPr>
      <w:r>
        <w:rPr>
          <w:rFonts w:hint="eastAsia"/>
          <w:bCs/>
          <w:iCs/>
          <w:sz w:val="24"/>
          <w:szCs w:val="24"/>
        </w:rPr>
        <w:t xml:space="preserve">培训可以采用集中授课、现场演示、实际操作等方式进行，确保采购人能够真正掌握所有硬件系统的使用方法和技巧。</w:t>
      </w:r>
      <w:r/>
    </w:p>
    <w:p>
      <w:pPr>
        <w:ind w:firstLine="480"/>
        <w:spacing w:line="360" w:lineRule="auto"/>
        <w:rPr>
          <w:bCs/>
          <w:iCs/>
          <w:sz w:val="24"/>
          <w:szCs w:val="24"/>
        </w:rPr>
      </w:pPr>
      <w:r>
        <w:rPr>
          <w:rFonts w:hint="eastAsia"/>
          <w:bCs/>
          <w:iCs/>
          <w:sz w:val="24"/>
          <w:szCs w:val="24"/>
        </w:rPr>
        <w:t xml:space="preserve">4、培训流程</w:t>
      </w:r>
      <w:r/>
    </w:p>
    <w:p>
      <w:pPr>
        <w:ind w:firstLine="480"/>
        <w:spacing w:line="360" w:lineRule="auto"/>
        <w:rPr>
          <w:bCs/>
          <w:iCs/>
          <w:sz w:val="24"/>
          <w:szCs w:val="24"/>
        </w:rPr>
      </w:pPr>
      <w:r>
        <w:rPr>
          <w:rFonts w:hint="eastAsia"/>
          <w:bCs/>
          <w:iCs/>
          <w:sz w:val="24"/>
          <w:szCs w:val="24"/>
        </w:rPr>
        <w:t xml:space="preserve">供应商应提供材料包括说明书、用户使用手册、维护手册等在内的完备准确的项目技术资料，制定培训流程，并且提供运行期间的系统安装、调试、使用、维护、升级和新技术推荐等方面的咨询服务。</w:t>
      </w:r>
      <w:r/>
    </w:p>
    <w:p>
      <w:pPr>
        <w:ind w:firstLine="480"/>
        <w:spacing w:line="360" w:lineRule="auto"/>
        <w:rPr>
          <w:bCs/>
          <w:iCs/>
          <w:sz w:val="24"/>
          <w:szCs w:val="24"/>
        </w:rPr>
      </w:pPr>
      <w:r>
        <w:rPr>
          <w:rFonts w:hint="eastAsia"/>
          <w:bCs/>
          <w:iCs/>
          <w:sz w:val="24"/>
          <w:szCs w:val="24"/>
        </w:rPr>
        <w:t xml:space="preserve">5、培训日程安排：参加培训人员、培训地点由采购人组织协调，供应商负责配合提出培训计划、准备培训内容等工作。</w:t>
      </w:r>
      <w:r/>
    </w:p>
    <w:p>
      <w:pPr>
        <w:rPr>
          <w:rFonts w:hint="eastAsia" w:ascii="宋体" w:hAnsi="宋体" w:cs="宋体"/>
          <w:color w:val="000000"/>
          <w:sz w:val="24"/>
          <w:szCs w:val="24"/>
          <w:lang w:bidi="ar"/>
        </w:rPr>
      </w:pPr>
      <w:r>
        <w:rPr>
          <w:rFonts w:hint="eastAsia" w:ascii="宋体" w:hAnsi="宋体" w:cs="宋体"/>
          <w:color w:val="000000"/>
          <w:sz w:val="24"/>
          <w:szCs w:val="24"/>
          <w:lang w:bidi="ar"/>
        </w:rPr>
      </w:r>
      <w:r/>
    </w:p>
    <w:p>
      <w:pPr>
        <w:rPr>
          <w:rFonts w:hint="eastAsia"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八、售后服务要求</w:t>
      </w:r>
      <w:r/>
    </w:p>
    <w:p>
      <w:pPr>
        <w:ind w:firstLine="480"/>
        <w:spacing w:line="360" w:lineRule="auto"/>
        <w:rPr>
          <w:bCs/>
          <w:iCs/>
          <w:sz w:val="24"/>
          <w:szCs w:val="24"/>
        </w:rPr>
      </w:pPr>
      <w:r>
        <w:rPr>
          <w:rFonts w:hint="eastAsia"/>
          <w:bCs/>
          <w:iCs/>
          <w:sz w:val="24"/>
          <w:szCs w:val="24"/>
        </w:rPr>
        <w:t xml:space="preserve">1、服务内容应包含为项目采购内容提供免费技术支持和配套升级服务，在质保期内，一切维护费用均由供应商承担，并提供免费软件升级、软件故障排除、补丁安装、软件重装等技术支持及维护服务，确保系统服务与业务要求保持一致，提供稳定可靠服务。</w:t>
      </w:r>
      <w:r/>
    </w:p>
    <w:p>
      <w:pPr>
        <w:ind w:firstLine="480"/>
        <w:spacing w:line="360" w:lineRule="auto"/>
        <w:rPr>
          <w:bCs/>
          <w:iCs/>
          <w:sz w:val="24"/>
          <w:szCs w:val="24"/>
        </w:rPr>
      </w:pPr>
      <w:r>
        <w:rPr>
          <w:rFonts w:hint="eastAsia"/>
          <w:bCs/>
          <w:iCs/>
          <w:sz w:val="24"/>
          <w:szCs w:val="24"/>
        </w:rPr>
        <w:t xml:space="preserve">2、系统服务时间承诺：供应商应根据不同情况设定不同的故障级别，并就不同故障级别提出对应的故障响应方案。在维护期内要求供应商提供7×24 小时不间断的技术支持响应。</w:t>
      </w:r>
      <w:r/>
    </w:p>
    <w:p>
      <w:pPr>
        <w:ind w:firstLine="480"/>
        <w:spacing w:line="360" w:lineRule="auto"/>
        <w:rPr>
          <w:bCs/>
          <w:iCs/>
          <w:sz w:val="24"/>
          <w:szCs w:val="24"/>
        </w:rPr>
      </w:pPr>
      <w:r>
        <w:rPr>
          <w:rFonts w:hint="eastAsia"/>
          <w:bCs/>
          <w:iCs/>
          <w:sz w:val="24"/>
          <w:szCs w:val="24"/>
        </w:rPr>
        <w:t xml:space="preserve">3、服务保障：在设备运行期，如发生系统软件扩展升级等情况，供应商应负责现场升级，向采购人提供必要的技术资料，对于发现的系统安全风险要在限制有时间内有效处置，确保系统安全可靠。</w:t>
      </w:r>
      <w:r/>
    </w:p>
    <w:p>
      <w:pPr>
        <w:ind w:firstLine="480"/>
        <w:spacing w:line="360" w:lineRule="auto"/>
        <w:rPr>
          <w:rFonts w:hint="eastAsia"/>
          <w:bCs/>
          <w:iCs/>
          <w:sz w:val="24"/>
          <w:szCs w:val="24"/>
        </w:rPr>
      </w:pPr>
      <w:r>
        <w:rPr>
          <w:rFonts w:hint="eastAsia"/>
          <w:bCs/>
          <w:iCs/>
          <w:sz w:val="24"/>
          <w:szCs w:val="24"/>
        </w:rPr>
        <w:t xml:space="preserve">4、设备运行期间，供应商应向采购人提供设备维护和管理文档。</w:t>
      </w:r>
      <w:r/>
    </w:p>
    <w:p>
      <w:pPr>
        <w:rPr>
          <w:rFonts w:ascii="宋体" w:hAnsi="宋体" w:cs="宋体"/>
          <w:b/>
          <w:color w:val="auto"/>
          <w:sz w:val="24"/>
          <w:highlight w:val="none"/>
        </w:rPr>
        <w:pBdr>
          <w:top w:val="none" w:color="auto" w:sz="0" w:space="0"/>
          <w:left w:val="none" w:color="auto" w:sz="0" w:space="0"/>
          <w:bottom w:val="none" w:color="auto" w:sz="0" w:space="0"/>
          <w:right w:val="none" w:color="auto" w:sz="0" w:space="0"/>
        </w:pBdr>
      </w:pPr>
      <w:r>
        <w:rPr>
          <w:rFonts w:ascii="宋体" w:hAnsi="宋体" w:cs="宋体"/>
          <w:b/>
          <w:color w:val="auto"/>
          <w:sz w:val="24"/>
          <w:highlight w:val="none"/>
        </w:rPr>
      </w:r>
      <w:r/>
    </w:p>
    <w:p>
      <w:pPr>
        <w:rPr>
          <w:rFonts w:ascii="宋体" w:hAnsi="宋体" w:cs="宋体"/>
          <w:b/>
          <w:color w:val="auto"/>
          <w:sz w:val="24"/>
          <w:highlight w:val="none"/>
        </w:rPr>
        <w:pBdr>
          <w:top w:val="none" w:color="auto" w:sz="0" w:space="0"/>
          <w:left w:val="none" w:color="auto" w:sz="0" w:space="0"/>
          <w:bottom w:val="none" w:color="auto" w:sz="0" w:space="0"/>
          <w:right w:val="none" w:color="auto" w:sz="0" w:space="0"/>
        </w:pBdr>
      </w:pPr>
      <w:r>
        <w:rPr>
          <w:rFonts w:ascii="宋体" w:hAnsi="宋体" w:cs="宋体"/>
          <w:b/>
          <w:color w:val="auto"/>
          <w:sz w:val="24"/>
          <w:highlight w:val="none"/>
        </w:rPr>
      </w:r>
      <w:r/>
    </w:p>
    <w:p>
      <w:pPr>
        <w:rPr>
          <w:rFonts w:hint="eastAsia" w:ascii="宋体" w:hAnsi="宋体" w:cs="宋体"/>
          <w:b/>
          <w:color w:val="auto"/>
          <w:sz w:val="24"/>
          <w:highlight w:val="none"/>
        </w:rPr>
        <w:pBdr>
          <w:top w:val="none" w:color="auto" w:sz="0" w:space="0"/>
          <w:left w:val="none" w:color="auto" w:sz="0" w:space="0"/>
          <w:bottom w:val="none" w:color="auto" w:sz="0" w:space="0"/>
          <w:right w:val="none" w:color="auto" w:sz="0" w:space="0"/>
        </w:pBdr>
      </w:pPr>
      <w:r>
        <w:rPr>
          <w:rFonts w:ascii="宋体" w:hAnsi="宋体" w:cs="宋体"/>
          <w:b/>
          <w:color w:val="auto"/>
          <w:sz w:val="24"/>
          <w:highlight w:val="none"/>
        </w:rPr>
        <w:t xml:space="preserve">演示要求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投标人需按照招标文件</w:t>
      </w:r>
      <w:r>
        <w:rPr>
          <w:rFonts w:hint="eastAsia" w:ascii="宋体" w:hAnsi="宋体"/>
          <w:color w:val="auto"/>
          <w:sz w:val="24"/>
          <w:szCs w:val="24"/>
          <w:highlight w:val="none"/>
        </w:rPr>
        <w:t xml:space="preserve">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投标人根据本次项目需求所要求的功能统一采用视频录制真实软件操作或者软件demo视频方式进行逐项功能演示方式进行功能演示（视频画面须清晰），采用PPT、文档或视频播放形式（无实际操作动作的）不得分，演示时间不超过15分钟。视频随投标文件上传，未上传或无法播放不得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strike w:val="0"/>
          <w:color w:val="auto"/>
          <w:sz w:val="24"/>
          <w:szCs w:val="24"/>
          <w:u w:val="none"/>
          <w:lang w:bidi="ar"/>
        </w:rPr>
        <w:t xml:space="preserve">演示内容如下：用户在远程访问时可对已关机的IDV桌面进行远程开机，不借助第三方外设。</w:t>
      </w: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982"/>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firstLine="480"/>
        <w:spacing w:line="0" w:lineRule="atLeast"/>
        <w:rPr>
          <w:rFonts w:hint="eastAsia"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15"/>
        <w:tblW w:w="780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hint="eastAsia"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0" w:lineRule="atLeast"/>
        <w:rPr>
          <w:rFonts w:hint="eastAsia" w:ascii="宋体" w:hAnsi="宋体"/>
          <w:b/>
          <w:bCs/>
          <w:color w:val="ff0000"/>
          <w:sz w:val="24"/>
          <w:szCs w:val="24"/>
        </w:rPr>
      </w:pPr>
      <w:r>
        <w:rPr>
          <w:rFonts w:hint="eastAsia" w:ascii="宋体" w:hAnsi="宋体"/>
          <w:b/>
          <w:bCs/>
          <w:color w:val="ff0000"/>
          <w:sz w:val="24"/>
          <w:szCs w:val="24"/>
        </w:rPr>
        <w:t xml:space="preserve">本项目专门面向中小企业：否</w:t>
      </w:r>
      <w:r/>
    </w:p>
    <w:tbl>
      <w:tblPr>
        <w:tblStyle w:val="715"/>
        <w:tblW w:w="384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025"/>
        <w:ind w:firstLine="360"/>
        <w:spacing w:line="0" w:lineRule="atLeast"/>
        <w:rPr>
          <w:rFonts w:hint="eastAsia"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0"/>
        <w:spacing w:before="120" w:after="12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green"/>
        </w:rPr>
        <w:t xml:space="preserve">7、采购本国产品的支持政策</w:t>
      </w:r>
      <w:r/>
    </w:p>
    <w:p>
      <w:pPr>
        <w:ind w:firstLine="480"/>
        <w:spacing w:before="120" w:after="12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green"/>
        </w:rPr>
        <w:t xml:space="preserve">7.1 本项目政府采购活动中既有本国产品又有非本国产品参与竞争的，依法对本国产品给予价格评审优惠，对本国产品的报价给予  20%的价格扣除，用扣除后的价格参与评审。</w:t>
      </w:r>
      <w:r/>
    </w:p>
    <w:p>
      <w:pPr>
        <w:ind w:firstLine="480"/>
        <w:spacing w:before="120" w:after="12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gree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20" w:after="12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green"/>
        </w:rPr>
        <w:t xml:space="preserve">7.3 供应商需按照招标文件的要求提供《关于符合本国产品标准的声明函》（以下简称《声明函》），如不提供将不享受本国产品价格评审优惠。</w:t>
      </w:r>
      <w:r/>
    </w:p>
    <w:p>
      <w:pPr>
        <w:ind w:firstLine="480"/>
        <w:spacing w:before="120" w:after="12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green"/>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gree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715"/>
        <w:tblpPr w:horzAnchor="page" w:tblpX="1765" w:vertAnchor="text" w:tblpY="397" w:leftFromText="180" w:topFromText="0" w:rightFromText="180" w:bottomFromText="0"/>
        <w:tblW w:w="87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7443"/>
      </w:tblGrid>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项 目</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评分标准</w:t>
            </w:r>
            <w:r/>
          </w:p>
        </w:tc>
      </w:tr>
      <w:tr>
        <w:trPr>
          <w:trHeight w:val="774"/>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报价</w:t>
            </w:r>
            <w:r/>
          </w:p>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（30分）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以满足招标文件要求的最低投标报价为评标基准价，得满分30分，其他投标报价得分=(评标基准价／其他投标报价)×30×100%。</w:t>
            </w:r>
            <w:r/>
          </w:p>
        </w:tc>
      </w:tr>
      <w:tr>
        <w:trPr>
          <w:trHeight w:val="126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技术性能</w:t>
            </w:r>
            <w:r/>
          </w:p>
          <w:p>
            <w:pPr>
              <w:rPr>
                <w:rFonts w:hint="eastAsia" w:ascii="宋体" w:hAnsi="宋体" w:cs="宋体"/>
                <w:b/>
                <w:bCs/>
                <w:color w:val="000000"/>
                <w:sz w:val="24"/>
                <w:szCs w:val="24"/>
              </w:rPr>
            </w:pPr>
            <w:r>
              <w:rPr>
                <w:rFonts w:hint="eastAsia" w:ascii="宋体" w:hAnsi="宋体" w:cs="宋体"/>
                <w:b/>
                <w:bCs/>
                <w:color w:val="000000"/>
                <w:sz w:val="24"/>
                <w:szCs w:val="24"/>
              </w:rPr>
              <w:t xml:space="preserve">（36</w:t>
            </w:r>
            <w:r>
              <w:rPr>
                <w:rFonts w:hint="eastAsia" w:ascii="宋体" w:hAnsi="宋体" w:cs="宋体"/>
                <w:b/>
                <w:bCs/>
                <w:sz w:val="24"/>
                <w:szCs w:val="24"/>
              </w:rPr>
              <w:t xml:space="preserve">分</w:t>
            </w:r>
            <w:r>
              <w:rPr>
                <w:rFonts w:hint="eastAsia" w:ascii="宋体" w:hAnsi="宋体" w:cs="宋体"/>
                <w:b/>
                <w:bCs/>
                <w:color w:val="000000"/>
                <w:sz w:val="24"/>
                <w:szCs w:val="24"/>
              </w:rPr>
              <w:t xml:space="preserve">）</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带“</w:t>
            </w:r>
            <w:bookmarkStart w:id="1" w:name="OLE_LINK2"/>
            <w:r/>
            <w:bookmarkStart w:id="2" w:name="OLE_LINK1"/>
            <w:r/>
            <w:bookmarkStart w:id="3" w:name="OLE_LINK8"/>
            <w:r>
              <w:rPr>
                <w:rFonts w:hint="eastAsia" w:ascii="宋体" w:hAnsi="宋体" w:cs="宋体"/>
                <w:sz w:val="24"/>
                <w:szCs w:val="24"/>
              </w:rPr>
              <w:t xml:space="preserve">★</w:t>
            </w:r>
            <w:bookmarkEnd w:id="1"/>
            <w:r/>
            <w:bookmarkEnd w:id="2"/>
            <w:r/>
            <w:bookmarkEnd w:id="3"/>
            <w:r>
              <w:rPr>
                <w:rFonts w:hint="eastAsia" w:ascii="宋体" w:hAnsi="宋体" w:cs="宋体"/>
                <w:sz w:val="24"/>
                <w:szCs w:val="24"/>
              </w:rPr>
              <w:t xml:space="preserve">”号（共12个）项指标参数为重要参数，每提供1项重要参数的证明材料，得3分，总分36分，不提供不得分。</w:t>
            </w:r>
            <w:r/>
          </w:p>
          <w:p>
            <w:pPr>
              <w:rPr>
                <w:rFonts w:hint="eastAsia" w:ascii="宋体" w:hAnsi="宋体" w:cs="宋体"/>
                <w:sz w:val="24"/>
                <w:szCs w:val="24"/>
              </w:rPr>
            </w:pPr>
            <w:r>
              <w:rPr>
                <w:rFonts w:hint="eastAsia" w:ascii="宋体" w:hAnsi="宋体" w:cs="宋体"/>
                <w:sz w:val="24"/>
                <w:szCs w:val="24"/>
              </w:rPr>
              <w:t xml:space="preserve">注：需提供参数偏离表及相关证明材料（包含但不限于功能截图、参数证明截图、投标人承诺或相关检测报告，需提交扫描件），不提供不得分。</w:t>
            </w:r>
            <w:r/>
          </w:p>
        </w:tc>
      </w:tr>
      <w:tr>
        <w:trPr>
          <w:trHeight w:val="4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项目负责人资质</w:t>
            </w:r>
            <w:r/>
          </w:p>
          <w:p>
            <w:pPr>
              <w:jc w:val="center"/>
              <w:rPr>
                <w:rFonts w:hint="eastAsia" w:ascii="宋体" w:hAnsi="宋体" w:cs="宋体"/>
                <w:color w:val="000000"/>
                <w:sz w:val="24"/>
                <w:szCs w:val="24"/>
              </w:rPr>
            </w:pPr>
            <w:r>
              <w:rPr>
                <w:rFonts w:hint="eastAsia" w:ascii="宋体" w:hAnsi="宋体" w:cs="宋体"/>
                <w:b/>
                <w:bCs/>
                <w:color w:val="000000"/>
                <w:sz w:val="24"/>
                <w:szCs w:val="24"/>
              </w:rPr>
              <w:t xml:space="preserve">（4分）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pStyle w:val="716"/>
              <w:ind w:firstLine="0"/>
              <w:rPr>
                <w:rFonts w:hint="eastAsia" w:ascii="宋体" w:hAnsi="宋体" w:cs="宋体"/>
                <w:color w:val="000000"/>
                <w:sz w:val="24"/>
                <w:szCs w:val="24"/>
              </w:rPr>
            </w:pPr>
            <w:r>
              <w:rPr>
                <w:rFonts w:hint="eastAsia" w:ascii="宋体" w:hAnsi="宋体" w:cs="宋体"/>
                <w:color w:val="000000"/>
                <w:sz w:val="24"/>
                <w:szCs w:val="24"/>
              </w:rPr>
              <w:t xml:space="preserve">提供一名项目经理，该项目经理具有人力资源和社会保障部门颁发的计算机网络管理员认证证书、以及注册信息安全工程师CISP-PTE证书，每有一个得2分，满分4分。</w:t>
            </w:r>
            <w:r/>
          </w:p>
          <w:p>
            <w:pPr>
              <w:rPr>
                <w:rFonts w:hint="eastAsia" w:ascii="宋体" w:hAnsi="宋体" w:cs="宋体"/>
                <w:color w:val="000000"/>
                <w:sz w:val="24"/>
                <w:szCs w:val="24"/>
              </w:rPr>
            </w:pPr>
            <w:r>
              <w:rPr>
                <w:rFonts w:hint="eastAsia" w:ascii="宋体" w:hAnsi="宋体" w:cs="宋体"/>
                <w:color w:val="000000"/>
                <w:sz w:val="24"/>
                <w:szCs w:val="24"/>
              </w:rPr>
              <w:t xml:space="preserve">注：提供相关证书和投标人近三个月内任意一个月为其缴纳的社保证明扫描上传</w:t>
            </w:r>
            <w:r/>
          </w:p>
        </w:tc>
      </w:tr>
      <w:tr>
        <w:trPr>
          <w:trHeight w:val="4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业绩</w:t>
            </w:r>
            <w:r/>
          </w:p>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（8分）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投标人自202</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年01月01日（以合同签订时间为准）以来承担过的类似项目业绩，有一个得2分，满分8分。（提供合同原件，扫描上传）</w:t>
            </w:r>
            <w:r/>
          </w:p>
        </w:tc>
      </w:tr>
      <w:tr>
        <w:trPr>
          <w:trHeight w:val="838"/>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实施方案</w:t>
            </w:r>
            <w:r/>
          </w:p>
          <w:p>
            <w:pPr>
              <w:jc w:val="center"/>
              <w:rPr>
                <w:b/>
                <w:bCs/>
                <w:sz w:val="24"/>
                <w:szCs w:val="24"/>
              </w:rPr>
            </w:pPr>
            <w:r>
              <w:rPr>
                <w:rFonts w:hint="eastAsia" w:ascii="宋体" w:hAnsi="宋体" w:cs="宋体"/>
                <w:b/>
                <w:bCs/>
                <w:color w:val="000000"/>
                <w:sz w:val="24"/>
                <w:szCs w:val="24"/>
              </w:rPr>
              <w:t xml:space="preserve">（5分）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widowControl/>
              <w:rPr>
                <w:color w:val="000000"/>
                <w:sz w:val="24"/>
                <w:szCs w:val="24"/>
              </w:rPr>
            </w:pPr>
            <w:r>
              <w:rPr>
                <w:rFonts w:hint="eastAsia" w:ascii="宋体" w:hAnsi="宋体" w:cs="宋体"/>
                <w:color w:val="000000"/>
                <w:sz w:val="24"/>
                <w:szCs w:val="24"/>
              </w:rPr>
              <w:t xml:space="preserve">优于招标文件要求的得5分；符合招标文件要求的得3分；不符合招标文件要求或未提供的不得分。</w:t>
            </w:r>
            <w:r/>
          </w:p>
        </w:tc>
      </w:tr>
      <w:tr>
        <w:trPr>
          <w:trHeight w:val="864"/>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应急方案（5分）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widowControl/>
              <w:rPr>
                <w:color w:val="000000"/>
                <w:sz w:val="24"/>
                <w:szCs w:val="24"/>
              </w:rPr>
            </w:pPr>
            <w:r>
              <w:rPr>
                <w:rFonts w:hint="eastAsia" w:ascii="宋体" w:hAnsi="宋体" w:cs="宋体"/>
                <w:color w:val="000000"/>
                <w:sz w:val="24"/>
                <w:szCs w:val="24"/>
              </w:rPr>
              <w:t xml:space="preserve">优于招标文件要求的得5分；符合招标文件要求的得3分；不符合招标文件要求或未提供的不得分。</w:t>
            </w:r>
            <w:r/>
          </w:p>
        </w:tc>
      </w:tr>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培训方案（5分）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优于招标文件要求的得5分；符合招标文件要求的得3分；不符合招标文件要求或未提供的不得分。</w:t>
            </w:r>
            <w:r/>
          </w:p>
        </w:tc>
      </w:tr>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售后服务</w:t>
            </w:r>
            <w:r/>
          </w:p>
          <w:p>
            <w:pPr>
              <w:jc w:val="center"/>
              <w:rPr>
                <w:rFonts w:hint="eastAsia" w:ascii="宋体" w:hAnsi="宋体" w:cs="宋体"/>
                <w:b/>
                <w:bCs/>
                <w:sz w:val="24"/>
                <w:szCs w:val="24"/>
              </w:rPr>
            </w:pPr>
            <w:r>
              <w:rPr>
                <w:rFonts w:hint="eastAsia" w:ascii="宋体" w:hAnsi="宋体" w:cs="宋体"/>
                <w:b/>
                <w:bCs/>
                <w:sz w:val="24"/>
                <w:szCs w:val="24"/>
              </w:rPr>
              <w:t xml:space="preserve">（5分）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优于招标文件要求的得5分；符合招标文件要求的得3分；不符合招标文件要求或未提供的不得分。</w:t>
            </w:r>
            <w:r/>
          </w:p>
        </w:tc>
      </w:tr>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widowControl/>
              <w:rPr>
                <w:b/>
                <w:bCs/>
                <w:color w:val="000000"/>
                <w:sz w:val="24"/>
                <w:szCs w:val="24"/>
              </w:rPr>
            </w:pPr>
            <w:r>
              <w:rPr>
                <w:rFonts w:hint="eastAsia"/>
                <w:b/>
                <w:bCs/>
                <w:color w:val="000000"/>
                <w:sz w:val="24"/>
                <w:szCs w:val="24"/>
              </w:rPr>
              <w:t xml:space="preserve">节能环保</w:t>
            </w:r>
            <w:r/>
          </w:p>
          <w:p>
            <w:pPr>
              <w:jc w:val="center"/>
              <w:rPr>
                <w:rFonts w:hint="eastAsia" w:ascii="宋体" w:hAnsi="宋体" w:cs="宋体"/>
                <w:b/>
                <w:bCs/>
                <w:sz w:val="24"/>
                <w:szCs w:val="24"/>
              </w:rPr>
            </w:pPr>
            <w:r>
              <w:rPr>
                <w:rFonts w:hint="eastAsia"/>
                <w:b/>
                <w:bCs/>
                <w:color w:val="000000"/>
                <w:sz w:val="24"/>
                <w:szCs w:val="24"/>
              </w:rPr>
              <w:t xml:space="preserve">（2分）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rPr>
                <w:color w:val="000000"/>
                <w:sz w:val="24"/>
                <w:szCs w:val="24"/>
              </w:rPr>
            </w:pPr>
            <w:r>
              <w:rPr>
                <w:rFonts w:hint="eastAsia"/>
                <w:color w:val="000000"/>
                <w:sz w:val="24"/>
                <w:szCs w:val="24"/>
              </w:rPr>
              <w:t xml:space="preserve">一、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rPr>
                <w:rFonts w:hint="eastAsia" w:ascii="宋体" w:hAnsi="宋体" w:cs="宋体"/>
                <w:color w:val="000000"/>
                <w:sz w:val="24"/>
                <w:szCs w:val="24"/>
              </w:rPr>
            </w:pPr>
            <w:r>
              <w:rPr>
                <w:rFonts w:hint="eastAsia"/>
                <w:color w:val="000000"/>
                <w:sz w:val="24"/>
                <w:szCs w:val="24"/>
              </w:rPr>
              <w:t xml:space="preserve">二、投标产品属于财政部、生态环境部公布的“环境标志产品品目清单”范围内的，投标人提供国家确定的认证机构出具的、处于有效期内的该环保产品认证证书复印件的，有1个得0.5分，最多得1分。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29"/>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firstLine="1084"/>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上一</w:t>
      </w:r>
      <w:bookmarkStart w:id="4" w:name="_GoBack"/>
      <w:r/>
      <w:bookmarkEnd w:id="4"/>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38"/>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38"/>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38"/>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38"/>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38"/>
        <w:tblW w:w="5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b/>
          <w:bCs/>
          <w:color w:val="000000"/>
          <w:sz w:val="24"/>
          <w:u w:val="single"/>
        </w:rPr>
        <w:t xml:space="preserve">（</w:t>
      </w:r>
      <w:r>
        <w:rPr>
          <w:rFonts w:hint="eastAsia" w:ascii="宋体" w:hAnsi="宋体" w:cs="宋体"/>
          <w:b/>
          <w:bCs/>
          <w:color w:val="ff0000"/>
          <w:sz w:val="24"/>
          <w:u w:val="single"/>
          <w:lang w:val="en-US" w:eastAsia="zh-CN"/>
        </w:rPr>
        <w:t xml:space="preserve">工业</w:t>
      </w:r>
      <w:r>
        <w:rPr>
          <w:rFonts w:ascii="宋体" w:hAnsi="宋体" w:eastAsia="宋体" w:cs="宋体"/>
          <w:b/>
          <w:bCs/>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ascii="宋体" w:hAnsi="宋体" w:eastAsia="宋体" w:cs="宋体"/>
          <w:color w:val="ff0000"/>
          <w:sz w:val="24"/>
          <w:u w:val="single"/>
        </w:rPr>
        <w:t xml:space="preserve">采购文件中明确的所属行业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38"/>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83.8pt,42.4pt" to="260.3pt,60.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02.0pt,43.2pt" to="178.6pt,61.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360.8pt,24.4pt" to="437.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267.8pt,24.4pt" to="344.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flip:y;visibility:visible;" from="183.8pt,24.4pt" to="260.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4658360</wp:posOffset>
                </wp:positionH>
                <wp:positionV relativeFrom="paragraph">
                  <wp:posOffset>-19685</wp:posOffset>
                </wp:positionV>
                <wp:extent cx="971550" cy="228600"/>
                <wp:effectExtent l="4762" t="4762" r="4762" b="4762"/>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366.8pt,-1.5pt" to="443.3pt,16.4pt" filled="f" strokecolor="#233B59" strokeweight="0.75pt"/>
            </w:pict>
          </mc:Fallback>
        </mc:AlternateContent>
      </w:r>
      <w:r>
        <w:rPr>
          <w:rFonts w:ascii="宋体" w:hAnsi="宋体" w:eastAsia="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52.9pt,47.0pt" to="229.4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68.3pt,47.0pt" to="144.8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351.1pt,19.2pt" to="427.6pt,37.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flip:y;visibility:visible;" from="260.3pt,23.8pt" to="336.8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flip:y;visibility:visible;" from="168.8pt,23.8pt" to="245.3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flip:y;visibility:visible;" from="357.0pt,1.2pt" to="433.5pt,19.2pt" filled="f" strokecolor="#233B59" strokeweight="0.75pt"/>
            </w:pict>
          </mc:Fallback>
        </mc:AlternateContent>
      </w:r>
      <w:r>
        <w:rPr>
          <w:rFonts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6.用斜线划除的地方无需填写。</w:t>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38"/>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楷体">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5">
    <w:multiLevelType w:val="hybridMultilevel"/>
    <w:lvl w:ilvl="0">
      <w:start w:val="1"/>
      <w:numFmt w:val="bullet"/>
      <w:pStyle w:val="72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70" w:hanging="370"/>
      </w:pPr>
      <w:rPr>
        <w:rFonts w:hint="default" w:ascii="Times New Roman" w:hAnsi="Times New Roman" w:cs="Times New Roman"/>
        <w:b/>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12"/>
  </w:num>
  <w:num w:numId="9">
    <w:abstractNumId w:val="6"/>
  </w:num>
  <w:num w:numId="10">
    <w:abstractNumId w:val="0"/>
  </w:num>
  <w:num w:numId="11">
    <w:abstractNumId w:val="10"/>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5">
    <w:name w:val="Heading 1"/>
    <w:basedOn w:val="704"/>
    <w:next w:val="704"/>
    <w:link w:val="781"/>
    <w:uiPriority w:val="9"/>
    <w:qFormat/>
    <w:pPr>
      <w:keepLines/>
      <w:keepNext/>
      <w:spacing w:before="480" w:after="200"/>
      <w:outlineLvl w:val="0"/>
    </w:pPr>
    <w:rPr>
      <w:rFonts w:ascii="Arial" w:hAnsi="Arial" w:eastAsia="黑体" w:cs="Arial"/>
      <w:sz w:val="44"/>
      <w:szCs w:val="40"/>
    </w:rPr>
  </w:style>
  <w:style w:type="paragraph" w:styleId="706">
    <w:name w:val="Heading 2"/>
    <w:basedOn w:val="704"/>
    <w:next w:val="716"/>
    <w:link w:val="782"/>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83"/>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84"/>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85"/>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86"/>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88"/>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89"/>
    <w:uiPriority w:val="9"/>
    <w:unhideWhenUsed/>
    <w:qFormat/>
    <w:pPr>
      <w:keepLines/>
      <w:keepNext/>
      <w:spacing w:before="320" w:after="200"/>
      <w:outlineLvl w:val="8"/>
    </w:pPr>
    <w:rPr>
      <w:rFonts w:ascii="Arial" w:hAnsi="Arial" w:eastAsia="Arial" w:cs="Arial"/>
      <w:i/>
      <w:iCs/>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Normal Indent"/>
    <w:basedOn w:val="704"/>
    <w:uiPriority w:val="0"/>
    <w:unhideWhenUsed/>
    <w:qFormat/>
    <w:pPr>
      <w:ind w:firstLine="420"/>
    </w:pPr>
    <w:rPr>
      <w:rFonts w:ascii="Times New Roman" w:hAnsi="Times New Roman"/>
    </w:rPr>
  </w:style>
  <w:style w:type="paragraph" w:styleId="717">
    <w:name w:val="toc 7"/>
    <w:basedOn w:val="704"/>
    <w:next w:val="704"/>
    <w:uiPriority w:val="39"/>
    <w:unhideWhenUsed/>
    <w:qFormat/>
    <w:pPr>
      <w:ind w:left="1701"/>
      <w:spacing w:after="57"/>
    </w:pPr>
  </w:style>
  <w:style w:type="paragraph" w:styleId="718">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Body Text"/>
    <w:basedOn w:val="704"/>
    <w:uiPriority w:val="0"/>
    <w:qFormat/>
    <w:rPr>
      <w:rFonts w:ascii="楷体_GB2312" w:hAnsi="Arial" w:eastAsia="楷体_GB2312"/>
      <w:sz w:val="28"/>
      <w:szCs w:val="28"/>
    </w:rPr>
  </w:style>
  <w:style w:type="paragraph" w:styleId="720">
    <w:name w:val="List Bullet 2"/>
    <w:basedOn w:val="704"/>
    <w:uiPriority w:val="99"/>
    <w:semiHidden/>
    <w:unhideWhenUsed/>
    <w:qFormat/>
    <w:pPr>
      <w:numPr>
        <w:ilvl w:val="0"/>
        <w:numId w:val="1"/>
      </w:numPr>
    </w:pPr>
  </w:style>
  <w:style w:type="paragraph" w:styleId="721">
    <w:name w:val="index 4"/>
    <w:basedOn w:val="704"/>
    <w:next w:val="704"/>
    <w:uiPriority w:val="0"/>
    <w:qFormat/>
    <w:pPr>
      <w:ind w:left="600" w:firstLine="200"/>
      <w:spacing w:line="360" w:lineRule="auto"/>
    </w:pPr>
    <w:rPr>
      <w:rFonts w:ascii="等线" w:hAnsi="等线" w:eastAsia="等线"/>
      <w:sz w:val="24"/>
      <w:szCs w:val="24"/>
    </w:rPr>
  </w:style>
  <w:style w:type="paragraph" w:styleId="722">
    <w:name w:val="toc 5"/>
    <w:basedOn w:val="704"/>
    <w:next w:val="704"/>
    <w:uiPriority w:val="39"/>
    <w:unhideWhenUsed/>
    <w:qFormat/>
    <w:pPr>
      <w:ind w:left="1134"/>
      <w:spacing w:after="57"/>
    </w:pPr>
  </w:style>
  <w:style w:type="paragraph" w:styleId="723">
    <w:name w:val="toc 3"/>
    <w:basedOn w:val="704"/>
    <w:next w:val="704"/>
    <w:uiPriority w:val="39"/>
    <w:unhideWhenUsed/>
    <w:qFormat/>
    <w:pPr>
      <w:ind w:left="567"/>
      <w:spacing w:after="57"/>
    </w:pPr>
  </w:style>
  <w:style w:type="paragraph" w:styleId="724">
    <w:name w:val="toc 8"/>
    <w:basedOn w:val="704"/>
    <w:next w:val="704"/>
    <w:uiPriority w:val="39"/>
    <w:unhideWhenUsed/>
    <w:qFormat/>
    <w:pPr>
      <w:ind w:left="1984"/>
      <w:spacing w:after="57"/>
    </w:pPr>
  </w:style>
  <w:style w:type="paragraph" w:styleId="725">
    <w:name w:val="endnote text"/>
    <w:basedOn w:val="704"/>
    <w:link w:val="927"/>
    <w:uiPriority w:val="99"/>
    <w:semiHidden/>
    <w:unhideWhenUsed/>
    <w:qFormat/>
    <w:rPr>
      <w:sz w:val="20"/>
    </w:rPr>
  </w:style>
  <w:style w:type="paragraph" w:styleId="726">
    <w:name w:val="Footer"/>
    <w:basedOn w:val="704"/>
    <w:link w:val="800"/>
    <w:uiPriority w:val="99"/>
    <w:unhideWhenUsed/>
    <w:qFormat/>
    <w:pPr>
      <w:tabs>
        <w:tab w:val="center" w:pos="7143" w:leader="none"/>
        <w:tab w:val="right" w:pos="14287" w:leader="none"/>
      </w:tabs>
    </w:pPr>
  </w:style>
  <w:style w:type="paragraph" w:styleId="727">
    <w:name w:val="Header"/>
    <w:basedOn w:val="704"/>
    <w:link w:val="798"/>
    <w:uiPriority w:val="99"/>
    <w:unhideWhenUsed/>
    <w:qFormat/>
    <w:pPr>
      <w:tabs>
        <w:tab w:val="center" w:pos="7143" w:leader="none"/>
        <w:tab w:val="right" w:pos="14287" w:leader="none"/>
      </w:tabs>
    </w:pPr>
  </w:style>
  <w:style w:type="paragraph" w:styleId="728">
    <w:name w:val="toc 1"/>
    <w:basedOn w:val="704"/>
    <w:next w:val="704"/>
    <w:uiPriority w:val="39"/>
    <w:unhideWhenUsed/>
    <w:qFormat/>
    <w:pPr>
      <w:spacing w:after="57"/>
    </w:pPr>
  </w:style>
  <w:style w:type="paragraph" w:styleId="729">
    <w:name w:val="toc 4"/>
    <w:basedOn w:val="704"/>
    <w:next w:val="704"/>
    <w:uiPriority w:val="39"/>
    <w:unhideWhenUsed/>
    <w:qFormat/>
    <w:pPr>
      <w:ind w:left="850"/>
      <w:spacing w:after="57"/>
    </w:pPr>
  </w:style>
  <w:style w:type="paragraph" w:styleId="730">
    <w:name w:val="Subtitle"/>
    <w:basedOn w:val="704"/>
    <w:next w:val="704"/>
    <w:link w:val="793"/>
    <w:uiPriority w:val="11"/>
    <w:qFormat/>
    <w:pPr>
      <w:spacing w:before="200" w:after="200"/>
    </w:pPr>
    <w:rPr>
      <w:sz w:val="24"/>
      <w:szCs w:val="24"/>
    </w:rPr>
  </w:style>
  <w:style w:type="paragraph" w:styleId="731">
    <w:name w:val="footnote text"/>
    <w:basedOn w:val="704"/>
    <w:link w:val="926"/>
    <w:uiPriority w:val="99"/>
    <w:semiHidden/>
    <w:unhideWhenUsed/>
    <w:qFormat/>
    <w:pPr>
      <w:spacing w:after="40"/>
    </w:pPr>
    <w:rPr>
      <w:sz w:val="18"/>
    </w:rPr>
  </w:style>
  <w:style w:type="paragraph" w:styleId="732">
    <w:name w:val="toc 6"/>
    <w:basedOn w:val="704"/>
    <w:next w:val="704"/>
    <w:uiPriority w:val="39"/>
    <w:unhideWhenUsed/>
    <w:qFormat/>
    <w:pPr>
      <w:ind w:left="1417"/>
      <w:spacing w:after="57"/>
    </w:pPr>
  </w:style>
  <w:style w:type="paragraph" w:styleId="733">
    <w:name w:val="table of figures"/>
    <w:basedOn w:val="704"/>
    <w:next w:val="704"/>
    <w:uiPriority w:val="99"/>
    <w:unhideWhenUsed/>
    <w:qFormat/>
  </w:style>
  <w:style w:type="paragraph" w:styleId="734">
    <w:name w:val="toc 2"/>
    <w:basedOn w:val="704"/>
    <w:next w:val="704"/>
    <w:uiPriority w:val="39"/>
    <w:unhideWhenUsed/>
    <w:qFormat/>
    <w:pPr>
      <w:ind w:left="283"/>
      <w:spacing w:after="57"/>
    </w:pPr>
  </w:style>
  <w:style w:type="paragraph" w:styleId="735">
    <w:name w:val="toc 9"/>
    <w:basedOn w:val="704"/>
    <w:next w:val="704"/>
    <w:uiPriority w:val="39"/>
    <w:unhideWhenUsed/>
    <w:qFormat/>
    <w:pPr>
      <w:ind w:left="2268"/>
      <w:spacing w:after="57"/>
    </w:pPr>
  </w:style>
  <w:style w:type="paragraph" w:styleId="736">
    <w:name w:val="Normal (Web)"/>
    <w:basedOn w:val="704"/>
    <w:uiPriority w:val="0"/>
    <w:qFormat/>
    <w:rPr>
      <w:sz w:val="24"/>
    </w:rPr>
  </w:style>
  <w:style w:type="paragraph" w:styleId="737">
    <w:name w:val="Title"/>
    <w:basedOn w:val="704"/>
    <w:next w:val="704"/>
    <w:link w:val="792"/>
    <w:uiPriority w:val="10"/>
    <w:qFormat/>
    <w:pPr>
      <w:contextualSpacing/>
      <w:spacing w:before="300" w:after="200"/>
    </w:pPr>
    <w:rPr>
      <w:sz w:val="48"/>
      <w:szCs w:val="48"/>
    </w:r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annotation reference"/>
    <w:uiPriority w:val="0"/>
    <w:semiHidden/>
    <w:qFormat/>
    <w:rPr>
      <w:sz w:val="21"/>
      <w:szCs w:val="21"/>
    </w:rPr>
  </w:style>
  <w:style w:type="character" w:styleId="742">
    <w:name w:val="footnote reference"/>
    <w:uiPriority w:val="99"/>
    <w:unhideWhenUsed/>
    <w:qFormat/>
    <w:rPr>
      <w:vertAlign w:val="superscript"/>
    </w:rPr>
  </w:style>
  <w:style w:type="paragraph" w:styleId="743" w:customStyle="1">
    <w:name w:val="Default"/>
    <w:next w:val="704"/>
    <w:uiPriority w:val="0"/>
    <w:qFormat/>
    <w:pPr>
      <w:widowControl w:val="off"/>
    </w:pPr>
    <w:rPr>
      <w:rFonts w:hint="default" w:ascii="宋体" w:hAnsi="Times New Roman" w:eastAsia="宋体" w:cs="宋体"/>
      <w:color w:val="000000"/>
      <w:sz w:val="24"/>
      <w:szCs w:val="24"/>
      <w:lang w:val="en-US" w:eastAsia="zh-CN" w:bidi="ar-SA"/>
    </w:rPr>
  </w:style>
  <w:style w:type="character" w:styleId="744" w:customStyle="1">
    <w:name w:val="Heading 1 Char"/>
    <w:basedOn w:val="714"/>
    <w:uiPriority w:val="9"/>
    <w:qFormat/>
    <w:rPr>
      <w:rFonts w:ascii="Arial" w:hAnsi="Arial" w:eastAsia="Arial" w:cs="Arial"/>
      <w:sz w:val="40"/>
      <w:szCs w:val="40"/>
    </w:rPr>
  </w:style>
  <w:style w:type="character" w:styleId="745" w:customStyle="1">
    <w:name w:val="Heading 2 Char"/>
    <w:basedOn w:val="714"/>
    <w:uiPriority w:val="9"/>
    <w:qFormat/>
    <w:rPr>
      <w:rFonts w:ascii="Arial" w:hAnsi="Arial" w:eastAsia="Arial" w:cs="Arial"/>
      <w:sz w:val="34"/>
    </w:rPr>
  </w:style>
  <w:style w:type="character" w:styleId="746" w:customStyle="1">
    <w:name w:val="Heading 3 Char"/>
    <w:basedOn w:val="714"/>
    <w:uiPriority w:val="9"/>
    <w:qFormat/>
    <w:rPr>
      <w:rFonts w:ascii="Arial" w:hAnsi="Arial" w:eastAsia="Arial" w:cs="Arial"/>
      <w:sz w:val="30"/>
      <w:szCs w:val="30"/>
    </w:rPr>
  </w:style>
  <w:style w:type="character" w:styleId="747" w:customStyle="1">
    <w:name w:val="Heading 4 Char"/>
    <w:basedOn w:val="714"/>
    <w:uiPriority w:val="9"/>
    <w:qFormat/>
    <w:rPr>
      <w:rFonts w:ascii="Arial" w:hAnsi="Arial" w:eastAsia="Arial" w:cs="Arial"/>
      <w:b/>
      <w:bCs/>
      <w:sz w:val="26"/>
      <w:szCs w:val="26"/>
    </w:rPr>
  </w:style>
  <w:style w:type="character" w:styleId="748" w:customStyle="1">
    <w:name w:val="Heading 5 Char"/>
    <w:basedOn w:val="714"/>
    <w:uiPriority w:val="9"/>
    <w:qFormat/>
    <w:rPr>
      <w:rFonts w:ascii="Arial" w:hAnsi="Arial" w:eastAsia="Arial" w:cs="Arial"/>
      <w:b/>
      <w:bCs/>
      <w:sz w:val="24"/>
      <w:szCs w:val="24"/>
    </w:rPr>
  </w:style>
  <w:style w:type="character" w:styleId="749" w:customStyle="1">
    <w:name w:val="Heading 6 Char"/>
    <w:basedOn w:val="714"/>
    <w:uiPriority w:val="9"/>
    <w:qFormat/>
    <w:rPr>
      <w:rFonts w:ascii="Arial" w:hAnsi="Arial" w:eastAsia="Arial" w:cs="Arial"/>
      <w:b/>
      <w:bCs/>
      <w:sz w:val="22"/>
      <w:szCs w:val="22"/>
    </w:rPr>
  </w:style>
  <w:style w:type="character" w:styleId="750" w:customStyle="1">
    <w:name w:val="Heading 7 Char"/>
    <w:basedOn w:val="714"/>
    <w:uiPriority w:val="9"/>
    <w:qFormat/>
    <w:rPr>
      <w:rFonts w:ascii="Arial" w:hAnsi="Arial" w:eastAsia="Arial" w:cs="Arial"/>
      <w:b/>
      <w:bCs/>
      <w:i/>
      <w:iCs/>
      <w:sz w:val="22"/>
      <w:szCs w:val="22"/>
    </w:rPr>
  </w:style>
  <w:style w:type="character" w:styleId="751" w:customStyle="1">
    <w:name w:val="Heading 8 Char"/>
    <w:basedOn w:val="714"/>
    <w:uiPriority w:val="9"/>
    <w:qFormat/>
    <w:rPr>
      <w:rFonts w:ascii="Arial" w:hAnsi="Arial" w:eastAsia="Arial" w:cs="Arial"/>
      <w:i/>
      <w:iCs/>
      <w:sz w:val="22"/>
      <w:szCs w:val="22"/>
    </w:rPr>
  </w:style>
  <w:style w:type="character" w:styleId="752" w:customStyle="1">
    <w:name w:val="Heading 9 Char"/>
    <w:basedOn w:val="714"/>
    <w:uiPriority w:val="9"/>
    <w:qFormat/>
    <w:rPr>
      <w:rFonts w:ascii="Arial" w:hAnsi="Arial" w:eastAsia="Arial" w:cs="Arial"/>
      <w:i/>
      <w:iCs/>
      <w:sz w:val="21"/>
      <w:szCs w:val="21"/>
    </w:rPr>
  </w:style>
  <w:style w:type="character" w:styleId="753" w:customStyle="1">
    <w:name w:val="Title Char"/>
    <w:basedOn w:val="714"/>
    <w:uiPriority w:val="10"/>
    <w:qFormat/>
    <w:rPr>
      <w:sz w:val="48"/>
      <w:szCs w:val="48"/>
    </w:rPr>
  </w:style>
  <w:style w:type="character" w:styleId="754" w:customStyle="1">
    <w:name w:val="Subtitle Char"/>
    <w:basedOn w:val="714"/>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character" w:styleId="757" w:customStyle="1">
    <w:name w:val="Header Char"/>
    <w:basedOn w:val="714"/>
    <w:uiPriority w:val="99"/>
    <w:qFormat/>
  </w:style>
  <w:style w:type="character" w:styleId="758" w:customStyle="1">
    <w:name w:val="Caption Char"/>
    <w:uiPriority w:val="99"/>
    <w:qFormat/>
  </w:style>
  <w:style w:type="table" w:styleId="759"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Heading"/>
    <w:uiPriority w:val="39"/>
    <w:unhideWhenUsed/>
    <w:qFormat/>
    <w:rPr>
      <w:rFonts w:hint="default" w:ascii="Times New Roman" w:hAnsi="Times New Roman" w:eastAsia="宋体" w:cs="Times New Roman"/>
    </w:rPr>
  </w:style>
  <w:style w:type="character" w:styleId="781" w:customStyle="1">
    <w:name w:val="标题 1 字符"/>
    <w:link w:val="705"/>
    <w:uiPriority w:val="9"/>
    <w:qFormat/>
    <w:rPr>
      <w:rFonts w:ascii="Arial" w:hAnsi="Arial" w:eastAsia="黑体" w:cs="Arial"/>
      <w:sz w:val="44"/>
      <w:szCs w:val="40"/>
    </w:rPr>
  </w:style>
  <w:style w:type="character" w:styleId="782" w:customStyle="1">
    <w:name w:val="标题 2 字符"/>
    <w:link w:val="706"/>
    <w:uiPriority w:val="9"/>
    <w:qFormat/>
    <w:rPr>
      <w:rFonts w:ascii="Arial" w:hAnsi="Arial" w:eastAsia="Arial" w:cs="Arial"/>
      <w:sz w:val="34"/>
    </w:rPr>
  </w:style>
  <w:style w:type="character" w:styleId="783" w:customStyle="1">
    <w:name w:val="标题 3 字符"/>
    <w:link w:val="707"/>
    <w:uiPriority w:val="9"/>
    <w:qFormat/>
    <w:rPr>
      <w:rFonts w:ascii="Arial" w:hAnsi="Arial" w:eastAsia="Arial" w:cs="Arial"/>
      <w:sz w:val="30"/>
      <w:szCs w:val="30"/>
    </w:rPr>
  </w:style>
  <w:style w:type="character" w:styleId="784" w:customStyle="1">
    <w:name w:val="标题 4 字符"/>
    <w:link w:val="708"/>
    <w:uiPriority w:val="9"/>
    <w:qFormat/>
    <w:rPr>
      <w:rFonts w:ascii="Arial" w:hAnsi="Arial" w:eastAsia="Arial" w:cs="Arial"/>
      <w:b/>
      <w:bCs/>
      <w:sz w:val="26"/>
      <w:szCs w:val="26"/>
    </w:rPr>
  </w:style>
  <w:style w:type="character" w:styleId="785" w:customStyle="1">
    <w:name w:val="标题 5 字符"/>
    <w:link w:val="709"/>
    <w:uiPriority w:val="9"/>
    <w:qFormat/>
    <w:rPr>
      <w:rFonts w:ascii="Arial" w:hAnsi="Arial" w:eastAsia="Arial" w:cs="Arial"/>
      <w:b/>
      <w:bCs/>
      <w:sz w:val="24"/>
      <w:szCs w:val="24"/>
    </w:rPr>
  </w:style>
  <w:style w:type="character" w:styleId="786" w:customStyle="1">
    <w:name w:val="标题 6 字符"/>
    <w:link w:val="710"/>
    <w:uiPriority w:val="9"/>
    <w:qFormat/>
    <w:rPr>
      <w:rFonts w:ascii="Arial" w:hAnsi="Arial" w:eastAsia="Arial" w:cs="Arial"/>
      <w:b/>
      <w:bCs/>
      <w:sz w:val="22"/>
      <w:szCs w:val="22"/>
    </w:rPr>
  </w:style>
  <w:style w:type="character" w:styleId="787" w:customStyle="1">
    <w:name w:val="标题 7 字符"/>
    <w:link w:val="711"/>
    <w:uiPriority w:val="9"/>
    <w:qFormat/>
    <w:rPr>
      <w:rFonts w:ascii="Arial" w:hAnsi="Arial" w:eastAsia="Arial" w:cs="Arial"/>
      <w:b/>
      <w:bCs/>
      <w:i/>
      <w:iCs/>
      <w:sz w:val="22"/>
      <w:szCs w:val="22"/>
    </w:rPr>
  </w:style>
  <w:style w:type="character" w:styleId="788" w:customStyle="1">
    <w:name w:val="标题 8 字符"/>
    <w:link w:val="712"/>
    <w:uiPriority w:val="9"/>
    <w:qFormat/>
    <w:rPr>
      <w:rFonts w:ascii="Arial" w:hAnsi="Arial" w:eastAsia="Arial" w:cs="Arial"/>
      <w:i/>
      <w:iCs/>
      <w:sz w:val="22"/>
      <w:szCs w:val="22"/>
    </w:rPr>
  </w:style>
  <w:style w:type="character" w:styleId="789" w:customStyle="1">
    <w:name w:val="标题 9 字符"/>
    <w:link w:val="713"/>
    <w:uiPriority w:val="9"/>
    <w:qFormat/>
    <w:rPr>
      <w:rFonts w:ascii="Arial" w:hAnsi="Arial" w:eastAsia="Arial" w:cs="Arial"/>
      <w:i/>
      <w:iCs/>
      <w:sz w:val="21"/>
      <w:szCs w:val="21"/>
    </w:rPr>
  </w:style>
  <w:style w:type="paragraph" w:styleId="790">
    <w:name w:val="List Paragraph"/>
    <w:basedOn w:val="704"/>
    <w:uiPriority w:val="34"/>
    <w:qFormat/>
    <w:pPr>
      <w:contextualSpacing/>
      <w:ind w:left="720"/>
    </w:pPr>
  </w:style>
  <w:style w:type="paragraph" w:styleId="791">
    <w:name w:val="No Spacing"/>
    <w:uiPriority w:val="1"/>
    <w:qFormat/>
    <w:rPr>
      <w:rFonts w:hint="default" w:ascii="Calibri" w:hAnsi="Calibri" w:eastAsia="宋体" w:cs="Times New Roman"/>
      <w:lang w:val="en-US" w:eastAsia="zh-CN" w:bidi="ar-SA"/>
    </w:rPr>
  </w:style>
  <w:style w:type="character" w:styleId="792" w:customStyle="1">
    <w:name w:val="标题 字符"/>
    <w:link w:val="737"/>
    <w:uiPriority w:val="10"/>
    <w:qFormat/>
    <w:rPr>
      <w:sz w:val="48"/>
      <w:szCs w:val="48"/>
    </w:rPr>
  </w:style>
  <w:style w:type="character" w:styleId="793" w:customStyle="1">
    <w:name w:val="副标题 字符"/>
    <w:link w:val="730"/>
    <w:uiPriority w:val="11"/>
    <w:qFormat/>
    <w:rPr>
      <w:sz w:val="24"/>
      <w:szCs w:val="24"/>
    </w:rPr>
  </w:style>
  <w:style w:type="paragraph" w:styleId="794">
    <w:name w:val="Quote"/>
    <w:basedOn w:val="704"/>
    <w:next w:val="704"/>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704"/>
    <w:next w:val="704"/>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character" w:styleId="798" w:customStyle="1">
    <w:name w:val="页眉 字符"/>
    <w:link w:val="727"/>
    <w:uiPriority w:val="99"/>
    <w:qFormat/>
  </w:style>
  <w:style w:type="character" w:styleId="799" w:customStyle="1">
    <w:name w:val="Footer Char"/>
    <w:uiPriority w:val="99"/>
    <w:qFormat/>
  </w:style>
  <w:style w:type="character" w:styleId="800" w:customStyle="1">
    <w:name w:val="页脚 字符"/>
    <w:link w:val="726"/>
    <w:uiPriority w:val="99"/>
    <w:qFormat/>
  </w:style>
  <w:style w:type="table" w:styleId="8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字符"/>
    <w:link w:val="731"/>
    <w:uiPriority w:val="99"/>
    <w:qFormat/>
    <w:rPr>
      <w:sz w:val="18"/>
    </w:rPr>
  </w:style>
  <w:style w:type="character" w:styleId="927" w:customStyle="1">
    <w:name w:val="尾注文本 字符"/>
    <w:link w:val="725"/>
    <w:uiPriority w:val="99"/>
    <w:qFormat/>
    <w:rPr>
      <w:sz w:val="20"/>
    </w:rPr>
  </w:style>
  <w:style w:type="paragraph" w:styleId="928" w:customStyle="1">
    <w:name w:val="TOC 标题1"/>
    <w:uiPriority w:val="39"/>
    <w:unhideWhenUsed/>
    <w:qFormat/>
    <w:rPr>
      <w:rFonts w:hint="default" w:ascii="Calibri" w:hAnsi="Calibri" w:eastAsia="宋体" w:cs="Times New Roman"/>
      <w:lang w:val="en-US" w:eastAsia="zh-CN" w:bidi="ar-SA"/>
    </w:rPr>
  </w:style>
  <w:style w:type="paragraph" w:styleId="929" w:customStyle="1">
    <w:name w:val="标题 11"/>
    <w:basedOn w:val="704"/>
    <w:next w:val="704"/>
    <w:link w:val="982"/>
    <w:uiPriority w:val="0"/>
    <w:qFormat/>
    <w:pPr>
      <w:jc w:val="center"/>
      <w:keepNext/>
      <w:outlineLvl w:val="0"/>
    </w:pPr>
    <w:rPr>
      <w:rFonts w:ascii="楷体_GB2312" w:hAnsi="楷体_GB2312" w:eastAsia="黑体"/>
      <w:sz w:val="44"/>
      <w:szCs w:val="28"/>
    </w:rPr>
  </w:style>
  <w:style w:type="paragraph" w:styleId="930" w:customStyle="1">
    <w:name w:val="标题 21"/>
    <w:basedOn w:val="704"/>
    <w:next w:val="704"/>
    <w:link w:val="9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1" w:customStyle="1">
    <w:name w:val="标题 31"/>
    <w:basedOn w:val="704"/>
    <w:next w:val="704"/>
    <w:link w:val="964"/>
    <w:uiPriority w:val="0"/>
    <w:qFormat/>
    <w:pPr>
      <w:keepLines/>
      <w:keepNext/>
      <w:spacing w:before="260" w:after="260" w:line="416" w:lineRule="auto"/>
      <w:outlineLvl w:val="2"/>
    </w:pPr>
    <w:rPr>
      <w:b/>
      <w:bCs/>
      <w:sz w:val="32"/>
      <w:szCs w:val="32"/>
    </w:rPr>
  </w:style>
  <w:style w:type="paragraph" w:styleId="932" w:customStyle="1">
    <w:name w:val="标题 41"/>
    <w:basedOn w:val="704"/>
    <w:next w:val="933"/>
    <w:link w:val="955"/>
    <w:uiPriority w:val="0"/>
    <w:qFormat/>
    <w:pPr>
      <w:keepLines/>
      <w:keepNext/>
      <w:spacing w:before="280" w:after="290" w:line="376" w:lineRule="auto"/>
      <w:outlineLvl w:val="3"/>
    </w:pPr>
    <w:rPr>
      <w:rFonts w:ascii="Arial" w:hAnsi="Arial" w:eastAsia="黑体" w:cs="Arial"/>
      <w:b/>
      <w:bCs/>
      <w:sz w:val="28"/>
      <w:szCs w:val="28"/>
    </w:rPr>
  </w:style>
  <w:style w:type="paragraph" w:styleId="933" w:customStyle="1">
    <w:name w:val="正文缩进1"/>
    <w:basedOn w:val="704"/>
    <w:link w:val="967"/>
    <w:uiPriority w:val="0"/>
    <w:qFormat/>
    <w:pPr>
      <w:ind w:firstLine="420"/>
    </w:pPr>
  </w:style>
  <w:style w:type="paragraph" w:styleId="934" w:customStyle="1">
    <w:name w:val="标题 51"/>
    <w:basedOn w:val="704"/>
    <w:next w:val="933"/>
    <w:link w:val="974"/>
    <w:uiPriority w:val="0"/>
    <w:qFormat/>
    <w:pPr>
      <w:keepNext/>
      <w:outlineLvl w:val="4"/>
    </w:pPr>
    <w:rPr>
      <w:rFonts w:ascii="宋体"/>
      <w:color w:val="000000"/>
      <w:sz w:val="28"/>
      <w:szCs w:val="28"/>
    </w:rPr>
  </w:style>
  <w:style w:type="paragraph" w:styleId="935" w:customStyle="1">
    <w:name w:val="标题 61"/>
    <w:basedOn w:val="704"/>
    <w:next w:val="704"/>
    <w:link w:val="953"/>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36" w:customStyle="1">
    <w:name w:val="标题 71"/>
    <w:basedOn w:val="704"/>
    <w:next w:val="704"/>
    <w:link w:val="948"/>
    <w:uiPriority w:val="0"/>
    <w:qFormat/>
    <w:pPr>
      <w:numPr>
        <w:ilvl w:val="6"/>
        <w:numId w:val="2"/>
      </w:numPr>
      <w:keepLines/>
      <w:keepNext/>
      <w:spacing w:before="240" w:after="64" w:line="320" w:lineRule="auto"/>
      <w:outlineLvl w:val="6"/>
    </w:pPr>
    <w:rPr>
      <w:b/>
      <w:bCs/>
      <w:sz w:val="24"/>
      <w:szCs w:val="24"/>
    </w:rPr>
  </w:style>
  <w:style w:type="paragraph" w:styleId="937" w:customStyle="1">
    <w:name w:val="标题 81"/>
    <w:basedOn w:val="704"/>
    <w:next w:val="704"/>
    <w:link w:val="947"/>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38" w:customStyle="1">
    <w:name w:val="标题 91"/>
    <w:basedOn w:val="704"/>
    <w:next w:val="704"/>
    <w:link w:val="984"/>
    <w:uiPriority w:val="0"/>
    <w:qFormat/>
    <w:pPr>
      <w:numPr>
        <w:ilvl w:val="8"/>
        <w:numId w:val="2"/>
      </w:numPr>
      <w:keepLines/>
      <w:keepNext/>
      <w:spacing w:before="240" w:after="64" w:line="320" w:lineRule="auto"/>
      <w:outlineLvl w:val="8"/>
    </w:pPr>
    <w:rPr>
      <w:rFonts w:ascii="Arial" w:hAnsi="Arial" w:eastAsia="黑体"/>
    </w:rPr>
  </w:style>
  <w:style w:type="character" w:styleId="939" w:customStyle="1">
    <w:name w:val="默认段落字体1"/>
    <w:uiPriority w:val="1"/>
    <w:unhideWhenUsed/>
    <w:qFormat/>
  </w:style>
  <w:style w:type="table" w:styleId="940" w:customStyle="1">
    <w:name w:val="普通表格1"/>
    <w:uiPriority w:val="99"/>
    <w:unhideWhenUsed/>
    <w:qFormat/>
    <w:tblPr>
      <w:tblCellMar>
        <w:left w:w="0" w:type="dxa"/>
        <w:top w:w="0" w:type="dxa"/>
        <w:right w:w="0" w:type="dxa"/>
        <w:bottom w:w="0" w:type="dxa"/>
      </w:tblCellMar>
    </w:tblPr>
  </w:style>
  <w:style w:type="character" w:styleId="941" w:customStyle="1">
    <w:name w:val="批注框文本 Char"/>
    <w:link w:val="942"/>
    <w:uiPriority w:val="0"/>
    <w:semiHidden/>
    <w:qFormat/>
    <w:rPr>
      <w:rFonts w:ascii="Times New Roman" w:hAnsi="Times New Roman" w:eastAsia="宋体" w:cs="Times New Roman"/>
      <w:sz w:val="18"/>
      <w:szCs w:val="18"/>
    </w:rPr>
  </w:style>
  <w:style w:type="paragraph" w:styleId="942" w:customStyle="1">
    <w:name w:val="批注框文本1"/>
    <w:basedOn w:val="704"/>
    <w:link w:val="941"/>
    <w:uiPriority w:val="0"/>
    <w:semiHidden/>
    <w:qFormat/>
    <w:rPr>
      <w:sz w:val="18"/>
      <w:szCs w:val="18"/>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704"/>
    <w:link w:val="943"/>
    <w:uiPriority w:val="0"/>
    <w:qFormat/>
    <w:pPr>
      <w:contextualSpacing/>
      <w:ind w:left="720"/>
      <w:jc w:val="left"/>
      <w:widowControl/>
    </w:pPr>
    <w:rPr>
      <w:rFonts w:ascii="Calibri" w:hAnsi="Calibri"/>
      <w:sz w:val="24"/>
      <w:szCs w:val="24"/>
      <w:lang w:eastAsia="en-US" w:bidi="en-US"/>
    </w:rPr>
  </w:style>
  <w:style w:type="character" w:styleId="945" w:customStyle="1">
    <w:name w:val="正文文本 Char"/>
    <w:link w:val="946"/>
    <w:uiPriority w:val="0"/>
    <w:qFormat/>
    <w:rPr>
      <w:rFonts w:ascii="楷体_GB2312" w:hAnsi="Arial" w:eastAsia="楷体_GB2312" w:cs="Times New Roman"/>
      <w:sz w:val="28"/>
      <w:szCs w:val="28"/>
    </w:rPr>
  </w:style>
  <w:style w:type="paragraph" w:styleId="946" w:customStyle="1">
    <w:name w:val="正文文本1"/>
    <w:basedOn w:val="704"/>
    <w:link w:val="945"/>
    <w:uiPriority w:val="0"/>
    <w:qFormat/>
    <w:rPr>
      <w:rFonts w:ascii="楷体_GB2312" w:hAnsi="Arial" w:eastAsia="楷体_GB2312"/>
      <w:sz w:val="28"/>
      <w:szCs w:val="28"/>
    </w:rPr>
  </w:style>
  <w:style w:type="character" w:styleId="947" w:customStyle="1">
    <w:name w:val="标题 8 Char"/>
    <w:link w:val="937"/>
    <w:uiPriority w:val="0"/>
    <w:qFormat/>
    <w:rPr>
      <w:rFonts w:ascii="Arial" w:hAnsi="Arial" w:eastAsia="黑体" w:cs="Times New Roman"/>
      <w:sz w:val="24"/>
      <w:szCs w:val="24"/>
    </w:rPr>
  </w:style>
  <w:style w:type="character" w:styleId="948" w:customStyle="1">
    <w:name w:val="标题 7 Char"/>
    <w:link w:val="936"/>
    <w:uiPriority w:val="0"/>
    <w:qFormat/>
    <w:rPr>
      <w:rFonts w:ascii="Times New Roman" w:hAnsi="Times New Roman" w:eastAsia="宋体" w:cs="Times New Roman"/>
      <w:b/>
      <w:bCs/>
      <w:sz w:val="24"/>
      <w:szCs w:val="24"/>
    </w:rPr>
  </w:style>
  <w:style w:type="character" w:styleId="949" w:customStyle="1">
    <w:name w:val="超链接1"/>
    <w:uiPriority w:val="0"/>
    <w:qFormat/>
    <w:rPr>
      <w:color w:val="0000ff"/>
      <w:u w:val="single"/>
    </w:rPr>
  </w:style>
  <w:style w:type="character" w:styleId="950" w:customStyle="1">
    <w:name w:val="正文文本 3 Char"/>
    <w:link w:val="951"/>
    <w:uiPriority w:val="0"/>
    <w:qFormat/>
    <w:rPr>
      <w:rFonts w:ascii="仿宋_GB2312" w:hAnsi="Arial" w:eastAsia="仿宋_GB2312" w:cs="Times New Roman"/>
      <w:sz w:val="32"/>
      <w:szCs w:val="32"/>
    </w:rPr>
  </w:style>
  <w:style w:type="paragraph" w:styleId="951" w:customStyle="1">
    <w:name w:val="正文文本 31"/>
    <w:basedOn w:val="704"/>
    <w:link w:val="950"/>
    <w:uiPriority w:val="0"/>
    <w:qFormat/>
    <w:rPr>
      <w:rFonts w:ascii="仿宋_GB2312" w:hAnsi="Arial" w:eastAsia="仿宋_GB2312"/>
      <w:sz w:val="32"/>
      <w:szCs w:val="32"/>
    </w:rPr>
  </w:style>
  <w:style w:type="character" w:styleId="952" w:customStyle="1">
    <w:name w:val="font5 Char"/>
    <w:uiPriority w:val="0"/>
    <w:qFormat/>
    <w:rPr>
      <w:rFonts w:ascii="宋体" w:hAnsi="宋体" w:eastAsia="宋体"/>
      <w:sz w:val="28"/>
      <w:szCs w:val="28"/>
      <w:lang w:val="en-US" w:eastAsia="zh-CN" w:bidi="ar-SA"/>
    </w:rPr>
  </w:style>
  <w:style w:type="character" w:styleId="953" w:customStyle="1">
    <w:name w:val="标题 6 Char"/>
    <w:link w:val="935"/>
    <w:uiPriority w:val="0"/>
    <w:rPr>
      <w:rFonts w:ascii="Arial" w:hAnsi="Arial" w:eastAsia="黑体" w:cs="Times New Roman"/>
      <w:b/>
      <w:bCs/>
      <w:sz w:val="24"/>
      <w:szCs w:val="24"/>
    </w:rPr>
  </w:style>
  <w:style w:type="character" w:styleId="954" w:customStyle="1">
    <w:name w:val="已访问的超链接1"/>
    <w:uiPriority w:val="0"/>
    <w:qFormat/>
    <w:rPr>
      <w:color w:val="800080"/>
      <w:u w:val="single"/>
    </w:rPr>
  </w:style>
  <w:style w:type="character" w:styleId="955" w:customStyle="1">
    <w:name w:val="标题 4 Char"/>
    <w:link w:val="932"/>
    <w:uiPriority w:val="0"/>
    <w:qFormat/>
    <w:rPr>
      <w:rFonts w:ascii="Arial" w:hAnsi="Arial" w:eastAsia="黑体" w:cs="Arial"/>
      <w:b/>
      <w:bCs/>
      <w:sz w:val="28"/>
      <w:szCs w:val="28"/>
    </w:rPr>
  </w:style>
  <w:style w:type="character" w:styleId="956" w:customStyle="1">
    <w:name w:val="二级目录 Char"/>
    <w:link w:val="957"/>
    <w:uiPriority w:val="0"/>
    <w:rPr>
      <w:b/>
      <w:sz w:val="30"/>
      <w:szCs w:val="28"/>
    </w:rPr>
  </w:style>
  <w:style w:type="paragraph" w:styleId="957" w:customStyle="1">
    <w:name w:val="二级目录"/>
    <w:next w:val="704"/>
    <w:link w:val="95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58" w:customStyle="1">
    <w:name w:val="页眉 Char"/>
    <w:link w:val="959"/>
    <w:uiPriority w:val="0"/>
    <w:qFormat/>
    <w:rPr>
      <w:rFonts w:ascii="Times New Roman" w:hAnsi="Times New Roman" w:eastAsia="宋体" w:cs="Times New Roman"/>
      <w:sz w:val="18"/>
      <w:szCs w:val="18"/>
    </w:rPr>
  </w:style>
  <w:style w:type="paragraph" w:styleId="959" w:customStyle="1">
    <w:name w:val="页眉1"/>
    <w:basedOn w:val="704"/>
    <w:link w:val="958"/>
    <w:uiPriority w:val="0"/>
    <w:qFormat/>
    <w:pPr>
      <w:jc w:val="center"/>
      <w:tabs>
        <w:tab w:val="center" w:pos="4153" w:leader="none"/>
        <w:tab w:val="right" w:pos="8306" w:leader="none"/>
      </w:tabs>
      <w:pBdr>
        <w:bottom w:val="single" w:color="000000" w:sz="6" w:space="1"/>
      </w:pBdr>
    </w:pPr>
    <w:rPr>
      <w:sz w:val="18"/>
      <w:szCs w:val="18"/>
    </w:rPr>
  </w:style>
  <w:style w:type="character" w:styleId="960" w:customStyle="1">
    <w:name w:val="页码1"/>
    <w:uiPriority w:val="0"/>
    <w:qFormat/>
  </w:style>
  <w:style w:type="character" w:styleId="961" w:customStyle="1">
    <w:name w:val="正文首行缩进 2 Char"/>
    <w:link w:val="962"/>
    <w:uiPriority w:val="0"/>
    <w:qFormat/>
    <w:rPr>
      <w:rFonts w:ascii="宋体" w:hAnsi="宋体" w:eastAsia="宋体" w:cs="Times New Roman"/>
      <w:sz w:val="32"/>
      <w:szCs w:val="20"/>
    </w:rPr>
  </w:style>
  <w:style w:type="paragraph" w:styleId="962" w:customStyle="1">
    <w:name w:val="正文首行缩进 21"/>
    <w:basedOn w:val="963"/>
    <w:link w:val="961"/>
    <w:uiPriority w:val="0"/>
    <w:qFormat/>
    <w:pPr>
      <w:ind w:firstLine="420"/>
      <w:spacing w:line="360" w:lineRule="auto"/>
    </w:pPr>
    <w:rPr>
      <w:rFonts w:ascii="宋体" w:hAnsi="宋体" w:eastAsia="宋体"/>
      <w:sz w:val="21"/>
      <w:szCs w:val="20"/>
    </w:rPr>
  </w:style>
  <w:style w:type="paragraph" w:styleId="963" w:customStyle="1">
    <w:name w:val="正文文本缩进1"/>
    <w:basedOn w:val="704"/>
    <w:link w:val="979"/>
    <w:uiPriority w:val="0"/>
    <w:qFormat/>
    <w:pPr>
      <w:ind w:firstLine="645"/>
    </w:pPr>
    <w:rPr>
      <w:rFonts w:ascii="楷体_GB2312" w:eastAsia="楷体_GB2312"/>
      <w:sz w:val="32"/>
      <w:szCs w:val="32"/>
    </w:rPr>
  </w:style>
  <w:style w:type="character" w:styleId="964" w:customStyle="1">
    <w:name w:val="标题 3 Char"/>
    <w:link w:val="931"/>
    <w:uiPriority w:val="0"/>
    <w:qFormat/>
    <w:rPr>
      <w:rFonts w:ascii="Times New Roman" w:hAnsi="Times New Roman" w:eastAsia="宋体" w:cs="Times New Roman"/>
      <w:b/>
      <w:bCs/>
      <w:sz w:val="32"/>
      <w:szCs w:val="32"/>
    </w:rPr>
  </w:style>
  <w:style w:type="character" w:styleId="965" w:customStyle="1">
    <w:name w:val="批注文字 Char"/>
    <w:link w:val="966"/>
    <w:uiPriority w:val="0"/>
    <w:semiHidden/>
    <w:qFormat/>
    <w:rPr>
      <w:rFonts w:ascii="Times New Roman" w:hAnsi="Times New Roman" w:eastAsia="宋体" w:cs="Times New Roman"/>
      <w:szCs w:val="21"/>
    </w:rPr>
  </w:style>
  <w:style w:type="paragraph" w:styleId="966" w:customStyle="1">
    <w:name w:val="批注文字1"/>
    <w:basedOn w:val="704"/>
    <w:link w:val="965"/>
    <w:uiPriority w:val="0"/>
    <w:semiHidden/>
    <w:qFormat/>
    <w:pPr>
      <w:jc w:val="left"/>
    </w:pPr>
  </w:style>
  <w:style w:type="character" w:styleId="967" w:customStyle="1">
    <w:name w:val="正文缩进 Char"/>
    <w:link w:val="933"/>
    <w:uiPriority w:val="0"/>
    <w:rPr>
      <w:rFonts w:ascii="Times New Roman" w:hAnsi="Times New Roman" w:eastAsia="宋体" w:cs="Times New Roman"/>
      <w:szCs w:val="21"/>
    </w:rPr>
  </w:style>
  <w:style w:type="character" w:styleId="968" w:customStyle="1">
    <w:name w:val="日期 Char"/>
    <w:link w:val="969"/>
    <w:uiPriority w:val="0"/>
    <w:qFormat/>
    <w:rPr>
      <w:rFonts w:ascii="Times New Roman" w:hAnsi="Times New Roman" w:eastAsia="宋体" w:cs="Times New Roman"/>
      <w:sz w:val="24"/>
      <w:szCs w:val="24"/>
    </w:rPr>
  </w:style>
  <w:style w:type="paragraph" w:styleId="969" w:customStyle="1">
    <w:name w:val="日期1"/>
    <w:basedOn w:val="704"/>
    <w:next w:val="704"/>
    <w:link w:val="968"/>
    <w:uiPriority w:val="0"/>
    <w:qFormat/>
    <w:rPr>
      <w:sz w:val="24"/>
      <w:szCs w:val="24"/>
    </w:rPr>
  </w:style>
  <w:style w:type="character" w:styleId="970" w:customStyle="1">
    <w:name w:val="要点1"/>
    <w:uiPriority w:val="0"/>
    <w:qFormat/>
    <w:rPr>
      <w:b/>
      <w:bCs/>
    </w:rPr>
  </w:style>
  <w:style w:type="character" w:styleId="971" w:customStyle="1">
    <w:name w:val="页脚 Char"/>
    <w:link w:val="972"/>
    <w:uiPriority w:val="0"/>
    <w:qFormat/>
    <w:rPr>
      <w:rFonts w:ascii="Times New Roman" w:hAnsi="Times New Roman" w:eastAsia="宋体" w:cs="Times New Roman"/>
      <w:sz w:val="18"/>
      <w:szCs w:val="18"/>
    </w:rPr>
  </w:style>
  <w:style w:type="paragraph" w:styleId="972" w:customStyle="1">
    <w:name w:val="页脚1"/>
    <w:basedOn w:val="704"/>
    <w:link w:val="971"/>
    <w:uiPriority w:val="0"/>
    <w:qFormat/>
    <w:pPr>
      <w:jc w:val="left"/>
      <w:tabs>
        <w:tab w:val="center" w:pos="4153" w:leader="none"/>
        <w:tab w:val="right" w:pos="8306" w:leader="none"/>
      </w:tabs>
    </w:pPr>
    <w:rPr>
      <w:sz w:val="18"/>
      <w:szCs w:val="18"/>
    </w:rPr>
  </w:style>
  <w:style w:type="character" w:styleId="973" w:customStyle="1">
    <w:name w:val="批注引用1"/>
    <w:uiPriority w:val="0"/>
    <w:semiHidden/>
    <w:qFormat/>
    <w:rPr>
      <w:sz w:val="21"/>
      <w:szCs w:val="21"/>
    </w:rPr>
  </w:style>
  <w:style w:type="character" w:styleId="974" w:customStyle="1">
    <w:name w:val="标题 5 Char"/>
    <w:link w:val="934"/>
    <w:uiPriority w:val="0"/>
    <w:qFormat/>
    <w:rPr>
      <w:rFonts w:ascii="宋体" w:hAnsi="Times New Roman" w:eastAsia="宋体" w:cs="Times New Roman"/>
      <w:color w:val="000000"/>
      <w:sz w:val="28"/>
      <w:szCs w:val="28"/>
    </w:rPr>
  </w:style>
  <w:style w:type="character" w:styleId="975" w:customStyle="1">
    <w:name w:val="文档结构图 Char"/>
    <w:link w:val="976"/>
    <w:uiPriority w:val="0"/>
    <w:semiHidden/>
    <w:qFormat/>
    <w:rPr>
      <w:rFonts w:ascii="Times New Roman" w:hAnsi="Times New Roman" w:eastAsia="宋体" w:cs="Times New Roman"/>
      <w:szCs w:val="21"/>
      <w:shd w:val="clear" w:color="auto" w:fill="000080"/>
    </w:rPr>
  </w:style>
  <w:style w:type="paragraph" w:styleId="976" w:customStyle="1">
    <w:name w:val="文档结构图1"/>
    <w:basedOn w:val="704"/>
    <w:link w:val="975"/>
    <w:uiPriority w:val="0"/>
    <w:semiHidden/>
    <w:qFormat/>
    <w:pPr>
      <w:shd w:val="clear" w:color="auto" w:fill="000080"/>
    </w:pPr>
  </w:style>
  <w:style w:type="character" w:styleId="977" w:customStyle="1">
    <w:name w:val="正文文本缩进 3 Char"/>
    <w:link w:val="978"/>
    <w:uiPriority w:val="0"/>
    <w:qFormat/>
    <w:rPr>
      <w:rFonts w:ascii="Arial" w:hAnsi="Arial" w:eastAsia="仿宋_GB2312" w:cs="Arial"/>
      <w:color w:val="ffff00"/>
      <w:sz w:val="32"/>
      <w:szCs w:val="32"/>
    </w:rPr>
  </w:style>
  <w:style w:type="paragraph" w:styleId="978" w:customStyle="1">
    <w:name w:val="正文文本缩进 31"/>
    <w:basedOn w:val="704"/>
    <w:link w:val="977"/>
    <w:uiPriority w:val="0"/>
    <w:qFormat/>
    <w:pPr>
      <w:ind w:left="645" w:firstLine="645"/>
    </w:pPr>
    <w:rPr>
      <w:rFonts w:ascii="Arial" w:hAnsi="Arial" w:eastAsia="仿宋_GB2312" w:cs="Arial"/>
      <w:color w:val="ffff00"/>
      <w:sz w:val="32"/>
      <w:szCs w:val="32"/>
    </w:rPr>
  </w:style>
  <w:style w:type="character" w:styleId="979" w:customStyle="1">
    <w:name w:val="正文文本缩进 Char"/>
    <w:link w:val="963"/>
    <w:uiPriority w:val="0"/>
    <w:rPr>
      <w:rFonts w:ascii="楷体_GB2312" w:hAnsi="Times New Roman" w:eastAsia="楷体_GB2312" w:cs="Times New Roman"/>
      <w:sz w:val="32"/>
      <w:szCs w:val="32"/>
    </w:rPr>
  </w:style>
  <w:style w:type="character" w:styleId="980" w:customStyle="1">
    <w:name w:val="纯文本 Char"/>
    <w:link w:val="981"/>
    <w:uiPriority w:val="0"/>
    <w:qFormat/>
    <w:rPr>
      <w:rFonts w:ascii="宋体" w:hAnsi="Courier New" w:eastAsia="宋体" w:cs="Courier New"/>
      <w:szCs w:val="21"/>
    </w:rPr>
  </w:style>
  <w:style w:type="paragraph" w:styleId="981" w:customStyle="1">
    <w:name w:val="纯文本1"/>
    <w:basedOn w:val="704"/>
    <w:link w:val="980"/>
    <w:uiPriority w:val="0"/>
    <w:qFormat/>
    <w:rPr>
      <w:rFonts w:ascii="宋体" w:hAnsi="Courier New" w:cs="Courier New"/>
    </w:rPr>
  </w:style>
  <w:style w:type="character" w:styleId="982" w:customStyle="1">
    <w:name w:val="标题 1 Char"/>
    <w:link w:val="929"/>
    <w:uiPriority w:val="0"/>
    <w:qFormat/>
    <w:rPr>
      <w:rFonts w:ascii="楷体_GB2312" w:hAnsi="楷体_GB2312" w:eastAsia="黑体" w:cs="Times New Roman"/>
      <w:sz w:val="44"/>
      <w:szCs w:val="28"/>
    </w:rPr>
  </w:style>
  <w:style w:type="character" w:styleId="983" w:customStyle="1">
    <w:name w:val="标题 2 Char"/>
    <w:link w:val="930"/>
    <w:uiPriority w:val="0"/>
    <w:qFormat/>
    <w:rPr>
      <w:rFonts w:ascii="Arial" w:hAnsi="Arial" w:eastAsia="幼圆" w:cs="Arial"/>
      <w:b/>
      <w:bCs/>
      <w:sz w:val="44"/>
      <w:szCs w:val="44"/>
    </w:rPr>
  </w:style>
  <w:style w:type="character" w:styleId="984" w:customStyle="1">
    <w:name w:val="标题 9 Char"/>
    <w:link w:val="938"/>
    <w:uiPriority w:val="0"/>
    <w:qFormat/>
    <w:rPr>
      <w:rFonts w:ascii="Arial" w:hAnsi="Arial" w:eastAsia="黑体" w:cs="Times New Roman"/>
      <w:szCs w:val="21"/>
    </w:rPr>
  </w:style>
  <w:style w:type="character" w:styleId="985" w:customStyle="1">
    <w:name w:val="正文文本缩进 2 Char"/>
    <w:link w:val="986"/>
    <w:uiPriority w:val="0"/>
    <w:qFormat/>
    <w:rPr>
      <w:rFonts w:ascii="Arial" w:hAnsi="Arial" w:eastAsia="仿宋_GB2312" w:cs="Arial"/>
      <w:sz w:val="32"/>
      <w:szCs w:val="32"/>
    </w:rPr>
  </w:style>
  <w:style w:type="paragraph" w:styleId="986" w:customStyle="1">
    <w:name w:val="正文文本缩进 21"/>
    <w:basedOn w:val="704"/>
    <w:link w:val="985"/>
    <w:uiPriority w:val="0"/>
    <w:qFormat/>
    <w:pPr>
      <w:ind w:left="630" w:firstLine="645"/>
    </w:pPr>
    <w:rPr>
      <w:rFonts w:ascii="Arial" w:hAnsi="Arial" w:eastAsia="仿宋_GB2312" w:cs="Arial"/>
      <w:sz w:val="32"/>
      <w:szCs w:val="32"/>
    </w:rPr>
  </w:style>
  <w:style w:type="character" w:styleId="987" w:customStyle="1">
    <w:name w:val="正文文本 2 Char"/>
    <w:link w:val="988"/>
    <w:uiPriority w:val="0"/>
    <w:qFormat/>
    <w:rPr>
      <w:rFonts w:ascii="楷体_GB2312" w:hAnsi="Times New Roman" w:eastAsia="楷体_GB2312" w:cs="Times New Roman"/>
      <w:sz w:val="28"/>
      <w:szCs w:val="28"/>
    </w:rPr>
  </w:style>
  <w:style w:type="paragraph" w:styleId="988" w:customStyle="1">
    <w:name w:val="正文文本 21"/>
    <w:basedOn w:val="704"/>
    <w:link w:val="987"/>
    <w:uiPriority w:val="0"/>
    <w:qFormat/>
    <w:pPr>
      <w:jc w:val="center"/>
      <w:widowControl/>
    </w:pPr>
    <w:rPr>
      <w:rFonts w:ascii="楷体_GB2312" w:eastAsia="楷体_GB2312"/>
      <w:sz w:val="28"/>
      <w:szCs w:val="28"/>
    </w:rPr>
  </w:style>
  <w:style w:type="character" w:styleId="989" w:customStyle="1">
    <w:name w:val="批注主题 Char"/>
    <w:link w:val="990"/>
    <w:uiPriority w:val="0"/>
    <w:semiHidden/>
    <w:qFormat/>
    <w:rPr>
      <w:rFonts w:ascii="Times New Roman" w:hAnsi="Times New Roman" w:eastAsia="宋体" w:cs="Times New Roman"/>
      <w:b/>
      <w:bCs/>
      <w:szCs w:val="21"/>
    </w:rPr>
  </w:style>
  <w:style w:type="paragraph" w:styleId="990" w:customStyle="1">
    <w:name w:val="批注主题1"/>
    <w:basedOn w:val="966"/>
    <w:next w:val="966"/>
    <w:link w:val="989"/>
    <w:uiPriority w:val="0"/>
    <w:semiHidden/>
    <w:qFormat/>
    <w:rPr>
      <w:b/>
      <w:bCs/>
    </w:rPr>
  </w:style>
  <w:style w:type="character" w:styleId="991" w:customStyle="1">
    <w:name w:val="正文首行缩进 Char"/>
    <w:link w:val="992"/>
    <w:uiPriority w:val="0"/>
    <w:qFormat/>
    <w:rPr>
      <w:rFonts w:ascii="仿宋_GB2312" w:hAnsi="Times New Roman" w:eastAsia="仿宋_GB2312" w:cs="Times New Roman"/>
      <w:sz w:val="30"/>
      <w:szCs w:val="30"/>
    </w:rPr>
  </w:style>
  <w:style w:type="paragraph" w:styleId="992" w:customStyle="1">
    <w:name w:val="正文首行缩进1"/>
    <w:basedOn w:val="704"/>
    <w:link w:val="991"/>
    <w:uiPriority w:val="0"/>
    <w:qFormat/>
    <w:pPr>
      <w:ind w:firstLine="200"/>
      <w:spacing w:line="360" w:lineRule="auto"/>
    </w:pPr>
    <w:rPr>
      <w:rFonts w:ascii="仿宋_GB2312" w:eastAsia="仿宋_GB2312"/>
      <w:sz w:val="30"/>
      <w:szCs w:val="30"/>
    </w:rPr>
  </w:style>
  <w:style w:type="paragraph" w:styleId="993" w:customStyle="1">
    <w:name w:val="table_lines"/>
    <w:basedOn w:val="704"/>
    <w:uiPriority w:val="0"/>
    <w:qFormat/>
    <w:pPr>
      <w:jc w:val="left"/>
      <w:widowControl/>
    </w:pPr>
    <w:rPr>
      <w:sz w:val="20"/>
      <w:szCs w:val="20"/>
      <w:lang w:val="de-DE" w:eastAsia="de-DE"/>
    </w:rPr>
  </w:style>
  <w:style w:type="paragraph" w:styleId="994" w:customStyle="1">
    <w:name w:val="Char"/>
    <w:basedOn w:val="976"/>
    <w:uiPriority w:val="0"/>
    <w:qFormat/>
    <w:rPr>
      <w:rFonts w:ascii="Tahoma" w:hAnsi="Tahoma"/>
      <w:sz w:val="24"/>
      <w:szCs w:val="24"/>
    </w:rPr>
  </w:style>
  <w:style w:type="paragraph" w:styleId="995" w:customStyle="1">
    <w:name w:val="索引 11"/>
    <w:basedOn w:val="704"/>
    <w:next w:val="704"/>
    <w:uiPriority w:val="0"/>
    <w:semiHidden/>
    <w:qFormat/>
    <w:pPr>
      <w:spacing w:line="240" w:lineRule="atLeast"/>
    </w:pPr>
    <w:rPr>
      <w:b/>
      <w:bCs/>
    </w:rPr>
  </w:style>
  <w:style w:type="paragraph" w:styleId="996" w:customStyle="1">
    <w:name w:val="目录 51"/>
    <w:basedOn w:val="704"/>
    <w:next w:val="704"/>
    <w:uiPriority w:val="0"/>
    <w:semiHidden/>
    <w:qFormat/>
    <w:pPr>
      <w:ind w:left="840"/>
      <w:jc w:val="left"/>
    </w:pPr>
  </w:style>
  <w:style w:type="paragraph" w:styleId="997" w:customStyle="1">
    <w:name w:val="Char Char Char Char"/>
    <w:basedOn w:val="976"/>
    <w:uiPriority w:val="0"/>
    <w:qFormat/>
    <w:pPr>
      <w:spacing w:line="360" w:lineRule="auto"/>
    </w:pPr>
    <w:rPr>
      <w:rFonts w:ascii="Tahoma" w:hAnsi="Tahoma"/>
      <w:sz w:val="24"/>
      <w:szCs w:val="24"/>
    </w:rPr>
  </w:style>
  <w:style w:type="paragraph" w:styleId="998" w:customStyle="1">
    <w:name w:val="列出段落2"/>
    <w:basedOn w:val="704"/>
    <w:uiPriority w:val="0"/>
    <w:qFormat/>
    <w:pPr>
      <w:contextualSpacing/>
      <w:ind w:left="720"/>
      <w:jc w:val="left"/>
      <w:widowControl/>
    </w:pPr>
    <w:rPr>
      <w:rFonts w:ascii="Calibri" w:hAnsi="Calibri"/>
      <w:sz w:val="24"/>
      <w:szCs w:val="24"/>
      <w:lang w:eastAsia="en-US" w:bidi="en-US"/>
    </w:rPr>
  </w:style>
  <w:style w:type="paragraph" w:styleId="999"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100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1"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1002"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目录 81"/>
    <w:basedOn w:val="704"/>
    <w:next w:val="704"/>
    <w:uiPriority w:val="0"/>
    <w:semiHidden/>
    <w:qFormat/>
    <w:pPr>
      <w:ind w:left="1470"/>
      <w:jc w:val="left"/>
    </w:pPr>
  </w:style>
  <w:style w:type="paragraph" w:styleId="1004" w:customStyle="1">
    <w:name w:val="目录 91"/>
    <w:basedOn w:val="704"/>
    <w:next w:val="704"/>
    <w:uiPriority w:val="0"/>
    <w:semiHidden/>
    <w:qFormat/>
    <w:pPr>
      <w:ind w:left="1680"/>
      <w:jc w:val="left"/>
    </w:pPr>
  </w:style>
  <w:style w:type="paragraph" w:styleId="1005" w:customStyle="1">
    <w:name w:val="Char1"/>
    <w:basedOn w:val="704"/>
    <w:uiPriority w:val="0"/>
    <w:qFormat/>
    <w:pPr>
      <w:ind w:firstLine="200"/>
      <w:tabs>
        <w:tab w:val="left" w:pos="360" w:leader="none"/>
      </w:tabs>
    </w:pPr>
    <w:rPr>
      <w:sz w:val="28"/>
      <w:szCs w:val="30"/>
    </w:rPr>
  </w:style>
  <w:style w:type="paragraph" w:styleId="1006"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007"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1008" w:customStyle="1">
    <w:name w:val="Char Char Char Char Char Char Char Char Char Char"/>
    <w:basedOn w:val="704"/>
    <w:uiPriority w:val="0"/>
    <w:qFormat/>
    <w:pPr>
      <w:spacing w:line="360" w:lineRule="auto"/>
    </w:pPr>
    <w:rPr>
      <w:sz w:val="24"/>
      <w:szCs w:val="20"/>
    </w:rPr>
  </w:style>
  <w:style w:type="paragraph" w:styleId="1009"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customStyle="1">
    <w:name w:val="table_1stline"/>
    <w:basedOn w:val="704"/>
    <w:uiPriority w:val="0"/>
    <w:qFormat/>
    <w:pPr>
      <w:jc w:val="left"/>
      <w:spacing w:before="120"/>
      <w:widowControl/>
    </w:pPr>
    <w:rPr>
      <w:bCs/>
      <w:sz w:val="20"/>
      <w:szCs w:val="20"/>
      <w:lang w:val="de-DE" w:eastAsia="de-DE"/>
    </w:rPr>
  </w:style>
  <w:style w:type="paragraph" w:styleId="1011"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目录 31"/>
    <w:basedOn w:val="704"/>
    <w:next w:val="704"/>
    <w:uiPriority w:val="0"/>
    <w:semiHidden/>
    <w:qFormat/>
    <w:pPr>
      <w:ind w:left="420"/>
      <w:jc w:val="left"/>
    </w:pPr>
    <w:rPr>
      <w:i/>
      <w:iCs/>
      <w:szCs w:val="24"/>
    </w:rPr>
  </w:style>
  <w:style w:type="paragraph" w:styleId="1013" w:customStyle="1">
    <w:name w:val="目录 61"/>
    <w:basedOn w:val="704"/>
    <w:next w:val="704"/>
    <w:uiPriority w:val="0"/>
    <w:semiHidden/>
    <w:qFormat/>
    <w:pPr>
      <w:ind w:left="1050"/>
      <w:jc w:val="left"/>
    </w:pPr>
  </w:style>
  <w:style w:type="paragraph" w:styleId="1014" w:customStyle="1">
    <w:name w:val="目录 71"/>
    <w:basedOn w:val="704"/>
    <w:next w:val="704"/>
    <w:uiPriority w:val="0"/>
    <w:semiHidden/>
    <w:qFormat/>
    <w:pPr>
      <w:ind w:left="1260"/>
      <w:jc w:val="left"/>
    </w:pPr>
  </w:style>
  <w:style w:type="paragraph" w:styleId="1015"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1017" w:customStyle="1">
    <w:name w:val="列表 31"/>
    <w:basedOn w:val="704"/>
    <w:uiPriority w:val="0"/>
    <w:qFormat/>
    <w:pPr>
      <w:ind w:left="100" w:hanging="200"/>
    </w:pPr>
  </w:style>
  <w:style w:type="paragraph" w:styleId="1018" w:customStyle="1">
    <w:name w:val="目录 1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1019"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1020" w:customStyle="1">
    <w:name w:val="目录 41"/>
    <w:basedOn w:val="704"/>
    <w:next w:val="704"/>
    <w:uiPriority w:val="0"/>
    <w:semiHidden/>
    <w:qFormat/>
    <w:pPr>
      <w:ind w:left="630"/>
      <w:jc w:val="left"/>
    </w:pPr>
  </w:style>
  <w:style w:type="paragraph" w:styleId="1021" w:customStyle="1">
    <w:name w:val="4"/>
    <w:basedOn w:val="704"/>
    <w:next w:val="978"/>
    <w:uiPriority w:val="0"/>
    <w:qFormat/>
    <w:pPr>
      <w:ind w:firstLine="420"/>
      <w:spacing w:line="360" w:lineRule="auto"/>
    </w:pPr>
    <w:rPr>
      <w:color w:val="ff0000"/>
      <w:sz w:val="24"/>
      <w:szCs w:val="24"/>
    </w:rPr>
  </w:style>
  <w:style w:type="paragraph" w:styleId="1022" w:customStyle="1">
    <w:name w:val="列表 21"/>
    <w:basedOn w:val="704"/>
    <w:uiPriority w:val="0"/>
    <w:qFormat/>
    <w:pPr>
      <w:ind w:left="100" w:hanging="200"/>
    </w:pPr>
  </w:style>
  <w:style w:type="paragraph" w:styleId="1023" w:customStyle="1">
    <w:name w:val="目录 21"/>
    <w:basedOn w:val="704"/>
    <w:next w:val="704"/>
    <w:uiPriority w:val="0"/>
    <w:semiHidden/>
    <w:qFormat/>
    <w:pPr>
      <w:ind w:left="210"/>
      <w:jc w:val="left"/>
    </w:pPr>
    <w:rPr>
      <w:smallCaps/>
      <w:szCs w:val="24"/>
    </w:rPr>
  </w:style>
  <w:style w:type="paragraph" w:styleId="1024" w:customStyle="1">
    <w:name w:val="Char Char Char Char1"/>
    <w:basedOn w:val="976"/>
    <w:uiPriority w:val="0"/>
    <w:qFormat/>
    <w:pPr>
      <w:spacing w:line="360" w:lineRule="auto"/>
    </w:pPr>
    <w:rPr>
      <w:rFonts w:ascii="Tahoma" w:hAnsi="Tahoma"/>
      <w:sz w:val="24"/>
      <w:szCs w:val="24"/>
    </w:rPr>
  </w:style>
  <w:style w:type="paragraph" w:styleId="1025"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1026" w:customStyle="1">
    <w:name w:val="Body Text(ch)"/>
    <w:basedOn w:val="704"/>
    <w:next w:val="946"/>
    <w:uiPriority w:val="0"/>
    <w:qFormat/>
    <w:pPr>
      <w:spacing w:after="120"/>
    </w:pPr>
    <w:rPr>
      <w:rFonts w:ascii="宋体" w:hAnsi="Arial"/>
      <w:bCs/>
      <w:iCs/>
      <w:szCs w:val="24"/>
    </w:rPr>
  </w:style>
  <w:style w:type="paragraph" w:styleId="1027" w:customStyle="1">
    <w:name w:val="列表1"/>
    <w:basedOn w:val="704"/>
    <w:uiPriority w:val="0"/>
    <w:qFormat/>
    <w:pPr>
      <w:ind w:left="200" w:hanging="200"/>
    </w:pPr>
  </w:style>
  <w:style w:type="paragraph" w:styleId="1028" w:customStyle="1">
    <w:name w:val="样式1"/>
    <w:basedOn w:val="704"/>
    <w:uiPriority w:val="0"/>
    <w:qFormat/>
    <w:pPr>
      <w:numPr>
        <w:ilvl w:val="0"/>
        <w:numId w:val="4"/>
      </w:numPr>
    </w:pPr>
    <w:rPr>
      <w:rFonts w:ascii="宋体" w:hAnsi="宋体"/>
    </w:rPr>
  </w:style>
  <w:style w:type="paragraph" w:styleId="1029"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1031" w:customStyle="1">
    <w:name w:val="图表目录1"/>
    <w:basedOn w:val="704"/>
    <w:next w:val="704"/>
    <w:uiPriority w:val="0"/>
    <w:semiHidden/>
    <w:qFormat/>
    <w:pPr>
      <w:ind w:left="840" w:hanging="420"/>
    </w:pPr>
  </w:style>
  <w:style w:type="paragraph" w:styleId="1032"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3"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1034"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customStyle="1">
    <w:name w:val="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037"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9" w:customStyle="1">
    <w:name w:val="正文1"/>
    <w:basedOn w:val="704"/>
    <w:next w:val="704"/>
    <w:uiPriority w:val="99"/>
    <w:qFormat/>
    <w:pPr>
      <w:ind w:firstLine="480"/>
      <w:spacing w:line="440" w:lineRule="exact"/>
    </w:pPr>
    <w:rPr>
      <w:rFonts w:ascii="微软雅黑" w:hAnsi="微软雅黑" w:eastAsia="微软雅黑"/>
      <w:sz w:val="24"/>
      <w:szCs w:val="20"/>
    </w:rPr>
  </w:style>
  <w:style w:type="table" w:styleId="1040" w:customStyle="1">
    <w:name w:val="网格型1"/>
    <w:basedOn w:val="940"/>
    <w:uiPriority w:val="0"/>
    <w:qFormat/>
    <w:pPr>
      <w:jc w:val="both"/>
      <w:widowControl w:val="off"/>
    </w:pPr>
    <w:rPr>
      <w:rFonts w:ascii="Times New Roman" w:hAnsi="Times New Roman"/>
    </w:rPr>
    <w:tblPr/>
  </w:style>
  <w:style w:type="character" w:styleId="1041" w:customStyle="1">
    <w:name w:val="正文文本 Char1"/>
    <w:basedOn w:val="714"/>
    <w:uiPriority w:val="99"/>
    <w:semiHidden/>
    <w:qFormat/>
    <w:rPr>
      <w:rFonts w:ascii="Times New Roman" w:hAnsi="Times New Roman"/>
      <w:sz w:val="21"/>
      <w:szCs w:val="21"/>
    </w:rPr>
  </w:style>
  <w:style w:type="paragraph" w:styleId="1042" w:customStyle="1">
    <w:name w:val="正文2"/>
    <w:basedOn w:val="704"/>
    <w:uiPriority w:val="0"/>
    <w:qFormat/>
    <w:pPr>
      <w:spacing w:line="360" w:lineRule="auto"/>
      <w:tabs>
        <w:tab w:val="left" w:pos="6480" w:leader="none"/>
      </w:tabs>
    </w:pPr>
    <w:rPr>
      <w:sz w:val="24"/>
      <w:szCs w:val="24"/>
    </w:rPr>
  </w:style>
  <w:style w:type="paragraph" w:styleId="1043" w:customStyle="1">
    <w:name w:val="1 正文"/>
    <w:basedOn w:val="704"/>
    <w:uiPriority w:val="0"/>
    <w:qFormat/>
    <w:pPr>
      <w:ind w:firstLine="420"/>
      <w:spacing w:line="360" w:lineRule="auto"/>
    </w:pPr>
    <w:rPr>
      <w:rFonts w:ascii="宋体" w:hAnsi="宋体"/>
      <w:sz w:val="24"/>
      <w:szCs w:val="24"/>
    </w:rPr>
  </w:style>
  <w:style w:type="paragraph" w:styleId="1044" w:customStyle="1">
    <w:name w:val="A正文"/>
    <w:basedOn w:val="704"/>
    <w:uiPriority w:val="0"/>
    <w:qFormat/>
    <w:pPr>
      <w:ind w:firstLine="200"/>
      <w:spacing w:line="360" w:lineRule="auto"/>
    </w:pPr>
    <w:rPr>
      <w:rFonts w:cs="宋体"/>
      <w:sz w:val="24"/>
      <w:szCs w:val="28"/>
      <w:lang w:eastAsia="zh-Hans"/>
    </w:rPr>
  </w:style>
  <w:style w:type="paragraph" w:styleId="1045"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46"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48" w:customStyle="1">
    <w:name w:val="UserStyle_11"/>
    <w:uiPriority w:val="0"/>
    <w:qFormat/>
    <w:rPr>
      <w:sz w:val="21"/>
      <w:szCs w:val="21"/>
      <w:lang w:val="en-US" w:eastAsia="zh-CN" w:bidi="ar-SA"/>
    </w:rPr>
  </w:style>
  <w:style w:type="character" w:styleId="1049" w:customStyle="1">
    <w:name w:val="NormalCharacter"/>
    <w:uiPriority w:val="0"/>
    <w:qFormat/>
  </w:style>
  <w:style w:type="numbering" w:styleId="14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89</cp:revision>
  <dcterms:created xsi:type="dcterms:W3CDTF">2023-12-04T02:59:00Z</dcterms:created>
  <dcterms:modified xsi:type="dcterms:W3CDTF">2026-06-11T02:01:49Z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EBA0DBB2971844FC8C0D203CB8208F18_12</vt:lpwstr>
  </property>
  <property fmtid="{D5CDD505-2E9C-101B-9397-08002B2CF9AE}" pid="4" name="KSOTemplateDocerSaveRecord">
    <vt:lpwstr>eyJoZGlkIjoiZmQ2MDMzZmM1ZjRlYWVlMzZjMzA5NDU5ZWU3NmUwMjYiLCJ1c2VySWQiOiIxMzU0NDA5MjkzIn0=</vt:lpwstr>
  </property>
</Properties>
</file>