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default" w:ascii="仿宋" w:hAnsi="仿宋" w:eastAsia="仿宋" w:cs="仿宋"/>
          <w:color w:val="000000" w:themeColor="text1"/>
          <w:sz w:val="32"/>
          <w:szCs w:val="32"/>
          <w:highlight w:val="none"/>
          <w:lang w:val="en-US"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编号： </w:t>
      </w:r>
      <w:r>
        <w:rPr>
          <w:rFonts w:hint="eastAsia" w:ascii="宋体" w:hAnsi="宋体" w:cs="宋体"/>
          <w:color w:val="000000" w:themeColor="text1"/>
          <w:sz w:val="32"/>
          <w:szCs w:val="32"/>
          <w:highlight w:val="none"/>
          <w:lang w:eastAsia="zh-CN"/>
          <w14:textFill>
            <w14:solidFill>
              <w14:schemeClr w14:val="tx1"/>
            </w14:solidFill>
          </w14:textFill>
        </w:rPr>
        <w:t xml:space="preserve">JSZCLS-321084-202631557</w:t>
      </w:r>
      <w:r/>
    </w:p>
    <w:p>
      <w:pPr>
        <w:jc w:val="center"/>
        <w:spacing w:line="480" w:lineRule="auto"/>
        <w:rPr>
          <w:rFonts w:hint="eastAsia" w:ascii="仿宋" w:hAnsi="仿宋" w:eastAsia="仿宋" w:cs="仿宋"/>
          <w:color w:val="000000" w:themeColor="text1"/>
          <w:sz w:val="36"/>
          <w:highlight w:val="none"/>
          <w:lang w:eastAsia="zh-CN"/>
          <w14:textFill>
            <w14:solidFill>
              <w14:schemeClr w14:val="tx1"/>
            </w14:solidFill>
          </w14:textFill>
        </w:rPr>
      </w:pPr>
      <w:r>
        <w:rPr>
          <w:rFonts w:hint="eastAsia" w:ascii="仿宋" w:hAnsi="仿宋" w:eastAsia="仿宋" w:cs="仿宋"/>
          <w:color w:val="000000" w:themeColor="text1"/>
          <w:sz w:val="36"/>
          <w:highlight w:val="none"/>
          <w:lang w:eastAsia="zh-CN"/>
          <w14:textFill>
            <w14:solidFill>
              <w14:schemeClr w14:val="tx1"/>
            </w14:solidFill>
          </w14:textFill>
        </w:rPr>
      </w:r>
      <w:r/>
    </w:p>
    <w:p>
      <w:pPr>
        <w:jc w:val="center"/>
        <w:spacing w:line="480" w:lineRule="auto"/>
        <w:rPr>
          <w:rFonts w:hint="eastAsia" w:ascii="宋体" w:hAnsi="宋体" w:eastAsia="宋体" w:cs="宋体"/>
          <w:color w:val="000000" w:themeColor="text1"/>
          <w:sz w:val="36"/>
          <w:highlight w:val="none"/>
          <w:lang w:val="en-US"/>
          <w14:textFill>
            <w14:solidFill>
              <w14:schemeClr w14:val="tx1"/>
            </w14:solidFill>
          </w14:textFill>
        </w:rPr>
      </w:pPr>
      <w:r>
        <w:rPr>
          <w:rFonts w:hint="eastAsia" w:ascii="宋体" w:hAnsi="宋体" w:eastAsia="宋体" w:cs="宋体"/>
          <w:b/>
          <w:color w:val="000000" w:themeColor="text1"/>
          <w:sz w:val="36"/>
          <w:szCs w:val="36"/>
          <w:highlight w:val="none"/>
          <w:lang w:eastAsia="zh-CN"/>
          <w14:textFill>
            <w14:solidFill>
              <w14:schemeClr w14:val="tx1"/>
            </w14:solidFill>
          </w14:textFill>
        </w:rPr>
        <w:t xml:space="preserve">高邮经济开发区规划环评修编服务</w:t>
      </w:r>
      <w:r>
        <w:rPr>
          <w:rFonts w:hint="eastAsia" w:ascii="宋体" w:hAnsi="宋体" w:eastAsia="宋体" w:cs="宋体"/>
          <w:b/>
          <w:color w:val="000000" w:themeColor="text1"/>
          <w:sz w:val="36"/>
          <w:szCs w:val="36"/>
          <w:highlight w:val="none"/>
          <w:lang w:val="en-US" w:eastAsia="zh-CN"/>
          <w14:textFill>
            <w14:solidFill>
              <w14:schemeClr w14:val="tx1"/>
            </w14:solidFill>
          </w14:textFill>
        </w:rPr>
        <w:t xml:space="preserve">项目</w:t>
      </w:r>
      <w:r/>
    </w:p>
    <w:p>
      <w:pPr>
        <w:jc w:val="center"/>
        <w:spacing w:line="480" w:lineRule="auto"/>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r>
      <w:r/>
    </w:p>
    <w:p>
      <w:pPr>
        <w:jc w:val="center"/>
        <w:spacing w:line="480" w:lineRule="auto"/>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r>
      <w:r/>
    </w:p>
    <w:p>
      <w:pPr>
        <w:jc w:val="center"/>
        <w:spacing w:line="480" w:lineRule="auto"/>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r>
      <w:r/>
    </w:p>
    <w:p>
      <w:pPr>
        <w:jc w:val="center"/>
        <w:spacing w:line="480" w:lineRule="auto"/>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r>
      <w:r/>
    </w:p>
    <w:p>
      <w:pPr>
        <w:jc w:val="center"/>
        <w:spacing w:line="480" w:lineRule="auto"/>
        <w:rPr>
          <w:rFonts w:hint="eastAsia" w:ascii="宋体" w:hAnsi="宋体" w:eastAsia="宋体" w:cs="宋体"/>
          <w:color w:val="000000" w:themeColor="text1"/>
          <w:sz w:val="36"/>
          <w:highlight w:val="none"/>
          <w:lang w:eastAsia="zh-CN"/>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t xml:space="preserve">竞争性磋商文件</w:t>
      </w:r>
      <w:r>
        <w:rPr>
          <w:rFonts w:hint="eastAsia" w:ascii="宋体" w:hAnsi="宋体" w:eastAsia="宋体" w:cs="宋体"/>
          <w:color w:val="000000" w:themeColor="text1"/>
          <w:sz w:val="36"/>
          <w:highlight w:val="none"/>
          <w:lang w:eastAsia="zh-CN"/>
          <w14:textFill>
            <w14:solidFill>
              <w14:schemeClr w14:val="tx1"/>
            </w14:solidFill>
          </w14:textFill>
        </w:rPr>
      </w:r>
      <w:r/>
    </w:p>
    <w:p>
      <w:pPr>
        <w:jc w:val="both"/>
        <w:spacing w:line="360" w:lineRule="auto"/>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采购人：</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江苏省高邮经济开发区管理委员会</w:t>
      </w:r>
      <w:r/>
    </w:p>
    <w:p>
      <w:pPr>
        <w:jc w:val="center"/>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   招标代理：</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中瀛国际工程管理有限公司</w:t>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二○二</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cs="宋体"/>
          <w:color w:val="000000" w:themeColor="text1"/>
          <w:sz w:val="32"/>
          <w:szCs w:val="32"/>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32"/>
          <w:szCs w:val="32"/>
          <w:highlight w:val="none"/>
          <w14:textFill>
            <w14:solidFill>
              <w14:schemeClr w14:val="tx1"/>
            </w14:solidFill>
          </w14:textFill>
        </w:rPr>
        <w:t xml:space="preserve">月</w:t>
      </w:r>
      <w:r/>
    </w:p>
    <w:p>
      <w:pPr>
        <w:jc w:val="center"/>
        <w:spacing w:line="480" w:lineRule="auto"/>
        <w:rPr>
          <w:rFonts w:hint="eastAsia" w:ascii="宋体" w:hAnsi="宋体" w:eastAsia="宋体" w:cs="宋体"/>
          <w:color w:val="000000" w:themeColor="text1"/>
          <w:sz w:val="32"/>
          <w:szCs w:val="2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bookmarkStart w:id="0" w:name="_Toc109304962"/>
      <w:r>
        <w:rPr>
          <w:rFonts w:hint="eastAsia" w:ascii="宋体" w:hAnsi="宋体" w:eastAsia="宋体" w:cs="宋体"/>
          <w:b/>
          <w:bCs/>
          <w:color w:val="000000" w:themeColor="text1"/>
          <w:sz w:val="32"/>
          <w:szCs w:val="32"/>
          <w:highlight w:val="none"/>
          <w14:textFill>
            <w14:solidFill>
              <w14:schemeClr w14:val="tx1"/>
            </w14:solidFill>
          </w14:textFill>
        </w:rPr>
        <w:t xml:space="preserve">第一章</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高邮经济开发区规划环评修编服务</w:t>
      </w:r>
      <w:r/>
    </w:p>
    <w:p>
      <w:pPr>
        <w:pStyle w:val="869"/>
        <w:jc w:val="center"/>
        <w:keepLines/>
        <w:keepNext/>
        <w:pageBreakBefore w:val="0"/>
        <w:spacing w:line="360" w:lineRule="auto"/>
        <w:widowControl w:val="off"/>
        <w:rPr>
          <w:rFonts w:hint="eastAsia" w:ascii="仿宋" w:hAnsi="仿宋" w:eastAsia="仿宋" w:cs="仿宋"/>
          <w:color w:val="000000" w:themeColor="text1"/>
          <w:sz w:val="36"/>
          <w:szCs w:val="36"/>
          <w:highlight w:val="none"/>
          <w:lang w:eastAsia="zh-CN"/>
          <w14:textFill>
            <w14:solidFill>
              <w14:schemeClr w14:val="tx1"/>
            </w14:solidFill>
          </w14:textFill>
        </w:rPr>
      </w:pPr>
      <w:r>
        <w:rPr>
          <w:rFonts w:hint="eastAsia" w:ascii="仿宋" w:hAnsi="仿宋" w:eastAsia="仿宋" w:cs="仿宋"/>
          <w:color w:val="000000" w:themeColor="text1"/>
          <w:sz w:val="32"/>
          <w:szCs w:val="32"/>
          <w:highlight w:val="none"/>
          <w:lang w:eastAsia="zh-CN"/>
          <w14:textFill>
            <w14:solidFill>
              <w14:schemeClr w14:val="tx1"/>
            </w14:solidFill>
          </w14:textFill>
        </w:rPr>
        <w:t xml:space="preserve">项目</w:t>
      </w:r>
      <w:r>
        <w:rPr>
          <w:rFonts w:hint="eastAsia" w:ascii="仿宋" w:hAnsi="仿宋" w:eastAsia="仿宋" w:cs="仿宋"/>
          <w:color w:val="000000" w:themeColor="text1"/>
          <w:sz w:val="32"/>
          <w:szCs w:val="32"/>
          <w:highlight w:val="none"/>
          <w14:textFill>
            <w14:solidFill>
              <w14:schemeClr w14:val="tx1"/>
            </w14:solidFill>
          </w14:textFill>
        </w:rPr>
        <w:t xml:space="preserve">竞争性磋商采购公告</w:t>
      </w:r>
      <w:bookmarkEnd w:id="0"/>
      <w:r/>
      <w:r/>
    </w:p>
    <w:p>
      <w:pPr>
        <w:ind w:firstLine="480"/>
        <w:jc w:val="left"/>
        <w:spacing w:line="360" w:lineRule="auto"/>
        <w:widowControl/>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受</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江苏省高邮经济开发区管理委员会</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的委托，</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中瀛国际工程管理有限公司</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就</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高邮经济开发区规划环评修编服务</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实施政府采购，本次采购采用竞争性磋商方式，欢迎符合条件的供应商参加磋商。</w:t>
      </w:r>
      <w:r/>
    </w:p>
    <w:p>
      <w:pPr>
        <w:ind w:firstLine="482"/>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项目概况：</w:t>
      </w:r>
      <w:r>
        <w:rPr>
          <w:rFonts w:hint="eastAsia" w:ascii="宋体" w:hAnsi="宋体" w:cs="宋体"/>
          <w:i w:val="0"/>
          <w:iCs w:val="0"/>
          <w:color w:val="000000" w:themeColor="text1"/>
          <w:sz w:val="24"/>
          <w:szCs w:val="24"/>
          <w:highlight w:val="none"/>
          <w:lang w:eastAsia="zh-CN"/>
          <w14:textFill>
            <w14:solidFill>
              <w14:schemeClr w14:val="tx1"/>
            </w14:solidFill>
          </w14:textFill>
        </w:rPr>
        <w:t xml:space="preserve">高邮经济开发区规划环评修编服务项目</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采购的潜在供应商</w:t>
      </w: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可在</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“扬州市政府采购网”、“江苏省政府采购网”、自行免费下载</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采购文件，并于</w:t>
      </w:r>
      <w:bookmarkStart w:id="1" w:name="XMTBJSR_1"/>
      <w:r>
        <w:rPr>
          <w:rFonts w:hint="eastAsia" w:ascii="宋体" w:hAnsi="宋体" w:eastAsia="宋体" w:cs="宋体"/>
          <w:bCs/>
          <w:i w:val="0"/>
          <w:iCs w:val="0"/>
          <w:color w:val="000000" w:themeColor="text1"/>
          <w:sz w:val="24"/>
          <w:szCs w:val="24"/>
          <w:highlight w:val="none"/>
          <w:u w:val="single"/>
          <w:lang w:eastAsia="zh-CN"/>
          <w14:textFill>
            <w14:solidFill>
              <w14:schemeClr w14:val="tx1"/>
            </w14:solidFill>
          </w14:textFill>
        </w:rPr>
        <w:t xml:space="preserve">202</w:t>
      </w:r>
      <w:r>
        <w:rPr>
          <w:rFonts w:hint="eastAsia" w:ascii="宋体" w:hAnsi="宋体" w:eastAsia="宋体" w:cs="宋体"/>
          <w:bCs/>
          <w:i w:val="0"/>
          <w:iCs w:val="0"/>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年</w:t>
      </w:r>
      <w:r>
        <w:rPr>
          <w:rFonts w:hint="eastAsia" w:ascii="宋体" w:hAnsi="宋体" w:cs="宋体"/>
          <w:bCs/>
          <w:i w:val="0"/>
          <w:iCs w:val="0"/>
          <w:color w:val="000000" w:themeColor="text1"/>
          <w:sz w:val="24"/>
          <w:szCs w:val="24"/>
          <w:highlight w:val="none"/>
          <w:u w:val="single"/>
          <w:lang w:val="en-US" w:eastAsia="zh-CN"/>
          <w14:textFill>
            <w14:solidFill>
              <w14:schemeClr w14:val="tx1"/>
            </w14:solidFill>
          </w14:textFill>
        </w:rPr>
        <w:t xml:space="preserve">7</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月</w:t>
      </w:r>
      <w:r>
        <w:rPr>
          <w:rFonts w:hint="eastAsia" w:ascii="宋体" w:hAnsi="宋体" w:cs="宋体"/>
          <w:bCs/>
          <w:i w:val="0"/>
          <w:iCs w:val="0"/>
          <w:color w:val="000000" w:themeColor="text1"/>
          <w:sz w:val="24"/>
          <w:szCs w:val="24"/>
          <w:highlight w:val="none"/>
          <w:u w:val="single"/>
          <w:lang w:val="en-US" w:eastAsia="zh-CN"/>
          <w14:textFill>
            <w14:solidFill>
              <w14:schemeClr w14:val="tx1"/>
            </w14:solidFill>
          </w14:textFill>
        </w:rPr>
        <w:t xml:space="preserve">28</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日</w:t>
      </w:r>
      <w:r>
        <w:rPr>
          <w:rFonts w:hint="eastAsia" w:ascii="宋体" w:hAnsi="宋体" w:cs="宋体"/>
          <w:bCs/>
          <w:i w:val="0"/>
          <w:iCs w:val="0"/>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点</w:t>
      </w:r>
      <w:r>
        <w:rPr>
          <w:rFonts w:hint="eastAsia" w:ascii="宋体" w:hAnsi="宋体" w:cs="宋体"/>
          <w:bCs/>
          <w:i w:val="0"/>
          <w:iCs w:val="0"/>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分</w:t>
      </w:r>
      <w:bookmarkEnd w:id="1"/>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（北京时间）前提交响应文件</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p>
    <w:p>
      <w:pPr>
        <w:pStyle w:val="870"/>
        <w:spacing w:before="0" w:after="0" w:line="360" w:lineRule="auto"/>
        <w:rPr>
          <w:rFonts w:hint="eastAsia" w:ascii="宋体" w:hAnsi="宋体" w:eastAsia="宋体" w:cs="宋体"/>
          <w:bCs w:val="0"/>
          <w:i w:val="0"/>
          <w:iCs w:val="0"/>
          <w:color w:val="000000" w:themeColor="text1"/>
          <w:sz w:val="24"/>
          <w:szCs w:val="24"/>
          <w:highlight w:val="none"/>
          <w14:textFill>
            <w14:solidFill>
              <w14:schemeClr w14:val="tx1"/>
            </w14:solidFill>
          </w14:textFill>
        </w:rPr>
      </w:pPr>
      <w:r/>
      <w:bookmarkStart w:id="2" w:name="_Toc109304963"/>
      <w:r>
        <w:rPr>
          <w:rFonts w:hint="eastAsia" w:ascii="宋体" w:hAnsi="宋体" w:eastAsia="宋体" w:cs="宋体"/>
          <w:bCs w:val="0"/>
          <w:i w:val="0"/>
          <w:iCs w:val="0"/>
          <w:color w:val="000000" w:themeColor="text1"/>
          <w:sz w:val="24"/>
          <w:szCs w:val="24"/>
          <w:highlight w:val="none"/>
          <w14:textFill>
            <w14:solidFill>
              <w14:schemeClr w14:val="tx1"/>
            </w14:solidFill>
          </w14:textFill>
        </w:rPr>
        <w:t xml:space="preserve">一、项目基本情况</w:t>
      </w:r>
      <w:bookmarkEnd w:id="2"/>
      <w:r/>
      <w:r/>
    </w:p>
    <w:p>
      <w:pPr>
        <w:ind w:firstLine="480"/>
        <w:spacing w:line="360" w:lineRule="auto"/>
        <w:rPr>
          <w:rFonts w:hint="eastAsia" w:ascii="宋体" w:hAnsi="宋体" w:eastAsia="宋体" w:cs="宋体"/>
          <w:i w:val="0"/>
          <w:iCs w:val="0"/>
          <w:color w:val="000000" w:themeColor="text1"/>
          <w:sz w:val="40"/>
          <w:szCs w:val="40"/>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1.项目编号：</w:t>
      </w:r>
      <w:r>
        <w:rPr>
          <w:rFonts w:hint="eastAsia" w:ascii="宋体" w:hAnsi="宋体" w:cs="宋体"/>
          <w:i w:val="0"/>
          <w:iCs w:val="0"/>
          <w:color w:val="000000" w:themeColor="text1"/>
          <w:sz w:val="24"/>
          <w:szCs w:val="24"/>
          <w:highlight w:val="none"/>
          <w:lang w:eastAsia="zh-CN"/>
          <w14:textFill>
            <w14:solidFill>
              <w14:schemeClr w14:val="tx1"/>
            </w14:solidFill>
          </w14:textFill>
        </w:rPr>
        <w:t xml:space="preserve">JSZCLS-321084-202631557</w:t>
      </w:r>
      <w:r/>
    </w:p>
    <w:p>
      <w:pPr>
        <w:ind w:firstLine="480"/>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2.项目名称：</w:t>
      </w:r>
      <w:r>
        <w:rPr>
          <w:rFonts w:hint="eastAsia" w:ascii="宋体" w:hAnsi="宋体" w:cs="宋体"/>
          <w:i w:val="0"/>
          <w:iCs w:val="0"/>
          <w:color w:val="000000" w:themeColor="text1"/>
          <w:sz w:val="24"/>
          <w:szCs w:val="24"/>
          <w:highlight w:val="none"/>
          <w:lang w:eastAsia="zh-CN"/>
          <w14:textFill>
            <w14:solidFill>
              <w14:schemeClr w14:val="tx1"/>
            </w14:solidFill>
          </w14:textFill>
        </w:rPr>
        <w:t xml:space="preserve">高邮经济开发区规划环评修编服务项目</w:t>
      </w:r>
      <w:r/>
    </w:p>
    <w:p>
      <w:pPr>
        <w:ind w:firstLine="480"/>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3.采购方式：竞争性磋商</w:t>
      </w:r>
      <w:r/>
    </w:p>
    <w:p>
      <w:pPr>
        <w:ind w:firstLine="480"/>
        <w:spacing w:line="360" w:lineRule="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4.预算金额：</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330</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万元</w:t>
      </w:r>
      <w:r>
        <w:rPr>
          <w:rFonts w:hint="eastAsia" w:ascii="宋体" w:hAnsi="宋体" w:cs="宋体"/>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最高投标限价：</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330</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万元</w:t>
      </w:r>
      <w:r/>
    </w:p>
    <w:p>
      <w:pPr>
        <w:ind w:firstLine="480"/>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5.采购需求：因高邮经济开发区拟对现有规划范围、产业定位进行调整，根据《规划环境影响评价条例》，需重新开展规划环评修编工作，根据新调整的规划，分析规划与国家和地方环保法律法规的符合性；预测规划实施对大气、水、土壤、生态等环境要素的影响；评估区域环境承载力；提出规划调整建议和对策。</w:t>
      </w:r>
      <w:r/>
    </w:p>
    <w:p>
      <w:pPr>
        <w:ind w:firstLine="480"/>
        <w:spacing w:line="360" w:lineRule="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6.合同履行期限：合同签订后，乙方应协助甲方开展报送、审批工作，直至取得审查意见</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7. 本项目</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不接受</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联合体响应。</w:t>
      </w:r>
      <w:r/>
    </w:p>
    <w:p>
      <w:pPr>
        <w:ind w:firstLine="480"/>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8. 本项目</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不接受</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进口产品响应。</w:t>
      </w:r>
      <w:r/>
    </w:p>
    <w:p>
      <w:pPr>
        <w:pStyle w:val="870"/>
        <w:spacing w:before="0" w:after="0" w:line="360" w:lineRule="auto"/>
        <w:rPr>
          <w:rFonts w:hint="eastAsia" w:ascii="宋体" w:hAnsi="宋体" w:eastAsia="宋体" w:cs="宋体"/>
          <w:bCs w:val="0"/>
          <w:i w:val="0"/>
          <w:iCs w:val="0"/>
          <w:color w:val="000000" w:themeColor="text1"/>
          <w:sz w:val="24"/>
          <w:szCs w:val="24"/>
          <w:highlight w:val="none"/>
          <w14:textFill>
            <w14:solidFill>
              <w14:schemeClr w14:val="tx1"/>
            </w14:solidFill>
          </w14:textFill>
        </w:rPr>
      </w:pPr>
      <w:r/>
      <w:bookmarkStart w:id="3" w:name="_Toc109304964"/>
      <w:r>
        <w:rPr>
          <w:rFonts w:hint="eastAsia" w:ascii="宋体" w:hAnsi="宋体" w:eastAsia="宋体" w:cs="宋体"/>
          <w:bCs w:val="0"/>
          <w:i w:val="0"/>
          <w:iCs w:val="0"/>
          <w:color w:val="000000" w:themeColor="text1"/>
          <w:sz w:val="24"/>
          <w:szCs w:val="24"/>
          <w:highlight w:val="none"/>
          <w14:textFill>
            <w14:solidFill>
              <w14:schemeClr w14:val="tx1"/>
            </w14:solidFill>
          </w14:textFill>
        </w:rPr>
        <w:t xml:space="preserve">二、申请人的资格要求：</w:t>
      </w:r>
      <w:bookmarkEnd w:id="3"/>
      <w:r/>
      <w:r/>
    </w:p>
    <w:p>
      <w:pPr>
        <w:ind w:firstLine="480"/>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ind w:firstLine="480"/>
        <w:spacing w:line="360" w:lineRule="auto"/>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1.1法人或者其他组织的营业执照等证明文件，自然人的身份证明</w:t>
      </w:r>
      <w:r/>
    </w:p>
    <w:p>
      <w:pPr>
        <w:ind w:firstLine="480"/>
        <w:spacing w:line="360" w:lineRule="auto"/>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1.2 依法缴纳职工社会保障资金的证明材料</w:t>
      </w:r>
      <w:r>
        <w:rPr>
          <w:rFonts w:hint="eastAsia" w:ascii="宋体" w:hAnsi="宋体" w:eastAsia="宋体" w:cs="宋体"/>
          <w:b/>
          <w:bCs/>
          <w:i w:val="0"/>
          <w:iCs w:val="0"/>
          <w:color w:val="000000" w:themeColor="text1"/>
          <w:sz w:val="24"/>
          <w:szCs w:val="24"/>
          <w:highlight w:val="none"/>
          <w:u w:val="single"/>
          <w14:textFill>
            <w14:solidFill>
              <w14:schemeClr w14:val="tx1"/>
            </w14:solidFill>
          </w14:textFill>
        </w:rPr>
        <w:t xml:space="preserve">(税务、银行或社会保险基金管理部门出具的近三个月内任意一个月缴纳职工社会保障资金的缴款凭证或缴款证明)（供应商依法享受缓缴、免缴的提供证明材料）</w:t>
      </w:r>
      <w:r/>
    </w:p>
    <w:p>
      <w:pPr>
        <w:ind w:firstLine="480"/>
        <w:spacing w:line="360" w:lineRule="auto"/>
        <w:rPr>
          <w:rFonts w:hint="eastAsia" w:ascii="宋体" w:hAnsi="宋体" w:eastAsia="宋体" w:cs="宋体"/>
          <w:b/>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1.3 供应商近三个月内任意一份依法纳税的缴款凭证</w:t>
      </w:r>
      <w:r>
        <w:rPr>
          <w:rFonts w:hint="eastAsia" w:ascii="宋体" w:hAnsi="宋体" w:eastAsia="宋体" w:cs="宋体"/>
          <w:b/>
          <w:bCs/>
          <w:i w:val="0"/>
          <w:iCs w:val="0"/>
          <w:color w:val="000000" w:themeColor="text1"/>
          <w:sz w:val="24"/>
          <w:szCs w:val="24"/>
          <w:highlight w:val="none"/>
          <w:u w:val="single"/>
          <w14:textFill>
            <w14:solidFill>
              <w14:schemeClr w14:val="tx1"/>
            </w14:solidFill>
          </w14:textFill>
        </w:rPr>
        <w:t xml:space="preserve">（供应商依法享受缓缴、免缴的提供证明材料）</w:t>
      </w:r>
      <w:r/>
    </w:p>
    <w:p>
      <w:pPr>
        <w:ind w:firstLine="480"/>
        <w:spacing w:line="360" w:lineRule="auto"/>
        <w:rPr>
          <w:rFonts w:hint="eastAsia" w:ascii="宋体" w:hAnsi="宋体" w:eastAsia="宋体" w:cs="宋体"/>
          <w:b/>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1.4 上一年度的财务报告情况</w:t>
      </w:r>
      <w:r>
        <w:rPr>
          <w:rFonts w:hint="eastAsia" w:ascii="宋体" w:hAnsi="宋体" w:eastAsia="宋体" w:cs="宋体"/>
          <w:b/>
          <w:bCs/>
          <w:i w:val="0"/>
          <w:iCs w:val="0"/>
          <w:color w:val="000000" w:themeColor="text1"/>
          <w:sz w:val="24"/>
          <w:szCs w:val="24"/>
          <w:highlight w:val="none"/>
          <w:u w:val="single"/>
          <w14:textFill>
            <w14:solidFill>
              <w14:schemeClr w14:val="tx1"/>
            </w14:solidFill>
          </w14:textFill>
        </w:rPr>
        <w:t xml:space="preserve">（成立不满一年不需提供）</w:t>
      </w:r>
      <w:r/>
    </w:p>
    <w:p>
      <w:pPr>
        <w:ind w:firstLine="480"/>
        <w:spacing w:line="360" w:lineRule="auto"/>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1.5 具备履行合同所必需的设备和专业技术能力的证明材料</w:t>
      </w:r>
      <w:r/>
    </w:p>
    <w:p>
      <w:pPr>
        <w:ind w:firstLine="480"/>
        <w:spacing w:line="360" w:lineRule="auto"/>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1.6 参加本次政府采购活动前3年内在经营活动中没有重大违法记录的书面声明</w:t>
      </w:r>
      <w:r/>
    </w:p>
    <w:p>
      <w:pPr>
        <w:ind w:firstLine="480"/>
        <w:spacing w:line="360" w:lineRule="auto"/>
        <w:rPr>
          <w:rFonts w:hint="eastAsia" w:ascii="宋体" w:hAnsi="宋体" w:eastAsia="宋体" w:cs="宋体"/>
          <w:b/>
          <w:bCs/>
          <w:i w:val="0"/>
          <w:iCs w:val="0"/>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1.7 未被“信用中国”网站（www.creditchina.gov.cn）、“中国政府采购网"(www.ccgp.gov.cn)列入失信被执行人、重大税收违法案件当事人名单、政府采购严重违法失信行为记录名单</w:t>
      </w:r>
      <w:r>
        <w:rPr>
          <w:rFonts w:hint="eastAsia" w:ascii="宋体" w:hAnsi="宋体" w:eastAsia="宋体" w:cs="宋体"/>
          <w:i w:val="0"/>
          <w:iCs w:val="0"/>
          <w:color w:val="000000" w:themeColor="text1"/>
          <w:sz w:val="24"/>
          <w:szCs w:val="24"/>
          <w:highlight w:val="none"/>
          <w:u w:val="single"/>
          <w:lang w:eastAsia="zh-CN"/>
          <w14:textFill>
            <w14:solidFill>
              <w14:schemeClr w14:val="tx1"/>
            </w14:solidFill>
          </w14:textFill>
        </w:rPr>
        <w:t xml:space="preserve">。</w:t>
      </w:r>
      <w:r/>
    </w:p>
    <w:p>
      <w:pPr>
        <w:ind w:firstLine="480"/>
        <w:spacing w:line="360" w:lineRule="auto"/>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1.8供应商信用承诺函</w:t>
      </w:r>
      <w:r/>
    </w:p>
    <w:p>
      <w:pPr>
        <w:ind w:firstLine="480"/>
        <w:spacing w:line="360" w:lineRule="auto"/>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2.落实政府采购政策需满足的资格要求：根据《政府采购促进中小企业发展管理办法》规定，本项目面向中小企业采购，投标人投标时须提供《中小企业声明函》，《中小企业声明函》不符合要求或未提供的，投标文件无效</w:t>
      </w:r>
      <w:r>
        <w:rPr>
          <w:rFonts w:hint="eastAsia" w:ascii="宋体" w:hAnsi="宋体" w:eastAsia="宋体" w:cs="宋体"/>
          <w:i w:val="0"/>
          <w:iCs w:val="0"/>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项目类型为其他未列明行业。</w:t>
      </w:r>
      <w:r/>
    </w:p>
    <w:p>
      <w:pPr>
        <w:ind w:firstLine="480"/>
        <w:spacing w:line="360" w:lineRule="auto"/>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3.本项目的特定资格要求：</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单位项目负责人应为取得注册</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环境影响评价工程师</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职业资格证书的人员</w:t>
      </w:r>
      <w:r/>
    </w:p>
    <w:p>
      <w:pPr>
        <w:ind w:firstLine="480"/>
        <w:spacing w:line="360" w:lineRule="auto"/>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4.本项目不接受联合体投标</w:t>
      </w:r>
      <w:r/>
    </w:p>
    <w:p>
      <w:pPr>
        <w:pStyle w:val="880"/>
        <w:ind w:firstLine="480"/>
        <w:jc w:val="both"/>
        <w:spacing w:before="0" w:beforeAutospacing="0" w:after="0" w:afterAutospacing="0" w:line="560" w:lineRule="atLeast"/>
        <w:shd w:val="clear" w:color="auto" w:fill="ffffff"/>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三、获取采购文件</w:t>
      </w:r>
      <w:r/>
    </w:p>
    <w:p>
      <w:pPr>
        <w:pStyle w:val="880"/>
        <w:ind w:firstLine="480"/>
        <w:jc w:val="both"/>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1.时间：自磋商公告发布之日起5个工作日。5个工作日后仍可下载采购文件，但不作为供应商权益受到损害的证明材料和依据。</w:t>
      </w:r>
      <w:r/>
    </w:p>
    <w:p>
      <w:pPr>
        <w:pStyle w:val="880"/>
        <w:ind w:firstLine="480"/>
        <w:jc w:val="both"/>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2.获取方式：本项目采用网上注册登记方式。</w:t>
      </w:r>
      <w:r/>
    </w:p>
    <w:p>
      <w:pPr>
        <w:pStyle w:val="880"/>
        <w:ind w:firstLine="480"/>
        <w:jc w:val="both"/>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3.潜在供应商访问政府采购管理交易系统（苏采云）的网络地址和方法：</w:t>
      </w:r>
      <w:r/>
    </w:p>
    <w:p>
      <w:pPr>
        <w:pStyle w:val="880"/>
        <w:ind w:firstLine="480"/>
        <w:jc w:val="both"/>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80"/>
        <w:ind w:firstLine="480"/>
        <w:jc w:val="both"/>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pStyle w:val="880"/>
        <w:ind w:firstLine="480"/>
        <w:jc w:val="both"/>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（3）“CA数字证书”的办理材料以及供应商操作手册详见：</w:t>
      </w:r>
      <w:r/>
    </w:p>
    <w:p>
      <w:pPr>
        <w:pStyle w:val="880"/>
        <w:ind w:firstLine="480"/>
        <w:jc w:val="both"/>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http://zfcg.yangzhou.gov.cn/zfcg/xzzx/202309/4d7de1f7865f4a2894fc22bc452f94d8.shtml。</w:t>
      </w:r>
      <w:r/>
    </w:p>
    <w:p>
      <w:pPr>
        <w:pStyle w:val="880"/>
        <w:ind w:firstLine="480"/>
        <w:jc w:val="both"/>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（4）潜在供应商访问“苏采云”系统的网络地址和方法：“苏采云”系统的网址：http://jszfcg.jsczt.cn/。</w:t>
      </w:r>
      <w:r/>
    </w:p>
    <w:p>
      <w:pPr>
        <w:pStyle w:val="880"/>
        <w:ind w:firstLine="480"/>
        <w:jc w:val="both"/>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pStyle w:val="880"/>
        <w:ind w:firstLine="480"/>
        <w:jc w:val="both"/>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（6）招标代理机构（采购代理机构）将数据电文形式的采购文件加载至“苏采云”系统，供潜在供应商下载或者查阅。     </w:t>
      </w:r>
      <w:r/>
    </w:p>
    <w:p>
      <w:pPr>
        <w:pStyle w:val="880"/>
        <w:ind w:firstLine="480"/>
        <w:jc w:val="both"/>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（7）苏采云系统使用谷歌浏览器参与不见面开标。</w:t>
      </w:r>
      <w:r/>
    </w:p>
    <w:p>
      <w:pPr>
        <w:pStyle w:val="880"/>
        <w:ind w:firstLine="480"/>
        <w:spacing w:before="0" w:beforeAutospacing="0" w:after="0" w:afterAutospacing="0" w:line="560" w:lineRule="atLeast"/>
        <w:shd w:val="clear" w:color="auto" w:fill="ffffff"/>
        <w:rPr>
          <w:rFonts w:ascii="宋体" w:hAnsi="宋体" w:eastAsia="宋体" w:cs="宋体"/>
          <w:color w:val="000000" w:themeColor="text1"/>
          <w:sz w:val="22"/>
          <w:highlight w:val="none"/>
          <w14:textFill>
            <w14:solidFill>
              <w14:schemeClr w14:val="tx1"/>
            </w14:solidFill>
          </w14:textFill>
        </w:rPr>
      </w:pPr>
      <w:r/>
      <w:bookmarkStart w:id="4" w:name="_Toc109304966"/>
      <w:r>
        <w:rPr>
          <w:rFonts w:hint="eastAsia" w:ascii="宋体" w:hAnsi="宋体" w:eastAsia="宋体" w:cs="宋体"/>
          <w:color w:val="000000" w:themeColor="text1"/>
          <w:sz w:val="22"/>
          <w:highlight w:val="none"/>
          <w14:textFill>
            <w14:solidFill>
              <w14:schemeClr w14:val="tx1"/>
            </w14:solidFill>
          </w14:textFill>
        </w:rPr>
        <w:t xml:space="preserve">四、响应文件提交</w:t>
      </w:r>
      <w:bookmarkEnd w:id="4"/>
      <w:r/>
      <w:r/>
    </w:p>
    <w:p>
      <w:pPr>
        <w:pStyle w:val="880"/>
        <w:ind w:firstLine="480"/>
        <w:spacing w:before="0" w:beforeAutospacing="0" w:after="0" w:afterAutospacing="0" w:line="560" w:lineRule="atLeast"/>
        <w:shd w:val="clear" w:color="auto" w:fill="ffffff"/>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1.截止时间：202</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highlight w:val="none"/>
          <w14:textFill>
            <w14:solidFill>
              <w14:schemeClr w14:val="tx1"/>
            </w14:solidFill>
          </w14:textFill>
        </w:rPr>
        <w:t xml:space="preserve">年</w:t>
      </w:r>
      <w:r>
        <w:rPr>
          <w:rFonts w:hint="eastAsia" w:ascii="宋体" w:hAnsi="宋体" w:cs="宋体"/>
          <w:color w:val="000000" w:themeColor="text1"/>
          <w:sz w:val="22"/>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2"/>
          <w:highlight w:val="none"/>
          <w14:textFill>
            <w14:solidFill>
              <w14:schemeClr w14:val="tx1"/>
            </w14:solidFill>
          </w14:textFill>
        </w:rPr>
        <w:t xml:space="preserve">月</w:t>
      </w:r>
      <w:r>
        <w:rPr>
          <w:rFonts w:hint="eastAsia" w:ascii="宋体" w:hAnsi="宋体" w:cs="宋体"/>
          <w:color w:val="000000" w:themeColor="text1"/>
          <w:sz w:val="22"/>
          <w:highlight w:val="none"/>
          <w:lang w:val="en-US" w:eastAsia="zh-CN"/>
          <w14:textFill>
            <w14:solidFill>
              <w14:schemeClr w14:val="tx1"/>
            </w14:solidFill>
          </w14:textFill>
        </w:rPr>
        <w:t xml:space="preserve">28</w:t>
      </w:r>
      <w:r>
        <w:rPr>
          <w:rFonts w:hint="eastAsia" w:ascii="宋体" w:hAnsi="宋体" w:eastAsia="宋体" w:cs="宋体"/>
          <w:color w:val="000000" w:themeColor="text1"/>
          <w:sz w:val="22"/>
          <w:highlight w:val="none"/>
          <w14:textFill>
            <w14:solidFill>
              <w14:schemeClr w14:val="tx1"/>
            </w14:solidFill>
          </w14:textFill>
        </w:rPr>
        <w:t xml:space="preserve">日</w:t>
      </w:r>
      <w:r>
        <w:rPr>
          <w:rFonts w:hint="eastAsia" w:ascii="宋体" w:hAnsi="宋体" w:cs="宋体"/>
          <w:color w:val="000000" w:themeColor="text1"/>
          <w:sz w:val="22"/>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2"/>
          <w:highlight w:val="none"/>
          <w14:textFill>
            <w14:solidFill>
              <w14:schemeClr w14:val="tx1"/>
            </w14:solidFill>
          </w14:textFill>
        </w:rPr>
        <w:t xml:space="preserve">0（北京时间）</w:t>
      </w:r>
      <w:r/>
    </w:p>
    <w:p>
      <w:pPr>
        <w:pStyle w:val="880"/>
        <w:ind w:firstLine="480"/>
        <w:spacing w:before="0" w:beforeAutospacing="0" w:after="0" w:afterAutospacing="0" w:line="560" w:lineRule="atLeast"/>
        <w:shd w:val="clear" w:color="auto" w:fill="ffffff"/>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2.投标地点：“苏采云”系统（网址：http://jszfcg.jsczt.cn/）“报名详情”</w:t>
      </w:r>
      <w:r/>
    </w:p>
    <w:p>
      <w:pPr>
        <w:pStyle w:val="880"/>
        <w:ind w:firstLine="480"/>
        <w:spacing w:before="0" w:beforeAutospacing="0" w:after="0" w:afterAutospacing="0" w:line="560" w:lineRule="atLeast"/>
        <w:shd w:val="clear" w:color="auto" w:fill="ffffff"/>
        <w:rPr>
          <w:rFonts w:ascii="宋体" w:hAnsi="宋体" w:eastAsia="宋体" w:cs="宋体"/>
          <w:color w:val="000000" w:themeColor="text1"/>
          <w:sz w:val="22"/>
          <w:highlight w:val="none"/>
          <w14:textFill>
            <w14:solidFill>
              <w14:schemeClr w14:val="tx1"/>
            </w14:solidFill>
          </w14:textFill>
        </w:rPr>
      </w:pPr>
      <w:r/>
      <w:bookmarkStart w:id="5" w:name="_Toc109304967"/>
      <w:r>
        <w:rPr>
          <w:rFonts w:hint="eastAsia" w:ascii="宋体" w:hAnsi="宋体" w:eastAsia="宋体" w:cs="宋体"/>
          <w:color w:val="000000" w:themeColor="text1"/>
          <w:sz w:val="22"/>
          <w:highlight w:val="none"/>
          <w14:textFill>
            <w14:solidFill>
              <w14:schemeClr w14:val="tx1"/>
            </w14:solidFill>
          </w14:textFill>
        </w:rPr>
        <w:t xml:space="preserve">五、开启</w:t>
      </w:r>
      <w:bookmarkEnd w:id="5"/>
      <w:r/>
      <w:r/>
    </w:p>
    <w:p>
      <w:pPr>
        <w:pStyle w:val="880"/>
        <w:ind w:firstLine="480"/>
        <w:spacing w:before="0" w:beforeAutospacing="0" w:after="0" w:afterAutospacing="0" w:line="560" w:lineRule="atLeast"/>
        <w:shd w:val="clear" w:color="auto" w:fill="ffffff"/>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1.时间：202</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highlight w:val="none"/>
          <w14:textFill>
            <w14:solidFill>
              <w14:schemeClr w14:val="tx1"/>
            </w14:solidFill>
          </w14:textFill>
        </w:rPr>
        <w:t xml:space="preserve">年</w:t>
      </w:r>
      <w:r>
        <w:rPr>
          <w:rFonts w:hint="eastAsia" w:ascii="宋体" w:hAnsi="宋体" w:cs="宋体"/>
          <w:color w:val="000000" w:themeColor="text1"/>
          <w:sz w:val="22"/>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2"/>
          <w:highlight w:val="none"/>
          <w14:textFill>
            <w14:solidFill>
              <w14:schemeClr w14:val="tx1"/>
            </w14:solidFill>
          </w14:textFill>
        </w:rPr>
        <w:t xml:space="preserve">月</w:t>
      </w:r>
      <w:r>
        <w:rPr>
          <w:rFonts w:hint="eastAsia" w:ascii="宋体" w:hAnsi="宋体" w:cs="宋体"/>
          <w:color w:val="000000" w:themeColor="text1"/>
          <w:sz w:val="22"/>
          <w:highlight w:val="none"/>
          <w:lang w:val="en-US" w:eastAsia="zh-CN"/>
          <w14:textFill>
            <w14:solidFill>
              <w14:schemeClr w14:val="tx1"/>
            </w14:solidFill>
          </w14:textFill>
        </w:rPr>
        <w:t xml:space="preserve">28</w:t>
      </w:r>
      <w:r>
        <w:rPr>
          <w:rFonts w:hint="eastAsia" w:ascii="宋体" w:hAnsi="宋体" w:eastAsia="宋体" w:cs="宋体"/>
          <w:color w:val="000000" w:themeColor="text1"/>
          <w:sz w:val="22"/>
          <w:highlight w:val="none"/>
          <w14:textFill>
            <w14:solidFill>
              <w14:schemeClr w14:val="tx1"/>
            </w14:solidFill>
          </w14:textFill>
        </w:rPr>
        <w:t xml:space="preserve">日</w:t>
      </w:r>
      <w:r>
        <w:rPr>
          <w:rFonts w:hint="eastAsia" w:ascii="宋体" w:hAnsi="宋体" w:cs="宋体"/>
          <w:color w:val="000000" w:themeColor="text1"/>
          <w:sz w:val="22"/>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2"/>
          <w:highlight w:val="none"/>
          <w14:textFill>
            <w14:solidFill>
              <w14:schemeClr w14:val="tx1"/>
            </w14:solidFill>
          </w14:textFill>
        </w:rPr>
        <w:t xml:space="preserve">0（北京时间）</w:t>
      </w:r>
      <w:r/>
    </w:p>
    <w:p>
      <w:pPr>
        <w:pStyle w:val="880"/>
        <w:ind w:firstLine="480"/>
        <w:spacing w:before="0" w:beforeAutospacing="0" w:after="0" w:afterAutospacing="0" w:line="560" w:lineRule="atLeast"/>
        <w:shd w:val="clear" w:color="auto" w:fill="ffffff"/>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2.开标地点：“苏采云”系统（网址：http://jszfcg.jsczt.cn/）“开标大厅”</w:t>
      </w:r>
      <w:r/>
    </w:p>
    <w:p>
      <w:pPr>
        <w:pStyle w:val="880"/>
        <w:ind w:firstLine="480"/>
        <w:spacing w:before="0" w:beforeAutospacing="0" w:after="0" w:afterAutospacing="0" w:line="560" w:lineRule="atLeast"/>
        <w:shd w:val="clear" w:color="auto" w:fill="ffffff"/>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六、公告期限</w:t>
      </w:r>
      <w:r/>
    </w:p>
    <w:p>
      <w:pPr>
        <w:pStyle w:val="880"/>
        <w:ind w:firstLine="480"/>
        <w:spacing w:before="0" w:beforeAutospacing="0" w:after="0" w:afterAutospacing="0" w:line="560" w:lineRule="atLeast"/>
        <w:shd w:val="clear" w:color="auto" w:fill="ffffff"/>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自本公告发布之日起</w:t>
      </w:r>
      <w:r>
        <w:rPr>
          <w:rFonts w:hint="eastAsia" w:ascii="宋体" w:hAnsi="宋体" w:cs="宋体"/>
          <w:color w:val="000000" w:themeColor="text1"/>
          <w:sz w:val="2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2"/>
          <w:highlight w:val="none"/>
          <w14:textFill>
            <w14:solidFill>
              <w14:schemeClr w14:val="tx1"/>
            </w14:solidFill>
          </w14:textFill>
        </w:rPr>
        <w:t xml:space="preserve">个工作日。</w:t>
      </w:r>
      <w:r/>
    </w:p>
    <w:p>
      <w:pPr>
        <w:pStyle w:val="880"/>
        <w:ind w:firstLine="440"/>
        <w:spacing w:before="0" w:beforeAutospacing="0" w:after="0" w:afterAutospacing="0" w:line="560" w:lineRule="atLeast"/>
        <w:shd w:val="clear" w:color="auto" w:fill="ffffff"/>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七、对本次招标提出询问，请按以下方式联系。</w:t>
      </w:r>
      <w:r/>
    </w:p>
    <w:p>
      <w:pPr>
        <w:pStyle w:val="880"/>
        <w:ind w:firstLine="480"/>
        <w:spacing w:before="0" w:beforeAutospacing="0" w:after="0" w:afterAutospacing="0" w:line="560" w:lineRule="atLeast"/>
        <w:shd w:val="clear" w:color="auto" w:fill="ffffff"/>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　1.采购人信息</w:t>
      </w:r>
      <w:r/>
    </w:p>
    <w:p>
      <w:pPr>
        <w:pStyle w:val="880"/>
        <w:ind w:firstLine="720"/>
        <w:spacing w:before="0" w:beforeAutospacing="0" w:after="0" w:afterAutospacing="0" w:line="560" w:lineRule="atLeast"/>
        <w:shd w:val="clear" w:color="auto" w:fill="ffffff"/>
        <w:rPr>
          <w:rFonts w:hint="eastAsia" w:ascii="宋体" w:hAnsi="宋体" w:eastAsia="宋体" w:cs="宋体"/>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名 称：</w:t>
      </w:r>
      <w:r>
        <w:rPr>
          <w:rFonts w:hint="eastAsia" w:ascii="宋体" w:hAnsi="宋体" w:eastAsia="宋体" w:cs="宋体"/>
          <w:color w:val="000000" w:themeColor="text1"/>
          <w:sz w:val="22"/>
          <w:highlight w:val="none"/>
          <w:lang w:eastAsia="zh-CN"/>
          <w14:textFill>
            <w14:solidFill>
              <w14:schemeClr w14:val="tx1"/>
            </w14:solidFill>
          </w14:textFill>
        </w:rPr>
        <w:t xml:space="preserve">江苏省高邮经济开发区管理委员会</w:t>
      </w:r>
      <w:r/>
    </w:p>
    <w:p>
      <w:pPr>
        <w:pStyle w:val="880"/>
        <w:ind w:firstLine="720"/>
        <w:spacing w:before="0" w:beforeAutospacing="0" w:after="0" w:afterAutospacing="0" w:line="560" w:lineRule="atLeast"/>
        <w:shd w:val="clear" w:color="auto" w:fill="ffffff"/>
        <w:rPr>
          <w:rFonts w:hint="eastAsia" w:ascii="宋体" w:hAnsi="宋体" w:eastAsia="宋体" w:cs="宋体"/>
          <w:color w:val="000000" w:themeColor="text1"/>
          <w:sz w:val="22"/>
          <w:highlight w:val="none"/>
          <w:lang w:val="en-US" w:eastAsia="zh-CN"/>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地 址：高邮市</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凌波路30号</w:t>
      </w:r>
      <w:r/>
    </w:p>
    <w:p>
      <w:pPr>
        <w:pStyle w:val="880"/>
        <w:ind w:firstLine="720"/>
        <w:spacing w:before="0" w:beforeAutospacing="0" w:after="0" w:afterAutospacing="0" w:line="560" w:lineRule="atLeast"/>
        <w:shd w:val="clear" w:color="auto" w:fill="ffffff"/>
        <w:rPr>
          <w:rFonts w:hint="default" w:ascii="宋体" w:hAnsi="宋体" w:eastAsia="宋体" w:cs="宋体"/>
          <w:color w:val="000000" w:themeColor="text1"/>
          <w:sz w:val="22"/>
          <w:highlight w:val="none"/>
          <w:lang w:val="en-US"/>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联系人：</w:t>
      </w:r>
      <w:r>
        <w:rPr>
          <w:rFonts w:hint="eastAsia" w:ascii="宋体" w:hAnsi="宋体" w:cs="宋体"/>
          <w:color w:val="000000" w:themeColor="text1"/>
          <w:sz w:val="22"/>
          <w:highlight w:val="none"/>
          <w:lang w:val="en-US" w:eastAsia="zh-CN"/>
          <w14:textFill>
            <w14:solidFill>
              <w14:schemeClr w14:val="tx1"/>
            </w14:solidFill>
          </w14:textFill>
        </w:rPr>
        <w:t xml:space="preserve">王</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先生</w:t>
      </w:r>
      <w:r/>
    </w:p>
    <w:p>
      <w:pPr>
        <w:pStyle w:val="880"/>
        <w:ind w:firstLine="720"/>
        <w:spacing w:before="0" w:beforeAutospacing="0" w:after="0" w:afterAutospacing="0" w:line="560" w:lineRule="atLeast"/>
        <w:shd w:val="clear" w:color="auto" w:fill="ffffff"/>
        <w:rPr>
          <w:rFonts w:hint="eastAsia" w:ascii="宋体" w:hAnsi="宋体" w:eastAsia="宋体" w:cs="宋体"/>
          <w:color w:val="000000" w:themeColor="text1"/>
          <w:sz w:val="22"/>
          <w:highlight w:val="none"/>
          <w:lang w:val="en-US" w:eastAsia="zh-CN"/>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联系电话：</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13773308088</w:t>
      </w:r>
      <w:r/>
    </w:p>
    <w:p>
      <w:pPr>
        <w:pStyle w:val="880"/>
        <w:ind w:firstLine="720"/>
        <w:spacing w:before="0" w:beforeAutospacing="0" w:after="0" w:afterAutospacing="0" w:line="560" w:lineRule="atLeast"/>
        <w:shd w:val="clear" w:color="auto" w:fill="ffffff"/>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2.采购代理机构信息</w:t>
      </w:r>
      <w:r/>
    </w:p>
    <w:p>
      <w:pPr>
        <w:pStyle w:val="880"/>
        <w:ind w:firstLine="720"/>
        <w:spacing w:before="0" w:beforeAutospacing="0" w:after="0" w:afterAutospacing="0" w:line="560" w:lineRule="atLeast"/>
        <w:shd w:val="clear" w:color="auto" w:fill="ffffff"/>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名 称：</w:t>
      </w:r>
      <w:r>
        <w:rPr>
          <w:rFonts w:hint="eastAsia" w:ascii="宋体" w:hAnsi="宋体" w:eastAsia="宋体" w:cs="宋体"/>
          <w:color w:val="000000" w:themeColor="text1"/>
          <w:sz w:val="22"/>
          <w:highlight w:val="none"/>
          <w:lang w:eastAsia="zh-CN"/>
          <w14:textFill>
            <w14:solidFill>
              <w14:schemeClr w14:val="tx1"/>
            </w14:solidFill>
          </w14:textFill>
        </w:rPr>
        <w:t xml:space="preserve">中瀛国际工程管理有限公司</w:t>
      </w:r>
      <w:r/>
    </w:p>
    <w:p>
      <w:pPr>
        <w:pStyle w:val="880"/>
        <w:ind w:firstLine="720"/>
        <w:spacing w:before="0" w:beforeAutospacing="0" w:after="0" w:afterAutospacing="0" w:line="560" w:lineRule="atLeast"/>
        <w:shd w:val="clear" w:color="auto" w:fill="ffffff"/>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地</w:t>
      </w:r>
      <w:r>
        <w:rPr>
          <w:rFonts w:hint="eastAsia" w:ascii="宋体" w:hAnsi="宋体" w:cs="宋体"/>
          <w:color w:val="000000" w:themeColor="text1"/>
          <w:sz w:val="2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2"/>
          <w:highlight w:val="none"/>
          <w14:textFill>
            <w14:solidFill>
              <w14:schemeClr w14:val="tx1"/>
            </w14:solidFill>
          </w14:textFill>
        </w:rPr>
        <w:t xml:space="preserve">址：高邮市文游中路</w:t>
      </w:r>
      <w:r>
        <w:rPr>
          <w:rFonts w:hint="eastAsia" w:ascii="宋体" w:hAnsi="宋体" w:eastAsia="宋体" w:cs="宋体"/>
          <w:color w:val="000000" w:themeColor="text1"/>
          <w:sz w:val="22"/>
          <w:highlight w:val="none"/>
          <w:lang w:eastAsia="zh-CN"/>
          <w14:textFill>
            <w14:solidFill>
              <w14:schemeClr w14:val="tx1"/>
            </w14:solidFill>
          </w14:textFill>
        </w:rPr>
        <w:t xml:space="preserve">97-1</w:t>
      </w:r>
      <w:r>
        <w:rPr>
          <w:rFonts w:hint="eastAsia" w:ascii="宋体" w:hAnsi="宋体" w:eastAsia="宋体" w:cs="宋体"/>
          <w:color w:val="000000" w:themeColor="text1"/>
          <w:sz w:val="22"/>
          <w:highlight w:val="none"/>
          <w14:textFill>
            <w14:solidFill>
              <w14:schemeClr w14:val="tx1"/>
            </w14:solidFill>
          </w14:textFill>
        </w:rPr>
        <w:t xml:space="preserve">号</w:t>
      </w:r>
      <w:r/>
    </w:p>
    <w:p>
      <w:pPr>
        <w:pStyle w:val="880"/>
        <w:ind w:firstLine="720"/>
        <w:spacing w:before="0" w:beforeAutospacing="0" w:after="0" w:afterAutospacing="0" w:line="560" w:lineRule="atLeast"/>
        <w:shd w:val="clear" w:color="auto" w:fill="ffffff"/>
        <w:rPr>
          <w:rFonts w:hint="default" w:ascii="宋体" w:hAnsi="宋体" w:eastAsia="宋体" w:cs="宋体"/>
          <w:color w:val="000000" w:themeColor="text1"/>
          <w:sz w:val="22"/>
          <w:highlight w:val="none"/>
          <w:lang w:val="en-US"/>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联系人：</w:t>
      </w:r>
      <w:r>
        <w:rPr>
          <w:rFonts w:hint="eastAsia" w:ascii="宋体" w:hAnsi="宋体" w:cs="宋体"/>
          <w:color w:val="000000" w:themeColor="text1"/>
          <w:sz w:val="22"/>
          <w:highlight w:val="none"/>
          <w:lang w:val="en-US" w:eastAsia="zh-CN"/>
          <w14:textFill>
            <w14:solidFill>
              <w14:schemeClr w14:val="tx1"/>
            </w14:solidFill>
          </w14:textFill>
        </w:rPr>
        <w:t xml:space="preserve">闵工</w:t>
      </w:r>
      <w:r/>
    </w:p>
    <w:p>
      <w:pPr>
        <w:pStyle w:val="880"/>
        <w:ind w:firstLine="720"/>
        <w:spacing w:before="0" w:beforeAutospacing="0" w:after="0" w:afterAutospacing="0" w:line="560" w:lineRule="atLeast"/>
        <w:shd w:val="clear" w:color="auto" w:fill="ffffff"/>
        <w:rPr>
          <w:rFonts w:hint="default" w:ascii="宋体" w:hAnsi="宋体" w:eastAsia="宋体" w:cs="宋体"/>
          <w:color w:val="000000" w:themeColor="text1"/>
          <w:sz w:val="22"/>
          <w:highlight w:val="none"/>
          <w:lang w:val="en-US" w:eastAsia="zh-CN"/>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联系方式：</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18796667436</w:t>
      </w:r>
      <w:r/>
    </w:p>
    <w:p>
      <w:pPr>
        <w:pStyle w:val="880"/>
        <w:ind w:firstLine="663"/>
        <w:spacing w:before="0" w:beforeAutospacing="0" w:after="0" w:afterAutospacing="0" w:line="560" w:lineRule="atLeast"/>
        <w:shd w:val="clear" w:color="auto" w:fill="ffffff"/>
        <w:rPr>
          <w:rFonts w:hint="eastAsia"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r>
      <w:r/>
    </w:p>
    <w:p>
      <w:pPr>
        <w:pStyle w:val="880"/>
        <w:ind w:firstLine="663"/>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八、其他</w:t>
      </w:r>
      <w:r/>
    </w:p>
    <w:p>
      <w:pPr>
        <w:pStyle w:val="880"/>
        <w:ind w:firstLine="720"/>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880"/>
        <w:ind w:firstLine="720"/>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2.供应商如确定参加磋商，可自行下载采购文件及有关资料，按照《操作手册》进行注册，领取CA和办理电子签章，并按《操作手册》要求制作、上传电子投标文件，技术支持联系方式：13813140731。</w:t>
      </w:r>
      <w:r/>
    </w:p>
    <w:p>
      <w:pPr>
        <w:pStyle w:val="880"/>
        <w:ind w:firstLine="720"/>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880"/>
        <w:ind w:firstLine="720"/>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4.潜在供应商对采购文件项目需求部分的询问、质疑请向采购人提出，由采购人负责答复。</w:t>
      </w:r>
      <w:r/>
    </w:p>
    <w:p>
      <w:pPr>
        <w:pStyle w:val="880"/>
        <w:ind w:firstLine="720"/>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5.本次采购不收取保证金。</w:t>
      </w:r>
      <w:r/>
    </w:p>
    <w:p>
      <w:pPr>
        <w:pStyle w:val="880"/>
        <w:ind w:firstLine="720"/>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6.有关本次采购的事项若存在变动或修改，敬请及时关注“扬州市政府采购网”、“江苏省政府采购网”发布的信息。</w:t>
      </w:r>
      <w:r/>
    </w:p>
    <w:p>
      <w:pPr>
        <w:pStyle w:val="880"/>
        <w:ind w:firstLine="720"/>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7. 落实好政府采购履约资金扶持政策。中标/成交供应商可凭政府采购合同办理融资贷款，详见江苏政府采购网“政采贷”专栏。</w:t>
      </w:r>
      <w:r/>
    </w:p>
    <w:p>
      <w:pPr>
        <w:pStyle w:val="880"/>
        <w:ind w:firstLine="720"/>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i/>
          <w:iCs/>
          <w:color w:val="000000" w:themeColor="text1"/>
          <w:sz w:val="22"/>
          <w:highlight w:val="none"/>
          <w:u w:val="single"/>
          <w14:textFill>
            <w14:solidFill>
              <w14:schemeClr w14:val="tx1"/>
            </w14:solidFill>
          </w14:textFill>
        </w:rPr>
        <w:t xml:space="preserve">8.本项目采购文件中所有斜体下划线部分为实质性条款，如不满足，则为无效响应。</w:t>
      </w:r>
      <w:r/>
    </w:p>
    <w:p>
      <w:pPr>
        <w:pStyle w:val="880"/>
        <w:ind w:firstLine="663"/>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9.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pStyle w:val="880"/>
        <w:ind w:firstLine="663"/>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10.严格执行政府采购关于支持</w:t>
      </w:r>
      <w:r>
        <w:rPr>
          <w:rFonts w:hint="eastAsia" w:ascii="宋体" w:hAnsi="宋体" w:eastAsia="宋体" w:cs="宋体"/>
          <w:b/>
          <w:bCs/>
          <w:color w:val="000000" w:themeColor="text1"/>
          <w:sz w:val="22"/>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0"/>
        <w:ind w:firstLine="663"/>
        <w:spacing w:before="0" w:beforeAutospacing="0" w:after="0" w:afterAutospacing="0" w:line="560" w:lineRule="atLeast"/>
        <w:shd w:val="clear" w:color="auto" w:fill="ffffff"/>
        <w:rPr>
          <w:rFonts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keepLines w:val="0"/>
        <w:keepNext w:val="0"/>
        <w:pageBreakBefore w:val="0"/>
        <w:spacing w:line="480" w:lineRule="auto"/>
        <w:widowControl w:val="off"/>
        <w:rPr>
          <w:rFonts w:hint="default" w:ascii="宋体" w:hAnsi="宋体" w:eastAsia="宋体" w:cs="宋体"/>
          <w:b/>
          <w:bCs/>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cs="宋体"/>
          <w:b/>
          <w:bCs/>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t xml:space="preserve">.本项目严格按照财库〔2026〕2号文的规定，进行异常低价投标的审查程序。</w:t>
      </w:r>
      <w:r/>
    </w:p>
    <w:p>
      <w:pPr>
        <w:pStyle w:val="880"/>
        <w:ind w:firstLine="663"/>
        <w:spacing w:before="0" w:beforeAutospacing="0" w:after="0" w:afterAutospacing="0" w:line="560" w:lineRule="atLeast"/>
        <w:shd w:val="clear" w:color="auto" w:fill="ffffff"/>
        <w:rPr>
          <w:rFonts w:hint="default" w:ascii="宋体" w:hAnsi="宋体" w:eastAsia="宋体" w:cs="宋体"/>
          <w:b/>
          <w:bCs/>
          <w:color w:val="000000" w:themeColor="text1"/>
          <w:sz w:val="22"/>
          <w:highlight w:val="none"/>
          <w:lang w:val="en-US"/>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t xml:space="preserve"> </w:t>
      </w:r>
      <w:r>
        <w:rPr>
          <w:rFonts w:hint="eastAsia" w:ascii="宋体" w:hAnsi="宋体" w:cs="宋体"/>
          <w:b/>
          <w:bCs/>
          <w:color w:val="000000" w:themeColor="text1"/>
          <w:sz w:val="22"/>
          <w:szCs w:val="22"/>
          <w:highlight w:val="none"/>
          <w:lang w:val="en-US" w:eastAsia="zh-CN" w:bidi="ar-SA"/>
          <w14:textFill>
            <w14:solidFill>
              <w14:schemeClr w14:val="tx1"/>
            </w14:solidFill>
          </w14:textFill>
        </w:rPr>
        <w:t xml:space="preserve"> </w:t>
      </w:r>
      <w:r/>
    </w:p>
    <w:p>
      <w:pPr>
        <w:ind w:firstLine="420"/>
        <w:jc w:val="right"/>
        <w:keepLines w:val="0"/>
        <w:keepNext w:val="0"/>
        <w:pageBreakBefore w:val="0"/>
        <w:spacing w:line="480" w:lineRule="auto"/>
        <w:widowControl w:val="off"/>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t xml:space="preserve">中瀛国际工程管理有限公司</w:t>
      </w:r>
      <w:r/>
    </w:p>
    <w:p>
      <w:pPr>
        <w:ind w:firstLine="420"/>
        <w:jc w:val="center"/>
        <w:keepLines w:val="0"/>
        <w:keepNext w:val="0"/>
        <w:pageBreakBefore w:val="0"/>
        <w:spacing w:line="480" w:lineRule="auto"/>
        <w:widowControl w:val="off"/>
        <w:rPr>
          <w:rFonts w:hint="default" w:ascii="宋体" w:hAnsi="宋体" w:eastAsia="宋体" w:cs="宋体"/>
          <w:b/>
          <w:bCs/>
          <w:color w:val="000000" w:themeColor="text1"/>
          <w:sz w:val="22"/>
          <w:szCs w:val="22"/>
          <w:highlight w:val="none"/>
          <w:lang w:val="en-US" w:eastAsia="zh-CN" w:bidi="ar-SA"/>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000000" w:themeColor="text1"/>
          <w:sz w:val="22"/>
          <w:szCs w:val="22"/>
          <w:highlight w:val="none"/>
          <w:lang w:val="en-US" w:eastAsia="zh-CN" w:bidi="ar-SA"/>
          <w14:textFill>
            <w14:solidFill>
              <w14:schemeClr w14:val="tx1"/>
            </w14:solidFill>
          </w14:textFill>
        </w:rPr>
        <w:t xml:space="preserve">                                               2026 年7月28日</w:t>
      </w:r>
      <w:r/>
    </w:p>
    <w:p>
      <w:pPr>
        <w:pStyle w:val="869"/>
        <w:ind w:left="0" w:firstLine="0"/>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第二章 磋商须知</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1、采购方式</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 本次采购采用竞争性磋商方式（以下简称磋商），本竞争性磋商文件仅适用于</w:t>
      </w:r>
      <w:r>
        <w:rPr>
          <w:rFonts w:hint="eastAsia" w:ascii="宋体" w:hAnsi="宋体" w:cs="宋体"/>
          <w:color w:val="000000" w:themeColor="text1"/>
          <w:highlight w:val="none"/>
          <w:lang w:eastAsia="zh-CN"/>
          <w14:textFill>
            <w14:solidFill>
              <w14:schemeClr w14:val="tx1"/>
            </w14:solidFill>
          </w14:textFill>
        </w:rPr>
        <w:t xml:space="preserve">JSZCLS-321084-202631557</w:t>
      </w:r>
      <w:r>
        <w:rPr>
          <w:rFonts w:hint="eastAsia" w:ascii="宋体" w:hAnsi="宋体" w:eastAsia="宋体" w:cs="宋体"/>
          <w:color w:val="000000" w:themeColor="text1"/>
          <w:highlight w:val="none"/>
          <w14:textFill>
            <w14:solidFill>
              <w14:schemeClr w14:val="tx1"/>
            </w14:solidFill>
          </w14:textFill>
        </w:rPr>
        <w:t xml:space="preserve">竞争性磋商公告中所述项目。</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bookmarkStart w:id="6" w:name="_Hlk115095815"/>
      <w:r>
        <w:rPr>
          <w:rFonts w:hint="eastAsia" w:ascii="宋体" w:hAnsi="宋体" w:eastAsia="宋体" w:cs="宋体"/>
          <w:color w:val="000000" w:themeColor="text1"/>
          <w:highlight w:val="none"/>
          <w14:textFill>
            <w14:solidFill>
              <w14:schemeClr w14:val="tx1"/>
            </w14:solidFill>
          </w14:textFill>
        </w:rPr>
        <w:t xml:space="preserve">2、定义</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2.1“采购人”指委托代理机构组织采购本磋商文件所列货物及相关服务的</w:t>
      </w:r>
      <w:r>
        <w:rPr>
          <w:rFonts w:hint="eastAsia" w:ascii="宋体" w:hAnsi="宋体" w:cs="宋体"/>
          <w:color w:val="000000" w:themeColor="text1"/>
          <w:highlight w:val="none"/>
          <w:lang w:eastAsia="zh-CN"/>
          <w14:textFill>
            <w14:solidFill>
              <w14:schemeClr w14:val="tx1"/>
            </w14:solidFill>
          </w14:textFill>
        </w:rPr>
        <w:t xml:space="preserve">江苏省高邮经济开发区管理委员会</w:t>
      </w:r>
      <w:r>
        <w:rPr>
          <w:rFonts w:hint="eastAsia" w:ascii="宋体" w:hAnsi="宋体" w:eastAsia="宋体" w:cs="宋体"/>
          <w:color w:val="000000" w:themeColor="text1"/>
          <w:highlight w:val="none"/>
          <w14:textFill>
            <w14:solidFill>
              <w14:schemeClr w14:val="tx1"/>
            </w14:solidFill>
          </w14:textFill>
        </w:rPr>
        <w:t xml:space="preserve">。</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2.2“货物”指本磋商文件中所述须向采购人提供的一切设备、机械、仪表、备件、工具、手册和其他技术资料及其他材料。</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 “服务”指根据磋商文件规定提供货物的供应商应该承担与供货有关的辅助服务，如运输、保险以及其它的伴随服务，比如安装、调试、提供技术援助、培训和其他类似的供应商应承担的义务。</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2.4“供应商”指按照本文件规定获得磋商文件并参加磋商的供应商。</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3、合格供应商</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 满足采购公告中供应商的资格条件要求的规定。</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3.2 满足本文件实质性条款的规定。</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3.3 本次采购及由此产生的合同受中华人民共和国有关的法律法规制约和保护。</w:t>
      </w:r>
      <w:r/>
    </w:p>
    <w:p>
      <w:pPr>
        <w:ind w:firstLine="440"/>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4、参加磋商费用</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4.1 供应商应自行承担所有与参加磋商有关的费用，无论磋商过程中的做法和结果如何，</w:t>
      </w:r>
      <w:r>
        <w:rPr>
          <w:rFonts w:hint="eastAsia" w:ascii="宋体" w:hAnsi="宋体" w:cs="宋体"/>
          <w:color w:val="000000" w:themeColor="text1"/>
          <w:highlight w:val="none"/>
          <w:lang w:val="en-US" w:eastAsia="zh-CN"/>
          <w14:textFill>
            <w14:solidFill>
              <w14:schemeClr w14:val="tx1"/>
            </w14:solidFill>
          </w14:textFill>
        </w:rPr>
        <w:t xml:space="preserve">中瀛国际工程管理有限公司</w:t>
      </w:r>
      <w:r>
        <w:rPr>
          <w:rFonts w:hint="eastAsia" w:ascii="宋体" w:hAnsi="宋体" w:eastAsia="宋体" w:cs="宋体"/>
          <w:color w:val="000000" w:themeColor="text1"/>
          <w:highlight w:val="none"/>
          <w14:textFill>
            <w14:solidFill>
              <w14:schemeClr w14:val="tx1"/>
            </w14:solidFill>
          </w14:textFill>
        </w:rPr>
        <w:t xml:space="preserve">(以下简称代理机构)在任何情况下均无义务和责任承担这些费用。</w:t>
      </w:r>
      <w:r/>
    </w:p>
    <w:p>
      <w:pPr>
        <w:ind w:firstLine="440"/>
        <w:spacing w:line="360"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 xml:space="preserve">4.2</w:t>
      </w:r>
      <w:r>
        <w:rPr>
          <w:rFonts w:hint="eastAsia" w:ascii="宋体" w:hAnsi="宋体" w:eastAsia="宋体" w:cs="宋体"/>
          <w:color w:val="000000" w:themeColor="text1"/>
          <w:highlight w:val="none"/>
          <w14:textFill>
            <w14:solidFill>
              <w14:schemeClr w14:val="tx1"/>
            </w14:solidFill>
          </w14:textFill>
        </w:rPr>
        <w:t xml:space="preserve">本次采购</w:t>
      </w:r>
      <w:r>
        <w:rPr>
          <w:rFonts w:hint="eastAsia" w:ascii="宋体" w:hAnsi="宋体" w:eastAsia="宋体" w:cs="宋体"/>
          <w:color w:val="000000" w:themeColor="text1"/>
          <w:highlight w:val="none"/>
          <w:lang w:val="en-US"/>
          <w14:textFill>
            <w14:solidFill>
              <w14:schemeClr w14:val="tx1"/>
            </w14:solidFill>
          </w14:textFill>
        </w:rPr>
        <w:t xml:space="preserve">招标代理费</w:t>
      </w:r>
      <w:r>
        <w:rPr>
          <w:rFonts w:hint="eastAsia" w:ascii="宋体" w:hAnsi="宋体" w:eastAsia="宋体" w:cs="宋体"/>
          <w:color w:val="000000" w:themeColor="text1"/>
          <w:highlight w:val="none"/>
          <w14:textFill>
            <w14:solidFill>
              <w14:schemeClr w14:val="tx1"/>
            </w14:solidFill>
          </w14:textFill>
        </w:rPr>
        <w:t xml:space="preserve">由</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lang w:val="en-US"/>
          <w14:textFill>
            <w14:solidFill>
              <w14:schemeClr w14:val="tx1"/>
            </w14:solidFill>
          </w14:textFill>
        </w:rPr>
        <w:t xml:space="preserve">支付；招标代理费</w:t>
      </w:r>
      <w:r>
        <w:rPr>
          <w:rFonts w:hint="eastAsia" w:ascii="宋体" w:hAnsi="宋体" w:eastAsia="宋体" w:cs="宋体"/>
          <w:color w:val="000000" w:themeColor="text1"/>
          <w:highlight w:val="none"/>
          <w14:textFill>
            <w14:solidFill>
              <w14:schemeClr w14:val="tx1"/>
            </w14:solidFill>
          </w14:textFill>
        </w:rPr>
        <w:t xml:space="preserve">按照国家计委印发的《招标代理服务收费管理暂行办法》(计价格【2002】1980 号文)</w:t>
      </w:r>
      <w:r>
        <w:rPr>
          <w:rFonts w:hint="eastAsia" w:ascii="宋体" w:hAnsi="宋体" w:eastAsia="宋体" w:cs="宋体"/>
          <w:color w:val="000000" w:themeColor="text1"/>
          <w:highlight w:val="none"/>
          <w:lang w:val="en-US" w:eastAsia="zh-CN"/>
          <w14:textFill>
            <w14:solidFill>
              <w14:schemeClr w14:val="tx1"/>
            </w14:solidFill>
          </w14:textFill>
        </w:rPr>
        <w:t xml:space="preserve">服务类</w:t>
      </w:r>
      <w:r>
        <w:rPr>
          <w:rFonts w:hint="eastAsia" w:ascii="宋体" w:hAnsi="宋体" w:eastAsia="宋体" w:cs="宋体"/>
          <w:color w:val="000000" w:themeColor="text1"/>
          <w:highlight w:val="none"/>
          <w14:textFill>
            <w14:solidFill>
              <w14:schemeClr w14:val="tx1"/>
            </w14:solidFill>
          </w14:textFill>
        </w:rPr>
        <w:t xml:space="preserve">的标准</w:t>
      </w:r>
      <w:r>
        <w:rPr>
          <w:rFonts w:hint="eastAsia" w:ascii="宋体" w:hAnsi="宋体" w:eastAsia="宋体" w:cs="宋体"/>
          <w:color w:val="000000" w:themeColor="text1"/>
          <w:highlight w:val="none"/>
          <w:lang w:val="en-US" w:eastAsia="zh-CN"/>
          <w14:textFill>
            <w14:solidFill>
              <w14:schemeClr w14:val="tx1"/>
            </w14:solidFill>
          </w14:textFill>
        </w:rPr>
        <w:t xml:space="preserve">让利8%一次性支付给招标代理机构</w:t>
      </w:r>
      <w:r>
        <w:rPr>
          <w:rFonts w:hint="eastAsia" w:ascii="宋体" w:hAnsi="宋体" w:eastAsia="宋体" w:cs="宋体"/>
          <w:color w:val="000000" w:themeColor="text1"/>
          <w:highlight w:val="none"/>
          <w:lang w:val="en-US"/>
          <w14:textFill>
            <w14:solidFill>
              <w14:schemeClr w14:val="tx1"/>
            </w14:solidFill>
          </w14:textFill>
        </w:rPr>
        <w:t xml:space="preserve">。</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rPr>
          <w:rFonts w:hint="eastAsia" w:ascii="宋体" w:hAnsi="宋体" w:eastAsia="宋体" w:cs="宋体"/>
          <w:color w:val="000000" w:themeColor="text1"/>
          <w:highlight w:val="none"/>
          <w:lang w:val="en-US"/>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专家评审费按扬财购【2020】40号文《关于进一步规范扬州市政府采购专家评审费标准的通知》执行。</w:t>
      </w:r>
      <w:bookmarkEnd w:id="6"/>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5、采购文件的约束力</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5.1 供应商一旦参加本项目采购活动，即被认为接受了本采购文件的规定和约束。</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6、采购文件构成</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6.1 采购文件有以下部分组成：</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（1）采购公告</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（2）磋商须知</w:t>
      </w:r>
      <w:r>
        <w:rPr>
          <w:rFonts w:hint="eastAsia" w:ascii="宋体" w:hAnsi="宋体" w:eastAsia="宋体" w:cs="宋体"/>
          <w:color w:val="000000" w:themeColor="text1"/>
          <w:highlight w:val="none"/>
          <w14:textFill>
            <w14:solidFill>
              <w14:schemeClr w14:val="tx1"/>
            </w14:solidFill>
          </w14:textFill>
        </w:rPr>
        <w:tab/>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（3）合同条款及格式</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（4）项目需求</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（5）评审方法与评审标准</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（6）竞争性磋商响应文件格式</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请仔细检查采购文件是否齐全，如有缺漏请立即与代理机构联系解决。</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6.2 采购的最小单位是包。采购服务数量及技术要求中未分包的，供应商对要求提供的服务不得部分响应；采购服务数量及技术要求中已经分包的，应当以包为单位响应。</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6.3 采购文件如果要求供应商提交备选响应方案的，供应商可以提交备选方案；否则，备选方案将被拒绝。</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采购文件的澄清</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7.1 任何要求对采购文件进行澄清的供应商，应在提交首次响应文件截止时间至少5日前按采购公告中的通讯地址，以书面形式通知代理机构。</w:t>
      </w:r>
      <w:r/>
    </w:p>
    <w:p>
      <w:pPr>
        <w:ind w:firstLine="4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采购文件的修改</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8.2采购文件的修改将在“</w:t>
      </w:r>
      <w:r>
        <w:rPr>
          <w:rFonts w:hint="eastAsia" w:ascii="宋体" w:hAnsi="宋体" w:eastAsia="宋体" w:cs="宋体"/>
          <w:color w:val="000000" w:themeColor="text1"/>
          <w:highlight w:val="none"/>
          <w:lang w:val="en-US"/>
          <w14:textFill>
            <w14:solidFill>
              <w14:schemeClr w14:val="tx1"/>
            </w14:solidFill>
          </w14:textFill>
        </w:rPr>
        <w:t xml:space="preserve">江苏省政府采购网</w:t>
      </w:r>
      <w:r>
        <w:rPr>
          <w:rFonts w:hint="eastAsia" w:ascii="宋体" w:hAnsi="宋体" w:eastAsia="宋体" w:cs="宋体"/>
          <w:color w:val="000000" w:themeColor="text1"/>
          <w:highlight w:val="none"/>
          <w14:textFill>
            <w14:solidFill>
              <w14:schemeClr w14:val="tx1"/>
            </w14:solidFill>
          </w14:textFill>
        </w:rPr>
        <w:t xml:space="preserve">”“扬州市政府采购网”公布，补充文件将作为采购文件的组成部分，并对供应商具有约束力。</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9、采购文件的语言、度量衡单位、货币</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9.1供应商提交的响应文件以及供应商与代理机构就有关磋商的所有来往通知、函件和文件均应使用简体中文。</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9.2 除技术性能另有规定外，采购文件所使用的度量衡单位，均须采用国家法定计量单位。</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9.3采购文件中的服务单价和总价无特殊规定的采用人民币报价，以元为单位标注。采购文件中另有规定的按规定执行。</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10、响应文件构成</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10.1磋商文件由以下部分组成</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（1）资格审查响应对照表</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（2）符合性审查响应对照表</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（3）非实质性响应对照表</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（4）磋商响应报价表 </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（5）技术参数响应及偏离表 </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（6）商务条款响应及偏离表 </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（7）其他（供应商认为有必要提供的声明和文件，如有自拟并自行添加）</w:t>
      </w:r>
      <w:r/>
    </w:p>
    <w:p>
      <w:pPr>
        <w:ind w:firstLine="44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10.2 供应商应当根据采购文件要求编制响应文件，响应文件应对采购文件提出的要求和条件作出响应，并在相应的响应文件中逐条标明满足与否。</w:t>
      </w:r>
      <w:r/>
    </w:p>
    <w:p>
      <w:pPr>
        <w:ind w:firstLine="4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11、证明供应商资格及符合采购文件规定的文件</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11.1供应商应按要求提交资格证明文件及符合采购文件规定的文件。</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11.2供应商应提交证明其有资格参加磋商和成交后有能力独立履行合同的文件。</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11.3供应商除必须具有履行合同所需提供的产品或服务的能力外，还必须具备相应的财务、技术方面的能力。</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11.4供应商应提交根据合同要求提供的证明服务质量合格以及符合采购文件规定的证明文件。</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11.5证明供应商所提供服务与采购文件的要求相一致的文件可以是手册、文字资料和数据。</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12、磋商响应报价表</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12.1 供应商应按照采购文件规定格式填报磋商响应报价表，每项服务只允许有一个报价，任何有选择的报价将不予接受。</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12.2 标的物</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采购人需求的服务供应、安装，调试及有关技术服务等。</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12.3其它费用处理</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采购文件未列明，而供应商认为必需的费用也需列入报价。</w:t>
      </w:r>
      <w:r/>
    </w:p>
    <w:p>
      <w:pPr>
        <w:ind w:firstLine="44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13、技术参数响应及偏离表、商务条款响应及偏离表及磋商服务说明</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13.1 对采购文件中的技术与商务条款要求逐项作出响应或偏离，并说明原因；</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13.2 提供参加本项目类似案例简介；</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13.3 详细阐述所投服务的主要组成部分、功能设计、实现思路及关键技术；</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13.4 供应商认为需要的其他技术文件或说明。</w:t>
      </w:r>
      <w:r/>
    </w:p>
    <w:p>
      <w:pPr>
        <w:ind w:firstLine="44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14、服务承诺及售后服务机构、人员的情况介绍</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14.1供应商的服务承诺应按不低于采购文件中商务要求的标准。</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14.2提供供应商有关售后服务的管理制度、售后服务机构的分布情况、售后服务人员的数量、素质、技术水平及售后服务的反应能力。</w:t>
      </w:r>
      <w:r/>
    </w:p>
    <w:p>
      <w:pPr>
        <w:ind w:firstLine="4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15、磋商响应函</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15.1 供应商应按照扬州市政府采购交易管理系统提供的格式完整、正确填写磋商响应函。</w:t>
      </w:r>
      <w:r/>
    </w:p>
    <w:p>
      <w:pPr>
        <w:ind w:firstLine="4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16、磋商响应有效期</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16.1 磋商响应有效期为代理机构规定的响应文件接收截止时间后</w:t>
      </w:r>
      <w:r>
        <w:rPr>
          <w:rFonts w:hint="eastAsia" w:ascii="宋体" w:hAnsi="宋体" w:eastAsia="宋体" w:cs="宋体"/>
          <w:b/>
          <w:bCs/>
          <w:color w:val="000000" w:themeColor="text1"/>
          <w:highlight w:val="none"/>
          <w:u w:val="single"/>
          <w14:textFill>
            <w14:solidFill>
              <w14:schemeClr w14:val="tx1"/>
            </w14:solidFill>
          </w14:textFill>
        </w:rPr>
        <w:t xml:space="preserve">六十（60）天</w:t>
      </w:r>
      <w:r>
        <w:rPr>
          <w:rFonts w:hint="eastAsia" w:ascii="宋体" w:hAnsi="宋体" w:eastAsia="宋体" w:cs="宋体"/>
          <w:color w:val="000000" w:themeColor="text1"/>
          <w:highlight w:val="none"/>
          <w14:textFill>
            <w14:solidFill>
              <w14:schemeClr w14:val="tx1"/>
            </w14:solidFill>
          </w14:textFill>
        </w:rPr>
        <w:t xml:space="preserve">。磋商响应有效期比规定短的将被视为非实质性响应性而予以拒绝。</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bookmarkStart w:id="7" w:name="_Toc20823297"/>
      <w:r/>
      <w:bookmarkStart w:id="8" w:name="_Toc16938541"/>
      <w:r>
        <w:rPr>
          <w:rFonts w:hint="eastAsia" w:ascii="宋体" w:hAnsi="宋体" w:eastAsia="宋体" w:cs="宋体"/>
          <w:color w:val="000000" w:themeColor="text1"/>
          <w:highlight w:val="none"/>
          <w14:textFill>
            <w14:solidFill>
              <w14:schemeClr w14:val="tx1"/>
            </w14:solidFill>
          </w14:textFill>
        </w:rPr>
        <w:t xml:space="preserve">17、响应文件</w:t>
      </w:r>
      <w:bookmarkEnd w:id="7"/>
      <w:r/>
      <w:bookmarkEnd w:id="8"/>
      <w:r>
        <w:rPr>
          <w:rFonts w:hint="eastAsia" w:ascii="宋体" w:hAnsi="宋体" w:eastAsia="宋体" w:cs="宋体"/>
          <w:color w:val="000000" w:themeColor="text1"/>
          <w:highlight w:val="none"/>
          <w14:textFill>
            <w14:solidFill>
              <w14:schemeClr w14:val="tx1"/>
            </w14:solidFill>
          </w14:textFill>
        </w:rPr>
        <w:t xml:space="preserve">的递交</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17.1 电子响应文件的递交供应商应当按照《操作手册》规定，在磋商响应截止时间前制作并上传电子响应文件。</w:t>
      </w:r>
      <w:bookmarkStart w:id="9" w:name="_Toc20823298"/>
      <w:r/>
      <w:bookmarkStart w:id="10" w:name="_Toc16938542"/>
      <w:r/>
      <w:r/>
    </w:p>
    <w:p>
      <w:pPr>
        <w:ind w:firstLine="442"/>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17.2</w:t>
      </w:r>
      <w:r>
        <w:rPr>
          <w:rFonts w:hint="eastAsia" w:ascii="宋体" w:hAnsi="宋体" w:eastAsia="宋体" w:cs="宋体"/>
          <w:b/>
          <w:bCs/>
          <w:color w:val="000000" w:themeColor="text1"/>
          <w:highlight w:val="none"/>
          <w14:textFill>
            <w14:solidFill>
              <w14:schemeClr w14:val="tx1"/>
            </w14:solidFill>
          </w14:textFill>
        </w:rPr>
        <w:t xml:space="preserve">政府采购管理交易系统（苏采云）</w:t>
      </w:r>
      <w:r>
        <w:rPr>
          <w:rFonts w:hint="eastAsia" w:ascii="宋体" w:hAnsi="宋体" w:eastAsia="宋体" w:cs="宋体"/>
          <w:b/>
          <w:color w:val="000000" w:themeColor="text1"/>
          <w:highlight w:val="none"/>
          <w14:textFill>
            <w14:solidFill>
              <w14:schemeClr w14:val="tx1"/>
            </w14:solidFill>
          </w14:textFill>
        </w:rPr>
        <w:t xml:space="preserve">相关要求是本采购文件的组成部分。</w:t>
      </w:r>
      <w:r/>
    </w:p>
    <w:p>
      <w:pPr>
        <w:ind w:firstLine="442"/>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17.3供应商应对CA证书妥善保管，如被他人盗用投标，因此带来的结果均由供应商自行承担。</w:t>
      </w:r>
      <w:r/>
    </w:p>
    <w:p>
      <w:pPr>
        <w:ind w:firstLine="442"/>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17.4供应商应当对采购文件提出的要求和条件作出实质性响应，并在电子投标系统逐条应答。</w:t>
      </w:r>
      <w:r/>
    </w:p>
    <w:p>
      <w:pPr>
        <w:ind w:firstLine="442"/>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17.5供应商应对要求提供的资格证明文件（如资质证书、资格证书）、技术资料（如白皮书、彩页、手册、检测报告等）扫描上传至投标系统。</w:t>
      </w:r>
      <w:r/>
    </w:p>
    <w:p>
      <w:pPr>
        <w:ind w:firstLine="44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17.6各供应商应在规定时间内凭CA证书进行网上解密。</w:t>
      </w:r>
      <w:r/>
    </w:p>
    <w:p>
      <w:pPr>
        <w:ind w:firstLine="442"/>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18、磋商响应截止日期</w:t>
      </w:r>
      <w:bookmarkEnd w:id="9"/>
      <w:r/>
      <w:bookmarkEnd w:id="10"/>
      <w:r/>
      <w:r/>
    </w:p>
    <w:p>
      <w:pPr>
        <w:ind w:firstLine="44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i/>
          <w:color w:val="000000" w:themeColor="text1"/>
          <w:highlight w:val="none"/>
          <w:u w:val="single"/>
          <w14:textFill>
            <w14:solidFill>
              <w14:schemeClr w14:val="tx1"/>
            </w14:solidFill>
          </w14:textFill>
        </w:rPr>
        <w:t xml:space="preserve">18.1</w:t>
      </w:r>
      <w:r>
        <w:rPr>
          <w:rFonts w:hint="eastAsia" w:ascii="宋体" w:hAnsi="宋体" w:eastAsia="宋体" w:cs="宋体"/>
          <w:bCs/>
          <w:i/>
          <w:color w:val="000000" w:themeColor="text1"/>
          <w:highlight w:val="none"/>
          <w:u w:val="single"/>
          <w14:textFill>
            <w14:solidFill>
              <w14:schemeClr w14:val="tx1"/>
            </w14:solidFill>
          </w14:textFill>
        </w:rPr>
        <w:t xml:space="preserve"> 供应商上传电子响应文件的时间不得迟于采购公告中规定的磋商响应截止时间。</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18.2 代理机构可以按照规定，通过修改采购文件延长磋商截止日期，在此情况下，供应商的所有权利和义务以及供应商受制的截止日期均应以延长后新的截止日期为准。</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bookmarkStart w:id="11" w:name="_Toc20823299"/>
      <w:r/>
      <w:bookmarkStart w:id="12" w:name="_Toc16938543"/>
      <w:r>
        <w:rPr>
          <w:rFonts w:hint="eastAsia" w:ascii="宋体" w:hAnsi="宋体" w:eastAsia="宋体" w:cs="宋体"/>
          <w:color w:val="000000" w:themeColor="text1"/>
          <w:highlight w:val="none"/>
          <w14:textFill>
            <w14:solidFill>
              <w14:schemeClr w14:val="tx1"/>
            </w14:solidFill>
          </w14:textFill>
        </w:rPr>
        <w:t xml:space="preserve">19、响应文件</w:t>
      </w:r>
      <w:bookmarkEnd w:id="11"/>
      <w:r/>
      <w:bookmarkEnd w:id="12"/>
      <w:r>
        <w:rPr>
          <w:rFonts w:hint="eastAsia" w:ascii="宋体" w:hAnsi="宋体" w:eastAsia="宋体" w:cs="宋体"/>
          <w:color w:val="000000" w:themeColor="text1"/>
          <w:highlight w:val="none"/>
          <w14:textFill>
            <w14:solidFill>
              <w14:schemeClr w14:val="tx1"/>
            </w14:solidFill>
          </w14:textFill>
        </w:rPr>
        <w:t xml:space="preserve">的拒收</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19.1代理机构拒绝接收在其规定的磋商截止时间后上传的任何响应文件。</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bookmarkStart w:id="13" w:name="_Toc20823300"/>
      <w:r/>
      <w:bookmarkStart w:id="14" w:name="_Toc16938544"/>
      <w:r>
        <w:rPr>
          <w:rFonts w:hint="eastAsia" w:ascii="宋体" w:hAnsi="宋体" w:eastAsia="宋体" w:cs="宋体"/>
          <w:color w:val="000000" w:themeColor="text1"/>
          <w:highlight w:val="none"/>
          <w14:textFill>
            <w14:solidFill>
              <w14:schemeClr w14:val="tx1"/>
            </w14:solidFill>
          </w14:textFill>
        </w:rPr>
        <w:t xml:space="preserve">20、响应文件的撤回和修改</w:t>
      </w:r>
      <w:bookmarkEnd w:id="13"/>
      <w:r/>
      <w:bookmarkEnd w:id="14"/>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 响应文件的撤回</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20.1.1 电子响应文件的撤回</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供应商可在磋商截止时间前，撤回其电子响应文件，具体操作方法见《操作手册》。</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20.1.2 供应商撤回电子响应文件，则认为其不再参与本项目磋商谈判。</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20.2 响应文件的修改</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供应商可在磋商截止时间前，对其电子响应文件进行修改，具体操作方法见《操作手册》。</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20.3 在磋商截止时间之后，供应商不得对其电子响应文件作任何修改。</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20.4 在磋商截止时间至采购文件中规定的磋商有效期满之间的这段时间内，供应商不得撤回其响应文件。</w:t>
      </w:r>
      <w:r/>
    </w:p>
    <w:p>
      <w:pPr>
        <w:ind w:firstLine="4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21、磋商</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21.1 代理机构将在采购公告中规定的时间和地点组织磋商开始仪式。供应商应当按照《操作手册》规定，参加磋商活动。</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21.2供应商在磋商过程中涉及到的响应文件解密等工作，应按照《操作手册》规定执行。</w:t>
      </w:r>
      <w:r/>
    </w:p>
    <w:p>
      <w:pPr>
        <w:ind w:firstLine="4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22、磋商小组</w:t>
      </w:r>
      <w:r/>
    </w:p>
    <w:p>
      <w:pPr>
        <w:ind w:firstLine="4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22.1</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磋商开始后，代理机构将立即组织磋商小组进行评审。</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22.2磋商小组由采购人代表和有关技术、经济等方面的专家组成，且人员构成符合政府采购有关规定。</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22.3磋商小组独立工作，负责评审有效响应文件并确定成交候选供应商。</w:t>
      </w:r>
      <w:r/>
    </w:p>
    <w:p>
      <w:pPr>
        <w:ind w:firstLine="4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23、评审过程的保密与公正</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23.1评审专家应当遵守评审工作纪律，不得泄露评审情况和评审中获悉的商业秘密。</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23.2在评审过程中，供应商不得以任何行为影响评审过程，否则其响应文件将被作为无效响应文件。</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23.3 在评审期间，代理机构将设专门工作人员与供应商联系。</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23.4 代理机构和磋商小组不向未成交的供应商解释未成交原因，也不公布评审过程中的相关细节。</w:t>
      </w:r>
      <w:r/>
    </w:p>
    <w:p>
      <w:pPr>
        <w:ind w:firstLine="4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24、磋商的澄清</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24.1评审期间，磋商小组要求供应商澄清、说明或者更正响应文件以电子函件形式提交但并非对每个供应商都作澄清要求。</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24.2接到磋商小组澄清要求的供应商应按磋商小组规定的时间和格式在</w:t>
      </w:r>
      <w:r>
        <w:rPr>
          <w:rFonts w:hint="eastAsia" w:ascii="宋体" w:hAnsi="宋体" w:eastAsia="宋体" w:cs="宋体"/>
          <w:b/>
          <w:bCs/>
          <w:color w:val="000000" w:themeColor="text1"/>
          <w:highlight w:val="none"/>
          <w14:textFill>
            <w14:solidFill>
              <w14:schemeClr w14:val="tx1"/>
            </w14:solidFill>
          </w14:textFill>
        </w:rPr>
        <w:t xml:space="preserve">“政府采购管理交易系统（苏采云）”</w:t>
      </w:r>
      <w:r>
        <w:rPr>
          <w:rFonts w:hint="eastAsia" w:ascii="宋体" w:hAnsi="宋体" w:eastAsia="宋体" w:cs="宋体"/>
          <w:color w:val="000000" w:themeColor="text1"/>
          <w:highlight w:val="none"/>
          <w14:textFill>
            <w14:solidFill>
              <w14:schemeClr w14:val="tx1"/>
            </w14:solidFill>
          </w14:textFill>
        </w:rPr>
        <w:t xml:space="preserve">中做出澄清，澄清的内容作为响应文件的补充部分。具体操作方式见</w:t>
      </w:r>
      <w:r>
        <w:rPr>
          <w:rFonts w:hint="eastAsia" w:ascii="宋体" w:hAnsi="宋体" w:eastAsia="宋体" w:cs="宋体"/>
          <w:bCs/>
          <w:color w:val="000000" w:themeColor="text1"/>
          <w:highlight w:val="none"/>
          <w14:textFill>
            <w14:solidFill>
              <w14:schemeClr w14:val="tx1"/>
            </w14:solidFill>
          </w14:textFill>
        </w:rPr>
        <w:t xml:space="preserve">《操作手册》</w:t>
      </w:r>
      <w:r>
        <w:rPr>
          <w:rFonts w:hint="eastAsia" w:ascii="宋体" w:hAnsi="宋体" w:eastAsia="宋体" w:cs="宋体"/>
          <w:color w:val="000000" w:themeColor="text1"/>
          <w:highlight w:val="none"/>
          <w14:textFill>
            <w14:solidFill>
              <w14:schemeClr w14:val="tx1"/>
            </w14:solidFill>
          </w14:textFill>
        </w:rPr>
        <w:t xml:space="preserve">。</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24.3 接到磋商小组澄清要求的供应商如未按规定做出澄清，其风险由供应商自行承担。</w:t>
      </w:r>
      <w:r/>
    </w:p>
    <w:p>
      <w:pPr>
        <w:ind w:firstLine="4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25、对响应文件的初审</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25.1响应文件初审分为资格审查和符合性审查。</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25.1.1资格审查：依据法律法规和采购文件的规定，对响应文件中的资格证明文件进行审查。以确定供应商是否具备参加磋商的资格。</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25.1.2符合性检查：依据采购文件的规定，由磋商小组从响应文件的有效性、完整性和对采购文件的响应程度进行审查，以确定是否对采购文件的实质性要求作出响应。</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25.1.3 未通过资格审查或符合性审查的供应商，代理机构将在</w:t>
      </w:r>
      <w:r>
        <w:rPr>
          <w:rFonts w:hint="eastAsia" w:ascii="宋体" w:hAnsi="宋体" w:eastAsia="宋体" w:cs="宋体"/>
          <w:b/>
          <w:bCs/>
          <w:color w:val="000000" w:themeColor="text1"/>
          <w:highlight w:val="none"/>
          <w14:textFill>
            <w14:solidFill>
              <w14:schemeClr w14:val="tx1"/>
            </w14:solidFill>
          </w14:textFill>
        </w:rPr>
        <w:t xml:space="preserve">“政府采购管理交易系统（苏采云）”</w:t>
      </w:r>
      <w:r>
        <w:rPr>
          <w:rFonts w:hint="eastAsia" w:ascii="宋体" w:hAnsi="宋体" w:eastAsia="宋体" w:cs="宋体"/>
          <w:color w:val="000000" w:themeColor="text1"/>
          <w:highlight w:val="none"/>
          <w14:textFill>
            <w14:solidFill>
              <w14:schemeClr w14:val="tx1"/>
            </w14:solidFill>
          </w14:textFill>
        </w:rPr>
        <w:t xml:space="preserve">中告知未通过资格审查或符合性审查的原因，评审结束后，代理机构将不再告知未通过资格审查或符合性审查的原因。</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25.3如果响应文件实质上没有响应采购文件的要求，磋商小组将予以拒绝，供应商不得通过修改或撤销不合要求的偏离或保留而使其响应文件成为实质性响应的文件。</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25.4 供应商在开、评标全过程中应保持通讯畅通，并安排专人与代理机构及磋商小组联系。</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26、磋商程序及评审方法和标准</w:t>
      </w:r>
      <w:r/>
    </w:p>
    <w:p>
      <w:pPr>
        <w:ind w:firstLine="44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26.1磋商程序</w:t>
      </w:r>
      <w:r/>
    </w:p>
    <w:p>
      <w:pPr>
        <w:ind w:firstLine="44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26.1.1 对于通过资格性和符合性审查的供应商，磋商小组所有成员将集中与单一供应商在“政府采购管理交易系统（苏采云）”中分别进行磋商。</w:t>
      </w:r>
      <w:r/>
    </w:p>
    <w:p>
      <w:pPr>
        <w:ind w:firstLine="44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4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 26.1.2 采购文件能够详细列明采购标的的技术、服务要求的，磋商结束后，磋商小组将要求所有实质性响应的供应商在规定时间内提交最后报价。</w:t>
      </w:r>
      <w:r/>
    </w:p>
    <w:p>
      <w:pPr>
        <w:ind w:firstLine="44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4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4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4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 评审方法和标准</w:t>
      </w:r>
      <w:r/>
    </w:p>
    <w:p>
      <w:pPr>
        <w:ind w:firstLine="44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ind w:firstLine="44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26.2.2评审标准</w:t>
      </w:r>
      <w:r/>
    </w:p>
    <w:p>
      <w:pPr>
        <w:ind w:firstLine="44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见本采购文件第五章规定。</w:t>
      </w:r>
      <w:r/>
    </w:p>
    <w:p>
      <w:pPr>
        <w:ind w:firstLine="4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27、无效响应及采购活动终止的情况</w:t>
      </w:r>
      <w:r/>
    </w:p>
    <w:p>
      <w:pPr>
        <w:ind w:firstLine="44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27.1无效响应条款</w:t>
      </w:r>
      <w:r/>
    </w:p>
    <w:p>
      <w:pPr>
        <w:ind w:firstLine="44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27.1.1 供应商未按照采购文件要求上传电子磋商响应文件的。</w:t>
      </w:r>
      <w:r/>
    </w:p>
    <w:p>
      <w:pPr>
        <w:ind w:firstLine="44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27.1.2 供应商未成功解密电子磋商响应文件的。</w:t>
      </w:r>
      <w:r/>
    </w:p>
    <w:p>
      <w:pPr>
        <w:ind w:firstLine="44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27.1.3 供应商不具备采购文件中规定资格要求的。</w:t>
      </w:r>
      <w:r/>
    </w:p>
    <w:p>
      <w:pPr>
        <w:ind w:firstLine="44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27.1.4 未通过符合性审查的。</w:t>
      </w:r>
      <w:r/>
    </w:p>
    <w:p>
      <w:pPr>
        <w:ind w:firstLine="44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27.1.5 不符合采购文件中规定的其他实质性要求和条件的（</w:t>
      </w:r>
      <w:r>
        <w:rPr>
          <w:rFonts w:hint="eastAsia" w:ascii="宋体" w:hAnsi="宋体" w:eastAsia="宋体" w:cs="宋体"/>
          <w:bCs/>
          <w:i/>
          <w:color w:val="000000" w:themeColor="text1"/>
          <w:highlight w:val="none"/>
          <w:u w:val="single"/>
          <w14:textFill>
            <w14:solidFill>
              <w14:schemeClr w14:val="tx1"/>
            </w14:solidFill>
          </w14:textFill>
        </w:rPr>
        <w:t xml:space="preserve">本采购文件中斜体且有下划线部分为实质性要求和条件）。</w:t>
      </w:r>
      <w:r/>
    </w:p>
    <w:p>
      <w:pPr>
        <w:ind w:firstLine="44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27.1.6 </w:t>
      </w:r>
      <w:r>
        <w:rPr>
          <w:rFonts w:hint="eastAsia" w:ascii="宋体" w:hAnsi="宋体" w:eastAsia="宋体" w:cs="宋体"/>
          <w:color w:val="000000" w:themeColor="text1"/>
          <w:highlight w:val="none"/>
          <w14:textFill>
            <w14:solidFill>
              <w14:schemeClr w14:val="tx1"/>
            </w14:solidFill>
          </w14:textFill>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27.1.7 本项目采购产品被财政部、国家发改委、生态环境部等列入“节能产品品目清单”强制采购范围，而供应商所磋商产品不在强制采购范围内的。</w:t>
      </w:r>
      <w:r/>
    </w:p>
    <w:p>
      <w:pPr>
        <w:ind w:firstLine="44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27.1.8 响应文件未按照采购文件要求加盖电子签章。</w:t>
      </w:r>
      <w:r/>
    </w:p>
    <w:p>
      <w:pPr>
        <w:ind w:firstLine="44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27.1.9 其他法律、法规及本采购文件规定的属无效响应的情形。</w:t>
      </w:r>
      <w:r/>
    </w:p>
    <w:p>
      <w:pPr>
        <w:ind w:firstLine="44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 </w:t>
      </w:r>
      <w:r>
        <w:rPr>
          <w:rFonts w:hint="eastAsia" w:ascii="宋体" w:hAnsi="宋体" w:eastAsia="宋体" w:cs="宋体"/>
          <w:color w:val="000000" w:themeColor="text1"/>
          <w:highlight w:val="none"/>
          <w14:textFill>
            <w14:solidFill>
              <w14:schemeClr w14:val="tx1"/>
            </w14:solidFill>
          </w14:textFill>
        </w:rPr>
        <w:t xml:space="preserve">采购活动终止的情况</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4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27.2.1 因情况变化，不再符合规定的竞争性磋商采购方式适用情形的；</w:t>
      </w:r>
      <w:r/>
    </w:p>
    <w:p>
      <w:pPr>
        <w:ind w:firstLine="44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27.2.2 出现影响采购公正的违法、违规行为的；</w:t>
      </w:r>
      <w:r/>
    </w:p>
    <w:p>
      <w:pPr>
        <w:ind w:firstLine="44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27.2.3 </w:t>
      </w:r>
      <w:r>
        <w:rPr>
          <w:rFonts w:hint="eastAsia" w:ascii="宋体" w:hAnsi="宋体" w:eastAsia="宋体" w:cs="宋体"/>
          <w:color w:val="000000" w:themeColor="text1"/>
          <w:highlight w:val="none"/>
          <w14:textFill>
            <w14:solidFill>
              <w14:schemeClr w14:val="tx1"/>
            </w14:solidFill>
          </w14:textFill>
        </w:rPr>
        <w:t xml:space="preserve">除本磋商文件第26.1.2条第三款规定的情形外，在采购过程中符合要求的供应商或者报价未超过采购预算的供应商不足3家的。</w:t>
      </w:r>
      <w:r/>
    </w:p>
    <w:p>
      <w:pPr>
        <w:ind w:firstLine="44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27.2.4 因重大变故，采购任务取消的。</w:t>
      </w:r>
      <w:r/>
    </w:p>
    <w:p>
      <w:pPr>
        <w:ind w:firstLine="4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28、确定成交单位</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28.2 采购人应根据磋商推荐的成交候选人，按照排序由高到低的原件确定成交供应商。</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28.3 代理机构将在“扬州市政府采购网”、“江苏省政府采购网”发布成交公告，公告期限为1个工作日。</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 若有充分证据证明，成交供应商出现下列情况之一的，一经查实，将被取消成交资格：</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28.4.1 提供虚假材料谋取成交的；</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28.4.2 向采购人、代理机构行贿或者提供其他不正当利益的；</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28.4.3 恶意竞争，最终总报价明显低于其自身合理成本且又无法提供证明的；</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28.4.4 属于本文件规定的无效条件，但在评审过程中又未被磋商小组发现的；</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28.4.5 与采购人或者其他供应商恶意串通的；</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28.4.6 采取不正当手段诋毁、排挤其他供应商的；</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28.4.7 不符合法律、法规的规定的。</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29、质疑处理</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对项目需求部分的质疑，潜在供应商应向采购人提出，由采购人负责答复。</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29.2.1对采购文件提出质疑的，应当在获取采购文件之日或者采购文件公告期限届满之日起7个工作日内提出。</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29.2.2对采购过程提出质疑的，为各采购程序环节结束之日起7个工作日内提出。</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29.2.3对成交结果提出质疑的，为成交结果公告期限届满之日起7个工作日内提出。</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29.4质疑函必须按照《质疑函范本》及《授权委托书》要求的格式和内容进行填写，格式见网址：http://zfcg.yangzhou.gov.cn。供应商如组成联合体参加磋商，则《质疑函范本》及《授权委托书》中要求签字、签章、加盖公章之处，联合体各方均须按要求签字、签章、加盖公章。</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29.5 代理机构及采购人只接收以纸质原件形式送达的质疑。</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采购人质疑接收人及联系方式见采购文件第一章。</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29.6代理机构收到质疑申请后，将对质疑的形式和内容进行审查，如质疑内容、格式不符合规定，代理机构将告知质疑人进行补正。</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29.7质疑人应当在法定质疑期限内进行补正并重新提交质疑函。</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 以下情形的质疑不予受理</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29.8.1 内容不符合《政府采购质疑和投诉办法》第十二条规定的质疑。</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29.8.2 超出政府采购法定期限的质疑。</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29.8.3 以传真、电子邮件等方式递交的非原件形式的质疑。</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29.8.4 未参加磋商活动的供应商或在磋商活动中自身权益未受到损害的供应商所提出的质疑。</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29.8.5供应商组成联合体参加磋商，联合体中任何一方或多方未按要求签字、签章、加盖公章的质疑。</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ind w:firstLine="4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30、成交通知书</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30.l</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成交结果确定后，代理机构将向成交供应商发出成通知书。</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30.2 成交供应商可在”扬州市政府采购交易管理系统（苏采云）”成交通知书下载模块中自行下载成交通知书。</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30.3</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40"/>
        <w:spacing w:line="360" w:lineRule="auto"/>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30.4 成交供应商需在成交通知书发出后3日内，向代理机构提供纸质响应文件并加盖公章（一正两副）。</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31、签订合同</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31.l</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成交供应商应在成交通知书发出之日起十五日内，按照采购文件确定的事项与采购人签订政府采购合同。</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31.2</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采购文件、成交供应商的响应文件及磋商过程中有关澄清、承诺文件均应作为合同附件。</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4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32、其他</w:t>
      </w:r>
      <w:r/>
    </w:p>
    <w:p>
      <w:pPr>
        <w:pStyle w:val="875"/>
        <w:ind w:firstLine="440"/>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w:t>
      </w:r>
      <w:r>
        <w:rPr>
          <w:rFonts w:hint="eastAsia" w:ascii="宋体" w:hAnsi="宋体" w:eastAsia="宋体" w:cs="宋体"/>
          <w:color w:val="000000" w:themeColor="text1"/>
          <w:sz w:val="22"/>
          <w:szCs w:val="22"/>
          <w:highlight w:val="none"/>
          <w:lang w:val="en-US"/>
          <w14:textFill>
            <w14:solidFill>
              <w14:schemeClr w14:val="tx1"/>
            </w14:solidFill>
          </w14:textFill>
        </w:rPr>
        <w:t xml:space="preserve">2</w:t>
      </w:r>
      <w:r>
        <w:rPr>
          <w:rFonts w:hint="eastAsia" w:ascii="宋体" w:hAnsi="宋体" w:eastAsia="宋体" w:cs="宋体"/>
          <w:color w:val="000000" w:themeColor="text1"/>
          <w:sz w:val="22"/>
          <w:szCs w:val="22"/>
          <w:highlight w:val="none"/>
          <w14:textFill>
            <w14:solidFill>
              <w14:schemeClr w14:val="tx1"/>
            </w14:solidFill>
          </w14:textFill>
        </w:rPr>
        <w:t xml:space="preserve">.1依据《政府采购促进中小企业发展管理办法》享受享受扶持政策获得政府采购合同的，小微企业不得将合同分包给大中型企业，中型企业不得将合同分包给大型企业。</w:t>
      </w:r>
      <w:r/>
    </w:p>
    <w:p>
      <w:pPr>
        <w:pStyle w:val="875"/>
        <w:ind w:firstLine="440"/>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w:t>
      </w:r>
      <w:r>
        <w:rPr>
          <w:rFonts w:hint="eastAsia" w:ascii="宋体" w:hAnsi="宋体" w:eastAsia="宋体" w:cs="宋体"/>
          <w:color w:val="000000" w:themeColor="text1"/>
          <w:sz w:val="22"/>
          <w:szCs w:val="22"/>
          <w:highlight w:val="none"/>
          <w:lang w:val="en-US"/>
          <w14:textFill>
            <w14:solidFill>
              <w14:schemeClr w14:val="tx1"/>
            </w14:solidFill>
          </w14:textFill>
        </w:rPr>
        <w:t xml:space="preserve">2</w:t>
      </w:r>
      <w:r>
        <w:rPr>
          <w:rFonts w:hint="eastAsia" w:ascii="宋体" w:hAnsi="宋体" w:eastAsia="宋体" w:cs="宋体"/>
          <w:color w:val="000000" w:themeColor="text1"/>
          <w:sz w:val="22"/>
          <w:szCs w:val="22"/>
          <w:highlight w:val="none"/>
          <w14:textFill>
            <w14:solidFill>
              <w14:schemeClr w14:val="tx1"/>
            </w14:solidFill>
          </w14:textFill>
        </w:rPr>
        <w:t xml:space="preserve">.2履约保证金</w:t>
      </w:r>
      <w:r/>
    </w:p>
    <w:p>
      <w:pPr>
        <w:pStyle w:val="875"/>
        <w:ind w:firstLine="440"/>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14:textFill>
            <w14:solidFill>
              <w14:schemeClr w14:val="tx1"/>
            </w14:solidFill>
          </w14:textFill>
        </w:rPr>
        <w:t xml:space="preserve">32.2.1</w:t>
      </w:r>
      <w:r>
        <w:rPr>
          <w:rFonts w:hint="eastAsia" w:ascii="宋体" w:hAnsi="宋体" w:eastAsia="宋体" w:cs="宋体"/>
          <w:color w:val="000000" w:themeColor="text1"/>
          <w:sz w:val="22"/>
          <w:szCs w:val="22"/>
          <w:highlight w:val="none"/>
          <w14:textFill>
            <w14:solidFill>
              <w14:schemeClr w14:val="tx1"/>
            </w14:solidFill>
          </w14:textFill>
        </w:rPr>
        <w:t xml:space="preserve">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875"/>
        <w:ind w:firstLine="440"/>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14:textFill>
            <w14:solidFill>
              <w14:schemeClr w14:val="tx1"/>
            </w14:solidFill>
          </w14:textFill>
        </w:rPr>
        <w:t xml:space="preserve">32.2.2</w:t>
      </w:r>
      <w:r>
        <w:rPr>
          <w:rFonts w:hint="eastAsia" w:ascii="宋体" w:hAnsi="宋体" w:eastAsia="宋体" w:cs="宋体"/>
          <w:color w:val="000000" w:themeColor="text1"/>
          <w:sz w:val="22"/>
          <w:szCs w:val="22"/>
          <w:highlight w:val="none"/>
          <w14:textFill>
            <w14:solidFill>
              <w14:schemeClr w14:val="tx1"/>
            </w14:solidFill>
          </w14:textFill>
        </w:rPr>
        <w:t xml:space="preserve">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75"/>
        <w:ind w:firstLine="440"/>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14:textFill>
            <w14:solidFill>
              <w14:schemeClr w14:val="tx1"/>
            </w14:solidFill>
          </w14:textFill>
        </w:rPr>
        <w:t xml:space="preserve">32.2.3</w:t>
      </w:r>
      <w:r>
        <w:rPr>
          <w:rFonts w:hint="eastAsia" w:ascii="宋体" w:hAnsi="宋体" w:eastAsia="宋体" w:cs="宋体"/>
          <w:color w:val="000000" w:themeColor="text1"/>
          <w:sz w:val="22"/>
          <w:szCs w:val="22"/>
          <w:highlight w:val="none"/>
          <w14:textFill>
            <w14:solidFill>
              <w14:schemeClr w14:val="tx1"/>
            </w14:solidFill>
          </w14:textFill>
        </w:rPr>
        <w:t xml:space="preserve">履约担保的方式、金额及期限:承包人在收到成交通知书后，签订合同前，向发包人缴纳成交金额</w:t>
      </w:r>
      <w:r>
        <w:rPr>
          <w:rFonts w:hint="eastAsia" w:ascii="宋体" w:hAnsi="宋体" w:cs="宋体"/>
          <w:color w:val="000000" w:themeColor="text1"/>
          <w:sz w:val="22"/>
          <w:szCs w:val="22"/>
          <w:highlight w:val="none"/>
          <w:u w:val="single"/>
          <w:lang w:val="en-US" w:eastAsia="zh-CN"/>
          <w14:textFill>
            <w14:solidFill>
              <w14:schemeClr w14:val="tx1"/>
            </w14:solidFill>
          </w14:textFill>
        </w:rPr>
        <w:t xml:space="preserve"> 5 </w:t>
      </w:r>
      <w:r>
        <w:rPr>
          <w:rFonts w:hint="eastAsia" w:ascii="宋体" w:hAnsi="宋体" w:eastAsia="宋体" w:cs="宋体"/>
          <w:color w:val="000000" w:themeColor="text1"/>
          <w:sz w:val="22"/>
          <w:szCs w:val="22"/>
          <w:highlight w:val="none"/>
          <w14:textFill>
            <w14:solidFill>
              <w14:schemeClr w14:val="tx1"/>
            </w14:solidFill>
          </w14:textFill>
        </w:rPr>
        <w:t xml:space="preserve">%的履约保证金。履约保证金用以约束成交供应商在合同履行中的行为，弥补合同执行中由于自身行为可能给采购人带来的各种损失。履约保证金以支票、汇票、本票、保函等非现金形式或转账方式缴纳或提交。</w:t>
      </w:r>
      <w:r/>
    </w:p>
    <w:p>
      <w:pPr>
        <w:pStyle w:val="875"/>
        <w:ind w:firstLine="440"/>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14:textFill>
            <w14:solidFill>
              <w14:schemeClr w14:val="tx1"/>
            </w14:solidFill>
          </w14:textFill>
        </w:rPr>
        <w:t xml:space="preserve">32.</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14:textFill>
            <w14:solidFill>
              <w14:schemeClr w14:val="tx1"/>
            </w14:solidFill>
          </w14:textFill>
        </w:rPr>
        <w:t xml:space="preserve">.4</w:t>
      </w:r>
      <w:r>
        <w:rPr>
          <w:rFonts w:hint="eastAsia" w:ascii="宋体" w:hAnsi="宋体" w:eastAsia="宋体" w:cs="宋体"/>
          <w:color w:val="000000" w:themeColor="text1"/>
          <w:sz w:val="22"/>
          <w:szCs w:val="22"/>
          <w:highlight w:val="none"/>
          <w14:textFill>
            <w14:solidFill>
              <w14:schemeClr w14:val="tx1"/>
            </w14:solidFill>
          </w14:textFill>
        </w:rPr>
        <w:t xml:space="preserve">履约保证金的退还：合同履行结束后，承包人凭发包人签署的项目验收单或项目验收报告，向</w:t>
      </w:r>
      <w:r>
        <w:rPr>
          <w:rFonts w:hint="eastAsia" w:ascii="宋体" w:hAnsi="宋体" w:eastAsia="宋体" w:cs="宋体"/>
          <w:color w:val="000000" w:themeColor="text1"/>
          <w:sz w:val="22"/>
          <w:szCs w:val="22"/>
          <w:highlight w:val="none"/>
          <w:lang w:val="en-US"/>
          <w14:textFill>
            <w14:solidFill>
              <w14:schemeClr w14:val="tx1"/>
            </w14:solidFill>
          </w14:textFill>
        </w:rPr>
        <w:t xml:space="preserve">发</w:t>
      </w:r>
      <w:r>
        <w:rPr>
          <w:rFonts w:hint="eastAsia" w:ascii="宋体" w:hAnsi="宋体" w:eastAsia="宋体" w:cs="宋体"/>
          <w:color w:val="000000" w:themeColor="text1"/>
          <w:sz w:val="22"/>
          <w:szCs w:val="22"/>
          <w:highlight w:val="none"/>
          <w14:textFill>
            <w14:solidFill>
              <w14:schemeClr w14:val="tx1"/>
            </w14:solidFill>
          </w14:textFill>
        </w:rPr>
        <w:t xml:space="preserve">包人提请办理履约保证金退还手续，</w:t>
      </w:r>
      <w:r>
        <w:rPr>
          <w:rFonts w:hint="eastAsia" w:ascii="宋体" w:hAnsi="宋体" w:eastAsia="宋体" w:cs="宋体"/>
          <w:color w:val="000000" w:themeColor="text1"/>
          <w:sz w:val="22"/>
          <w:szCs w:val="22"/>
          <w:highlight w:val="none"/>
          <w:lang w:val="en-US"/>
          <w14:textFill>
            <w14:solidFill>
              <w14:schemeClr w14:val="tx1"/>
            </w14:solidFill>
          </w14:textFill>
        </w:rPr>
        <w:t xml:space="preserve">发</w:t>
      </w:r>
      <w:r>
        <w:rPr>
          <w:rFonts w:hint="eastAsia" w:ascii="宋体" w:hAnsi="宋体" w:eastAsia="宋体" w:cs="宋体"/>
          <w:color w:val="000000" w:themeColor="text1"/>
          <w:sz w:val="22"/>
          <w:szCs w:val="22"/>
          <w:highlight w:val="none"/>
          <w14:textFill>
            <w14:solidFill>
              <w14:schemeClr w14:val="tx1"/>
            </w14:solidFill>
          </w14:textFill>
        </w:rPr>
        <w:t xml:space="preserve">包人在收到提请后</w:t>
      </w:r>
      <w:r>
        <w:rPr>
          <w:rFonts w:hint="eastAsia" w:ascii="宋体" w:hAnsi="宋体" w:eastAsia="宋体" w:cs="宋体"/>
          <w:color w:val="000000" w:themeColor="text1"/>
          <w:sz w:val="22"/>
          <w:szCs w:val="22"/>
          <w:highlight w:val="none"/>
          <w:lang w:val="en-US"/>
          <w14:textFill>
            <w14:solidFill>
              <w14:schemeClr w14:val="tx1"/>
            </w14:solidFill>
          </w14:textFill>
        </w:rPr>
        <w:t xml:space="preserve">三十</w:t>
      </w:r>
      <w:r>
        <w:rPr>
          <w:rFonts w:hint="eastAsia" w:ascii="宋体" w:hAnsi="宋体" w:eastAsia="宋体" w:cs="宋体"/>
          <w:color w:val="000000" w:themeColor="text1"/>
          <w:sz w:val="22"/>
          <w:szCs w:val="22"/>
          <w:highlight w:val="none"/>
          <w14:textFill>
            <w14:solidFill>
              <w14:schemeClr w14:val="tx1"/>
            </w14:solidFill>
          </w14:textFill>
        </w:rPr>
        <w:t xml:space="preserve">日内以非现金形式予以退还，逾期退还的，按中国人民银行同期贷款基准利率上浮20%后的利率支付超期资金占用费，但因承包人自身原因导致无法及时退还的除外。</w:t>
      </w:r>
      <w:r/>
    </w:p>
    <w:p>
      <w:pPr>
        <w:pStyle w:val="875"/>
        <w:ind w:firstLine="440"/>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14:textFill>
            <w14:solidFill>
              <w14:schemeClr w14:val="tx1"/>
            </w14:solidFill>
          </w14:textFill>
        </w:rPr>
        <w:t xml:space="preserve">32.</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pStyle w:val="875"/>
        <w:ind w:firstLine="440"/>
        <w:keepLines w:val="0"/>
        <w:keepNext w:val="0"/>
        <w:pageBreakBefore w:val="0"/>
        <w:spacing w:line="360" w:lineRule="auto"/>
        <w:widowControl w:val="off"/>
        <w:rPr>
          <w:rFonts w:hint="eastAsia" w:ascii="宋体" w:hAnsi="宋体" w:eastAsia="宋体" w:cs="宋体"/>
          <w:color w:val="000000" w:themeColor="text1"/>
          <w:sz w:val="22"/>
          <w:szCs w:val="22"/>
          <w:highlight w:val="none"/>
          <w:lang w:val="zh-CN" w:eastAsia="zh-CN" w:bidi="zh-CN"/>
          <w14:textFill>
            <w14:solidFill>
              <w14:schemeClr w14:val="tx1"/>
            </w14:solidFill>
          </w14:textFill>
        </w:rPr>
      </w:pPr>
      <w:r>
        <w:rPr>
          <w:rFonts w:hint="eastAsia" w:ascii="宋体" w:hAnsi="宋体" w:eastAsia="宋体" w:cs="宋体"/>
          <w:color w:val="000000" w:themeColor="text1"/>
          <w:sz w:val="22"/>
          <w:szCs w:val="22"/>
          <w:highlight w:val="none"/>
          <w:lang w:val="zh-CN" w:eastAsia="zh-CN" w:bidi="zh-CN"/>
          <w14:textFill>
            <w14:solidFill>
              <w14:schemeClr w14:val="tx1"/>
            </w14:solidFill>
          </w14:textFill>
        </w:rPr>
      </w:r>
      <w:r/>
    </w:p>
    <w:p>
      <w:pPr>
        <w:jc w:val="center"/>
        <w:keepLines w:val="0"/>
        <w:keepNext w:val="0"/>
        <w:widowControl/>
        <w:rPr>
          <w:color w:val="000000" w:themeColor="text1"/>
          <w:sz w:val="32"/>
          <w:szCs w:val="32"/>
          <w:highlight w:val="none"/>
          <w14:textFill>
            <w14:solidFill>
              <w14:schemeClr w14:val="tx1"/>
            </w14:solidFill>
          </w14:textFill>
        </w:rPr>
        <w:suppressLineNumbers w:val="0"/>
      </w:pPr>
      <w:r/>
      <w:bookmarkStart w:id="15" w:name="_Toc107582398"/>
      <w:r>
        <w:rPr>
          <w:rFonts w:hint="eastAsia" w:ascii="宋体" w:hAnsi="宋体" w:eastAsia="宋体" w:cs="宋体"/>
          <w:b/>
          <w:bCs/>
          <w:color w:val="000000" w:themeColor="text1"/>
          <w:sz w:val="32"/>
          <w:szCs w:val="32"/>
          <w:highlight w:val="none"/>
          <w14:textFill>
            <w14:solidFill>
              <w14:schemeClr w14:val="tx1"/>
            </w14:solidFill>
          </w14:textFill>
        </w:rPr>
        <w:t xml:space="preserve">第三章 </w:t>
      </w:r>
      <w:bookmarkEnd w:id="15"/>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政府采购合同（服务）</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项目名称：</w:t>
      </w:r>
      <w:r>
        <w:rPr>
          <w:rFonts w:hint="eastAsia" w:asciiTheme="majorEastAsia" w:hAnsiTheme="majorEastAsia" w:eastAsiaTheme="majorEastAsia" w:cstheme="majorEastAsia"/>
          <w:color w:val="000000" w:themeColor="text1"/>
          <w:sz w:val="22"/>
          <w:szCs w:val="22"/>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     编    号：</w:t>
      </w:r>
      <w:r>
        <w:rPr>
          <w:rFonts w:hint="eastAsia" w:asciiTheme="majorEastAsia" w:hAnsiTheme="majorEastAsia" w:eastAsiaTheme="majorEastAsia" w:cstheme="majorEastAsia"/>
          <w:color w:val="000000" w:themeColor="text1"/>
          <w:sz w:val="22"/>
          <w:szCs w:val="22"/>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甲方（采购人/买方）：</w:t>
      </w:r>
      <w:r>
        <w:rPr>
          <w:rFonts w:hint="eastAsia" w:asciiTheme="majorEastAsia" w:hAnsiTheme="majorEastAsia" w:eastAsiaTheme="majorEastAsia" w:cstheme="majorEastAsia"/>
          <w:color w:val="000000" w:themeColor="text1"/>
          <w:sz w:val="22"/>
          <w:szCs w:val="22"/>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乙方（供应商/卖方）：</w:t>
      </w:r>
      <w:r>
        <w:rPr>
          <w:rFonts w:hint="eastAsia" w:asciiTheme="majorEastAsia" w:hAnsiTheme="majorEastAsia" w:eastAsiaTheme="majorEastAsia" w:cstheme="majorEastAsia"/>
          <w:color w:val="000000" w:themeColor="text1"/>
          <w:sz w:val="22"/>
          <w:szCs w:val="22"/>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根据《中华人民共和国政府采购法》、《中华人民共和国民法典》等法律法规的规定，甲乙双方按照本项目招标结果签订本合同。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1、合同标的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乙方根据甲方需求，提供下列服务：</w:t>
      </w:r>
      <w:r>
        <w:rPr>
          <w:rFonts w:hint="eastAsia" w:asciiTheme="majorEastAsia" w:hAnsiTheme="majorEastAsia" w:eastAsiaTheme="majorEastAsia" w:cstheme="majorEastAsia"/>
          <w:color w:val="000000" w:themeColor="text1"/>
          <w:sz w:val="22"/>
          <w:szCs w:val="22"/>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 。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服务内容等要求详见招投标文件。</w:t>
      </w: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2、合同总金额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2.1 本合同金额为（大写）：_______________________________元人民币（¥_____元）。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2.2 本合同总金额包括乙方提供的服务及其他有关的为完成本项目发生的所有费用，招标文件中另有规定的除外。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2.3 在招标文件未列明，而乙方认为履行本合同必需的费用也包含在合同总金额中。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2.4 本合同总金额还包含乙方提供的伴随服务/售后服务费用。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3、组成本合同的有关文件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3.1 乙方应按招标文件规定的时间向甲方提供服务的有关技术资料。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3.2 没有甲方事先书面同意，乙方不得将由甲方提供的有关合同或任何合同条文或资料提供给任何其他人。即使向履行本合同有关的人员提供，也应注意保密并限于履行合同的必需范围。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3.3 关于本项目政府采购的招投标文件或与本次采购活动方式相适应的文件及有关附件是本合同不可分割的组成部分，这些文件包括但不限于：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（1）投标响应文件；        （2）投标报价文件；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（3）项目组人员表          （4）技术参数、商务条款响应及偏离表；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（5）服务承诺；            （6）中标通知书；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（7）甲乙双方补充协议；    （8）乙方投标时提供的响应文件。</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4、知识产权保证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乙方保证甲方在使用、接受本合同服务或其任何一部分时，不受第三方提出侵犯其专利权、版权、商标权和工业设计权等知识产权的起诉。一旦出现侵权，由乙方负全部责任。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5、产权保证 </w:t>
      </w: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乙方保证所交付的服务和服务所涉及的物品所有权无任何抵押、查封等权利瑕疵。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6、履约保证金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6.1 收取履约保证金的，允许成交单位自主选择支票、汇票、本票、保函等非现金形式缴纳或提交，应当在采购合同中约定履约保证金退还的方式、时间、条件和不予退还的情形，明确逾期退还履约保证金的违约责任。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6.2 履约保证金用以约束乙方在合同履行中的行为，以及弥补合同履行中由于乙方自身行为可能给甲方带来的各种损失；若履约保证金额不足以弥补乙方违约造成甲方损失的，甲方可继续向乙方主张索赔。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6.3 履约保证金扣除甲方应得的补偿后的余额，在本合同履行结束后由甲方无息退还。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6.4 履约保证收取：收取履约保证金。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7、转包或分包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7.1 本合同禁止转包，本合同范围的服务，应由乙方直接提供的，不得转让他人提供。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7.2 经甲方同意，乙方可以依法采取分包方式履行合同，但是分包方式履行的，乙方应就采购项目向甲方负全责。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8、服务期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8.1 服务期：</w:t>
      </w:r>
      <w:r>
        <w:rPr>
          <w:rFonts w:hint="eastAsia" w:asciiTheme="majorEastAsia" w:hAnsiTheme="majorEastAsia" w:eastAsiaTheme="majorEastAsia" w:cstheme="majorEastAsia"/>
          <w:color w:val="000000" w:themeColor="text1"/>
          <w:sz w:val="22"/>
          <w:szCs w:val="22"/>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9、交付期、交付方式及交付地点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9.1 交付期：_________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9.2 交付方式：_________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9.3 交付地点：</w:t>
      </w:r>
      <w:r>
        <w:rPr>
          <w:rFonts w:hint="eastAsia" w:asciiTheme="majorEastAsia" w:hAnsiTheme="majorEastAsia" w:eastAsiaTheme="majorEastAsia" w:cstheme="majorEastAsia"/>
          <w:color w:val="000000" w:themeColor="text1"/>
          <w:sz w:val="22"/>
          <w:szCs w:val="22"/>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10、货款支付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10.1 本合同项下所有款项均以人民币支付。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10.2 本合同项下的采购资金由甲方支付，付款前乙方向甲方开具发票。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10.3 甲方付款方式： </w:t>
      </w:r>
      <w:r/>
    </w:p>
    <w:p>
      <w:pPr>
        <w:jc w:val="left"/>
        <w:keepLines w:val="0"/>
        <w:keepNext w:val="0"/>
        <w:pageBreakBefore w:val="0"/>
        <w:spacing w:line="360" w:lineRule="auto"/>
        <w:widowControl/>
        <w:rPr>
          <w:rFonts w:hint="eastAsia" w:asciiTheme="majorEastAsia" w:hAnsiTheme="majorEastAsia" w:eastAsiaTheme="majorEastAsia" w:cstheme="majorEastAsia"/>
          <w:b w:val="0"/>
          <w:bCs w:val="0"/>
          <w:color w:val="000000" w:themeColor="text1"/>
          <w:sz w:val="22"/>
          <w:szCs w:val="22"/>
          <w:highlight w:val="none"/>
          <w:lang w:val="en-US" w:eastAsia="zh-CN" w:bidi="ar"/>
          <w14:textFill>
            <w14:solidFill>
              <w14:schemeClr w14:val="tx1"/>
            </w14:solidFill>
          </w14:textFill>
        </w:rPr>
        <w:suppressLineNumbers w:val="0"/>
      </w:pPr>
      <w:r>
        <w:rPr>
          <w:rFonts w:hint="eastAsia" w:asciiTheme="majorEastAsia" w:hAnsiTheme="majorEastAsia" w:eastAsiaTheme="majorEastAsia" w:cstheme="majorEastAsia"/>
          <w:b w:val="0"/>
          <w:bCs w:val="0"/>
          <w:color w:val="000000" w:themeColor="text1"/>
          <w:sz w:val="22"/>
          <w:szCs w:val="22"/>
          <w:highlight w:val="none"/>
          <w:lang w:val="en-US" w:eastAsia="zh-CN" w:bidi="ar"/>
          <w14:textFill>
            <w14:solidFill>
              <w14:schemeClr w14:val="tx1"/>
            </w14:solidFill>
          </w14:textFill>
        </w:rPr>
        <w:t xml:space="preserve">乙方提交送审稿、中国开发区审核公告目录（最新版）发布后甲方应向乙方支付付款合同额的40%，项目完成并获得审查意见后付款至100%。付款时，乙方应提供正规发票。</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11、税费 </w:t>
      </w: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本合同执行中相关的一切税费均由乙方负担。</w:t>
      </w: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 </w:t>
      </w:r>
      <w:r/>
    </w:p>
    <w:p>
      <w:pPr>
        <w:numPr>
          <w:ilvl w:val="0"/>
          <w:numId w:val="1"/>
        </w:numPr>
        <w:jc w:val="left"/>
        <w:keepLines w:val="0"/>
        <w:keepNext w:val="0"/>
        <w:pageBreakBefore w:val="0"/>
        <w:spacing w:line="360" w:lineRule="auto"/>
        <w:widowControl/>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质量保证及售后服务 </w:t>
      </w:r>
      <w:r/>
    </w:p>
    <w:p>
      <w:pPr>
        <w:numPr>
          <w:ilvl w:val="0"/>
          <w:numId w:val="0"/>
        </w:num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12.1 乙方应按招标文件规定及响应文件承诺的技术性能、技术要求、质量标准向甲方提供服务；若无特殊说明，则按国家有关部门最新颁布的标准及规范为准。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12.2 乙方应保证其提供的服务是全面和规范的，并完全符合招投标文件。如因乙方提供的服务有瑕疵造成甲方损失的，所需费用由乙方承担。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12.3 如在使用过程中发生质量问题，乙方在接到甲方通知后在_________小时内到达甲方现场。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12.4 免费维保期内，乙方应对所提供服务出现的质量及安全问题负责处理解决并承担一切费用。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13、交付和验收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13.1 乙方应当在合同签订后</w:t>
      </w:r>
      <w:r>
        <w:rPr>
          <w:rFonts w:hint="eastAsia" w:asciiTheme="majorEastAsia" w:hAnsiTheme="majorEastAsia" w:eastAsiaTheme="majorEastAsia" w:cstheme="majorEastAsia"/>
          <w:color w:val="000000" w:themeColor="text1"/>
          <w:sz w:val="22"/>
          <w:szCs w:val="22"/>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天内完成服务事项，招标文件有约定的，从其约定。在交付前，乙方应作出全面检查和对验收文件进行整理，并列出清单，作为甲方初验收和使用的技术条件依据，检验的结果交甲方。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13.2 验收标准：按乙方投标文件的承诺，并不低于国家相关标准。对于乙方要交付的服务，甲乙双方须在 工作日内初验收，甲方对乙方提交的服务依据招标文件上的技术要求和国家有关质量标准进行现场初步验收，外观、说明书、包装符合招标文件技术要求的，给予签收，初步验收不合格的不予签收。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13.3 乙方按照招标文件要求负责安装并培训甲方的使用操作人员，乙方在甲方使用前进行调试，调试直到符合技术要求的甲方才做最终验收。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13.5 甲乙双方关于调试和验收的其他约定：</w:t>
      </w:r>
      <w:r>
        <w:rPr>
          <w:rFonts w:hint="eastAsia" w:asciiTheme="majorEastAsia" w:hAnsiTheme="majorEastAsia" w:eastAsiaTheme="majorEastAsia" w:cstheme="majorEastAsia"/>
          <w:color w:val="000000" w:themeColor="text1"/>
          <w:sz w:val="22"/>
          <w:szCs w:val="22"/>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14、交付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14.1 服务在交付甲方前发生的风险均由乙方负责。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14.2 服务在规定的交付期限内由乙方送达甲方指定的地点。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15、违约责任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15.1 甲方无正当理由拒绝初验收和终验收服务项目的，甲方应按未付服务项目款金额每日万分之五向乙方支付违约金。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15.2 甲方无故逾期验收和无故逾期办理款项支付手续的,甲方应按逾期付款金额每日万分之五向乙方支付违约金。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15.3 乙方违约，在消除违约情形前，应按本合同项目总额每日万分之五向甲方支付违约金，甲方可以从待付款项中扣除。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15.4 乙方因逾期交付服务项目或因其他违约行为，导致甲方解除合同的，乙方应向甲方支付合同总值5%的违约金，如造成甲方损失超过违约金的，超出部分由乙方继续承担赔偿责任。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15.5 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15.6 合同生效后，发现乙方投标属虚假承诺，或经权威部门监测提供的服务不能满足招标文件要求，造成合同无法继续履行的，乙方履约保证金不予退还外，还应向甲方支付不少于合同总价</w:t>
      </w:r>
      <w:r>
        <w:rPr>
          <w:rFonts w:hint="eastAsia" w:asciiTheme="majorEastAsia" w:hAnsiTheme="majorEastAsia" w:eastAsiaTheme="majorEastAsia" w:cstheme="majorEastAsia"/>
          <w:color w:val="000000" w:themeColor="text1"/>
          <w:sz w:val="22"/>
          <w:szCs w:val="22"/>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%赔偿金。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16、不可抗力事件处理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16.2 不可抗力事件发生后，应立即通知对方，并寄送有关权威机构出具的证明。除甲方书面另行要求外，乙方应尽实际可能继续履行合同义务，以及寻求采取合理的方案履行不受不可抗力影响的其他事项。若不可抗力事件延续 120 天以上，双方应通过友好协商，确定是否继续履行合同。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17、争议解决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17.1 因服务的品质质量问题发生争议的，可在国家认可的质量检测机构对服务内容质量进行鉴定。服务符合标准的，鉴定费由甲方承担；服务项目不符合质量标准的，鉴定费由乙方承担。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17.2 因履行本合同引起的或与本合同有关的争议，甲、乙双方应首先通过友好协商解决；如果协商不能解决争议，甲乙双方同意采取下列两种方式的第（1）种方式解决争议：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（1）向甲方所在地有管辖权的人民法院提起诉讼，适用中华人民共和国法律；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（2）向高邮仲裁委员会按其仲裁规则申请仲裁。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17.3 若甲乙双方任何一方都没有选择解除合同的，为避免扩大损失，在诉讼或仲裁期间，双方应继续履行。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22"/>
          <w:szCs w:val="22"/>
          <w:highlight w:val="none"/>
          <w:lang w:val="en-US" w:eastAsia="zh-CN" w:bidi="ar"/>
          <w14:textFill>
            <w14:solidFill>
              <w14:schemeClr w14:val="tx1"/>
            </w14:solidFill>
          </w14:textFill>
        </w:rPr>
        <w:t xml:space="preserve">18、合同其它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18.1 乙方应诚实信用，严格按照招标文件要求和投标承诺履行合同，不向甲方进行商业贿赂或者提供不正当利益。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18.2 合同经双方法定代表人或授权代表签字并加盖单位公章，并经招标代理机构见证盖章后生效。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18.2 本合同未尽事宜，遵照《民法典》有关条文执行。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18.3 本合同正本一式伍份，具有同等法律效力，甲方、乙方各执贰份、代理方执壹份。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甲方：                                        乙方：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地址：                                        地址：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法定代表人或授权代表：                        法定代表人或授权代表：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联系电话：                                    联系电话：</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日期： 年 月 日                               日期： 年 月 日</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见证方： </w:t>
      </w:r>
      <w:r/>
    </w:p>
    <w:p>
      <w:pPr>
        <w:jc w:val="left"/>
        <w:keepLines w:val="0"/>
        <w:keepNext w:val="0"/>
        <w:pageBreakBefore w:val="0"/>
        <w:spacing w:line="360" w:lineRule="auto"/>
        <w:widowControl/>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2"/>
          <w:szCs w:val="22"/>
          <w:highlight w:val="none"/>
          <w:lang w:val="en-US" w:eastAsia="zh-CN" w:bidi="ar"/>
          <w14:textFill>
            <w14:solidFill>
              <w14:schemeClr w14:val="tx1"/>
            </w14:solidFill>
          </w14:textFill>
        </w:rPr>
        <w:t xml:space="preserve">日期：     年   月   日</w:t>
      </w:r>
      <w:r/>
    </w:p>
    <w:p>
      <w:pPr>
        <w:ind w:firstLine="420"/>
        <w:jc w:val="right"/>
        <w:keepLines w:val="0"/>
        <w:keepNext w:val="0"/>
        <w:pageBreakBefore w:val="0"/>
        <w:spacing w:line="480" w:lineRule="auto"/>
        <w:widowControl w:val="off"/>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r>
      <w:r/>
    </w:p>
    <w:p>
      <w:pPr>
        <w:jc w:val="center"/>
        <w:keepLines w:val="0"/>
        <w:keepNext w:val="0"/>
        <w:pageBreakBefore w:val="0"/>
        <w:spacing w:line="360" w:lineRule="auto"/>
        <w:widowControl/>
        <w:rPr>
          <w:rFonts w:hint="eastAsia" w:asciiTheme="majorEastAsia" w:hAnsiTheme="majorEastAsia" w:eastAsiaTheme="majorEastAsia" w:cstheme="majorEastAsia"/>
          <w:b/>
          <w:bCs/>
          <w:color w:val="000000" w:themeColor="text1"/>
          <w:sz w:val="32"/>
          <w:szCs w:val="32"/>
          <w:highlight w:val="none"/>
          <w:lang w:val="en-US" w:eastAsia="zh-CN" w:bidi="ar"/>
          <w14:textFill>
            <w14:solidFill>
              <w14:schemeClr w14:val="tx1"/>
            </w14:solidFill>
          </w14:textFill>
        </w:rPr>
        <w:suppressLineNumbers w:val="0"/>
      </w:pPr>
      <w:r>
        <w:rPr>
          <w:rFonts w:hint="eastAsia" w:asciiTheme="majorEastAsia" w:hAnsiTheme="majorEastAsia" w:eastAsiaTheme="majorEastAsia" w:cstheme="majorEastAsia"/>
          <w:b/>
          <w:bCs/>
          <w:color w:val="000000" w:themeColor="text1"/>
          <w:sz w:val="32"/>
          <w:szCs w:val="32"/>
          <w:highlight w:val="none"/>
          <w:lang w:val="en-US" w:eastAsia="zh-CN" w:bidi="ar"/>
          <w14:textFill>
            <w14:solidFill>
              <w14:schemeClr w14:val="tx1"/>
            </w14:solidFill>
          </w14:textFill>
        </w:rPr>
        <w:t xml:space="preserve">第四部分  采购项目需求</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1、项目名称</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高邮经济开发区规划环评修编服务项目</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2、项目背景及范围</w:t>
      </w:r>
      <w:r/>
    </w:p>
    <w:p>
      <w:pPr>
        <w:ind w:firstLine="48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江苏省高邮经济开发区位于江苏省高邮市区以北，于1993年被江苏省人民政府列为省级开发区；因高邮经济开发区拟对现有规划范围、产业定位进行调整，根据《规划环境影响评价条例》，需重新开展规划环评修编工作</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具体名称以最终获批规划定。</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3、服务内容</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照国家有关标准、技术导则，结合修编后的江苏省高邮经济开发区开发建设规划，开展江苏省高邮经济开发区开发建设规划环境影响评价修编工作，主要服务内容包括但不限于环境现状调查、规划影响预测分析、规划方案合理性分析、提出规划方案的优化调整建议和减缓措施，公众参与、专家评审等与环境影响评价有关的所有内容。</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现场踏勘及资料收集：对规划范围内及周边的现状环境敏感点、工业企业及自然生态环境进行现场勘查；收集区内现有工业企业环评报告、现状排污情况及环保设施情况等资料。</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环境质量现状监测：汇总收集资料，针对区内企业行业特点，进行特征因子判定，并结合规划用地现状布局及规划环境保护目标，形成环境质量监测方案，进行环境质量现状监测。</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公众参与调查：在评价过程中同步开展公众参与调查工作。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环境影响评价报告编制：在上述基础上进行规划的相符性、区域环境容量、资源环境承载力等分析，评价规划实施对区域大气环境、水环境、声环境、生态环境等方面的影响，论证园区的选址、发展规模、布局、产业结构及环保设施的合理性，提出预防或者减轻不良环境影响的对策和措施，给出“三线一单”等准入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报告评审、修改及上报：完成报告评审、修改及最终上报工作，获得省生态环境厅审查意见。</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4、服务期限与成果提交</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1）合同履行期：合同签订后，乙方应协助甲方开展报送、审批工作，直至取得审查意见。</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2）成果提交：完成《江苏省高邮经济开发区开发建设规划（修编）环境影响评价报告书》编制及审批工作。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具体名称以最终获批规划定。</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5、招标限价及付款方式</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1）招标限价：330万；</w:t>
      </w:r>
      <w:r/>
    </w:p>
    <w:p>
      <w:pPr>
        <w:ind w:firstLine="480"/>
        <w:spacing w:line="360"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2）付款方式：</w:t>
      </w:r>
      <w:r>
        <w:rPr>
          <w:rFonts w:hint="eastAsia" w:asciiTheme="majorEastAsia" w:hAnsiTheme="majorEastAsia" w:eastAsiaTheme="majorEastAsia" w:cstheme="majorEastAsia"/>
          <w:b w:val="0"/>
          <w:bCs w:val="0"/>
          <w:color w:val="000000" w:themeColor="text1"/>
          <w:sz w:val="22"/>
          <w:szCs w:val="22"/>
          <w:highlight w:val="none"/>
          <w:lang w:val="en-US" w:eastAsia="zh-CN" w:bidi="ar"/>
          <w14:textFill>
            <w14:solidFill>
              <w14:schemeClr w14:val="tx1"/>
            </w14:solidFill>
          </w14:textFill>
        </w:rPr>
        <w:t xml:space="preserve">乙方提交送审稿、中国开发区审核公告目录（最新版）发布后甲方应向乙方支付付款合同额的40%，项目完成并获得审查意见后付款至100%。付款时，乙方应提供正规发票。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0"/>
          <w:szCs w:val="2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0"/>
          <w:szCs w:val="21"/>
          <w:highlight w:val="none"/>
          <w14:textFill>
            <w14:solidFill>
              <w14:schemeClr w14:val="tx1"/>
            </w14:solidFill>
          </w14:textFill>
        </w:rPr>
      </w:r>
      <w:r/>
    </w:p>
    <w:p>
      <w:pPr>
        <w:pStyle w:val="869"/>
        <w:ind w:left="0" w:firstLine="0"/>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第五章 评审方法及评审标准</w:t>
      </w:r>
      <w:r/>
    </w:p>
    <w:p>
      <w:pPr>
        <w:pStyle w:val="884"/>
        <w:ind w:firstLine="442"/>
        <w:spacing w:line="24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一、评审方法</w:t>
      </w:r>
      <w:r/>
    </w:p>
    <w:p>
      <w:pPr>
        <w:ind w:firstLine="44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42"/>
        <w:spacing w:line="240" w:lineRule="auto"/>
        <w:rPr>
          <w:rFonts w:hint="eastAsia" w:ascii="宋体" w:hAnsi="宋体" w:eastAsia="宋体" w:cs="宋体"/>
          <w:b/>
          <w:color w:val="000000" w:themeColor="text1"/>
          <w:szCs w:val="21"/>
          <w:highlight w:val="none"/>
          <w14:textFill>
            <w14:solidFill>
              <w14:schemeClr w14:val="tx1"/>
            </w14:solidFill>
          </w14:textFill>
        </w:rPr>
      </w:pPr>
      <w:r/>
      <w:bookmarkStart w:id="16" w:name="_Toc449016388"/>
      <w:r/>
      <w:bookmarkStart w:id="17" w:name="_Toc449017024"/>
      <w:r>
        <w:rPr>
          <w:rFonts w:hint="eastAsia" w:ascii="宋体" w:hAnsi="宋体" w:eastAsia="宋体" w:cs="宋体"/>
          <w:b/>
          <w:color w:val="000000" w:themeColor="text1"/>
          <w:highlight w:val="none"/>
          <w14:textFill>
            <w14:solidFill>
              <w14:schemeClr w14:val="tx1"/>
            </w14:solidFill>
          </w14:textFill>
        </w:rPr>
        <w:t xml:space="preserve">二、政府采购政策功能落实</w:t>
      </w:r>
      <w:bookmarkEnd w:id="16"/>
      <w:r/>
      <w:bookmarkEnd w:id="17"/>
      <w:r/>
      <w:r/>
    </w:p>
    <w:p>
      <w:pPr>
        <w:ind w:firstLine="44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4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1、小微型企业价格扣除</w:t>
      </w:r>
      <w:r/>
    </w:p>
    <w:p>
      <w:pPr>
        <w:ind w:firstLine="44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（1）本项目对小型和微型企业产品给予20%的扣除价格，用扣除后的价格参与评审。</w:t>
      </w:r>
      <w:r/>
    </w:p>
    <w:p>
      <w:pPr>
        <w:ind w:firstLine="44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（2）供应商需按照采购文件的要求提供相应的《企业声明函》。</w:t>
      </w:r>
      <w:r/>
    </w:p>
    <w:p>
      <w:pPr>
        <w:ind w:firstLine="44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2、残疾人福利单位价格扣除</w:t>
      </w:r>
      <w:r/>
    </w:p>
    <w:p>
      <w:pPr>
        <w:ind w:firstLine="44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（1）本项目对残疾人福利性单位视同小型、微型企业，给予20%的价格扣除，用扣除后的价格参与评审。</w:t>
      </w:r>
      <w:r/>
    </w:p>
    <w:p>
      <w:pPr>
        <w:ind w:firstLine="44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（2）残疾人福利单位需按照采购文件的要求提供《残疾人福利性单位声明函》。</w:t>
      </w:r>
      <w:r/>
    </w:p>
    <w:p>
      <w:pPr>
        <w:ind w:firstLine="44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（3）残疾人福利单位标准请参照《关于促进残疾人就业政府采购政策的通知》（财库〔2017〕141号）。</w:t>
      </w:r>
      <w:r/>
    </w:p>
    <w:p>
      <w:pPr>
        <w:ind w:firstLine="44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3、监狱和戒毒企业价格扣除</w:t>
      </w:r>
      <w:r/>
    </w:p>
    <w:p>
      <w:pPr>
        <w:ind w:firstLine="44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（1）本项目对监狱和戒毒企业（简称监狱企业）视同小型、微型企业，给予20%的价格扣除，用扣除后的价格参与评审。</w:t>
      </w:r>
      <w:r/>
    </w:p>
    <w:p>
      <w:pPr>
        <w:ind w:firstLine="44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4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ind w:firstLine="44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4、残疾人福利单位、监狱企业属于小型、微型企业的，不重复享受政策。</w:t>
      </w:r>
      <w:r/>
    </w:p>
    <w:p>
      <w:pPr>
        <w:ind w:firstLine="44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4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6、联合体各方均为小型、微型企业（残疾人福利单位、监狱企业）的，联合体享受20%价格扣除，用扣除后的价格参与评审。</w:t>
      </w:r>
      <w:r/>
    </w:p>
    <w:p>
      <w:pPr>
        <w:pStyle w:val="885"/>
        <w:ind w:left="0" w:firstLine="440"/>
        <w:spacing w:line="240" w:lineRule="auto"/>
        <w:tabs>
          <w:tab w:val="left" w:pos="641"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注：本项目专门面对中小企业采购，故对小微、残疾人和监狱戒毒企业不做价格扣除优惠。</w:t>
      </w:r>
      <w:r/>
    </w:p>
    <w:p>
      <w:pPr>
        <w:pStyle w:val="885"/>
        <w:ind w:left="0" w:firstLine="440"/>
        <w:spacing w:line="240" w:lineRule="auto"/>
        <w:tabs>
          <w:tab w:val="left" w:pos="641"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三、评审标准</w:t>
      </w:r>
      <w:r/>
    </w:p>
    <w:p>
      <w:pPr>
        <w:rPr>
          <w:rFonts w:hint="eastAsia" w:ascii="宋体" w:hAnsi="宋体" w:eastAsia="宋体" w:cs="宋体"/>
          <w:color w:val="000000" w:themeColor="text1"/>
          <w:sz w:val="20"/>
          <w:szCs w:val="2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0"/>
          <w:szCs w:val="21"/>
          <w:highlight w:val="none"/>
          <w14:textFill>
            <w14:solidFill>
              <w14:schemeClr w14:val="tx1"/>
            </w14:solidFill>
          </w14:textFill>
        </w:rPr>
      </w:r>
      <w:r/>
    </w:p>
    <w:tbl>
      <w:tblPr>
        <w:tblStyle w:val="882"/>
        <w:tblW w:w="9610" w:type="dxa"/>
        <w:tblInd w:w="-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5"/>
        <w:gridCol w:w="1436"/>
        <w:gridCol w:w="6969"/>
      </w:tblGrid>
      <w:tr>
        <w:trPr>
          <w:trHeight w:val="535"/>
        </w:trPr>
        <w:tc>
          <w:tcPr>
            <w:gridSpan w:val="2"/>
            <w:tcMar>
              <w:left w:w="108" w:type="dxa"/>
              <w:top w:w="0" w:type="dxa"/>
              <w:right w:w="108" w:type="dxa"/>
              <w:bottom w:w="0" w:type="dxa"/>
            </w:tcMar>
            <w:tcW w:w="2641" w:type="dxa"/>
            <w:vAlign w:val="center"/>
            <w:textDirection w:val="lrTb"/>
            <w:noWrap w:val="false"/>
          </w:tcPr>
          <w:p>
            <w:pPr>
              <w:jc w:val="center"/>
              <w:spacing w:line="240" w:lineRule="auto"/>
              <w:rPr>
                <w:rFonts w:hint="eastAsia" w:ascii="宋体" w:hAnsi="宋体" w:eastAsia="宋体" w:cs="宋体"/>
                <w:b/>
                <w:bCs/>
                <w:color w:val="000000" w:themeColor="text1"/>
                <w:sz w:val="22"/>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2"/>
                <w:szCs w:val="20"/>
                <w:highlight w:val="none"/>
                <w14:textFill>
                  <w14:solidFill>
                    <w14:schemeClr w14:val="tx1"/>
                  </w14:solidFill>
                </w14:textFill>
              </w:rPr>
              <w:t xml:space="preserve">分项目</w:t>
            </w:r>
            <w:r/>
          </w:p>
        </w:tc>
        <w:tc>
          <w:tcPr>
            <w:tcMar>
              <w:left w:w="108" w:type="dxa"/>
              <w:top w:w="0" w:type="dxa"/>
              <w:right w:w="108" w:type="dxa"/>
              <w:bottom w:w="0" w:type="dxa"/>
            </w:tcMar>
            <w:tcW w:w="6969" w:type="dxa"/>
            <w:vAlign w:val="center"/>
            <w:textDirection w:val="lrTb"/>
            <w:noWrap w:val="false"/>
          </w:tcPr>
          <w:p>
            <w:pPr>
              <w:jc w:val="center"/>
              <w:spacing w:line="240" w:lineRule="auto"/>
              <w:rPr>
                <w:rFonts w:hint="eastAsia" w:ascii="宋体" w:hAnsi="宋体" w:eastAsia="宋体" w:cs="宋体"/>
                <w:b/>
                <w:bCs/>
                <w:color w:val="000000" w:themeColor="text1"/>
                <w:sz w:val="22"/>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szCs w:val="20"/>
                <w:highlight w:val="none"/>
                <w14:textFill>
                  <w14:solidFill>
                    <w14:schemeClr w14:val="tx1"/>
                  </w14:solidFill>
                </w14:textFill>
              </w:rPr>
              <w:t xml:space="preserve">评 分 标 准</w:t>
            </w:r>
            <w:r/>
          </w:p>
        </w:tc>
      </w:tr>
      <w:tr>
        <w:trPr>
          <w:trHeight w:val="90"/>
        </w:trPr>
        <w:tc>
          <w:tcPr>
            <w:gridSpan w:val="2"/>
            <w:tcMar>
              <w:left w:w="108" w:type="dxa"/>
              <w:top w:w="0" w:type="dxa"/>
              <w:right w:w="108" w:type="dxa"/>
              <w:bottom w:w="0" w:type="dxa"/>
            </w:tcMar>
            <w:tcW w:w="2641" w:type="dxa"/>
            <w:vAlign w:val="center"/>
            <w:textDirection w:val="lrTb"/>
            <w:noWrap w:val="false"/>
          </w:tcPr>
          <w:p>
            <w:pPr>
              <w:jc w:val="center"/>
              <w:spacing w:line="240" w:lineRule="auto"/>
              <w:tabs>
                <w:tab w:val="left" w:pos="720" w:leader="none"/>
              </w:tabs>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价格部分</w:t>
            </w:r>
            <w:r/>
          </w:p>
          <w:p>
            <w:pPr>
              <w:jc w:val="center"/>
              <w:spacing w:line="240" w:lineRule="auto"/>
              <w:rPr>
                <w:rFonts w:hint="eastAsia" w:ascii="宋体" w:hAnsi="宋体" w:eastAsia="宋体" w:cs="宋体"/>
                <w:color w:val="000000" w:themeColor="text1"/>
                <w:sz w:val="22"/>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14:textFill>
                  <w14:solidFill>
                    <w14:schemeClr w14:val="tx1"/>
                  </w14:solidFill>
                </w14:textFill>
              </w:rPr>
              <w:t xml:space="preserve">（10分）</w:t>
            </w:r>
            <w:r/>
          </w:p>
        </w:tc>
        <w:tc>
          <w:tcPr>
            <w:tcMar>
              <w:left w:w="108" w:type="dxa"/>
              <w:top w:w="0" w:type="dxa"/>
              <w:right w:w="108" w:type="dxa"/>
              <w:bottom w:w="0" w:type="dxa"/>
            </w:tcMar>
            <w:tcW w:w="6969" w:type="dxa"/>
            <w:vAlign w:val="center"/>
            <w:textDirection w:val="lrTb"/>
            <w:noWrap w:val="false"/>
          </w:tcPr>
          <w:p>
            <w:pPr>
              <w:jc w:val="left"/>
              <w:spacing w:line="240" w:lineRule="auto"/>
              <w:tabs>
                <w:tab w:val="left" w:pos="720" w:leader="none"/>
              </w:tabs>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采用低价优先法计算，即满足招标文件要求且评审价格最低的供应商报价为评标基准价，其价格得分为满分；</w:t>
            </w:r>
            <w:r/>
          </w:p>
          <w:p>
            <w:pPr>
              <w:jc w:val="left"/>
              <w:spacing w:line="240" w:lineRule="auto"/>
              <w:tabs>
                <w:tab w:val="left" w:pos="720" w:leader="none"/>
              </w:tabs>
              <w:rPr>
                <w:rFonts w:hint="eastAsia" w:ascii="宋体" w:hAnsi="宋体" w:eastAsia="宋体" w:cs="宋体"/>
                <w:color w:val="000000" w:themeColor="text1"/>
                <w:sz w:val="22"/>
                <w:szCs w:val="20"/>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各供应商价格得分=评标基准价（供应商的最低评审价格）÷各供应商评审价格×10。（按四舍五入取至小数点后两位）</w:t>
            </w:r>
            <w:r/>
          </w:p>
        </w:tc>
      </w:tr>
      <w:tr>
        <w:trPr>
          <w:trHeight w:val="1883"/>
        </w:trPr>
        <w:tc>
          <w:tcPr>
            <w:gridSpan w:val="2"/>
            <w:tcMar>
              <w:left w:w="108" w:type="dxa"/>
              <w:top w:w="0" w:type="dxa"/>
              <w:right w:w="108" w:type="dxa"/>
              <w:bottom w:w="0" w:type="dxa"/>
            </w:tcMar>
            <w:tcW w:w="2641" w:type="dxa"/>
            <w:vAlign w:val="center"/>
            <w:textDirection w:val="lrTb"/>
            <w:noWrap w:val="false"/>
          </w:tcPr>
          <w:p>
            <w:pPr>
              <w:jc w:val="center"/>
              <w:spacing w:line="240" w:lineRule="auto"/>
              <w:tabs>
                <w:tab w:val="left" w:pos="720" w:leader="none"/>
              </w:tabs>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投标人实力</w:t>
            </w:r>
            <w:r/>
          </w:p>
          <w:p>
            <w:pPr>
              <w:jc w:val="center"/>
              <w:spacing w:line="240" w:lineRule="auto"/>
              <w:tabs>
                <w:tab w:val="left" w:pos="720" w:leader="none"/>
              </w:tabs>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cs="宋体"/>
                <w:color w:val="000000" w:themeColor="text1"/>
                <w:sz w:val="22"/>
                <w:szCs w:val="22"/>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tc>
        <w:tc>
          <w:tcPr>
            <w:tcMar>
              <w:left w:w="108" w:type="dxa"/>
              <w:top w:w="0" w:type="dxa"/>
              <w:right w:w="108" w:type="dxa"/>
              <w:bottom w:w="0" w:type="dxa"/>
            </w:tcMar>
            <w:tcW w:w="6969" w:type="dxa"/>
            <w:vAlign w:val="center"/>
            <w:textDirection w:val="lrTb"/>
            <w:noWrap w:val="false"/>
          </w:tcPr>
          <w:p>
            <w:r/>
            <w:r/>
          </w:p>
          <w:p>
            <w:pPr>
              <w:jc w:val="left"/>
              <w:spacing w:line="240" w:lineRule="auto"/>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供应商具有有效期内的ISO9001质量管理体系认证证书、ISO14001环境管理体系认证证书、ISO45001职业安全健康管理体系认证证书和知识产权管理体系认证证书的，有一项得1分，最高得4分</w:t>
            </w:r>
            <w:r>
              <w:rPr>
                <w:rFonts w:hint="eastAsia" w:ascii="宋体" w:hAnsi="宋体" w:cs="宋体"/>
                <w:color w:val="000000" w:themeColor="text1"/>
                <w:sz w:val="22"/>
                <w:szCs w:val="22"/>
                <w:highlight w:val="none"/>
                <w:lang w:eastAsia="zh-CN"/>
                <w14:textFill>
                  <w14:solidFill>
                    <w14:schemeClr w14:val="tx1"/>
                  </w14:solidFill>
                </w14:textFill>
              </w:rPr>
              <w:t xml:space="preserve">。</w:t>
            </w:r>
            <w:r/>
          </w:p>
          <w:p>
            <w:pPr>
              <w:jc w:val="left"/>
              <w:spacing w:line="240" w:lineRule="auto"/>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供应商具有</w:t>
            </w:r>
            <w:r>
              <w:rPr>
                <w:rFonts w:ascii="SimSun" w:hAnsi="SimSun" w:eastAsia="SimSun" w:cs="SimSun"/>
                <w:color w:val="000000"/>
                <w:sz w:val="22"/>
              </w:rPr>
              <w:t xml:space="preserve">住建部门颁发的</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的工程设计环境工程专项资质甲级的得3分，乙级的得1分。最高得3分</w:t>
            </w:r>
            <w:r>
              <w:rPr>
                <w:rFonts w:hint="eastAsia" w:ascii="宋体" w:hAnsi="宋体" w:cs="宋体"/>
                <w:color w:val="000000" w:themeColor="text1"/>
                <w:sz w:val="22"/>
                <w:szCs w:val="22"/>
                <w:highlight w:val="none"/>
                <w:lang w:val="en-US" w:eastAsia="zh-CN"/>
                <w14:textFill>
                  <w14:solidFill>
                    <w14:schemeClr w14:val="tx1"/>
                  </w14:solidFill>
                </w14:textFill>
              </w:rPr>
              <w:t xml:space="preserve">。</w:t>
            </w:r>
            <w:r/>
          </w:p>
          <w:p>
            <w:pPr>
              <w:jc w:val="left"/>
              <w:spacing w:line="240" w:lineRule="auto"/>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3、供应商具有省级及以上环境相关工程技术研究中心并通过验收的得2分，市级及以上环境相关工程技术研究中心并通过验收的得1分。(提</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供相关证明材料复印件加盖供应商公章)。</w:t>
            </w:r>
            <w:r/>
          </w:p>
          <w:p>
            <w:r/>
            <w:r/>
          </w:p>
          <w:p>
            <w:pPr>
              <w:jc w:val="left"/>
              <w:spacing w:line="240" w:lineRule="auto"/>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注：投标文件中提供有效的证书扫描件。</w:t>
            </w:r>
            <w:r>
              <w:rPr>
                <w:rFonts w:hint="eastAsia" w:ascii="宋体" w:hAnsi="宋体" w:eastAsia="宋体" w:cs="宋体"/>
                <w:b/>
                <w:bCs/>
                <w:color w:val="000000" w:themeColor="text1"/>
                <w:sz w:val="22"/>
                <w:szCs w:val="22"/>
                <w:highlight w:val="none"/>
                <w14:textFill>
                  <w14:solidFill>
                    <w14:schemeClr w14:val="tx1"/>
                  </w14:solidFill>
                </w14:textFill>
              </w:rPr>
              <w:t xml:space="preserve">以</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2"/>
                <w:szCs w:val="22"/>
                <w:highlight w:val="none"/>
                <w14:textFill>
                  <w14:solidFill>
                    <w14:schemeClr w14:val="tx1"/>
                  </w14:solidFill>
                </w14:textFill>
              </w:rPr>
              <w:t xml:space="preserve">上证明材料需提供扫描件加盖公章，否则不得分。</w:t>
            </w:r>
            <w:r/>
          </w:p>
        </w:tc>
      </w:tr>
      <w:tr>
        <w:trPr>
          <w:trHeight w:val="687"/>
        </w:trPr>
        <w:tc>
          <w:tcPr>
            <w:gridSpan w:val="2"/>
            <w:tcMar>
              <w:left w:w="108" w:type="dxa"/>
              <w:top w:w="0" w:type="dxa"/>
              <w:right w:w="108" w:type="dxa"/>
              <w:bottom w:w="0" w:type="dxa"/>
            </w:tcMar>
            <w:tcW w:w="2641" w:type="dxa"/>
            <w:vAlign w:val="center"/>
            <w:textDirection w:val="lrTb"/>
            <w:noWrap w:val="false"/>
          </w:tcPr>
          <w:p>
            <w:pPr>
              <w:ind w:firstLine="560"/>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项目团队</w:t>
            </w:r>
            <w:r/>
          </w:p>
          <w:p>
            <w:pPr>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cs="宋体"/>
                <w:color w:val="000000" w:themeColor="text1"/>
                <w:sz w:val="22"/>
                <w:szCs w:val="22"/>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tc>
        <w:tc>
          <w:tcPr>
            <w:tcMar>
              <w:left w:w="108" w:type="dxa"/>
              <w:top w:w="0" w:type="dxa"/>
              <w:right w:w="108" w:type="dxa"/>
              <w:bottom w:w="0" w:type="dxa"/>
            </w:tcMar>
            <w:tcW w:w="6969" w:type="dxa"/>
            <w:vAlign w:val="center"/>
            <w:textDirection w:val="lrTb"/>
            <w:noWrap w:val="false"/>
          </w:tcPr>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项目负责人</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项目负责人有正高级工程师职称的得2分，有副高级工程师职称的得1分</w:t>
            </w:r>
            <w:r>
              <w:rPr>
                <w:rFonts w:hint="eastAsia" w:ascii="宋体" w:hAnsi="宋体" w:cs="宋体"/>
                <w:color w:val="000000" w:themeColor="text1"/>
                <w:sz w:val="22"/>
                <w:szCs w:val="22"/>
                <w:highlight w:val="none"/>
                <w:lang w:val="en-US" w:eastAsia="zh-CN"/>
                <w14:textFill>
                  <w14:solidFill>
                    <w14:schemeClr w14:val="tx1"/>
                  </w14:solidFill>
                </w14:textFill>
              </w:rPr>
              <w:t xml:space="preserve">；项目负责人获得过国家级科学技术有关奖项的，得2分；获得过省部级科学技术有关奖项的，得1分，没有不得分</w:t>
            </w:r>
            <w:r>
              <w:rPr>
                <w:rFonts w:hint="eastAsia" w:ascii="宋体" w:hAnsi="宋体" w:eastAsia="宋体" w:cs="宋体"/>
                <w:color w:val="000000" w:themeColor="text1"/>
                <w:sz w:val="22"/>
                <w:szCs w:val="22"/>
                <w:highlight w:val="none"/>
                <w:lang w:val="zh-CN"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（证书扫描件上传，不提供不得分）</w:t>
            </w:r>
            <w:r>
              <w:rPr>
                <w:rFonts w:hint="eastAsia" w:ascii="宋体" w:hAnsi="宋体" w:eastAsia="宋体" w:cs="宋体"/>
                <w:color w:val="000000" w:themeColor="text1"/>
                <w:sz w:val="22"/>
                <w:szCs w:val="22"/>
                <w:highlight w:val="none"/>
                <w:lang w:val="zh-CN"/>
                <w14:textFill>
                  <w14:solidFill>
                    <w14:schemeClr w14:val="tx1"/>
                  </w14:solidFill>
                </w14:textFill>
              </w:rPr>
              <w:t xml:space="preserve">。</w:t>
            </w:r>
            <w:r/>
          </w:p>
          <w:p>
            <w:pPr>
              <w:jc w:val="left"/>
              <w:spacing w:line="240" w:lineRule="auto"/>
              <w:tabs>
                <w:tab w:val="left" w:pos="720" w:leader="none"/>
              </w:tabs>
              <w:rPr>
                <w:rFonts w:hint="eastAsia" w:ascii="宋体" w:hAnsi="宋体" w:eastAsia="宋体" w:cs="宋体"/>
                <w:b/>
                <w:bCs/>
                <w:color w:val="000000" w:themeColor="text1"/>
                <w:sz w:val="22"/>
                <w:szCs w:val="22"/>
                <w:highlight w:val="none"/>
                <w:lang w:val="zh-CN"/>
                <w14:textFill>
                  <w14:solidFill>
                    <w14:schemeClr w14:val="tx1"/>
                  </w14:solidFill>
                </w14:textFill>
              </w:rPr>
            </w:pPr>
            <w:r>
              <w:rPr>
                <w:rFonts w:hint="eastAsia" w:ascii="宋体" w:hAnsi="宋体" w:eastAsia="宋体" w:cs="宋体"/>
                <w:b/>
                <w:bCs/>
                <w:color w:val="000000" w:themeColor="text1"/>
                <w:sz w:val="22"/>
                <w:szCs w:val="22"/>
                <w:highlight w:val="none"/>
                <w:lang w:val="zh-CN"/>
                <w14:textFill>
                  <w14:solidFill>
                    <w14:schemeClr w14:val="tx1"/>
                  </w14:solidFill>
                </w14:textFill>
              </w:rPr>
              <w:t xml:space="preserve">注：项目负责人须提供相关证书</w:t>
            </w:r>
            <w:r>
              <w:rPr>
                <w:rFonts w:hint="eastAsia" w:ascii="宋体" w:hAnsi="宋体" w:eastAsia="宋体" w:cs="宋体"/>
                <w:b/>
                <w:bCs/>
                <w:color w:val="000000" w:themeColor="text1"/>
                <w:sz w:val="22"/>
                <w:szCs w:val="22"/>
                <w:highlight w:val="none"/>
                <w14:textFill>
                  <w14:solidFill>
                    <w14:schemeClr w14:val="tx1"/>
                  </w14:solidFill>
                </w14:textFill>
              </w:rPr>
              <w:t xml:space="preserve">扫描件</w:t>
            </w:r>
            <w:r>
              <w:rPr>
                <w:rFonts w:hint="eastAsia" w:ascii="宋体" w:hAnsi="宋体" w:eastAsia="宋体" w:cs="宋体"/>
                <w:b/>
                <w:bCs/>
                <w:color w:val="000000" w:themeColor="text1"/>
                <w:sz w:val="22"/>
                <w:szCs w:val="22"/>
                <w:highlight w:val="none"/>
                <w:lang w:val="zh-CN"/>
                <w14:textFill>
                  <w14:solidFill>
                    <w14:schemeClr w14:val="tx1"/>
                  </w14:solidFill>
                </w14:textFill>
              </w:rPr>
              <w:t xml:space="preserve">，同时提供社保机构出具的投标企业为其缴纳近3个月中任意一个月的社保证明扫描件。</w:t>
            </w:r>
            <w:r/>
          </w:p>
          <w:p>
            <w:pPr>
              <w:jc w:val="left"/>
              <w:spacing w:line="240" w:lineRule="auto"/>
              <w:tabs>
                <w:tab w:val="left" w:pos="720" w:leader="none"/>
              </w:tabs>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2、</w:t>
            </w:r>
            <w:r>
              <w:rPr>
                <w:rFonts w:hint="eastAsia" w:ascii="宋体" w:hAnsi="宋体" w:eastAsia="宋体" w:cs="宋体"/>
                <w:color w:val="000000" w:themeColor="text1"/>
                <w:sz w:val="22"/>
                <w:szCs w:val="22"/>
                <w:highlight w:val="none"/>
                <w14:textFill>
                  <w14:solidFill>
                    <w14:schemeClr w14:val="tx1"/>
                  </w14:solidFill>
                </w14:textFill>
              </w:rPr>
              <w:t xml:space="preserve">项目组其他成员</w:t>
            </w:r>
            <w:r/>
          </w:p>
          <w:p>
            <w:pPr>
              <w:numPr>
                <w:ilvl w:val="0"/>
                <w:numId w:val="0"/>
              </w:numPr>
              <w:jc w:val="left"/>
              <w:spacing w:line="240" w:lineRule="auto"/>
              <w:widowControl/>
              <w:tabs>
                <w:tab w:val="left" w:pos="720" w:leader="none"/>
              </w:tabs>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2"/>
                <w:szCs w:val="22"/>
                <w:highlight w:val="none"/>
                <w14:textFill>
                  <w14:solidFill>
                    <w14:schemeClr w14:val="tx1"/>
                  </w14:solidFill>
                </w14:textFill>
              </w:rPr>
              <w:t xml:space="preserve">项目组成员（不包括项目负责人），具有注册</w:t>
            </w:r>
            <w:r>
              <w:rPr>
                <w:rFonts w:hint="eastAsia" w:ascii="宋体" w:hAnsi="宋体" w:cs="宋体"/>
                <w:color w:val="000000" w:themeColor="text1"/>
                <w:sz w:val="22"/>
                <w:szCs w:val="22"/>
                <w:highlight w:val="none"/>
                <w:lang w:eastAsia="zh-CN"/>
                <w14:textFill>
                  <w14:solidFill>
                    <w14:schemeClr w14:val="tx1"/>
                  </w14:solidFill>
                </w14:textFill>
              </w:rPr>
              <w:t xml:space="preserve">环境影响评价工程师</w:t>
            </w:r>
            <w:r>
              <w:rPr>
                <w:rFonts w:hint="eastAsia" w:ascii="宋体" w:hAnsi="宋体" w:eastAsia="宋体" w:cs="宋体"/>
                <w:color w:val="000000" w:themeColor="text1"/>
                <w:sz w:val="22"/>
                <w:szCs w:val="22"/>
                <w:highlight w:val="none"/>
                <w14:textFill>
                  <w14:solidFill>
                    <w14:schemeClr w14:val="tx1"/>
                  </w14:solidFill>
                </w14:textFill>
              </w:rPr>
              <w:t xml:space="preserve">的每有1人得1分，最多得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numPr>
                <w:ilvl w:val="0"/>
                <w:numId w:val="0"/>
              </w:numPr>
              <w:jc w:val="left"/>
              <w:spacing w:line="240" w:lineRule="auto"/>
              <w:widowControl/>
              <w:tabs>
                <w:tab w:val="left" w:pos="720" w:leader="none"/>
              </w:tabs>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团队成员技术力量强，专业结构合理、齐全，分工明确，具备开展本项工作所具备的环境监察、大气物理学与大气环境、环保设备工程、地下水科学与工程、勘查技术与工程、环境监测治理与评价专业、3S集成与气象应用、环境与资源保护法</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学</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、生物安全专业证书的，每提供一个得2分，同一种专业不重复得分，最高得1</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r/>
            <w:r/>
          </w:p>
          <w:p>
            <w:pPr>
              <w:jc w:val="left"/>
              <w:spacing w:line="240" w:lineRule="auto"/>
              <w:tabs>
                <w:tab w:val="left" w:pos="720" w:leader="none"/>
              </w:tabs>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val="zh-CN"/>
                <w14:textFill>
                  <w14:solidFill>
                    <w14:schemeClr w14:val="tx1"/>
                  </w14:solidFill>
                </w14:textFill>
              </w:rPr>
              <w:t xml:space="preserve">注：须提供团队技术人员相关证书扫描件，同时提供社保机构出具的投标企业为其缴纳近3个月中任意一个月的社保证明扫描件。</w:t>
            </w:r>
            <w:r/>
          </w:p>
        </w:tc>
      </w:tr>
      <w:tr>
        <w:trPr>
          <w:trHeight w:val="687"/>
        </w:trPr>
        <w:tc>
          <w:tcPr>
            <w:gridSpan w:val="2"/>
            <w:tcMar>
              <w:left w:w="108" w:type="dxa"/>
              <w:top w:w="0" w:type="dxa"/>
              <w:right w:w="108" w:type="dxa"/>
              <w:bottom w:w="0" w:type="dxa"/>
            </w:tcMar>
            <w:tcW w:w="2641" w:type="dxa"/>
            <w:vAlign w:val="center"/>
            <w:textDirection w:val="lrTb"/>
            <w:noWrap w:val="false"/>
          </w:tcPr>
          <w:p>
            <w:pPr>
              <w:ind w:firstLine="880"/>
              <w:jc w:val="both"/>
              <w:spacing w:line="240" w:lineRule="auto"/>
              <w:tabs>
                <w:tab w:val="left" w:pos="720" w:leader="none"/>
              </w:tabs>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业绩</w:t>
            </w:r>
            <w:r/>
          </w:p>
          <w:p>
            <w:pPr>
              <w:ind w:firstLine="560"/>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tc>
        <w:tc>
          <w:tcPr>
            <w:tcMar>
              <w:left w:w="108" w:type="dxa"/>
              <w:top w:w="0" w:type="dxa"/>
              <w:right w:w="108" w:type="dxa"/>
              <w:bottom w:w="0" w:type="dxa"/>
            </w:tcMar>
            <w:tcW w:w="6969" w:type="dxa"/>
            <w:vAlign w:val="center"/>
            <w:textDirection w:val="lrTb"/>
            <w:noWrap w:val="false"/>
          </w:tcPr>
          <w:p>
            <w:pPr>
              <w:spacing w:line="240" w:lineRule="auto"/>
              <w:rPr>
                <w:rFonts w:hint="eastAsia" w:ascii="宋体" w:hAnsi="宋体" w:eastAsia="宋体" w:cs="宋体"/>
                <w:color w:val="000000" w:themeColor="text1"/>
                <w:sz w:val="22"/>
                <w:szCs w:val="20"/>
                <w:highlight w:val="none"/>
                <w14:textFill>
                  <w14:solidFill>
                    <w14:schemeClr w14:val="tx1"/>
                  </w14:solidFill>
                </w14:textFill>
              </w:rPr>
            </w:pPr>
            <w:r>
              <w:rPr>
                <w:rFonts w:hint="eastAsia" w:ascii="宋体" w:hAnsi="宋体" w:eastAsia="宋体" w:cs="宋体"/>
                <w:color w:val="000000" w:themeColor="text1"/>
                <w:sz w:val="22"/>
                <w:szCs w:val="20"/>
                <w:highlight w:val="none"/>
                <w14:textFill>
                  <w14:solidFill>
                    <w14:schemeClr w14:val="tx1"/>
                  </w14:solidFill>
                </w14:textFill>
              </w:rPr>
              <w:t xml:space="preserve">1、2022年1月1日以来供应商具有省级以上园区规划环评类似项目业绩，有一个得</w:t>
            </w:r>
            <w:r>
              <w:rPr>
                <w:rFonts w:hint="eastAsia" w:ascii="宋体" w:hAnsi="宋体" w:cs="宋体"/>
                <w:color w:val="000000" w:themeColor="text1"/>
                <w:sz w:val="22"/>
                <w:szCs w:val="20"/>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0"/>
                <w:highlight w:val="none"/>
                <w14:textFill>
                  <w14:solidFill>
                    <w14:schemeClr w14:val="tx1"/>
                  </w14:solidFill>
                </w14:textFill>
              </w:rPr>
              <w:t xml:space="preserve">分，最高得</w:t>
            </w:r>
            <w:r>
              <w:rPr>
                <w:rFonts w:hint="eastAsia" w:ascii="宋体" w:hAnsi="宋体" w:cs="宋体"/>
                <w:color w:val="000000" w:themeColor="text1"/>
                <w:sz w:val="22"/>
                <w:szCs w:val="20"/>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0"/>
                <w:highlight w:val="none"/>
                <w14:textFill>
                  <w14:solidFill>
                    <w14:schemeClr w14:val="tx1"/>
                  </w14:solidFill>
                </w14:textFill>
              </w:rPr>
              <w:t xml:space="preserve">分。（提供合同、规划环评审查意见复印件加盖供应商公章，时间以合同签订时间为准）。</w:t>
            </w:r>
            <w:r/>
          </w:p>
          <w:p>
            <w:pPr>
              <w:jc w:val="left"/>
              <w:spacing w:line="240" w:lineRule="auto"/>
              <w:tabs>
                <w:tab w:val="left" w:pos="720" w:leader="none"/>
              </w:tabs>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22"/>
                <w:szCs w:val="20"/>
                <w:highlight w:val="none"/>
                <w14:textFill>
                  <w14:solidFill>
                    <w14:schemeClr w14:val="tx1"/>
                  </w14:solidFill>
                </w14:textFill>
              </w:rPr>
              <w:t xml:space="preserve">2、供应商主持过的规划环评、跟踪评价项目获得省级</w:t>
            </w:r>
            <w:r>
              <w:rPr>
                <w:rFonts w:hint="eastAsia" w:ascii="宋体" w:hAnsi="宋体" w:cs="宋体"/>
                <w:color w:val="000000" w:themeColor="text1"/>
                <w:sz w:val="22"/>
                <w:szCs w:val="20"/>
                <w:highlight w:val="none"/>
                <w:lang w:val="en-US" w:eastAsia="zh-CN"/>
                <w14:textFill>
                  <w14:solidFill>
                    <w14:schemeClr w14:val="tx1"/>
                  </w14:solidFill>
                </w14:textFill>
              </w:rPr>
              <w:t xml:space="preserve">生态环境部门颁发的</w:t>
            </w:r>
            <w:r>
              <w:rPr>
                <w:rFonts w:hint="eastAsia" w:ascii="宋体" w:hAnsi="宋体" w:eastAsia="宋体" w:cs="宋体"/>
                <w:color w:val="000000" w:themeColor="text1"/>
                <w:sz w:val="22"/>
                <w:szCs w:val="20"/>
                <w:highlight w:val="none"/>
                <w14:textFill>
                  <w14:solidFill>
                    <w14:schemeClr w14:val="tx1"/>
                  </w14:solidFill>
                </w14:textFill>
              </w:rPr>
              <w:t xml:space="preserve">成果奖励的，每个项目得</w:t>
            </w:r>
            <w:r>
              <w:rPr>
                <w:rFonts w:hint="eastAsia" w:ascii="宋体" w:hAnsi="宋体" w:cs="宋体"/>
                <w:color w:val="000000" w:themeColor="text1"/>
                <w:sz w:val="22"/>
                <w:szCs w:val="20"/>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0"/>
                <w:highlight w:val="none"/>
                <w14:textFill>
                  <w14:solidFill>
                    <w14:schemeClr w14:val="tx1"/>
                  </w14:solidFill>
                </w14:textFill>
              </w:rPr>
              <w:t xml:space="preserve">分，最多得</w:t>
            </w:r>
            <w:r>
              <w:rPr>
                <w:rFonts w:hint="eastAsia" w:ascii="宋体" w:hAnsi="宋体" w:cs="宋体"/>
                <w:color w:val="000000" w:themeColor="text1"/>
                <w:sz w:val="22"/>
                <w:szCs w:val="20"/>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0"/>
                <w:highlight w:val="none"/>
                <w14:textFill>
                  <w14:solidFill>
                    <w14:schemeClr w14:val="tx1"/>
                  </w14:solidFill>
                </w14:textFill>
              </w:rPr>
              <w:t xml:space="preserve">分，没有不得分。</w:t>
            </w:r>
            <w:r/>
          </w:p>
          <w:p>
            <w:pPr>
              <w:jc w:val="left"/>
              <w:spacing w:line="240" w:lineRule="auto"/>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注</w:t>
            </w:r>
            <w:r>
              <w:rPr>
                <w:rFonts w:hint="eastAsia" w:ascii="宋体" w:hAnsi="宋体" w:eastAsia="宋体" w:cs="宋体"/>
                <w:b/>
                <w:bCs/>
                <w:color w:val="000000" w:themeColor="text1"/>
                <w:sz w:val="22"/>
                <w:szCs w:val="22"/>
                <w:highlight w:val="none"/>
                <w14:textFill>
                  <w14:solidFill>
                    <w14:schemeClr w14:val="tx1"/>
                  </w14:solidFill>
                </w14:textFill>
              </w:rPr>
              <w:t xml:space="preserve">：1.时间以合同签订时间为准，须提供合同及通过审查意见的相关证明材料扫描件，若合同中无法体现合同签订时间、项目内容等评审因素不得分。</w:t>
            </w:r>
            <w:r/>
          </w:p>
        </w:tc>
      </w:tr>
      <w:tr>
        <w:trPr>
          <w:trHeight w:val="249"/>
        </w:trPr>
        <w:tc>
          <w:tcPr>
            <w:tcMar>
              <w:left w:w="108" w:type="dxa"/>
              <w:top w:w="0" w:type="dxa"/>
              <w:right w:w="108" w:type="dxa"/>
              <w:bottom w:w="0" w:type="dxa"/>
            </w:tcMar>
            <w:tcW w:w="1205" w:type="dxa"/>
            <w:vAlign w:val="center"/>
            <w:vMerge w:val="restart"/>
            <w:textDirection w:val="lrTb"/>
            <w:noWrap w:val="false"/>
          </w:tcPr>
          <w:p>
            <w:pPr>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14:textFill>
                  <w14:solidFill>
                    <w14:schemeClr w14:val="tx1"/>
                  </w14:solidFill>
                </w14:textFill>
              </w:rPr>
              <w:t xml:space="preserve">技术部分</w:t>
            </w:r>
            <w:r/>
          </w:p>
          <w:p>
            <w:pPr>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cs="宋体"/>
                <w:color w:val="000000" w:themeColor="text1"/>
                <w:sz w:val="22"/>
                <w:szCs w:val="22"/>
                <w:highlight w:val="none"/>
                <w:lang w:val="en-US" w:eastAsia="zh-CN"/>
                <w14:textFill>
                  <w14:solidFill>
                    <w14:schemeClr w14:val="tx1"/>
                  </w14:solidFill>
                </w14:textFill>
              </w:rPr>
              <w:t xml:space="preserve">50</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tc>
        <w:tc>
          <w:tcPr>
            <w:shd w:val="clear" w:color="auto" w:fill="auto"/>
            <w:tcMar>
              <w:left w:w="108" w:type="dxa"/>
              <w:top w:w="0" w:type="dxa"/>
              <w:right w:w="108" w:type="dxa"/>
              <w:bottom w:w="0" w:type="dxa"/>
            </w:tcMar>
            <w:tcW w:w="1436" w:type="dxa"/>
            <w:vAlign w:val="center"/>
            <w:textDirection w:val="lrTb"/>
            <w:noWrap w:val="false"/>
          </w:tcPr>
          <w:p>
            <w:pPr>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难点把握及解决思路</w:t>
            </w:r>
            <w:r/>
          </w:p>
          <w:p>
            <w:pPr>
              <w:jc w:val="center"/>
              <w:spacing w:line="24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tc>
        <w:tc>
          <w:tcPr>
            <w:shd w:val="clear" w:color="auto" w:fill="auto"/>
            <w:tcMar>
              <w:left w:w="108" w:type="dxa"/>
              <w:top w:w="0" w:type="dxa"/>
              <w:right w:w="108" w:type="dxa"/>
              <w:bottom w:w="0" w:type="dxa"/>
            </w:tcMar>
            <w:tcW w:w="6969" w:type="dxa"/>
            <w:vAlign w:val="center"/>
            <w:textDirection w:val="lrTb"/>
            <w:noWrap w:val="false"/>
          </w:tcPr>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重点评估投标供应商对本项目的关键技术问题难点以及解决思路。能够从技术难点、解决内容、解决方法等方面进行阐述说明。</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1.对本项目技术难点、解决内容、解决方法阐述完整，全面，准确的得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2.对本项目技术难点、解决内容、解决方法阐述较完整，较全面，较准确的得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3.对本项目技术难点、解决内容、解决方法阐述不完整，不全面，不准确的得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4.对本项目的关键技术问题难点以及解决思路不能全面理解，并不能提供有效解决方案得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5.未提供不得分。</w:t>
            </w:r>
            <w:r/>
          </w:p>
          <w:p>
            <w:pPr>
              <w:jc w:val="left"/>
              <w:spacing w:line="24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本项最高得1</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2"/>
                <w:szCs w:val="22"/>
                <w:highlight w:val="none"/>
                <w14:textFill>
                  <w14:solidFill>
                    <w14:schemeClr w14:val="tx1"/>
                  </w14:solidFill>
                </w14:textFill>
              </w:rPr>
              <w:t xml:space="preserve">分，最低得0分。</w:t>
            </w:r>
            <w:r/>
          </w:p>
        </w:tc>
      </w:tr>
      <w:tr>
        <w:trPr>
          <w:trHeight w:val="90"/>
        </w:trPr>
        <w:tc>
          <w:tcPr>
            <w:tcW w:w="1205" w:type="dxa"/>
            <w:vMerge w:val="continue"/>
            <w:textDirection w:val="lrTb"/>
            <w:noWrap w:val="false"/>
          </w:tcPr>
          <w:p>
            <w:pPr>
              <w:ind w:firstLine="723"/>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108" w:type="dxa"/>
              <w:top w:w="0" w:type="dxa"/>
              <w:right w:w="108" w:type="dxa"/>
              <w:bottom w:w="0" w:type="dxa"/>
            </w:tcMar>
            <w:tcW w:w="1436" w:type="dxa"/>
            <w:vAlign w:val="center"/>
            <w:textDirection w:val="lrTb"/>
            <w:noWrap w:val="false"/>
          </w:tcPr>
          <w:p>
            <w:pPr>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技术方案</w:t>
            </w:r>
            <w:r/>
          </w:p>
          <w:p>
            <w:pPr>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w:t>
            </w: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108" w:type="dxa"/>
              <w:top w:w="0" w:type="dxa"/>
              <w:right w:w="108" w:type="dxa"/>
              <w:bottom w:w="0" w:type="dxa"/>
            </w:tcMar>
            <w:tcW w:w="6969" w:type="dxa"/>
            <w:vAlign w:val="center"/>
            <w:textDirection w:val="lrTb"/>
            <w:noWrap w:val="false"/>
          </w:tcPr>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主要评估投标投标供应商技术方案的完整性、合理性，包括报告编制的主要内容、评估流程、评估方法、技术路线等。</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1.响应文件中技术方案（报告编制的主要内容、评估流程、评估方法、技术路线等）阐述完整，合理的得1</w:t>
            </w: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2.响应文件中技术方案（报告编制的主要内容、评估流程、评估方法、技术路线等）阐述较完整，较合理的得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3.响应文件中技术方案（报告编制的主要内容、评估流程、评估方法、技术路线等）阐述较不完整，不合理的得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4.技术方案描述简单，评估方法，技术路线基本不可行得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5.未提供不得分。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本项最高得1</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2"/>
                <w:szCs w:val="22"/>
                <w:highlight w:val="none"/>
                <w14:textFill>
                  <w14:solidFill>
                    <w14:schemeClr w14:val="tx1"/>
                  </w14:solidFill>
                </w14:textFill>
              </w:rPr>
              <w:t xml:space="preserve">分，最低得0分。</w:t>
            </w:r>
            <w:r/>
          </w:p>
        </w:tc>
      </w:tr>
      <w:tr>
        <w:trPr>
          <w:trHeight w:val="387"/>
        </w:trPr>
        <w:tc>
          <w:tcPr>
            <w:tcW w:w="1205" w:type="dxa"/>
            <w:vMerge w:val="continue"/>
            <w:textDirection w:val="lrTb"/>
            <w:noWrap w:val="false"/>
          </w:tcPr>
          <w:p>
            <w:pPr>
              <w:ind w:firstLine="723"/>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108" w:type="dxa"/>
              <w:top w:w="0" w:type="dxa"/>
              <w:right w:w="108" w:type="dxa"/>
              <w:bottom w:w="0" w:type="dxa"/>
            </w:tcMar>
            <w:tcW w:w="1436" w:type="dxa"/>
            <w:vAlign w:val="center"/>
            <w:textDirection w:val="lrTb"/>
            <w:noWrap w:val="false"/>
          </w:tcPr>
          <w:p>
            <w:pPr>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质量保证措施</w:t>
            </w:r>
            <w:r/>
          </w:p>
          <w:p>
            <w:pPr>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（10分）</w:t>
            </w:r>
            <w:r/>
          </w:p>
        </w:tc>
        <w:tc>
          <w:tcPr>
            <w:tcMar>
              <w:left w:w="108" w:type="dxa"/>
              <w:top w:w="0" w:type="dxa"/>
              <w:right w:w="108" w:type="dxa"/>
              <w:bottom w:w="0" w:type="dxa"/>
            </w:tcMar>
            <w:tcW w:w="6969" w:type="dxa"/>
            <w:vAlign w:val="center"/>
            <w:textDirection w:val="lrTb"/>
            <w:noWrap w:val="false"/>
          </w:tcPr>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重点评估投标供应商的报告编制质量保证措施的完整性、合理性和可行性，从人员组织保障、质量保证内容、质量保证措施等方面进行评分。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1.响应文件中报告编制质量保证措施阐述完整、合理、可行性强得10分；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2.响应文件中报告编制质量保证措施阐述较完整、较合理、较可行性7分；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3.响应文件中报告编制质量保证措施阐述较不完整、不合理、可行性欠缺得5分；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4.报告编制质量保证措施阐述简单，不完全合理，基本不可行得2分；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5.未提供不得分。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本项最高得10分，最低得0分。</w:t>
            </w:r>
            <w:r/>
          </w:p>
        </w:tc>
      </w:tr>
      <w:tr>
        <w:trPr>
          <w:trHeight w:val="299"/>
        </w:trPr>
        <w:tc>
          <w:tcPr>
            <w:tcW w:w="1205" w:type="dxa"/>
            <w:vMerge w:val="continue"/>
            <w:textDirection w:val="lrTb"/>
            <w:noWrap w:val="false"/>
          </w:tcPr>
          <w:p>
            <w:pPr>
              <w:ind w:firstLine="723"/>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108" w:type="dxa"/>
              <w:top w:w="0" w:type="dxa"/>
              <w:right w:w="108" w:type="dxa"/>
              <w:bottom w:w="0" w:type="dxa"/>
            </w:tcMar>
            <w:tcW w:w="1436" w:type="dxa"/>
            <w:vAlign w:val="center"/>
            <w:textDirection w:val="lrTb"/>
            <w:noWrap w:val="false"/>
          </w:tcPr>
          <w:p>
            <w:pPr>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服务保障措施</w:t>
            </w:r>
            <w:r/>
          </w:p>
          <w:p>
            <w:pPr>
              <w:jc w:val="center"/>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（10分）</w:t>
            </w:r>
            <w:r/>
          </w:p>
        </w:tc>
        <w:tc>
          <w:tcPr>
            <w:tcMar>
              <w:left w:w="108" w:type="dxa"/>
              <w:top w:w="0" w:type="dxa"/>
              <w:right w:w="108" w:type="dxa"/>
              <w:bottom w:w="0" w:type="dxa"/>
            </w:tcMar>
            <w:tcW w:w="6969" w:type="dxa"/>
            <w:vAlign w:val="center"/>
            <w:textDirection w:val="lrTb"/>
            <w:noWrap w:val="false"/>
          </w:tcPr>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评委根据响应文件提供的评估后服务体系、服务内容、响应时间、专业技术人员保障及服务电话进行评价。</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1.响应文件中服务体系、服务内容完整得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2.响应文件中服务体系、服务内容较完整得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3.响应文件中服务体系、服务内容不完整得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4.服务体系内容简单，响应时间较慢得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5.未提供不得分。</w:t>
            </w:r>
            <w:r/>
          </w:p>
          <w:p>
            <w:pPr>
              <w:jc w:val="left"/>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本项最高得10分，最低得0分。</w:t>
            </w:r>
            <w:r/>
          </w:p>
        </w:tc>
      </w:tr>
    </w:tbl>
    <w:p>
      <w:pPr>
        <w:pStyle w:val="880"/>
        <w:ind w:left="0" w:right="0"/>
        <w:jc w:val="both"/>
        <w:keepLines w:val="0"/>
        <w:keepNext w:val="0"/>
        <w:spacing w:before="0" w:beforeAutospacing="0" w:after="0" w:afterAutospacing="0" w:line="360" w:lineRule="auto"/>
        <w:widowControl w:val="off"/>
        <w:rPr>
          <w:color w:val="000000" w:themeColor="text1"/>
          <w:sz w:val="22"/>
          <w:szCs w:val="22"/>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注：1、评委应对以上各得分项独立评分，投标人最终得分为所有评委评分汇总的平均值。</w:t>
      </w:r>
      <w:r/>
    </w:p>
    <w:p>
      <w:pPr>
        <w:pStyle w:val="88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2"/>
          <w:highlight w:val="none"/>
          <w14:textFill>
            <w14:solidFill>
              <w14:schemeClr w14:val="tx1"/>
            </w14:solidFill>
          </w14:textFill>
        </w:rPr>
        <w:t xml:space="preserve">根据《关于推动解决政府采购异常低价问题的通知》（财库〔2026〕2号）</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异常低价投标（响应）</w:t>
      </w:r>
      <w:r/>
    </w:p>
    <w:p>
      <w:pPr>
        <w:ind w:right="813"/>
        <w:jc w:val="both"/>
        <w:spacing w:before="42"/>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2.1投标（响应）报价低于全部通过符合性审查供应商投标（响应）报价平均值65%的，即投标（响应）报价&lt;全部通过符合性审查供应商投标（响应）报价平均值×65%；</w:t>
      </w:r>
      <w:r/>
    </w:p>
    <w:p>
      <w:pPr>
        <w:ind w:right="813"/>
        <w:jc w:val="both"/>
        <w:spacing w:before="42"/>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2.2投标（响应）报价低于通过符合性审查的次低报价供应商投标（响应）报价65%的，即投标（响应）报价&lt;通过符合性审查的次低报价供应商投标（响应）报价×65%；</w:t>
      </w:r>
      <w:r/>
    </w:p>
    <w:p>
      <w:pPr>
        <w:ind w:right="813"/>
        <w:jc w:val="both"/>
        <w:spacing w:before="42"/>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2.3投标（响应）报价低于采购项目最高限价65%的，即投标（响应）报价&lt;采购项目最高限价×65% ；</w:t>
      </w:r>
      <w:r/>
    </w:p>
    <w:p>
      <w:pPr>
        <w:ind w:right="813"/>
        <w:jc w:val="both"/>
        <w:spacing w:before="42"/>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2.4评审委员会认定的供应商报价过低、有可能影响产品质量或者不能诚信履约的其他情形。</w:t>
      </w:r>
      <w:r/>
    </w:p>
    <w:p>
      <w:pPr>
        <w:ind w:right="813"/>
        <w:jc w:val="both"/>
        <w:spacing w:before="42"/>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813"/>
        <w:jc w:val="both"/>
        <w:spacing w:before="42"/>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813"/>
        <w:jc w:val="both"/>
        <w:spacing w:before="42"/>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hint="default" w:ascii="Times New Roman" w:hAnsi="Times New Roman" w:eastAsia="仿宋_GB2312" w:cs="Times New Roman"/>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Times New Roman" w:hAnsi="Times New Roman" w:eastAsia="仿宋_GB2312" w:cs="Times New Roman"/>
          <w:color w:val="000000" w:themeColor="text1"/>
          <w:highlight w:val="none"/>
          <w14:textFill>
            <w14:solidFill>
              <w14:schemeClr w14:val="tx1"/>
            </w14:solidFill>
          </w14:textFill>
        </w:rPr>
      </w:r>
      <w:r/>
    </w:p>
    <w:p>
      <w:pPr>
        <w:pStyle w:val="881"/>
        <w:rPr>
          <w:rFonts w:hint="default" w:eastAsia="仿宋_GB2312"/>
          <w:color w:val="000000" w:themeColor="text1"/>
          <w:highlight w:val="none"/>
          <w:lang w:val="en-US" w:eastAsia="zh-CN"/>
          <w14:textFill>
            <w14:solidFill>
              <w14:schemeClr w14:val="tx1"/>
            </w14:solidFill>
          </w14:textFill>
        </w:rPr>
      </w:pPr>
      <w:r>
        <w:rPr>
          <w:rFonts w:hint="default" w:eastAsia="仿宋_GB2312"/>
          <w:color w:val="000000" w:themeColor="text1"/>
          <w:highlight w:val="none"/>
          <w:lang w:val="en-US" w:eastAsia="zh-CN"/>
          <w14:textFill>
            <w14:solidFill>
              <w14:schemeClr w14:val="tx1"/>
            </w14:solidFill>
          </w14:textFill>
        </w:rPr>
      </w:r>
      <w:r/>
    </w:p>
    <w:p>
      <w:pPr>
        <w:pStyle w:val="869"/>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竞争性磋商响应文件格式</w:t>
      </w:r>
      <w:r/>
    </w:p>
    <w:p>
      <w:pPr>
        <w:jc w:val="center"/>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72"/>
          <w:szCs w:val="72"/>
          <w:highlight w:val="none"/>
          <w14:textFill>
            <w14:solidFill>
              <w14:schemeClr w14:val="tx1"/>
            </w14:solidFill>
          </w14:textFill>
        </w:rPr>
      </w:pPr>
      <w:r>
        <w:rPr>
          <w:rFonts w:hint="eastAsia" w:ascii="宋体" w:hAnsi="宋体" w:eastAsia="宋体" w:cs="宋体"/>
          <w:b/>
          <w:bCs/>
          <w:color w:val="000000" w:themeColor="text1"/>
          <w:sz w:val="72"/>
          <w:szCs w:val="7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72"/>
          <w:szCs w:val="72"/>
          <w:highlight w:val="none"/>
          <w14:textFill>
            <w14:solidFill>
              <w14:schemeClr w14:val="tx1"/>
            </w14:solidFill>
          </w14:textFill>
        </w:rPr>
      </w:pPr>
      <w:r>
        <w:rPr>
          <w:rFonts w:hint="eastAsia" w:ascii="宋体" w:hAnsi="宋体" w:eastAsia="宋体" w:cs="宋体"/>
          <w:b/>
          <w:bCs/>
          <w:color w:val="000000" w:themeColor="text1"/>
          <w:sz w:val="72"/>
          <w:szCs w:val="72"/>
          <w:highlight w:val="none"/>
          <w14:textFill>
            <w14:solidFill>
              <w14:schemeClr w14:val="tx1"/>
            </w14:solidFill>
          </w14:textFill>
        </w:rPr>
        <w:t xml:space="preserve">竞争性磋商响应文件</w:t>
      </w:r>
      <w:r/>
    </w:p>
    <w:p>
      <w:pPr>
        <w:jc w:val="center"/>
        <w:spacing w:line="360" w:lineRule="auto"/>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ind w:firstLine="1084"/>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 目 名 称：</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 目 编 号：</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spacing w:line="360" w:lineRule="auto"/>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磋商供应商名称 ：</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spacing w:line="360" w:lineRule="auto"/>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日      期 ：</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供  应  商：</w:t>
      </w:r>
      <w:r>
        <w:rPr>
          <w:rFonts w:hint="eastAsia" w:ascii="宋体" w:hAnsi="宋体" w:eastAsia="宋体" w:cs="宋体"/>
          <w:b/>
          <w:color w:val="000000" w:themeColor="text1"/>
          <w:sz w:val="36"/>
          <w:highlight w:val="none"/>
          <w:u w:val="single"/>
          <w14:textFill>
            <w14:solidFill>
              <w14:schemeClr w14:val="tx1"/>
            </w14:solidFill>
          </w14:textFill>
        </w:rPr>
        <w:t xml:space="preserve">         </w:t>
      </w:r>
      <w:r>
        <w:rPr>
          <w:rFonts w:hint="eastAsia" w:ascii="宋体" w:hAnsi="宋体" w:eastAsia="宋体" w:cs="宋体"/>
          <w:b/>
          <w:color w:val="000000" w:themeColor="text1"/>
          <w:sz w:val="36"/>
          <w:highlight w:val="none"/>
          <w14:textFill>
            <w14:solidFill>
              <w14:schemeClr w14:val="tx1"/>
            </w14:solidFill>
          </w14:textFill>
        </w:rPr>
        <w:t xml:space="preserve">（电子签章）</w:t>
      </w:r>
      <w:r/>
    </w:p>
    <w:p>
      <w:pPr>
        <w:pStyle w:val="875"/>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磋商主要文件目录</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一、资格审查响应对照表</w:t>
      </w:r>
      <w:r/>
    </w:p>
    <w:p>
      <w:pPr>
        <w:ind w:left="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二、符合性审查响应对照表</w:t>
      </w:r>
      <w:r/>
    </w:p>
    <w:p>
      <w:pPr>
        <w:ind w:left="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三、非实质性响应对照表</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i/>
          <w:color w:val="000000" w:themeColor="text1"/>
          <w:sz w:val="24"/>
          <w:highlight w:val="none"/>
          <w:u w:val="single"/>
          <w14:textFill>
            <w14:solidFill>
              <w14:schemeClr w14:val="tx1"/>
            </w14:solidFill>
          </w14:textFill>
        </w:rPr>
        <w:t xml:space="preserve">磋商响应报价表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技术参数响应及偏离表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商务条款响应及偏离表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七、其他 （供应商认为有必要提供的声明和文件，如有自拟并自行添加）</w:t>
      </w:r>
      <w:r/>
    </w:p>
    <w:p>
      <w:p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一、资格审查响应对照表</w:t>
      </w:r>
      <w:r/>
    </w:p>
    <w:tbl>
      <w:tblPr>
        <w:tblStyle w:val="87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7720"/>
        <w:gridCol w:w="1358"/>
      </w:tblGrid>
      <w:tr>
        <w:trPr>
          <w:trHeight w:val="647"/>
        </w:trPr>
        <w:tc>
          <w:tcPr>
            <w:tcW w:w="388" w:type="pct"/>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3922" w:type="pct"/>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资格审查响应内容</w:t>
            </w:r>
            <w:r/>
          </w:p>
        </w:tc>
        <w:tc>
          <w:tcPr>
            <w:tcW w:w="689" w:type="pct"/>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r>
      <w:tr>
        <w:trPr>
          <w:trHeight w:val="335"/>
        </w:trPr>
        <w:tc>
          <w:tcPr>
            <w:gridSpan w:val="3"/>
            <w:tcW w:w="5000" w:type="pct"/>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通用资格条件</w:t>
            </w:r>
            <w:r/>
          </w:p>
        </w:tc>
      </w:tr>
      <w:tr>
        <w:trPr>
          <w:trHeight w:val="415"/>
        </w:trPr>
        <w:tc>
          <w:tcPr>
            <w:tcW w:w="388" w:type="pct"/>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3922"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法人或者其他组织的营业执照等证明文件，自然人的身份证明</w:t>
            </w:r>
            <w:r/>
          </w:p>
        </w:tc>
        <w:tc>
          <w:tcPr>
            <w:tcW w:w="689" w:type="pct"/>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585"/>
        </w:trPr>
        <w:tc>
          <w:tcPr>
            <w:tcW w:w="38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3922"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t xml:space="preserve">依法缴纳职工社会保障资金的证明材料(税务、银行或社会保险基金管理部门出具的近三个月内任意一个月缴纳职工社会保障资金的缴款凭证或缴款证明)（供应商依法享受缓缴、免缴的提供证明材料）</w:t>
            </w:r>
            <w:r/>
          </w:p>
        </w:tc>
        <w:tc>
          <w:tcPr>
            <w:tcW w:w="689"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16"/>
        </w:trPr>
        <w:tc>
          <w:tcPr>
            <w:tcW w:w="38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3922" w:type="pct"/>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t xml:space="preserve">供应商近三个月内任意一份依法纳税的缴款凭证</w:t>
            </w:r>
            <w:r/>
          </w:p>
        </w:tc>
        <w:tc>
          <w:tcPr>
            <w:tcW w:w="689"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17"/>
        </w:trPr>
        <w:tc>
          <w:tcPr>
            <w:tcW w:w="38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3922" w:type="pct"/>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 xml:space="preserve">上一年度的财务报告情况（成立不满一年不需提供）</w:t>
            </w:r>
            <w:r/>
          </w:p>
        </w:tc>
        <w:tc>
          <w:tcPr>
            <w:tcW w:w="689"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61"/>
        </w:trPr>
        <w:tc>
          <w:tcPr>
            <w:tcW w:w="38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3922" w:type="pct"/>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具备履行合同所必需的设备和专业技术能力的证明材料</w:t>
            </w:r>
            <w:r/>
          </w:p>
        </w:tc>
        <w:tc>
          <w:tcPr>
            <w:tcW w:w="689"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50"/>
        </w:trPr>
        <w:tc>
          <w:tcPr>
            <w:tcW w:w="38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3922" w:type="pct"/>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参加本次政府采购活动前3年内在经营活动中没有重大违法记录的书面声明</w:t>
            </w:r>
            <w:r/>
          </w:p>
        </w:tc>
        <w:tc>
          <w:tcPr>
            <w:tcW w:w="689"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38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W w:w="3922"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w:t>
            </w:r>
            <w:r/>
          </w:p>
        </w:tc>
        <w:tc>
          <w:tcPr>
            <w:tcW w:w="689"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06"/>
        </w:trPr>
        <w:tc>
          <w:tcPr>
            <w:tcW w:w="38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3922"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供应商信用承诺函</w:t>
            </w:r>
            <w:r/>
          </w:p>
        </w:tc>
        <w:tc>
          <w:tcPr>
            <w:tcW w:w="689"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90"/>
        </w:trPr>
        <w:tc>
          <w:tcPr>
            <w:gridSpan w:val="3"/>
            <w:tcW w:w="5000"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落实政府采购政策需满足的资格要求</w:t>
            </w:r>
            <w:r/>
          </w:p>
        </w:tc>
      </w:tr>
      <w:tr>
        <w:trPr>
          <w:trHeight w:val="400"/>
        </w:trPr>
        <w:tc>
          <w:tcPr>
            <w:tcW w:w="38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W w:w="3922"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政府采购促进中小企业发展管理办法》的规定，本项目面向中小企业采购，投标人投标时须提供《中小企业声明函》，《中小企业声明函》不符合要求或未提供的，投标文件无效。本项目采购标的按中小企业划分标准所属行业区分为其他未列明行业。</w:t>
            </w:r>
            <w:r/>
          </w:p>
        </w:tc>
        <w:tc>
          <w:tcPr>
            <w:tcW w:w="689"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00"/>
        </w:trPr>
        <w:tc>
          <w:tcPr>
            <w:gridSpan w:val="3"/>
            <w:tcW w:w="5000"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特定资格条件</w:t>
            </w:r>
            <w:r/>
          </w:p>
        </w:tc>
      </w:tr>
      <w:tr>
        <w:trPr>
          <w:trHeight w:val="389"/>
        </w:trPr>
        <w:tc>
          <w:tcPr>
            <w:tcW w:w="388" w:type="pct"/>
            <w:vAlign w:val="center"/>
            <w:textDirection w:val="lrTb"/>
            <w:noWrap w:val="false"/>
          </w:tcPr>
          <w:p>
            <w:pPr>
              <w:spacing w:line="360" w:lineRule="auto"/>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t xml:space="preserve">10</w:t>
            </w:r>
            <w:r/>
          </w:p>
        </w:tc>
        <w:tc>
          <w:tcPr>
            <w:tcW w:w="3922" w:type="pct"/>
            <w:vAlign w:val="center"/>
            <w:textDirection w:val="lrTb"/>
            <w:noWrap w:val="false"/>
          </w:tcPr>
          <w:p>
            <w:pP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单位项目负责人应为取得注册</w:t>
            </w:r>
            <w:r>
              <w:rPr>
                <w:rFonts w:hint="eastAsia" w:ascii="宋体" w:hAnsi="宋体" w:cs="宋体"/>
                <w:color w:val="000000" w:themeColor="text1"/>
                <w:szCs w:val="21"/>
                <w:highlight w:val="none"/>
                <w:lang w:val="en-US" w:eastAsia="zh-CN"/>
                <w14:textFill>
                  <w14:solidFill>
                    <w14:schemeClr w14:val="tx1"/>
                  </w14:solidFill>
                </w14:textFill>
              </w:rPr>
              <w:t xml:space="preserve">环境影响评价工程师</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职业资格证书的人员</w:t>
            </w:r>
            <w:r/>
          </w:p>
        </w:tc>
        <w:tc>
          <w:tcPr>
            <w:tcW w:w="689" w:type="pct"/>
            <w:vAlign w:val="center"/>
            <w:textDirection w:val="lrTb"/>
            <w:noWrap w:val="false"/>
          </w:tcPr>
          <w:p>
            <w:pPr>
              <w:spacing w:line="360" w:lineRule="auto"/>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r>
            <w:r/>
          </w:p>
        </w:tc>
      </w:tr>
      <w:tr>
        <w:trPr>
          <w:trHeight w:val="400"/>
        </w:trPr>
        <w:tc>
          <w:tcPr>
            <w:gridSpan w:val="3"/>
            <w:tcW w:w="5000"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其他资格条件</w:t>
            </w:r>
            <w:r/>
          </w:p>
        </w:tc>
      </w:tr>
      <w:tr>
        <w:trPr>
          <w:trHeight w:val="400"/>
        </w:trPr>
        <w:tc>
          <w:tcPr>
            <w:tcW w:w="38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w:t>
            </w:r>
            <w:r/>
          </w:p>
        </w:tc>
        <w:tc>
          <w:tcPr>
            <w:tcW w:w="3922" w:type="pct"/>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磋商响应函</w:t>
            </w:r>
            <w:r/>
          </w:p>
        </w:tc>
        <w:tc>
          <w:tcPr>
            <w:tcW w:w="689"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00"/>
        </w:trPr>
        <w:tc>
          <w:tcPr>
            <w:tcW w:w="38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w:t>
            </w:r>
            <w:r/>
          </w:p>
        </w:tc>
        <w:tc>
          <w:tcPr>
            <w:tcW w:w="3922" w:type="pct"/>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法人授权书</w:t>
            </w:r>
            <w:r/>
          </w:p>
        </w:tc>
        <w:tc>
          <w:tcPr>
            <w:tcW w:w="689"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具备履行合同所必需的设备和专业技术能力的书面声明</w:t>
      </w:r>
      <w:r/>
    </w:p>
    <w:p>
      <w:pPr>
        <w:ind w:firstLine="492"/>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主要设备有：</w:t>
      </w:r>
      <w:r>
        <w:rPr>
          <w:rFonts w:hint="eastAsia" w:ascii="宋体" w:hAnsi="宋体" w:eastAsia="宋体" w:cs="宋体"/>
          <w:bCs/>
          <w:color w:val="000000" w:themeColor="text1"/>
          <w:szCs w:val="21"/>
          <w:highlight w:val="none"/>
          <w:u w:val="single"/>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492"/>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主要专业技术能力有：</w:t>
      </w:r>
      <w:r>
        <w:rPr>
          <w:rFonts w:hint="eastAsia" w:ascii="宋体" w:hAnsi="宋体" w:eastAsia="宋体" w:cs="宋体"/>
          <w:bCs/>
          <w:color w:val="000000" w:themeColor="text1"/>
          <w:szCs w:val="21"/>
          <w:highlight w:val="none"/>
          <w:u w:val="single"/>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44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供应商名称（公章）：</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                               法定代表人签章：</w:t>
      </w:r>
      <w:r>
        <w:rPr>
          <w:rFonts w:hint="eastAsia" w:ascii="宋体" w:hAnsi="宋体" w:eastAsia="宋体" w:cs="宋体"/>
          <w:bCs/>
          <w:color w:val="000000" w:themeColor="text1"/>
          <w:highlight w:val="none"/>
          <w:u w:val="single"/>
          <w14:textFill>
            <w14:solidFill>
              <w14:schemeClr w14:val="tx1"/>
            </w14:solidFill>
          </w14:textFill>
        </w:rPr>
        <w:t xml:space="preserve">_______________________</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                               日期：</w:t>
      </w:r>
      <w:r>
        <w:rPr>
          <w:rFonts w:hint="eastAsia" w:ascii="宋体" w:hAnsi="宋体" w:eastAsia="宋体" w:cs="宋体"/>
          <w:bCs/>
          <w:color w:val="000000" w:themeColor="text1"/>
          <w:highlight w:val="none"/>
          <w:u w:val="single"/>
          <w14:textFill>
            <w14:solidFill>
              <w14:schemeClr w14:val="tx1"/>
            </w14:solidFill>
          </w14:textFill>
        </w:rPr>
        <w:t xml:space="preserve">______</w:t>
      </w:r>
      <w:r>
        <w:rPr>
          <w:rFonts w:hint="eastAsia" w:ascii="宋体" w:hAnsi="宋体" w:eastAsia="宋体" w:cs="宋体"/>
          <w:bCs/>
          <w:color w:val="000000" w:themeColor="text1"/>
          <w:highlight w:val="none"/>
          <w14:textFill>
            <w14:solidFill>
              <w14:schemeClr w14:val="tx1"/>
            </w14:solidFill>
          </w14:textFill>
        </w:rPr>
        <w:t xml:space="preserve">年</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月</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日</w:t>
      </w:r>
      <w:r/>
    </w:p>
    <w:p>
      <w:pPr>
        <w:spacing w:line="360" w:lineRule="auto"/>
        <w:rPr>
          <w:rFonts w:hint="eastAsia" w:ascii="宋体" w:hAnsi="宋体" w:eastAsia="宋体" w:cs="宋体"/>
          <w:b/>
          <w:bCs/>
          <w:color w:val="000000" w:themeColor="text1"/>
          <w:highlight w:val="none"/>
          <w14:textFill>
            <w14:solidFill>
              <w14:schemeClr w14:val="tx1"/>
            </w14:solidFill>
          </w14:textFill>
        </w:rPr>
        <w:sectPr>
          <w:headerReference w:type="default" r:id="rId9"/>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eastAsia="宋体" w:cs="宋体"/>
          <w:b/>
          <w:bCs/>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参加本次政府采购活动前 3 年内在经营活动中没有重大违法记录的书面声明</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after="24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声  明</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                               供应商名称（公章）：</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                               法定代表人签章：</w:t>
      </w:r>
      <w:r>
        <w:rPr>
          <w:rFonts w:hint="eastAsia" w:ascii="宋体" w:hAnsi="宋体" w:eastAsia="宋体" w:cs="宋体"/>
          <w:bCs/>
          <w:color w:val="000000" w:themeColor="text1"/>
          <w:highlight w:val="none"/>
          <w:u w:val="single"/>
          <w14:textFill>
            <w14:solidFill>
              <w14:schemeClr w14:val="tx1"/>
            </w14:solidFill>
          </w14:textFill>
        </w:rPr>
        <w:t xml:space="preserve">_______________________</w:t>
      </w:r>
      <w:r/>
    </w:p>
    <w:p>
      <w:pPr>
        <w:pStyle w:val="875"/>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                               </w:t>
      </w:r>
      <w:r>
        <w:rPr>
          <w:rFonts w:hint="eastAsia" w:ascii="宋体" w:hAnsi="宋体" w:eastAsia="宋体" w:cs="宋体"/>
          <w:bCs/>
          <w:color w:val="000000" w:themeColor="text1"/>
          <w:highlight w:val="none"/>
          <w:lang w:val="en-US"/>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日期：</w:t>
      </w:r>
      <w:r>
        <w:rPr>
          <w:rFonts w:hint="eastAsia" w:ascii="宋体" w:hAnsi="宋体" w:eastAsia="宋体" w:cs="宋体"/>
          <w:bCs/>
          <w:color w:val="000000" w:themeColor="text1"/>
          <w:highlight w:val="none"/>
          <w:u w:val="single"/>
          <w14:textFill>
            <w14:solidFill>
              <w14:schemeClr w14:val="tx1"/>
            </w14:solidFill>
          </w14:textFill>
        </w:rPr>
        <w:t xml:space="preserve">______</w:t>
      </w:r>
      <w:r>
        <w:rPr>
          <w:rFonts w:hint="eastAsia" w:ascii="宋体" w:hAnsi="宋体" w:eastAsia="宋体" w:cs="宋体"/>
          <w:bCs/>
          <w:color w:val="000000" w:themeColor="text1"/>
          <w:highlight w:val="none"/>
          <w14:textFill>
            <w14:solidFill>
              <w14:schemeClr w14:val="tx1"/>
            </w14:solidFill>
          </w14:textFill>
        </w:rPr>
        <w:t xml:space="preserve">年</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月</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日</w:t>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供应商信用承诺书</w:t>
      </w:r>
      <w:r/>
    </w:p>
    <w:p>
      <w:pPr>
        <w:spacing w:line="360" w:lineRule="auto"/>
        <w:rPr>
          <w:rFonts w:hint="eastAsia" w:ascii="宋体" w:hAnsi="宋体" w:eastAsia="宋体" w:cs="宋体"/>
          <w:color w:val="000000" w:themeColor="text1"/>
          <w:szCs w:val="32"/>
          <w:highlight w:val="none"/>
          <w14:textFill>
            <w14:solidFill>
              <w14:schemeClr w14:val="tx1"/>
            </w14:solidFill>
          </w14:textFill>
        </w:rPr>
      </w:pPr>
      <w:r>
        <w:rPr>
          <w:rFonts w:hint="eastAsia" w:ascii="宋体" w:hAnsi="宋体" w:eastAsia="宋体" w:cs="宋体"/>
          <w:color w:val="000000" w:themeColor="text1"/>
          <w:szCs w:val="32"/>
          <w:highlight w:val="none"/>
          <w14:textFill>
            <w14:solidFill>
              <w14:schemeClr w14:val="tx1"/>
            </w14:solidFill>
          </w14:textFill>
        </w:rPr>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承诺主体名称：</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统一社会信用代码：</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4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4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4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4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4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四、自觉接受行政管理部门、行业组织、社会公众、新闻舆论的监督；</w:t>
      </w:r>
      <w:r/>
    </w:p>
    <w:p>
      <w:pPr>
        <w:ind w:firstLine="44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4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4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七、严格遵守信用信息公示相关规定，向社会公示信用信息；</w:t>
      </w:r>
      <w:r/>
    </w:p>
    <w:p>
      <w:pPr>
        <w:ind w:firstLine="44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八、在“信用中国”和“中国政府采购网”网站中无违法违规、较重或严重失信记录；</w:t>
      </w:r>
      <w:r/>
    </w:p>
    <w:p>
      <w:pPr>
        <w:ind w:firstLine="44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4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十、本承诺书自签订之日起生效。</w:t>
      </w:r>
      <w:r/>
    </w:p>
    <w:p>
      <w:pPr>
        <w:ind w:firstLine="44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（注：法定代表人或负责人、主体名称发生变更的应当重新做出承诺。）</w:t>
      </w:r>
      <w:r/>
    </w:p>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承诺单位（签章）：           </w:t>
      </w:r>
      <w:r/>
    </w:p>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法定代表人（负责人）：</w:t>
      </w:r>
      <w:r/>
    </w:p>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年    月    日</w:t>
      </w:r>
      <w:r/>
    </w:p>
    <w:p>
      <w:pPr>
        <w:jc w:val="center"/>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磋商响应函</w:t>
      </w:r>
      <w:r/>
    </w:p>
    <w:p>
      <w:pPr>
        <w:pStyle w:val="874"/>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致：（</w:t>
      </w:r>
      <w:r>
        <w:rPr>
          <w:rFonts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根据贵方的</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号磋商文件，正式授权下述签字人_________ (姓名和职务)代表我方______________（供应商的名称），全权处理本次项目磋商采购的有关事宜。</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据此函，__________（签字人）兹宣布同意如下：</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1.按磋商文件规定的各项要求，向买方提供所需服务。</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2.我们已详细审核全部磋商文件及其有效补充文件，我们知道必须放弃提出含糊不清或误解问题的权利。</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3.我们同意从规定的响应文件接收截止时间起遵循本响应文件，并在规定的磋商有效期期满之前均具有约束力。</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4.同意向贵方提供贵方可能另外要求的与磋商采购有关的任何证据或资料，并保证我方已提供和将要提供的文件是真实的、准确的。</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5.一旦我方成交，我方将根据磋商文件的规定，严格履行合同的责任和义务，并保证在磋商文件规定的时间完成项目，交付买方验收、使用。</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6.遵守磋商文件中要求的收费项目和标准。</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7.与本磋商采购有关的正式通讯地址为：</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地 址：                         邮 编：</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电 话：                         传 真：</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供应商开户行：                  账 户： </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法定代表人姓名（签章）：         联系电话：</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供应商名称（公章）：            </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日 期：________年____月____日</w:t>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pStyle w:val="886"/>
        <w:ind w:firstLine="442"/>
        <w:jc w:val="center"/>
        <w:spacing w:after="240" w:line="36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法人授权书</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本授权书于______年____月____日起生效，特此声明。</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被授权人姓名：_____________________</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__     </w:t>
      </w:r>
      <w:r/>
    </w:p>
    <w:p>
      <w:pPr>
        <w:pStyle w:val="886"/>
        <w:ind w:firstLine="440"/>
        <w:spacing w:line="360" w:lineRule="auto"/>
        <w:rPr>
          <w:rFonts w:hint="eastAsia" w:ascii="宋体" w:hAnsi="宋体" w:eastAsia="宋体" w:cs="宋体"/>
          <w:color w:val="000000" w:themeColor="text1"/>
          <w:sz w:val="22"/>
          <w:szCs w:val="22"/>
          <w:highlight w:val="none"/>
          <w:u w:val="singl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联系电话（手机）：</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886"/>
        <w:ind w:firstLine="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单位名称：____________________________________</w:t>
      </w:r>
      <w:r/>
    </w:p>
    <w:p>
      <w:pPr>
        <w:pStyle w:val="886"/>
        <w:ind w:firstLine="440"/>
        <w:spacing w:line="360" w:lineRule="auto"/>
        <w:rPr>
          <w:rFonts w:hint="eastAsia" w:ascii="宋体" w:hAnsi="宋体" w:eastAsia="宋体" w:cs="宋体"/>
          <w:color w:val="000000" w:themeColor="text1"/>
          <w:sz w:val="22"/>
          <w:szCs w:val="22"/>
          <w:highlight w:val="none"/>
          <w:u w:val="singl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单位地址：</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886"/>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日期：</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 </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被授权人身份证复印件</w:t>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numPr>
          <w:ilvl w:val="0"/>
          <w:numId w:val="2"/>
        </w:num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符合性审查响应对照表</w:t>
      </w:r>
      <w:r/>
    </w:p>
    <w:tbl>
      <w:tblPr>
        <w:tblStyle w:val="8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4792"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符合性审查响应内容</w:t>
            </w:r>
            <w:r/>
          </w:p>
        </w:tc>
        <w:tc>
          <w:tcPr>
            <w:tcW w:w="200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c>
          <w:tcPr>
            <w:tcW w:w="1348"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1</w:t>
            </w:r>
            <w:r/>
          </w:p>
        </w:tc>
        <w:tc>
          <w:tcPr>
            <w:tcW w:w="4792"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采购需求中必须满足的实质性要求</w:t>
            </w:r>
            <w:r/>
          </w:p>
        </w:tc>
        <w:tc>
          <w:tcPr>
            <w:tcW w:w="2006"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c>
          <w:tcPr>
            <w:tcW w:w="1348"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4792" w:type="dxa"/>
            <w:vAlign w:val="center"/>
            <w:textDirection w:val="lrTb"/>
            <w:noWrap w:val="false"/>
          </w:tcPr>
          <w:p>
            <w:pPr>
              <w:spacing w:line="360" w:lineRule="auto"/>
              <w:rPr>
                <w:rFonts w:hint="eastAsia" w:ascii="宋体" w:hAnsi="宋体" w:eastAsia="宋体" w:cs="宋体"/>
                <w:iCs/>
                <w:color w:val="000000" w:themeColor="text1"/>
                <w:szCs w:val="21"/>
                <w:highlight w:val="none"/>
                <w:lang w:val="en-US"/>
                <w14:textFill>
                  <w14:solidFill>
                    <w14:schemeClr w14:val="tx1"/>
                  </w14:solidFill>
                </w14:textFill>
              </w:rPr>
            </w:pPr>
            <w:r>
              <w:rPr>
                <w:rFonts w:hint="eastAsia" w:ascii="宋体" w:hAnsi="宋体" w:eastAsia="宋体" w:cs="宋体"/>
                <w:iCs/>
                <w:color w:val="000000" w:themeColor="text1"/>
                <w:szCs w:val="21"/>
                <w:highlight w:val="none"/>
                <w:lang w:val="en-US"/>
                <w14:textFill>
                  <w14:solidFill>
                    <w14:schemeClr w14:val="tx1"/>
                  </w14:solidFill>
                </w14:textFill>
              </w:rPr>
              <w:t xml:space="preserve">磋商报价不得超过最高限价</w:t>
            </w:r>
            <w:r/>
          </w:p>
        </w:tc>
        <w:tc>
          <w:tcPr>
            <w:tcW w:w="200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4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4792"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r>
            <w:r/>
          </w:p>
        </w:tc>
        <w:tc>
          <w:tcPr>
            <w:tcW w:w="200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4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4792"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r>
            <w:r/>
          </w:p>
        </w:tc>
        <w:tc>
          <w:tcPr>
            <w:tcW w:w="200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4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4792"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w:t>
            </w:r>
            <w:r/>
          </w:p>
        </w:tc>
        <w:tc>
          <w:tcPr>
            <w:tcW w:w="200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4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jc w:val="both"/>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lang w:val="en-US"/>
          <w14:textFill>
            <w14:solidFill>
              <w14:schemeClr w14:val="tx1"/>
            </w14:solidFill>
          </w14:textFill>
        </w:rPr>
        <w:t xml:space="preserve">三、</w:t>
      </w:r>
      <w:r>
        <w:rPr>
          <w:rFonts w:hint="eastAsia" w:ascii="宋体" w:hAnsi="宋体" w:eastAsia="宋体" w:cs="宋体"/>
          <w:b/>
          <w:color w:val="000000" w:themeColor="text1"/>
          <w:sz w:val="32"/>
          <w:szCs w:val="32"/>
          <w:highlight w:val="none"/>
          <w14:textFill>
            <w14:solidFill>
              <w14:schemeClr w14:val="tx1"/>
            </w14:solidFill>
          </w14:textFill>
        </w:rPr>
        <w:t xml:space="preserve">非实质性响应对照表</w:t>
      </w:r>
      <w:r/>
    </w:p>
    <w:p>
      <w:pP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tbl>
      <w:tblPr>
        <w:tblStyle w:val="8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4572"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非实质性响应内容</w:t>
            </w:r>
            <w:r/>
          </w:p>
        </w:tc>
        <w:tc>
          <w:tcPr>
            <w:tcW w:w="1968"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c>
          <w:tcPr>
            <w:tcW w:w="1491"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t xml:space="preserve">1</w:t>
            </w:r>
            <w:r/>
          </w:p>
        </w:tc>
        <w:tc>
          <w:tcPr>
            <w:tcW w:w="4572" w:type="dxa"/>
            <w:vAlign w:val="center"/>
            <w:textDirection w:val="lrTb"/>
            <w:noWrap w:val="false"/>
          </w:tcPr>
          <w:p>
            <w:pPr>
              <w:jc w:val="center"/>
              <w:spacing w:line="0" w:lineRule="atLeast"/>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b/>
                <w:iCs/>
                <w:color w:val="000000" w:themeColor="text1"/>
                <w:szCs w:val="21"/>
                <w:highlight w:val="none"/>
                <w14:textFill>
                  <w14:solidFill>
                    <w14:schemeClr w14:val="tx1"/>
                  </w14:solidFill>
                </w14:textFill>
              </w:rPr>
              <w:t xml:space="preserve">中小企业声明函</w:t>
            </w:r>
            <w:r/>
          </w:p>
        </w:tc>
        <w:tc>
          <w:tcPr>
            <w:tcW w:w="196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491"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p>
        </w:tc>
        <w:tc>
          <w:tcPr>
            <w:tcW w:w="4572" w:type="dxa"/>
            <w:vAlign w:val="center"/>
            <w:textDirection w:val="lrTb"/>
            <w:noWrap w:val="false"/>
          </w:tcPr>
          <w:p>
            <w:pPr>
              <w:jc w:val="center"/>
              <w:spacing w:line="0" w:lineRule="atLeas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残疾人福利性单位声明函</w:t>
            </w:r>
            <w:r/>
          </w:p>
        </w:tc>
        <w:tc>
          <w:tcPr>
            <w:tcW w:w="196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491"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p>
        </w:tc>
        <w:tc>
          <w:tcPr>
            <w:tcW w:w="4572"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w:t>
            </w:r>
            <w:r/>
          </w:p>
        </w:tc>
        <w:tc>
          <w:tcPr>
            <w:tcW w:w="196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491"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widowControl/>
        <w:rPr>
          <w:rFonts w:hint="eastAsia" w:ascii="宋体" w:hAnsi="宋体" w:eastAsia="宋体" w:cs="宋体"/>
          <w:b/>
          <w:bCs/>
          <w:color w:val="000000" w:themeColor="text1"/>
          <w:sz w:val="31"/>
          <w:szCs w:val="31"/>
          <w:highlight w:val="none"/>
          <w:lang w:val="en-US" w:bidi="ar"/>
          <w14:textFill>
            <w14:solidFill>
              <w14:schemeClr w14:val="tx1"/>
            </w14:solidFill>
          </w14:textFill>
        </w:rPr>
      </w:pPr>
      <w:r>
        <w:rPr>
          <w:rFonts w:hint="eastAsia" w:ascii="宋体" w:hAnsi="宋体" w:eastAsia="宋体" w:cs="宋体"/>
          <w:b/>
          <w:bCs/>
          <w:color w:val="000000" w:themeColor="text1"/>
          <w:sz w:val="31"/>
          <w:szCs w:val="31"/>
          <w:highlight w:val="none"/>
          <w:lang w:val="en-US" w:bidi="ar"/>
          <w14:textFill>
            <w14:solidFill>
              <w14:schemeClr w14:val="tx1"/>
            </w14:solidFill>
          </w14:textFill>
        </w:rPr>
      </w:r>
      <w:r/>
    </w:p>
    <w:p>
      <w:pPr>
        <w:jc w:val="center"/>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bidi="ar"/>
          <w14:textFill>
            <w14:solidFill>
              <w14:schemeClr w14:val="tx1"/>
            </w14:solidFill>
          </w14:textFill>
        </w:rPr>
        <w:t xml:space="preserve">中小企业声明函（工程、服务）</w:t>
      </w:r>
      <w:r/>
    </w:p>
    <w:p>
      <w:pPr>
        <w:pStyle w:val="875"/>
        <w:ind w:left="212" w:right="228" w:firstLine="609"/>
        <w:jc w:val="both"/>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 </w:t>
      </w:r>
      <w:r/>
    </w:p>
    <w:p>
      <w:pPr>
        <w:pStyle w:val="875"/>
        <w:ind w:left="212" w:right="228" w:firstLine="420"/>
        <w:jc w:val="both"/>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 xml:space="preserve">1. （标的名称） ，属于（采购文件中明确的所属行业）；承建（承接）企业为（企业名称），从业人员人，营业收入为万元，资产总额为万元 ，属于（中型企业、小型企业、微型企业）； </w:t>
      </w:r>
      <w:r/>
    </w:p>
    <w:p>
      <w:pPr>
        <w:pStyle w:val="875"/>
        <w:ind w:left="212" w:right="228" w:firstLine="420"/>
        <w:jc w:val="both"/>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 xml:space="preserve">2. （标的名称） ，属于（采购文件中明确的所属行业）；承建（承接）企业为（企业名称），从业人员人，营业收入为万元，资产总额为万元，属于（中型企业、小型企业、微型企业）； </w:t>
      </w:r>
      <w:r/>
    </w:p>
    <w:p>
      <w:pPr>
        <w:pStyle w:val="875"/>
        <w:ind w:left="212" w:right="228" w:firstLine="420"/>
        <w:jc w:val="both"/>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 xml:space="preserve">……</w:t>
      </w:r>
      <w:r/>
    </w:p>
    <w:p>
      <w:pPr>
        <w:pStyle w:val="875"/>
        <w:ind w:left="212" w:right="228" w:firstLine="420"/>
        <w:jc w:val="both"/>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 xml:space="preserve">以上企业，不属于大企业的分支机构，不存在控股股东为大企业的情形，也不存在与大企业的负责人为同一人的情形。 </w:t>
      </w:r>
      <w:r/>
    </w:p>
    <w:p>
      <w:pPr>
        <w:pStyle w:val="875"/>
        <w:ind w:left="212" w:right="228" w:firstLine="420"/>
        <w:jc w:val="both"/>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 xml:space="preserve">本企业对上述声明内容的真实性负责。如有虚假，将依法承担相应责任。 </w:t>
      </w:r>
      <w:r/>
    </w:p>
    <w:p>
      <w:pPr>
        <w:pStyle w:val="875"/>
        <w:ind w:left="212" w:right="228" w:firstLine="420"/>
        <w:jc w:val="both"/>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 xml:space="preserve">注：1、供应商如不提供此声明函，响应文件无效。 </w:t>
      </w:r>
      <w:r/>
    </w:p>
    <w:p>
      <w:pPr>
        <w:pStyle w:val="875"/>
        <w:ind w:left="212" w:right="228" w:firstLine="819"/>
        <w:jc w:val="both"/>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 xml:space="preserve">2、企业声明函请完整填写，中标后将公示。 </w:t>
      </w:r>
      <w:r/>
    </w:p>
    <w:p>
      <w:pPr>
        <w:pStyle w:val="875"/>
        <w:ind w:left="212" w:right="228" w:firstLine="420"/>
        <w:jc w:val="right"/>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p>
    <w:p>
      <w:pPr>
        <w:pStyle w:val="875"/>
        <w:ind w:left="212" w:right="228" w:firstLine="420"/>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 xml:space="preserve">                                    企业名称（签章）： </w:t>
      </w:r>
      <w:r/>
    </w:p>
    <w:p>
      <w:pPr>
        <w:pStyle w:val="875"/>
        <w:ind w:left="212" w:right="228" w:firstLine="420"/>
        <w:jc w:val="center"/>
        <w:spacing w:line="487"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 xml:space="preserve">                         日 期： </w:t>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numPr>
          <w:ilvl w:val="0"/>
          <w:numId w:val="3"/>
        </w:numPr>
        <w:ind w:left="212" w:right="228" w:firstLine="420"/>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 xml:space="preserve">从业人员、营业收入、资产总额填报上一年度数据，无上一年度数据的新成立企业可不填报。</w:t>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0"/>
        <w:jc w:val="center"/>
        <w:spacing w:before="300" w:after="30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bookmarkStart w:id="18" w:name="_Toc109304977"/>
      <w:r>
        <w:rPr>
          <w:rFonts w:hint="eastAsia" w:ascii="宋体" w:hAnsi="宋体" w:eastAsia="宋体" w:cs="宋体"/>
          <w:bCs w:val="0"/>
          <w:color w:val="000000" w:themeColor="text1"/>
          <w:sz w:val="21"/>
          <w:szCs w:val="21"/>
          <w:highlight w:val="none"/>
          <w14:textFill>
            <w14:solidFill>
              <w14:schemeClr w14:val="tx1"/>
            </w14:solidFill>
          </w14:textFill>
        </w:rPr>
        <w:t xml:space="preserve">中小微企业划型标准</w:t>
      </w:r>
      <w:bookmarkEnd w:id="18"/>
      <w:r>
        <w:rPr>
          <w:rFonts w:hint="eastAsia" w:ascii="宋体" w:hAnsi="宋体" w:eastAsia="宋体" w:cs="宋体"/>
          <w:bCs w:val="0"/>
          <w:color w:val="000000" w:themeColor="text1"/>
          <w:sz w:val="21"/>
          <w:szCs w:val="21"/>
          <w:highlight w:val="none"/>
          <w14:textFill>
            <w14:solidFill>
              <w14:schemeClr w14:val="tx1"/>
            </w14:solidFill>
          </w14:textFill>
        </w:rPr>
        <w:t xml:space="preserve"> </w:t>
      </w:r>
      <w:r/>
    </w:p>
    <w:p>
      <w:pPr>
        <w:pStyle w:val="880"/>
        <w:ind w:firstLine="420"/>
        <w:spacing w:before="300" w:after="452"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    </w:t>
      </w:r>
      <w:r>
        <w:rPr>
          <w:rStyle w:val="883"/>
          <w:rFonts w:hint="eastAsia" w:ascii="宋体" w:hAnsi="宋体" w:eastAsia="宋体" w:cs="宋体"/>
          <w:b/>
          <w:bCs/>
          <w:color w:val="000000" w:themeColor="text1"/>
          <w:sz w:val="21"/>
          <w:szCs w:val="21"/>
          <w:highlight w:val="none"/>
          <w14:textFill>
            <w14:solidFill>
              <w14:schemeClr w14:val="tx1"/>
            </w14:solidFill>
          </w14:textFill>
        </w:rPr>
        <w:t xml:space="preserve">中小微企业划型标准如下：</w:t>
      </w:r>
      <w:r/>
    </w:p>
    <w:tbl>
      <w:tblPr>
        <w:tblStyle w:val="872"/>
        <w:tblW w:w="10038"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15"/>
        <w:gridCol w:w="1942"/>
        <w:gridCol w:w="564"/>
        <w:gridCol w:w="2333"/>
        <w:gridCol w:w="1909"/>
        <w:gridCol w:w="1675"/>
      </w:tblGrid>
      <w:tr>
        <w:trPr>
          <w:jc w:val="center"/>
          <w:tblCellSpacing w:w="15" w:type="dxa"/>
          <w:trHeight w:val="1492"/>
        </w:trPr>
        <w:tc>
          <w:tcPr>
            <w:tcMar>
              <w:left w:w="105" w:type="dxa"/>
              <w:top w:w="0" w:type="dxa"/>
              <w:right w:w="105" w:type="dxa"/>
              <w:bottom w:w="0" w:type="dxa"/>
            </w:tcMar>
            <w:tcW w:w="1570" w:type="dxa"/>
            <w:vAlign w:val="center"/>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行业名称</w:t>
            </w:r>
            <w:r/>
          </w:p>
        </w:tc>
        <w:tc>
          <w:tcPr>
            <w:tcMar>
              <w:left w:w="105" w:type="dxa"/>
              <w:top w:w="0" w:type="dxa"/>
              <w:right w:w="105" w:type="dxa"/>
              <w:bottom w:w="0" w:type="dxa"/>
            </w:tcMar>
            <w:tcW w:w="1912" w:type="dxa"/>
            <w:vAlign w:val="center"/>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指标名称</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计量单位</w:t>
            </w:r>
            <w:r/>
          </w:p>
        </w:tc>
        <w:tc>
          <w:tcPr>
            <w:tcMar>
              <w:left w:w="105" w:type="dxa"/>
              <w:top w:w="0" w:type="dxa"/>
              <w:right w:w="105" w:type="dxa"/>
              <w:bottom w:w="0" w:type="dxa"/>
            </w:tcMar>
            <w:tcW w:w="2303" w:type="dxa"/>
            <w:vAlign w:val="center"/>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中型</w:t>
            </w:r>
            <w:r/>
          </w:p>
        </w:tc>
        <w:tc>
          <w:tcPr>
            <w:tcMar>
              <w:left w:w="105" w:type="dxa"/>
              <w:top w:w="0" w:type="dxa"/>
              <w:right w:w="105" w:type="dxa"/>
              <w:bottom w:w="0" w:type="dxa"/>
            </w:tcMar>
            <w:tcW w:w="1879" w:type="dxa"/>
            <w:vAlign w:val="center"/>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小型</w:t>
            </w:r>
            <w:r/>
          </w:p>
        </w:tc>
        <w:tc>
          <w:tcPr>
            <w:tcMar>
              <w:left w:w="105" w:type="dxa"/>
              <w:top w:w="0" w:type="dxa"/>
              <w:right w:w="105" w:type="dxa"/>
              <w:bottom w:w="0" w:type="dxa"/>
            </w:tcMar>
            <w:tcW w:w="1630" w:type="dxa"/>
            <w:vAlign w:val="center"/>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微型</w:t>
            </w:r>
            <w:r/>
          </w:p>
        </w:tc>
      </w:tr>
      <w:tr>
        <w:trPr>
          <w:jc w:val="center"/>
          <w:tblCellSpacing w:w="15" w:type="dxa"/>
          <w:trHeight w:val="1130"/>
        </w:trPr>
        <w:tc>
          <w:tcPr>
            <w:tcMar>
              <w:left w:w="105" w:type="dxa"/>
              <w:top w:w="0" w:type="dxa"/>
              <w:right w:w="105" w:type="dxa"/>
              <w:bottom w:w="0" w:type="dxa"/>
            </w:tcMar>
            <w:tcW w:w="1570" w:type="dxa"/>
            <w:vAlign w:val="center"/>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农、林、牧、渔</w:t>
            </w:r>
            <w:r/>
          </w:p>
        </w:tc>
        <w:tc>
          <w:tcPr>
            <w:tcMar>
              <w:left w:w="105" w:type="dxa"/>
              <w:top w:w="0" w:type="dxa"/>
              <w:right w:w="105" w:type="dxa"/>
              <w:bottom w:w="0" w:type="dxa"/>
            </w:tcMar>
            <w:tcW w:w="1912" w:type="dxa"/>
            <w:vAlign w:val="center"/>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500≤Y＜20000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50≤Y＜500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Y＜50</w:t>
            </w:r>
            <w:r/>
          </w:p>
        </w:tc>
      </w:tr>
      <w:tr>
        <w:trPr>
          <w:jc w:val="center"/>
          <w:tblCellSpacing w:w="15" w:type="dxa"/>
          <w:trHeight w:val="799"/>
        </w:trPr>
        <w:tc>
          <w:tcPr>
            <w:tcMar>
              <w:left w:w="105" w:type="dxa"/>
              <w:top w:w="0" w:type="dxa"/>
              <w:right w:w="105" w:type="dxa"/>
              <w:bottom w:w="0" w:type="dxa"/>
            </w:tcMar>
            <w:tcW w:w="1570" w:type="dxa"/>
            <w:vAlign w:val="center"/>
            <w:vMerge w:val="restart"/>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工业</w:t>
            </w:r>
            <w:r/>
          </w:p>
        </w:tc>
        <w:tc>
          <w:tcPr>
            <w:tcMar>
              <w:left w:w="105" w:type="dxa"/>
              <w:top w:w="0" w:type="dxa"/>
              <w:right w:w="105" w:type="dxa"/>
              <w:bottom w:w="0" w:type="dxa"/>
            </w:tcMar>
            <w:tcW w:w="1912" w:type="dxa"/>
            <w:vAlign w:val="center"/>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X＜20</w:t>
            </w:r>
            <w:r/>
          </w:p>
        </w:tc>
      </w:tr>
      <w:tr>
        <w:trPr>
          <w:jc w:val="center"/>
          <w:tblCellSpacing w:w="15" w:type="dxa"/>
          <w:trHeight w:val="1130"/>
        </w:trPr>
        <w:tc>
          <w:tcPr>
            <w:tcW w:w="1570" w:type="dxa"/>
            <w:vAlign w:val="center"/>
            <w:vMerge w:val="continue"/>
            <w:textDirection w:val="lrTb"/>
            <w:noWrap w:val="false"/>
          </w:tcPr>
          <w:p>
            <w:pPr>
              <w:jc w:val="center"/>
              <w:spacing w:line="240" w:lineRule="auto"/>
              <w:widowControl/>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r>
            <w:r/>
          </w:p>
        </w:tc>
        <w:tc>
          <w:tcPr>
            <w:tcMar>
              <w:left w:w="105" w:type="dxa"/>
              <w:top w:w="0" w:type="dxa"/>
              <w:right w:w="105" w:type="dxa"/>
              <w:bottom w:w="0" w:type="dxa"/>
            </w:tcMar>
            <w:tcW w:w="1912" w:type="dxa"/>
            <w:vAlign w:val="center"/>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2000≤Y＜40000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300≤Y＜2000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Y＜300</w:t>
            </w:r>
            <w:r/>
          </w:p>
        </w:tc>
      </w:tr>
      <w:tr>
        <w:trPr>
          <w:jc w:val="center"/>
          <w:tblCellSpacing w:w="15" w:type="dxa"/>
          <w:trHeight w:val="1130"/>
        </w:trPr>
        <w:tc>
          <w:tcPr>
            <w:tcMar>
              <w:left w:w="105" w:type="dxa"/>
              <w:top w:w="0" w:type="dxa"/>
              <w:right w:w="105" w:type="dxa"/>
              <w:bottom w:w="0" w:type="dxa"/>
            </w:tcMar>
            <w:tcW w:w="1570" w:type="dxa"/>
            <w:vAlign w:val="center"/>
            <w:vMerge w:val="restart"/>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建筑业</w:t>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6000≤Y＜80000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300≤Y＜6000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Y＜300</w:t>
            </w:r>
            <w:r/>
          </w:p>
        </w:tc>
      </w:tr>
      <w:tr>
        <w:trPr>
          <w:jc w:val="center"/>
          <w:tblCellSpacing w:w="15" w:type="dxa"/>
          <w:trHeight w:val="1130"/>
        </w:trPr>
        <w:tc>
          <w:tcPr>
            <w:tcW w:w="1570" w:type="dxa"/>
            <w:vAlign w:val="center"/>
            <w:vMerge w:val="continue"/>
            <w:textDirection w:val="lrTb"/>
            <w:noWrap w:val="false"/>
          </w:tcPr>
          <w:p>
            <w:pPr>
              <w:jc w:val="center"/>
              <w:spacing w:line="240" w:lineRule="auto"/>
              <w:widowControl/>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5000≤Z＜80000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300≤Z＜5000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Z＜300</w:t>
            </w:r>
            <w:r/>
          </w:p>
        </w:tc>
      </w:tr>
      <w:tr>
        <w:trPr>
          <w:jc w:val="center"/>
          <w:tblCellSpacing w:w="15" w:type="dxa"/>
          <w:trHeight w:val="469"/>
        </w:trPr>
        <w:tc>
          <w:tcPr>
            <w:tcMar>
              <w:left w:w="105" w:type="dxa"/>
              <w:top w:w="0" w:type="dxa"/>
              <w:right w:w="105" w:type="dxa"/>
              <w:bottom w:w="0" w:type="dxa"/>
            </w:tcMar>
            <w:tcW w:w="1570" w:type="dxa"/>
            <w:vAlign w:val="center"/>
            <w:vMerge w:val="restart"/>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批发业</w:t>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20≤X＜200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5≤X＜20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X＜5</w:t>
            </w:r>
            <w:r/>
          </w:p>
        </w:tc>
      </w:tr>
      <w:tr>
        <w:trPr>
          <w:jc w:val="center"/>
          <w:tblCellSpacing w:w="15" w:type="dxa"/>
          <w:trHeight w:val="1130"/>
        </w:trPr>
        <w:tc>
          <w:tcPr>
            <w:tcW w:w="1570" w:type="dxa"/>
            <w:vAlign w:val="center"/>
            <w:vMerge w:val="continue"/>
            <w:textDirection w:val="lrTb"/>
            <w:noWrap w:val="false"/>
          </w:tcPr>
          <w:p>
            <w:pPr>
              <w:jc w:val="center"/>
              <w:spacing w:line="240" w:lineRule="auto"/>
              <w:widowControl/>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5000≤Y＜40000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1000≤Y＜5000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Y＜1000</w:t>
            </w:r>
            <w:r/>
          </w:p>
        </w:tc>
      </w:tr>
      <w:tr>
        <w:trPr>
          <w:jc w:val="center"/>
          <w:tblCellSpacing w:w="15" w:type="dxa"/>
          <w:trHeight w:val="799"/>
        </w:trPr>
        <w:tc>
          <w:tcPr>
            <w:tcMar>
              <w:left w:w="105" w:type="dxa"/>
              <w:top w:w="0" w:type="dxa"/>
              <w:right w:w="105" w:type="dxa"/>
              <w:bottom w:w="0" w:type="dxa"/>
            </w:tcMar>
            <w:tcW w:w="1570" w:type="dxa"/>
            <w:vAlign w:val="center"/>
            <w:vMerge w:val="restart"/>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零售业</w:t>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50≤X＜300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10≤X＜50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X＜10</w:t>
            </w:r>
            <w:r/>
          </w:p>
        </w:tc>
      </w:tr>
      <w:tr>
        <w:trPr>
          <w:jc w:val="center"/>
          <w:tblCellSpacing w:w="15" w:type="dxa"/>
          <w:trHeight w:val="1130"/>
        </w:trPr>
        <w:tc>
          <w:tcPr>
            <w:tcW w:w="1570" w:type="dxa"/>
            <w:vAlign w:val="center"/>
            <w:vMerge w:val="continue"/>
            <w:textDirection w:val="lrTb"/>
            <w:noWrap w:val="false"/>
          </w:tcPr>
          <w:p>
            <w:pPr>
              <w:jc w:val="center"/>
              <w:spacing w:line="240" w:lineRule="auto"/>
              <w:widowControl/>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500≤Y＜20000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100≤Y＜500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Y＜100</w:t>
            </w:r>
            <w:r/>
          </w:p>
        </w:tc>
      </w:tr>
      <w:tr>
        <w:trPr>
          <w:jc w:val="center"/>
          <w:tblCellSpacing w:w="15" w:type="dxa"/>
          <w:trHeight w:val="799"/>
        </w:trPr>
        <w:tc>
          <w:tcPr>
            <w:tcMar>
              <w:left w:w="105" w:type="dxa"/>
              <w:top w:w="0" w:type="dxa"/>
              <w:right w:w="105" w:type="dxa"/>
              <w:bottom w:w="0" w:type="dxa"/>
            </w:tcMar>
            <w:tcW w:w="1570" w:type="dxa"/>
            <w:vAlign w:val="center"/>
            <w:vMerge w:val="restart"/>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交通运输业</w:t>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X＜20</w:t>
            </w:r>
            <w:r/>
          </w:p>
        </w:tc>
      </w:tr>
      <w:tr>
        <w:trPr>
          <w:jc w:val="center"/>
          <w:tblCellSpacing w:w="15" w:type="dxa"/>
          <w:trHeight w:val="1130"/>
        </w:trPr>
        <w:tc>
          <w:tcPr>
            <w:tcW w:w="1570" w:type="dxa"/>
            <w:vAlign w:val="center"/>
            <w:vMerge w:val="continue"/>
            <w:textDirection w:val="lrTb"/>
            <w:noWrap w:val="false"/>
          </w:tcPr>
          <w:p>
            <w:pPr>
              <w:jc w:val="center"/>
              <w:spacing w:line="240" w:lineRule="auto"/>
              <w:widowControl/>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3000≤Y＜30000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200≤Y＜3000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Y＜200</w:t>
            </w:r>
            <w:r/>
          </w:p>
        </w:tc>
      </w:tr>
      <w:tr>
        <w:trPr>
          <w:jc w:val="center"/>
          <w:tblCellSpacing w:w="15" w:type="dxa"/>
          <w:trHeight w:val="799"/>
        </w:trPr>
        <w:tc>
          <w:tcPr>
            <w:tcMar>
              <w:left w:w="105" w:type="dxa"/>
              <w:top w:w="0" w:type="dxa"/>
              <w:right w:w="105" w:type="dxa"/>
              <w:bottom w:w="0" w:type="dxa"/>
            </w:tcMar>
            <w:tcW w:w="1570" w:type="dxa"/>
            <w:vAlign w:val="center"/>
            <w:vMerge w:val="restart"/>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仓储业</w:t>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100≤X＜200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20≤X＜100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X＜20</w:t>
            </w:r>
            <w:r/>
          </w:p>
        </w:tc>
      </w:tr>
      <w:tr>
        <w:trPr>
          <w:jc w:val="center"/>
          <w:tblCellSpacing w:w="15" w:type="dxa"/>
          <w:trHeight w:val="1130"/>
        </w:trPr>
        <w:tc>
          <w:tcPr>
            <w:tcW w:w="1570" w:type="dxa"/>
            <w:vAlign w:val="center"/>
            <w:vMerge w:val="continue"/>
            <w:textDirection w:val="lrTb"/>
            <w:noWrap w:val="false"/>
          </w:tcPr>
          <w:p>
            <w:pPr>
              <w:jc w:val="center"/>
              <w:spacing w:line="240" w:lineRule="auto"/>
              <w:widowControl/>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1000≤Y＜30000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100≤Y＜1000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Y＜100</w:t>
            </w:r>
            <w:r/>
          </w:p>
        </w:tc>
      </w:tr>
      <w:tr>
        <w:trPr>
          <w:jc w:val="center"/>
          <w:tblCellSpacing w:w="15" w:type="dxa"/>
          <w:trHeight w:val="799"/>
        </w:trPr>
        <w:tc>
          <w:tcPr>
            <w:tcMar>
              <w:left w:w="105" w:type="dxa"/>
              <w:top w:w="0" w:type="dxa"/>
              <w:right w:w="105" w:type="dxa"/>
              <w:bottom w:w="0" w:type="dxa"/>
            </w:tcMar>
            <w:tcW w:w="1570" w:type="dxa"/>
            <w:vAlign w:val="center"/>
            <w:vMerge w:val="restart"/>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邮政业</w:t>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X＜20</w:t>
            </w:r>
            <w:r/>
          </w:p>
        </w:tc>
      </w:tr>
      <w:tr>
        <w:trPr>
          <w:jc w:val="center"/>
          <w:tblCellSpacing w:w="15" w:type="dxa"/>
          <w:trHeight w:val="799"/>
        </w:trPr>
        <w:tc>
          <w:tcPr>
            <w:tcW w:w="1570" w:type="dxa"/>
            <w:vAlign w:val="center"/>
            <w:vMerge w:val="continue"/>
            <w:textDirection w:val="lrTb"/>
            <w:noWrap w:val="false"/>
          </w:tcPr>
          <w:p>
            <w:pPr>
              <w:jc w:val="center"/>
              <w:spacing w:line="240" w:lineRule="auto"/>
              <w:widowControl/>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2000≤Y＜30000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Y＜100</w:t>
            </w:r>
            <w:r/>
          </w:p>
        </w:tc>
      </w:tr>
      <w:tr>
        <w:trPr>
          <w:jc w:val="center"/>
          <w:tblCellSpacing w:w="15" w:type="dxa"/>
          <w:trHeight w:val="799"/>
        </w:trPr>
        <w:tc>
          <w:tcPr>
            <w:tcMar>
              <w:left w:w="105" w:type="dxa"/>
              <w:top w:w="0" w:type="dxa"/>
              <w:right w:w="105" w:type="dxa"/>
              <w:bottom w:w="0" w:type="dxa"/>
            </w:tcMar>
            <w:tcW w:w="1570" w:type="dxa"/>
            <w:vAlign w:val="center"/>
            <w:vMerge w:val="restart"/>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住宿业</w:t>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X＜10</w:t>
            </w:r>
            <w:r/>
          </w:p>
        </w:tc>
      </w:tr>
      <w:tr>
        <w:trPr>
          <w:jc w:val="center"/>
          <w:tblCellSpacing w:w="15" w:type="dxa"/>
          <w:trHeight w:val="1140"/>
        </w:trPr>
        <w:tc>
          <w:tcPr>
            <w:tcW w:w="1570" w:type="dxa"/>
            <w:vAlign w:val="center"/>
            <w:vMerge w:val="continue"/>
            <w:textDirection w:val="lrTb"/>
            <w:noWrap w:val="false"/>
          </w:tcPr>
          <w:p>
            <w:pPr>
              <w:jc w:val="center"/>
              <w:spacing w:line="240" w:lineRule="auto"/>
              <w:widowControl/>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2000≤Y＜10000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Y＜100</w:t>
            </w:r>
            <w:r/>
          </w:p>
        </w:tc>
      </w:tr>
      <w:tr>
        <w:trPr>
          <w:jc w:val="center"/>
          <w:tblCellSpacing w:w="15" w:type="dxa"/>
          <w:trHeight w:val="799"/>
        </w:trPr>
        <w:tc>
          <w:tcPr>
            <w:tcMar>
              <w:left w:w="105" w:type="dxa"/>
              <w:top w:w="0" w:type="dxa"/>
              <w:right w:w="105" w:type="dxa"/>
              <w:bottom w:w="0" w:type="dxa"/>
            </w:tcMar>
            <w:tcW w:w="1570" w:type="dxa"/>
            <w:vAlign w:val="center"/>
            <w:vMerge w:val="restart"/>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餐饮业</w:t>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X＜10</w:t>
            </w:r>
            <w:r/>
          </w:p>
        </w:tc>
      </w:tr>
      <w:tr>
        <w:trPr>
          <w:jc w:val="center"/>
          <w:tblCellSpacing w:w="15" w:type="dxa"/>
          <w:trHeight w:val="1130"/>
        </w:trPr>
        <w:tc>
          <w:tcPr>
            <w:tcW w:w="1570" w:type="dxa"/>
            <w:vAlign w:val="center"/>
            <w:vMerge w:val="continue"/>
            <w:textDirection w:val="lrTb"/>
            <w:noWrap w:val="false"/>
          </w:tcPr>
          <w:p>
            <w:pPr>
              <w:jc w:val="center"/>
              <w:spacing w:line="240" w:lineRule="auto"/>
              <w:widowControl/>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2000≤Y＜10000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Y＜100</w:t>
            </w:r>
            <w:r/>
          </w:p>
        </w:tc>
      </w:tr>
      <w:tr>
        <w:trPr>
          <w:jc w:val="center"/>
          <w:tblCellSpacing w:w="15" w:type="dxa"/>
          <w:trHeight w:val="799"/>
        </w:trPr>
        <w:tc>
          <w:tcPr>
            <w:tcMar>
              <w:left w:w="105" w:type="dxa"/>
              <w:top w:w="0" w:type="dxa"/>
              <w:right w:w="105" w:type="dxa"/>
              <w:bottom w:w="0" w:type="dxa"/>
            </w:tcMar>
            <w:tcW w:w="1570" w:type="dxa"/>
            <w:vAlign w:val="center"/>
            <w:vMerge w:val="restart"/>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信息传输业</w:t>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100≤X＜2000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X＜10</w:t>
            </w:r>
            <w:r/>
          </w:p>
        </w:tc>
      </w:tr>
      <w:tr>
        <w:trPr>
          <w:jc w:val="center"/>
          <w:tblCellSpacing w:w="15" w:type="dxa"/>
          <w:trHeight w:val="1130"/>
        </w:trPr>
        <w:tc>
          <w:tcPr>
            <w:tcW w:w="1570" w:type="dxa"/>
            <w:vAlign w:val="center"/>
            <w:vMerge w:val="continue"/>
            <w:textDirection w:val="lrTb"/>
            <w:noWrap w:val="false"/>
          </w:tcPr>
          <w:p>
            <w:pPr>
              <w:jc w:val="center"/>
              <w:spacing w:line="240" w:lineRule="auto"/>
              <w:widowControl/>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1000≤Y＜100000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100≤Y＜1000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Y＜100</w:t>
            </w:r>
            <w:r/>
          </w:p>
        </w:tc>
      </w:tr>
      <w:tr>
        <w:trPr>
          <w:jc w:val="center"/>
          <w:tblCellSpacing w:w="15" w:type="dxa"/>
          <w:trHeight w:val="799"/>
        </w:trPr>
        <w:tc>
          <w:tcPr>
            <w:tcMar>
              <w:left w:w="105" w:type="dxa"/>
              <w:top w:w="0" w:type="dxa"/>
              <w:right w:w="105" w:type="dxa"/>
              <w:bottom w:w="0" w:type="dxa"/>
            </w:tcMar>
            <w:tcW w:w="1570" w:type="dxa"/>
            <w:vAlign w:val="center"/>
            <w:vMerge w:val="restart"/>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软件和信息技术服务业</w:t>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X＜10</w:t>
            </w:r>
            <w:r/>
          </w:p>
        </w:tc>
      </w:tr>
      <w:tr>
        <w:trPr>
          <w:jc w:val="center"/>
          <w:tblCellSpacing w:w="15" w:type="dxa"/>
          <w:trHeight w:val="1130"/>
        </w:trPr>
        <w:tc>
          <w:tcPr>
            <w:tcW w:w="1570" w:type="dxa"/>
            <w:vAlign w:val="center"/>
            <w:vMerge w:val="continue"/>
            <w:textDirection w:val="lrTb"/>
            <w:noWrap w:val="false"/>
          </w:tcPr>
          <w:p>
            <w:pPr>
              <w:jc w:val="center"/>
              <w:spacing w:line="240" w:lineRule="auto"/>
              <w:widowControl/>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1000≤Y＜10000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50≤Y＜1000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Y＜50</w:t>
            </w:r>
            <w:r/>
          </w:p>
        </w:tc>
      </w:tr>
      <w:tr>
        <w:trPr>
          <w:jc w:val="center"/>
          <w:tblCellSpacing w:w="15" w:type="dxa"/>
          <w:trHeight w:val="1130"/>
        </w:trPr>
        <w:tc>
          <w:tcPr>
            <w:tcMar>
              <w:left w:w="105" w:type="dxa"/>
              <w:top w:w="0" w:type="dxa"/>
              <w:right w:w="105" w:type="dxa"/>
              <w:bottom w:w="0" w:type="dxa"/>
            </w:tcMar>
            <w:tcW w:w="1570" w:type="dxa"/>
            <w:vAlign w:val="center"/>
            <w:vMerge w:val="restart"/>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房地产开发经营</w:t>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1000≤Y＜200000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100≤X＜1000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X＜100</w:t>
            </w:r>
            <w:r/>
          </w:p>
        </w:tc>
      </w:tr>
      <w:tr>
        <w:trPr>
          <w:jc w:val="center"/>
          <w:tblCellSpacing w:w="15" w:type="dxa"/>
          <w:trHeight w:val="1130"/>
        </w:trPr>
        <w:tc>
          <w:tcPr>
            <w:tcW w:w="1570" w:type="dxa"/>
            <w:vAlign w:val="center"/>
            <w:vMerge w:val="continue"/>
            <w:textDirection w:val="lrTb"/>
            <w:noWrap w:val="false"/>
          </w:tcPr>
          <w:p>
            <w:pPr>
              <w:jc w:val="center"/>
              <w:spacing w:line="240" w:lineRule="auto"/>
              <w:widowControl/>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5000≤Z＜10000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2000≤Y＜5000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Y＜2000</w:t>
            </w:r>
            <w:r/>
          </w:p>
        </w:tc>
      </w:tr>
      <w:tr>
        <w:trPr>
          <w:jc w:val="center"/>
          <w:tblCellSpacing w:w="15" w:type="dxa"/>
          <w:trHeight w:val="469"/>
        </w:trPr>
        <w:tc>
          <w:tcPr>
            <w:tcMar>
              <w:left w:w="105" w:type="dxa"/>
              <w:top w:w="0" w:type="dxa"/>
              <w:right w:w="105" w:type="dxa"/>
              <w:bottom w:w="0" w:type="dxa"/>
            </w:tcMar>
            <w:tcW w:w="1570" w:type="dxa"/>
            <w:vAlign w:val="center"/>
            <w:vMerge w:val="restart"/>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物业管理</w:t>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X＜100</w:t>
            </w:r>
            <w:r/>
          </w:p>
        </w:tc>
      </w:tr>
      <w:tr>
        <w:trPr>
          <w:jc w:val="center"/>
          <w:tblCellSpacing w:w="15" w:type="dxa"/>
          <w:trHeight w:val="1130"/>
        </w:trPr>
        <w:tc>
          <w:tcPr>
            <w:tcW w:w="1570" w:type="dxa"/>
            <w:vAlign w:val="center"/>
            <w:vMerge w:val="continue"/>
            <w:textDirection w:val="lrTb"/>
            <w:noWrap w:val="false"/>
          </w:tcPr>
          <w:p>
            <w:pPr>
              <w:jc w:val="center"/>
              <w:spacing w:line="240" w:lineRule="auto"/>
              <w:widowControl/>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1000≤Y＜5000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500≤Y＜1000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Y＜500</w:t>
            </w:r>
            <w:r/>
          </w:p>
        </w:tc>
      </w:tr>
      <w:tr>
        <w:trPr>
          <w:jc w:val="center"/>
          <w:tblCellSpacing w:w="15" w:type="dxa"/>
          <w:trHeight w:val="799"/>
        </w:trPr>
        <w:tc>
          <w:tcPr>
            <w:tcMar>
              <w:left w:w="105" w:type="dxa"/>
              <w:top w:w="0" w:type="dxa"/>
              <w:right w:w="105" w:type="dxa"/>
              <w:bottom w:w="0" w:type="dxa"/>
            </w:tcMar>
            <w:tcW w:w="1570" w:type="dxa"/>
            <w:vAlign w:val="center"/>
            <w:vMerge w:val="restart"/>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租赁和商务服务业</w:t>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X＜10</w:t>
            </w:r>
            <w:r/>
          </w:p>
        </w:tc>
      </w:tr>
      <w:tr>
        <w:trPr>
          <w:jc w:val="center"/>
          <w:tblCellSpacing w:w="15" w:type="dxa"/>
          <w:trHeight w:val="1130"/>
        </w:trPr>
        <w:tc>
          <w:tcPr>
            <w:tcW w:w="1570" w:type="dxa"/>
            <w:vAlign w:val="center"/>
            <w:vMerge w:val="continue"/>
            <w:textDirection w:val="lrTb"/>
            <w:noWrap w:val="false"/>
          </w:tcPr>
          <w:p>
            <w:pPr>
              <w:jc w:val="center"/>
              <w:spacing w:line="240" w:lineRule="auto"/>
              <w:widowControl/>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8000≤Z＜120000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100≤Z＜8000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Y＜100</w:t>
            </w:r>
            <w:r/>
          </w:p>
        </w:tc>
      </w:tr>
      <w:tr>
        <w:trPr>
          <w:jc w:val="center"/>
          <w:tblCellSpacing w:w="15" w:type="dxa"/>
          <w:trHeight w:val="810"/>
        </w:trPr>
        <w:tc>
          <w:tcPr>
            <w:tcMar>
              <w:left w:w="105" w:type="dxa"/>
              <w:top w:w="0" w:type="dxa"/>
              <w:right w:w="105" w:type="dxa"/>
              <w:bottom w:w="0" w:type="dxa"/>
            </w:tcMar>
            <w:tcW w:w="1570" w:type="dxa"/>
            <w:vAlign w:val="center"/>
            <w:textDirection w:val="lrTb"/>
            <w:noWrap w:val="false"/>
          </w:tcPr>
          <w:p>
            <w:pPr>
              <w:pStyle w:val="88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其他未列明行业</w:t>
            </w:r>
            <w:r/>
          </w:p>
        </w:tc>
        <w:tc>
          <w:tcPr>
            <w:tcMar>
              <w:left w:w="105" w:type="dxa"/>
              <w:top w:w="0" w:type="dxa"/>
              <w:right w:w="105" w:type="dxa"/>
              <w:bottom w:w="0" w:type="dxa"/>
            </w:tcMar>
            <w:tcW w:w="1912"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534"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303"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879"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630" w:type="dxa"/>
            <w:vAlign w:val="center"/>
            <w:textDirection w:val="lrTb"/>
            <w:noWrap w:val="false"/>
          </w:tcPr>
          <w:p>
            <w:pPr>
              <w:pStyle w:val="880"/>
              <w:ind w:firstLine="420"/>
              <w:jc w:val="center"/>
              <w:spacing w:after="150" w:line="24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Style w:val="883"/>
                <w:rFonts w:hint="eastAsia" w:ascii="宋体" w:hAnsi="宋体" w:eastAsia="宋体" w:cs="宋体"/>
                <w:b/>
                <w:bCs w:val="0"/>
                <w:color w:val="000000" w:themeColor="text1"/>
                <w:sz w:val="21"/>
                <w:szCs w:val="21"/>
                <w:highlight w:val="none"/>
                <w14:textFill>
                  <w14:solidFill>
                    <w14:schemeClr w14:val="tx1"/>
                  </w14:solidFill>
                </w14:textFill>
              </w:rPr>
              <w:t xml:space="preserve">X＜10</w:t>
            </w:r>
            <w:r/>
          </w:p>
        </w:tc>
      </w:tr>
    </w:tbl>
    <w:p>
      <w:pPr>
        <w:pStyle w:val="880"/>
        <w:ind w:firstLine="420"/>
        <w:spacing w:before="300" w:after="452" w:line="360" w:lineRule="auto"/>
        <w:widowControl/>
        <w:rPr>
          <w:rStyle w:val="883"/>
          <w:rFonts w:hint="eastAsia" w:ascii="宋体" w:hAnsi="宋体" w:eastAsia="宋体" w:cs="宋体"/>
          <w:color w:val="000000" w:themeColor="text1"/>
          <w:sz w:val="21"/>
          <w:szCs w:val="21"/>
          <w:highlight w:val="none"/>
          <w14:textFill>
            <w14:solidFill>
              <w14:schemeClr w14:val="tx1"/>
            </w14:solidFill>
          </w14:textFill>
        </w:rPr>
      </w:pPr>
      <w:r>
        <w:rPr>
          <w:rStyle w:val="883"/>
          <w:rFonts w:hint="eastAsia" w:ascii="宋体" w:hAnsi="宋体" w:eastAsia="宋体" w:cs="宋体"/>
          <w:color w:val="000000" w:themeColor="text1"/>
          <w:sz w:val="21"/>
          <w:szCs w:val="21"/>
          <w:highlight w:val="none"/>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75"/>
        <w:ind w:left="632"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left="632"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left="632"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left="632"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left="632"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left="632"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残疾人福利性单位声明函</w:t>
      </w:r>
      <w:r/>
    </w:p>
    <w:p>
      <w:pPr>
        <w:ind w:firstLine="464"/>
        <w:spacing w:line="360" w:lineRule="auto"/>
        <w:rPr>
          <w:rFonts w:hint="eastAsia" w:ascii="宋体" w:hAnsi="宋体" w:eastAsia="宋体" w:cs="宋体"/>
          <w:color w:val="000000" w:themeColor="text1"/>
          <w:spacing w:val="6"/>
          <w:highlight w:val="none"/>
          <w14:textFill>
            <w14:solidFill>
              <w14:schemeClr w14:val="tx1"/>
            </w14:solidFill>
          </w14:textFill>
        </w:rPr>
      </w:pPr>
      <w:r>
        <w:rPr>
          <w:rFonts w:hint="eastAsia" w:ascii="宋体" w:hAnsi="宋体" w:eastAsia="宋体" w:cs="宋体"/>
          <w:color w:val="000000" w:themeColor="text1"/>
          <w:spacing w:val="6"/>
          <w:highlight w:val="none"/>
          <w14:textFill>
            <w14:solidFill>
              <w14:schemeClr w14:val="tx1"/>
            </w14:solidFill>
          </w14:textFill>
        </w:rPr>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圆整（￥：     ）。</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本单位对上述声明的真实性负责。如有虚假，将依法承担相应责任。</w:t>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4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464"/>
        <w:spacing w:line="360" w:lineRule="auto"/>
        <w:rPr>
          <w:rFonts w:hint="eastAsia" w:ascii="宋体" w:hAnsi="宋体" w:eastAsia="宋体" w:cs="宋体"/>
          <w:color w:val="000000" w:themeColor="text1"/>
          <w:spacing w:val="6"/>
          <w:highlight w:val="none"/>
          <w14:textFill>
            <w14:solidFill>
              <w14:schemeClr w14:val="tx1"/>
            </w14:solidFill>
          </w14:textFill>
        </w:rPr>
      </w:pPr>
      <w:r>
        <w:rPr>
          <w:rFonts w:hint="eastAsia" w:ascii="宋体" w:hAnsi="宋体" w:eastAsia="宋体" w:cs="宋体"/>
          <w:color w:val="000000" w:themeColor="text1"/>
          <w:spacing w:val="6"/>
          <w:highlight w:val="none"/>
          <w14:textFill>
            <w14:solidFill>
              <w14:schemeClr w14:val="tx1"/>
            </w14:solidFill>
          </w14:textFill>
        </w:rPr>
      </w:r>
      <w:r/>
    </w:p>
    <w:p>
      <w:pPr>
        <w:ind w:right="1560" w:firstLine="464"/>
        <w:jc w:val="center"/>
        <w:spacing w:line="360" w:lineRule="auto"/>
        <w:tabs>
          <w:tab w:val="left" w:pos="48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pacing w:val="6"/>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供应商全称（盖章）：</w:t>
      </w:r>
      <w:r/>
    </w:p>
    <w:p>
      <w:pPr>
        <w:pStyle w:val="875"/>
        <w:ind w:right="228"/>
        <w:jc w:val="both"/>
        <w:spacing w:line="487"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w:t>
      </w:r>
      <w:r>
        <w:rPr>
          <w:rFonts w:hint="eastAsia" w:ascii="宋体" w:hAnsi="宋体" w:eastAsia="宋体" w:cs="宋体"/>
          <w:color w:val="000000" w:themeColor="text1"/>
          <w:sz w:val="22"/>
          <w:szCs w:val="22"/>
          <w:highlight w:val="none"/>
          <w:lang w:val="en-US"/>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 日  期：</w:t>
      </w:r>
      <w:r/>
    </w:p>
    <w:p>
      <w:pPr>
        <w:pStyle w:val="875"/>
        <w:ind w:right="228"/>
        <w:jc w:val="both"/>
        <w:spacing w:line="487"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四、磋商响应报价表</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877"/>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 </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     </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本次为首次报价                                                      </w:t>
      </w:r>
      <w:r/>
    </w:p>
    <w:tbl>
      <w:tblPr>
        <w:tblStyle w:val="8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大写：</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875"/>
        <w:ind w:right="228"/>
        <w:jc w:val="both"/>
        <w:spacing w:line="487"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    年   月    日</w:t>
      </w:r>
      <w:r/>
    </w:p>
    <w:p>
      <w:pPr>
        <w:pStyle w:val="875"/>
        <w:ind w:right="228"/>
        <w:jc w:val="both"/>
        <w:spacing w:line="487"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val="en-US" w:bidi="ar-SA"/>
          <w14:textFill>
            <w14:solidFill>
              <w14:schemeClr w14:val="tx1"/>
            </w14:solidFill>
          </w14:textFill>
        </w:rPr>
        <w:t xml:space="preserve">五、技术参数响应及偏离表</w:t>
      </w:r>
      <w:r/>
    </w:p>
    <w:tbl>
      <w:tblPr>
        <w:tblStyle w:val="872"/>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tcW w:w="2409"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采购要求</w:t>
            </w:r>
            <w:r/>
          </w:p>
        </w:tc>
        <w:tc>
          <w:tcPr>
            <w:tcW w:w="2284"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磋商响应</w:t>
            </w:r>
            <w:r/>
          </w:p>
        </w:tc>
        <w:tc>
          <w:tcPr>
            <w:tcW w:w="201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超出、符合或偏离</w:t>
            </w:r>
            <w:r/>
          </w:p>
        </w:tc>
        <w:tc>
          <w:tcPr>
            <w:tcW w:w="1137"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证明材料</w:t>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409"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284"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016"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37"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409"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284"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016"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37"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409"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284"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016"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37"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409"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284"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016"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37"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409"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284"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016"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37"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409"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284"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016"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37"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409"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284"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016"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37"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409"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284"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016"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37" w:type="dxa"/>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注：1、按照基本技术要求详细填列。</w:t>
      </w:r>
      <w:r/>
    </w:p>
    <w:p>
      <w:pPr>
        <w:ind w:firstLine="44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2、行数不够，可自行添加。</w:t>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0"/>
        <w:jc w:val="center"/>
        <w:spacing w:line="360" w:lineRule="auto"/>
        <w:rPr>
          <w:rFonts w:hint="eastAsia" w:ascii="宋体" w:hAnsi="宋体" w:eastAsia="宋体" w:cs="宋体"/>
          <w:bCs w:val="0"/>
          <w:color w:val="000000" w:themeColor="text1"/>
          <w:highlight w:val="none"/>
          <w14:textFill>
            <w14:solidFill>
              <w14:schemeClr w14:val="tx1"/>
            </w14:solidFill>
          </w14:textFill>
        </w:rPr>
      </w:pPr>
      <w:r>
        <w:rPr>
          <w:rFonts w:hint="eastAsia" w:ascii="宋体" w:hAnsi="宋体" w:eastAsia="宋体" w:cs="宋体"/>
          <w:bCs w:val="0"/>
          <w:color w:val="000000" w:themeColor="text1"/>
          <w:highlight w:val="none"/>
          <w14:textFill>
            <w14:solidFill>
              <w14:schemeClr w14:val="tx1"/>
            </w14:solidFill>
          </w14:textFill>
        </w:rPr>
        <w:t xml:space="preserve">六、商务条款响应及偏离表</w:t>
      </w:r>
      <w:r/>
    </w:p>
    <w:tbl>
      <w:tblPr>
        <w:tblStyle w:val="872"/>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是否响应</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交付方式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交付地点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jc w:val="center"/>
        <w:spacing w:line="360" w:lineRule="auto"/>
        <w:rPr>
          <w:rFonts w:ascii="宋体" w:hAnsi="宋体"/>
          <w:b/>
          <w:bCs/>
          <w:color w:val="000000" w:themeColor="text1"/>
          <w:sz w:val="32"/>
          <w:highlight w:val="none"/>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t xml:space="preserve">主要标的信息（中标后将公示）</w:t>
      </w:r>
      <w:r/>
    </w:p>
    <w:p>
      <w:pPr>
        <w:spacing w:after="312" w:line="360" w:lineRule="auto"/>
        <w:rPr>
          <w:rFonts w:ascii="宋体" w:hAnsi="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全称：</w:t>
      </w:r>
      <w:r/>
    </w:p>
    <w:tbl>
      <w:tblPr>
        <w:tblStyle w:val="872"/>
        <w:tblW w:w="90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5"/>
      </w:tblGrid>
      <w:tr>
        <w:trPr/>
        <w:tc>
          <w:tcPr>
            <w:tcBorders>
              <w:top w:val="single" w:color="000000" w:sz="4" w:space="0"/>
              <w:left w:val="single" w:color="000000" w:sz="4" w:space="0"/>
              <w:bottom w:val="single" w:color="000000" w:sz="4" w:space="0"/>
              <w:right w:val="single" w:color="000000" w:sz="4" w:space="0"/>
            </w:tcBorders>
            <w:tcW w:w="9039" w:type="dxa"/>
            <w:textDirection w:val="lrTb"/>
            <w:noWrap w:val="false"/>
          </w:tcPr>
          <w:p>
            <w:pPr>
              <w:jc w:val="center"/>
              <w:widowControl w:val="off"/>
              <w:rPr>
                <w:rFonts w:ascii="宋体" w:hAnsi="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服务类</w:t>
            </w:r>
            <w:r/>
          </w:p>
        </w:tc>
      </w:tr>
      <w:tr>
        <w:trPr>
          <w:trHeight w:val="3810"/>
        </w:trPr>
        <w:tc>
          <w:tcPr>
            <w:tcBorders>
              <w:top w:val="single" w:color="000000" w:sz="4" w:space="0"/>
              <w:left w:val="single" w:color="000000" w:sz="4" w:space="0"/>
              <w:bottom w:val="single" w:color="000000" w:sz="4" w:space="0"/>
              <w:right w:val="single" w:color="000000" w:sz="4" w:space="0"/>
            </w:tcBorders>
            <w:tcW w:w="9039" w:type="dxa"/>
            <w:textDirection w:val="lrTb"/>
            <w:noWrap w:val="false"/>
          </w:tcPr>
          <w:p>
            <w:pPr>
              <w:spacing w:line="360" w:lineRule="auto"/>
              <w:rPr>
                <w:rFonts w:ascii="宋体" w:hAnsi="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名称：</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服务范围：</w:t>
            </w:r>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服务要求：</w:t>
            </w:r>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服务时间：</w:t>
            </w:r>
            <w:r/>
          </w:p>
          <w:p>
            <w:pPr>
              <w:jc w:val="both"/>
              <w:spacing w:line="360" w:lineRule="auto"/>
              <w:widowControl w:val="off"/>
              <w:rPr>
                <w:rFonts w:ascii="宋体" w:hAnsi="宋体" w:cs="宋体"/>
                <w:color w:val="000000" w:themeColor="text1"/>
                <w:sz w:val="24"/>
                <w:szCs w:val="22"/>
                <w:highlight w:val="none"/>
                <w14:textFill>
                  <w14:solidFill>
                    <w14:schemeClr w14:val="tx1"/>
                  </w14:solidFill>
                </w14:textFill>
              </w:rPr>
            </w:pPr>
            <w:r>
              <w:rPr>
                <w:rFonts w:ascii="宋体" w:hAnsi="宋体" w:cs="宋体"/>
                <w:color w:val="000000" w:themeColor="text1"/>
                <w:sz w:val="24"/>
                <w:szCs w:val="22"/>
                <w:highlight w:val="none"/>
                <w14:textFill>
                  <w14:solidFill>
                    <w14:schemeClr w14:val="tx1"/>
                  </w14:solidFill>
                </w14:textFill>
              </w:rPr>
            </w:r>
            <w:r/>
          </w:p>
        </w:tc>
      </w:tr>
    </w:tbl>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pStyle w:val="875"/>
        <w:ind w:right="228"/>
        <w:jc w:val="both"/>
        <w:spacing w:line="487"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r/>
      <w:bookmarkStart w:id="19" w:name="_GoBack"/>
      <w:r/>
      <w:bookmarkEnd w:id="19"/>
      <w:r/>
      <w:r/>
    </w:p>
    <w:sectPr>
      <w:headerReference w:type="default" r:id="rId10"/>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Symbol">
    <w:panose1 w:val="05050102010706020507"/>
  </w:font>
  <w:font w:name="楷体">
    <w:panose1 w:val="02010609060101010101"/>
  </w:font>
  <w:font w:name="仿宋_GB2312">
    <w:panose1 w:val="02010609060101010101"/>
  </w:font>
  <w:font w:name="Cambria">
    <w:panose1 w:val="02040503050406030204"/>
  </w:font>
  <w:font w:name="Calibri">
    <w:panose1 w:val="020F0502020204030204"/>
  </w:font>
  <w:font w:name="SimSun">
    <w:panose1 w:val="02010600030101010101"/>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pPr>
    <w:r/>
    <w:r/>
  </w:p>
  <w:p>
    <w:pPr>
      <w:pStyle w:val="8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pPr>
    <w:r/>
    <w:r/>
  </w:p>
  <w:p>
    <w:pPr>
      <w:pStyle w:val="8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t xml:space="preserve">                                                </w:t>
    </w:r>
    <w:r/>
  </w:p>
  <w:p>
    <w:pPr>
      <w:pStyle w:val="879"/>
      <w:rPr>
        <w:lang w:val="en-US"/>
      </w:rPr>
    </w:pPr>
    <w:r>
      <w:rPr>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t xml:space="preserve">                                                </w:t>
    </w:r>
    <w:r/>
  </w:p>
  <w:p>
    <w:pPr>
      <w:pStyle w:val="879"/>
      <w:rPr>
        <w:lang w:val="en-US"/>
      </w:rPr>
    </w:pPr>
    <w:r>
      <w:rPr>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871"/>
    <w:link w:val="869"/>
    <w:uiPriority w:val="9"/>
    <w:rPr>
      <w:rFonts w:ascii="Arial" w:hAnsi="Arial" w:eastAsia="Arial" w:cs="Arial"/>
      <w:sz w:val="40"/>
      <w:szCs w:val="40"/>
    </w:rPr>
  </w:style>
  <w:style w:type="character" w:styleId="697">
    <w:name w:val="Heading 2 Char"/>
    <w:basedOn w:val="871"/>
    <w:link w:val="870"/>
    <w:uiPriority w:val="9"/>
    <w:rPr>
      <w:rFonts w:ascii="Arial" w:hAnsi="Arial" w:eastAsia="Arial" w:cs="Arial"/>
      <w:sz w:val="34"/>
    </w:rPr>
  </w:style>
  <w:style w:type="paragraph" w:styleId="698">
    <w:name w:val="Heading 3"/>
    <w:basedOn w:val="868"/>
    <w:next w:val="868"/>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basedOn w:val="871"/>
    <w:link w:val="698"/>
    <w:uiPriority w:val="9"/>
    <w:rPr>
      <w:rFonts w:ascii="Arial" w:hAnsi="Arial" w:eastAsia="Arial" w:cs="Arial"/>
      <w:sz w:val="30"/>
      <w:szCs w:val="30"/>
    </w:rPr>
  </w:style>
  <w:style w:type="paragraph" w:styleId="700">
    <w:name w:val="Heading 4"/>
    <w:basedOn w:val="868"/>
    <w:next w:val="868"/>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basedOn w:val="871"/>
    <w:link w:val="700"/>
    <w:uiPriority w:val="9"/>
    <w:rPr>
      <w:rFonts w:ascii="Arial" w:hAnsi="Arial" w:eastAsia="Arial" w:cs="Arial"/>
      <w:b/>
      <w:bCs/>
      <w:sz w:val="26"/>
      <w:szCs w:val="26"/>
    </w:rPr>
  </w:style>
  <w:style w:type="paragraph" w:styleId="702">
    <w:name w:val="Heading 5"/>
    <w:basedOn w:val="868"/>
    <w:next w:val="868"/>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basedOn w:val="871"/>
    <w:link w:val="702"/>
    <w:uiPriority w:val="9"/>
    <w:rPr>
      <w:rFonts w:ascii="Arial" w:hAnsi="Arial" w:eastAsia="Arial" w:cs="Arial"/>
      <w:b/>
      <w:bCs/>
      <w:sz w:val="24"/>
      <w:szCs w:val="24"/>
    </w:rPr>
  </w:style>
  <w:style w:type="paragraph" w:styleId="704">
    <w:name w:val="Heading 6"/>
    <w:basedOn w:val="868"/>
    <w:next w:val="868"/>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basedOn w:val="871"/>
    <w:link w:val="704"/>
    <w:uiPriority w:val="9"/>
    <w:rPr>
      <w:rFonts w:ascii="Arial" w:hAnsi="Arial" w:eastAsia="Arial" w:cs="Arial"/>
      <w:b/>
      <w:bCs/>
      <w:sz w:val="22"/>
      <w:szCs w:val="22"/>
    </w:rPr>
  </w:style>
  <w:style w:type="paragraph" w:styleId="706">
    <w:name w:val="Heading 7"/>
    <w:basedOn w:val="868"/>
    <w:next w:val="868"/>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basedOn w:val="871"/>
    <w:link w:val="706"/>
    <w:uiPriority w:val="9"/>
    <w:rPr>
      <w:rFonts w:ascii="Arial" w:hAnsi="Arial" w:eastAsia="Arial" w:cs="Arial"/>
      <w:b/>
      <w:bCs/>
      <w:i/>
      <w:iCs/>
      <w:sz w:val="22"/>
      <w:szCs w:val="22"/>
    </w:rPr>
  </w:style>
  <w:style w:type="paragraph" w:styleId="708">
    <w:name w:val="Heading 8"/>
    <w:basedOn w:val="868"/>
    <w:next w:val="868"/>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basedOn w:val="871"/>
    <w:link w:val="708"/>
    <w:uiPriority w:val="9"/>
    <w:rPr>
      <w:rFonts w:ascii="Arial" w:hAnsi="Arial" w:eastAsia="Arial" w:cs="Arial"/>
      <w:i/>
      <w:iCs/>
      <w:sz w:val="22"/>
      <w:szCs w:val="22"/>
    </w:rPr>
  </w:style>
  <w:style w:type="paragraph" w:styleId="710">
    <w:name w:val="Heading 9"/>
    <w:basedOn w:val="868"/>
    <w:next w:val="868"/>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basedOn w:val="871"/>
    <w:link w:val="710"/>
    <w:uiPriority w:val="9"/>
    <w:rPr>
      <w:rFonts w:ascii="Arial" w:hAnsi="Arial" w:eastAsia="Arial" w:cs="Arial"/>
      <w:i/>
      <w:iCs/>
      <w:sz w:val="21"/>
      <w:szCs w:val="21"/>
    </w:rPr>
  </w:style>
  <w:style w:type="paragraph" w:styleId="712">
    <w:name w:val="No Spacing"/>
    <w:uiPriority w:val="1"/>
    <w:qFormat/>
    <w:pPr>
      <w:spacing w:before="0" w:after="0" w:line="240" w:lineRule="auto"/>
    </w:pPr>
  </w:style>
  <w:style w:type="paragraph" w:styleId="713">
    <w:name w:val="Title"/>
    <w:basedOn w:val="868"/>
    <w:next w:val="868"/>
    <w:link w:val="714"/>
    <w:uiPriority w:val="10"/>
    <w:qFormat/>
    <w:pPr>
      <w:contextualSpacing/>
      <w:spacing w:before="300" w:after="200"/>
    </w:pPr>
    <w:rPr>
      <w:sz w:val="48"/>
      <w:szCs w:val="48"/>
    </w:rPr>
  </w:style>
  <w:style w:type="character" w:styleId="714">
    <w:name w:val="Title Char"/>
    <w:basedOn w:val="871"/>
    <w:link w:val="713"/>
    <w:uiPriority w:val="10"/>
    <w:rPr>
      <w:sz w:val="48"/>
      <w:szCs w:val="48"/>
    </w:rPr>
  </w:style>
  <w:style w:type="paragraph" w:styleId="715">
    <w:name w:val="Subtitle"/>
    <w:basedOn w:val="868"/>
    <w:next w:val="868"/>
    <w:link w:val="716"/>
    <w:uiPriority w:val="11"/>
    <w:qFormat/>
    <w:pPr>
      <w:spacing w:before="200" w:after="200"/>
    </w:pPr>
    <w:rPr>
      <w:sz w:val="24"/>
      <w:szCs w:val="24"/>
    </w:rPr>
  </w:style>
  <w:style w:type="character" w:styleId="716">
    <w:name w:val="Subtitle Char"/>
    <w:basedOn w:val="871"/>
    <w:link w:val="715"/>
    <w:uiPriority w:val="11"/>
    <w:rPr>
      <w:sz w:val="24"/>
      <w:szCs w:val="24"/>
    </w:rPr>
  </w:style>
  <w:style w:type="paragraph" w:styleId="717">
    <w:name w:val="Quote"/>
    <w:basedOn w:val="868"/>
    <w:next w:val="868"/>
    <w:link w:val="718"/>
    <w:uiPriority w:val="29"/>
    <w:qFormat/>
    <w:pPr>
      <w:ind w:left="720" w:right="720"/>
    </w:pPr>
    <w:rPr>
      <w:i/>
    </w:rPr>
  </w:style>
  <w:style w:type="character" w:styleId="718">
    <w:name w:val="Quote Char"/>
    <w:link w:val="717"/>
    <w:uiPriority w:val="29"/>
    <w:rPr>
      <w:i/>
    </w:rPr>
  </w:style>
  <w:style w:type="paragraph" w:styleId="719">
    <w:name w:val="Intense Quote"/>
    <w:basedOn w:val="868"/>
    <w:next w:val="868"/>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1"/>
    <w:link w:val="879"/>
    <w:uiPriority w:val="99"/>
  </w:style>
  <w:style w:type="character" w:styleId="722">
    <w:name w:val="Footer Char"/>
    <w:basedOn w:val="871"/>
    <w:link w:val="878"/>
    <w:uiPriority w:val="99"/>
  </w:style>
  <w:style w:type="paragraph" w:styleId="723">
    <w:name w:val="Caption"/>
    <w:basedOn w:val="868"/>
    <w:next w:val="868"/>
    <w:uiPriority w:val="35"/>
    <w:semiHidden/>
    <w:unhideWhenUsed/>
    <w:qFormat/>
    <w:pPr>
      <w:spacing w:line="276" w:lineRule="auto"/>
    </w:pPr>
    <w:rPr>
      <w:b/>
      <w:bCs/>
      <w:color w:val="4f81bd" w:themeColor="accent1"/>
      <w:sz w:val="18"/>
      <w:szCs w:val="18"/>
    </w:rPr>
  </w:style>
  <w:style w:type="character" w:styleId="724">
    <w:name w:val="Caption Char"/>
    <w:basedOn w:val="723"/>
    <w:link w:val="878"/>
    <w:uiPriority w:val="99"/>
  </w:style>
  <w:style w:type="table" w:styleId="725">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1">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2">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3">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4">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5">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6">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6">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7">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8">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9">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0">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1">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3">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4">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5">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6">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7">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8">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7">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8">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9">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0">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1">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2">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4">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5">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6">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7">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8">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9">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1">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2">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3">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4">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5">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6">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8">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9">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0">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1">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2">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3">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basedOn w:val="868"/>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basedOn w:val="871"/>
    <w:uiPriority w:val="99"/>
    <w:unhideWhenUsed/>
    <w:rPr>
      <w:vertAlign w:val="superscript"/>
    </w:rPr>
  </w:style>
  <w:style w:type="paragraph" w:styleId="854">
    <w:name w:val="endnote text"/>
    <w:basedOn w:val="868"/>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71"/>
    <w:uiPriority w:val="99"/>
    <w:semiHidden/>
    <w:unhideWhenUsed/>
    <w:rPr>
      <w:vertAlign w:val="superscript"/>
    </w:rPr>
  </w:style>
  <w:style w:type="paragraph" w:styleId="857">
    <w:name w:val="toc 1"/>
    <w:basedOn w:val="868"/>
    <w:next w:val="868"/>
    <w:uiPriority w:val="39"/>
    <w:unhideWhenUsed/>
    <w:pPr>
      <w:ind w:left="0" w:right="0" w:firstLine="0"/>
      <w:spacing w:after="57"/>
    </w:pPr>
  </w:style>
  <w:style w:type="paragraph" w:styleId="858">
    <w:name w:val="toc 2"/>
    <w:basedOn w:val="868"/>
    <w:next w:val="868"/>
    <w:uiPriority w:val="39"/>
    <w:unhideWhenUsed/>
    <w:pPr>
      <w:ind w:left="283" w:right="0" w:firstLine="0"/>
      <w:spacing w:after="57"/>
    </w:p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69">
    <w:name w:val="Heading 1"/>
    <w:basedOn w:val="868"/>
    <w:next w:val="868"/>
    <w:uiPriority w:val="9"/>
    <w:qFormat/>
    <w:pPr>
      <w:keepLines/>
      <w:keepNext/>
      <w:spacing w:before="340" w:after="330" w:line="578" w:lineRule="auto"/>
      <w:outlineLvl w:val="0"/>
    </w:pPr>
    <w:rPr>
      <w:rFonts w:ascii="Calibri" w:hAnsi="Calibri"/>
      <w:b/>
      <w:bCs/>
      <w:sz w:val="44"/>
      <w:szCs w:val="44"/>
    </w:rPr>
  </w:style>
  <w:style w:type="paragraph" w:styleId="870">
    <w:name w:val="Heading 2"/>
    <w:basedOn w:val="868"/>
    <w:next w:val="873"/>
    <w:uiPriority w:val="9"/>
    <w:qFormat/>
    <w:pPr>
      <w:keepLines/>
      <w:keepNext/>
      <w:spacing w:before="260" w:after="260" w:line="416" w:lineRule="auto"/>
      <w:outlineLvl w:val="1"/>
    </w:pPr>
    <w:rPr>
      <w:rFonts w:ascii="Cambria" w:hAnsi="Cambria"/>
      <w:b/>
      <w:bCs/>
      <w:sz w:val="32"/>
      <w:szCs w:val="32"/>
    </w:rPr>
  </w:style>
  <w:style w:type="character" w:styleId="871" w:default="1">
    <w:name w:val="Default Paragraph Font"/>
    <w:uiPriority w:val="0"/>
    <w:semiHidden/>
  </w:style>
  <w:style w:type="table" w:styleId="872" w:default="1">
    <w:name w:val="Normal Table"/>
    <w:uiPriority w:val="0"/>
    <w:semiHidden/>
    <w:tblPr>
      <w:tblCellMar>
        <w:left w:w="108" w:type="dxa"/>
        <w:top w:w="0" w:type="dxa"/>
        <w:right w:w="108" w:type="dxa"/>
        <w:bottom w:w="0" w:type="dxa"/>
      </w:tblCellMar>
    </w:tblPr>
  </w:style>
  <w:style w:type="paragraph" w:styleId="873">
    <w:name w:val="Normal Indent"/>
    <w:basedOn w:val="868"/>
    <w:next w:val="868"/>
    <w:uiPriority w:val="0"/>
    <w:unhideWhenUsed/>
    <w:qFormat/>
    <w:pPr>
      <w:ind w:firstLine="420"/>
    </w:pPr>
    <w:rPr>
      <w:rFonts w:ascii="Calibri" w:hAnsi="Calibri" w:eastAsia="宋体" w:cs="Times New Roman"/>
    </w:rPr>
  </w:style>
  <w:style w:type="paragraph" w:styleId="874">
    <w:name w:val="annotation text"/>
    <w:basedOn w:val="868"/>
    <w:uiPriority w:val="0"/>
    <w:qFormat/>
    <w:pPr>
      <w:jc w:val="left"/>
    </w:pPr>
  </w:style>
  <w:style w:type="paragraph" w:styleId="875">
    <w:name w:val="Body Text"/>
    <w:basedOn w:val="868"/>
    <w:next w:val="868"/>
    <w:uiPriority w:val="1"/>
    <w:qFormat/>
    <w:rPr>
      <w:sz w:val="21"/>
      <w:szCs w:val="21"/>
    </w:rPr>
  </w:style>
  <w:style w:type="paragraph" w:styleId="876">
    <w:name w:val="Body Text Indent"/>
    <w:basedOn w:val="868"/>
    <w:uiPriority w:val="0"/>
    <w:qFormat/>
    <w:pPr>
      <w:ind w:left="200"/>
      <w:spacing w:after="120"/>
    </w:pPr>
  </w:style>
  <w:style w:type="paragraph" w:styleId="877">
    <w:name w:val="Date"/>
    <w:basedOn w:val="868"/>
    <w:next w:val="868"/>
    <w:uiPriority w:val="0"/>
    <w:qFormat/>
    <w:rPr>
      <w:sz w:val="24"/>
      <w:szCs w:val="20"/>
    </w:rPr>
  </w:style>
  <w:style w:type="paragraph" w:styleId="878">
    <w:name w:val="Footer"/>
    <w:basedOn w:val="868"/>
    <w:uiPriority w:val="0"/>
    <w:qFormat/>
    <w:pPr>
      <w:tabs>
        <w:tab w:val="center" w:pos="4153" w:leader="none"/>
        <w:tab w:val="right" w:pos="8306" w:leader="none"/>
      </w:tabs>
    </w:pPr>
    <w:rPr>
      <w:sz w:val="18"/>
    </w:rPr>
  </w:style>
  <w:style w:type="paragraph" w:styleId="879">
    <w:name w:val="Header"/>
    <w:basedOn w:val="868"/>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80">
    <w:name w:val="Normal (Web)"/>
    <w:basedOn w:val="868"/>
    <w:uiPriority w:val="99"/>
    <w:qFormat/>
    <w:pPr>
      <w:spacing w:before="100" w:beforeAutospacing="1" w:after="100" w:afterAutospacing="1"/>
    </w:pPr>
    <w:rPr>
      <w:rFonts w:cs="Times New Roman"/>
      <w:sz w:val="24"/>
      <w:lang w:val="en-US" w:bidi="ar-SA"/>
    </w:rPr>
  </w:style>
  <w:style w:type="paragraph" w:styleId="881">
    <w:name w:val="Body Text First Indent 2"/>
    <w:basedOn w:val="876"/>
    <w:uiPriority w:val="0"/>
    <w:qFormat/>
    <w:pPr>
      <w:ind w:left="0" w:firstLine="200"/>
      <w:spacing w:after="0"/>
    </w:pPr>
    <w:rPr>
      <w:rFonts w:ascii="仿宋_GB2312" w:eastAsia="仿宋_GB2312"/>
      <w:sz w:val="24"/>
      <w:szCs w:val="24"/>
    </w:rPr>
  </w:style>
  <w:style w:type="table" w:styleId="8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Strong"/>
    <w:uiPriority w:val="0"/>
    <w:qFormat/>
    <w:rPr>
      <w:b/>
    </w:rPr>
  </w:style>
  <w:style w:type="paragraph" w:styleId="884" w:customStyle="1">
    <w:name w:val="普通正文"/>
    <w:basedOn w:val="868"/>
    <w:uiPriority w:val="0"/>
    <w:qFormat/>
    <w:pPr>
      <w:ind w:firstLine="480"/>
      <w:jc w:val="left"/>
      <w:spacing w:before="120" w:after="120"/>
    </w:pPr>
    <w:rPr>
      <w:rFonts w:ascii="Arial" w:hAnsi="Arial" w:eastAsia="楷体"/>
      <w:szCs w:val="24"/>
    </w:rPr>
  </w:style>
  <w:style w:type="paragraph" w:styleId="885">
    <w:name w:val="List Paragraph"/>
    <w:basedOn w:val="868"/>
    <w:uiPriority w:val="1"/>
    <w:qFormat/>
    <w:pPr>
      <w:ind w:left="220" w:hanging="530"/>
    </w:pPr>
  </w:style>
  <w:style w:type="paragraph" w:styleId="886" w:customStyle="1">
    <w:name w:val="Char"/>
    <w:basedOn w:val="868"/>
    <w:uiPriority w:val="0"/>
    <w:qFormat/>
    <w:pPr>
      <w:ind w:firstLine="200"/>
      <w:tabs>
        <w:tab w:val="left" w:pos="360" w:leader="none"/>
      </w:tabs>
    </w:pPr>
    <w:rPr>
      <w:rFonts w:ascii="Times New Roman" w:hAnsi="Times New Roman" w:eastAsia="宋体" w:cs="Times New Roman"/>
      <w:sz w:val="28"/>
      <w:szCs w:val="30"/>
    </w:rPr>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Dorami</dc:creator>
  <cp:lastModifiedBy>钱华俊</cp:lastModifiedBy>
  <cp:revision>3</cp:revision>
  <dcterms:created xsi:type="dcterms:W3CDTF">2026-07-14T08:47:00Z</dcterms:created>
  <dcterms:modified xsi:type="dcterms:W3CDTF">2026-07-14T09:49:29Z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4AB8E2577C7B422BAD774D4BAF48D021_13</vt:lpwstr>
  </property>
  <property fmtid="{D5CDD505-2E9C-101B-9397-08002B2CF9AE}" pid="4" name="KSOTemplateDocerSaveRecord">
    <vt:lpwstr>eyJoZGlkIjoiMDRhYjNmMjljMTgxOTIzN2NjYmJkYzNlNzk1OTE0N2IiLCJ1c2VySWQiOiIyNjM3Mjk0OTMifQ==</vt:lpwstr>
  </property>
</Properties>
</file>