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 </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项目名称：江苏省苏北人民医院基因芯片诊断系统采购项目（二次）</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项目编号：JSZC-321000-SHGK-G2026-0055</w:t>
      </w:r>
      <w:r/>
    </w:p>
    <w:p>
      <w:pPr>
        <w:ind w:left="0" w:right="0" w:firstLine="48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代理机构编号：1214-264105252WDX</w:t>
      </w:r>
      <w:r/>
    </w:p>
    <w:p>
      <w:pPr>
        <w:ind w:left="0" w:right="0" w:firstLine="2249"/>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江苏苏豪创新科技集团高科有限公司</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2026年6月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总目录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0411" w:history="1">
        <w:r>
          <w:rPr>
            <w:rStyle w:val="764"/>
            <w:rFonts w:ascii="SimSun" w:hAnsi="SimSun" w:eastAsia="SimSun" w:cs="SimSun"/>
            <w:color w:val="0000ee"/>
            <w:sz w:val="24"/>
            <w:u w:val="single"/>
          </w:rPr>
          <w:t xml:space="preserve">总目录</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24738" w:history="1">
        <w:r>
          <w:rPr>
            <w:rStyle w:val="764"/>
            <w:rFonts w:ascii="SimSun" w:hAnsi="SimSun" w:eastAsia="SimSun" w:cs="SimSun"/>
            <w:color w:val="0000ee"/>
            <w:sz w:val="24"/>
            <w:u w:val="single"/>
          </w:rPr>
          <w:t xml:space="preserve">第一章投标邀请</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7820" w:history="1">
        <w:r>
          <w:rPr>
            <w:rStyle w:val="764"/>
            <w:rFonts w:ascii="SimSun" w:hAnsi="SimSun" w:eastAsia="SimSun" w:cs="SimSun"/>
            <w:color w:val="0000ee"/>
            <w:sz w:val="24"/>
            <w:u w:val="single"/>
          </w:rPr>
          <w:t xml:space="preserve">第二章投标人须知</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6" w:tooltip="http://jszfcg.jsczt.cn/jszc/onlyoffice/7.2.1-34/web-apps/apps/documenteditor/main/index_loader.html?_dc=7.2.1-34&amp;lang=zh&amp;customer=%20&amp;logo=%20&amp;headerlogo=%2Ffavicon.ico&amp;frameEditorId=iframePage&amp;compact=true&amp;parentOrigin=http://jszfcg.jsczt.cn#_Toc6669" w:history="1">
        <w:r>
          <w:rPr>
            <w:rStyle w:val="764"/>
            <w:rFonts w:ascii="SimSun" w:hAnsi="SimSun" w:eastAsia="SimSun" w:cs="SimSun"/>
            <w:color w:val="0000ee"/>
            <w:sz w:val="24"/>
            <w:u w:val="single"/>
          </w:rPr>
          <w:t xml:space="preserve">第三章合同文本</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7" w:tooltip="http://jszfcg.jsczt.cn/jszc/onlyoffice/7.2.1-34/web-apps/apps/documenteditor/main/index_loader.html?_dc=7.2.1-34&amp;lang=zh&amp;customer=%20&amp;logo=%20&amp;headerlogo=%2Ffavicon.ico&amp;frameEditorId=iframePage&amp;compact=true&amp;parentOrigin=http://jszfcg.jsczt.cn#_Toc29514" w:history="1">
        <w:r>
          <w:rPr>
            <w:rStyle w:val="764"/>
            <w:rFonts w:ascii="SimSun" w:hAnsi="SimSun" w:eastAsia="SimSun" w:cs="SimSun"/>
            <w:color w:val="0000ee"/>
            <w:sz w:val="24"/>
            <w:u w:val="single"/>
          </w:rPr>
          <w:t xml:space="preserve">第四章采购需求</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8" w:tooltip="http://jszfcg.jsczt.cn/jszc/onlyoffice/7.2.1-34/web-apps/apps/documenteditor/main/index_loader.html?_dc=7.2.1-34&amp;lang=zh&amp;customer=%20&amp;logo=%20&amp;headerlogo=%2Ffavicon.ico&amp;frameEditorId=iframePage&amp;compact=true&amp;parentOrigin=http://jszfcg.jsczt.cn#_Toc470" w:history="1">
        <w:r>
          <w:rPr>
            <w:rStyle w:val="764"/>
            <w:rFonts w:ascii="SimSun" w:hAnsi="SimSun" w:eastAsia="SimSun" w:cs="SimSun"/>
            <w:color w:val="0000ee"/>
            <w:sz w:val="24"/>
            <w:u w:val="single"/>
          </w:rPr>
          <w:t xml:space="preserve">第五章评标方法与评标标准</w:t>
          <w:tab/>
        </w:r>
      </w:hyperlink>
      <w:r/>
      <w:r/>
    </w:p>
    <w:p>
      <w:pPr>
        <w:ind w:left="0" w:right="0" w:firstLine="0"/>
        <w:jc w:val="both"/>
        <w:spacing w:before="120" w:after="120" w:line="400" w:lineRule="atLeast"/>
        <w:tabs>
          <w:tab w:val="left" w:pos="8732" w:leader="none"/>
        </w:tabs>
        <w:pBdr>
          <w:top w:val="none" w:color="000000" w:sz="4" w:space="0"/>
          <w:left w:val="none" w:color="000000" w:sz="4" w:space="0"/>
          <w:bottom w:val="none" w:color="000000" w:sz="4" w:space="0"/>
          <w:right w:val="none" w:color="000000" w:sz="4" w:space="0"/>
        </w:pBdr>
      </w:pPr>
      <w:r/>
      <w:hyperlink r:id="rId19" w:tooltip="http://jszfcg.jsczt.cn/jszc/onlyoffice/7.2.1-34/web-apps/apps/documenteditor/main/index_loader.html?_dc=7.2.1-34&amp;lang=zh&amp;customer=%20&amp;logo=%20&amp;headerlogo=%2Ffavicon.ico&amp;frameEditorId=iframePage&amp;compact=true&amp;parentOrigin=http://jszfcg.jsczt.cn#_Toc28055" w:history="1">
        <w:r>
          <w:rPr>
            <w:rStyle w:val="764"/>
            <w:rFonts w:ascii="SimSun" w:hAnsi="SimSun" w:eastAsia="SimSun" w:cs="SimSun"/>
            <w:color w:val="0000ee"/>
            <w:sz w:val="24"/>
            <w:u w:val="single"/>
          </w:rPr>
          <w:t xml:space="preserve">第六章投标文件格式</w:t>
          <w:tab/>
        </w:r>
      </w:hyperlink>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第一章投标邀请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受[江苏省苏北人民医院]的委托，江苏苏豪创新科技集团高科有限公司就[基因芯片诊断系统]([项目编号：JSZC-321000-SHGK-G2026-0055]）采购项目进行公开招标采购，欢迎符合条件的供应商投标。</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（江苏省苏北人民医院基因芯片诊断系统采购）</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“扬州市政府采购网”、“江苏政府采购网”自行免费下载</w:t>
      </w:r>
      <w:r>
        <w:rPr>
          <w:rFonts w:ascii="SimSun" w:hAnsi="SimSun" w:eastAsia="SimSun" w:cs="SimSun"/>
          <w:color w:val="000000"/>
          <w:sz w:val="24"/>
        </w:rPr>
        <w:t xml:space="preserve">招标文件，并于</w:t>
      </w:r>
      <w:r>
        <w:rPr>
          <w:rFonts w:ascii="SimSun" w:hAnsi="SimSun" w:eastAsia="SimSun" w:cs="SimSun"/>
          <w:color w:val="000000"/>
          <w:sz w:val="24"/>
          <w:u w:val="single"/>
        </w:rPr>
        <w:t xml:space="preserve">2026年7月21日10时整（</w:t>
      </w:r>
      <w:r>
        <w:rPr>
          <w:rFonts w:ascii="SimSun" w:hAnsi="SimSun" w:eastAsia="SimSun" w:cs="SimSun"/>
          <w:color w:val="000000"/>
          <w:sz w:val="24"/>
        </w:rPr>
        <w:t xml:space="preserve">北京时间）前递交投标文件。</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一、项目基本情况</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1.项目编号：JSZC-321000-SHGK-G2026-0055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w:t>
      </w:r>
      <w:r>
        <w:rPr>
          <w:rFonts w:ascii="SimSun" w:hAnsi="SimSun" w:eastAsia="SimSun" w:cs="SimSun"/>
          <w:color w:val="000000"/>
          <w:sz w:val="24"/>
          <w:u w:val="single"/>
        </w:rPr>
        <w:t xml:space="preserve">江苏省苏北人民医院基因芯片诊断系统采购项目（二次）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3.预算金额：231.25万元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4.本项目设定最高限价，最高限价为</w:t>
      </w:r>
      <w:r>
        <w:rPr>
          <w:rFonts w:ascii="SimSun" w:hAnsi="SimSun" w:eastAsia="SimSun" w:cs="SimSun"/>
          <w:color w:val="000000"/>
          <w:sz w:val="24"/>
          <w:u w:val="single"/>
        </w:rPr>
        <w:t xml:space="preserve">231.25万元</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5.采购需求（简介）：</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6"/>
        <w:gridCol w:w="2612"/>
        <w:gridCol w:w="948"/>
        <w:gridCol w:w="2325"/>
        <w:gridCol w:w="2194"/>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基因芯片诊断系统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w:t>
      </w:r>
      <w:r>
        <w:rPr>
          <w:rFonts w:ascii="SimSun" w:hAnsi="SimSun" w:eastAsia="SimSun" w:cs="SimSun"/>
          <w:i/>
          <w:color w:val="000000"/>
          <w:sz w:val="24"/>
          <w:u w:val="single"/>
        </w:rPr>
        <w:t xml:space="preserve">合同签订后60天内</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1.1 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1.2上一年度的财务状况报告（成立不满一年无需提供）；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1.4具备履行合同所必需的设备和专业技术能力的书面声明；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1.5参加政府采购活动前3年内在经营活动中没有重大违法记录的书面声明；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1.6供应商信用承诺书。</w:t>
      </w:r>
      <w:r/>
    </w:p>
    <w:p>
      <w:pPr>
        <w:ind w:left="0" w:right="0" w:firstLine="480"/>
        <w:jc w:val="both"/>
        <w:spacing w:before="0" w:after="0" w:line="43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000000"/>
          <w:sz w:val="24"/>
        </w:rPr>
        <w:t xml:space="preserve">20%</w:t>
      </w:r>
      <w:r>
        <w:rPr>
          <w:rFonts w:ascii="SimSun" w:hAnsi="SimSun" w:eastAsia="SimSun" w:cs="SimSun"/>
          <w:color w:val="000000"/>
          <w:sz w:val="24"/>
        </w:rPr>
        <w:t xml:space="preserve">的扣除，用扣除后的价格参加评审。价格扣除比例对小型企业和微型企业同等对待，不作区分。监狱企业、残疾人福利单位属于小型、微型企业的，不重复享受政策。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（1）投标产品如果属于医疗设备注册范畴的；投标人须根据投标产品的类别，提供《医疗器械经营企业许可证》或者《医疗器械经营备案凭证》（复印件）；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（2）投标产品如果属于医疗设备注册范畴的；投标人须提供投标产品的《医疗器械注册证》（复印件）；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（三）拒绝下述供应商参加本次采购活动：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供应商单位负责人为同一人或者存在直接控股、管理关系的不同供应商，不得参加同一合同项下的政府采购活动。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凡为采购项目提供整体设计、规范编制或者项目管理、监理、检测等服务的供应商，不得再参加该项目的其他采购活动。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 供应商被“信用中国”网站（www.creditchina.gov.cn）、“中国政府采购网”（www.ccgp.gov.cn）列入失信被执行人、重大税收违法失信主体、政府采购严重违法失信行为记录名单。</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三、获取招标文件</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1.时间：自招标文件公告发布之日起5个工作日。5个工作日后，仍可以下载招标文件，但不作为供应商权利损害的证明材料和依据。</w:t>
      </w:r>
      <w:r/>
    </w:p>
    <w:p>
      <w:pPr>
        <w:ind w:left="0" w:right="0" w:firstLine="5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2.方式：在“扬州市政府采购网” 、“江苏政府采购网”自行免费下载招标文件。</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四、提交投标文件截止时间、开标时间和地点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1.提交投标文件截止时间、开标时间：</w:t>
      </w:r>
      <w:r>
        <w:rPr>
          <w:rFonts w:ascii="SimSun" w:hAnsi="SimSun" w:eastAsia="SimSun" w:cs="SimSun"/>
          <w:color w:val="000000"/>
          <w:sz w:val="24"/>
          <w:u w:val="single"/>
        </w:rPr>
        <w:t xml:space="preserve">2026年7月21日10时整</w:t>
      </w:r>
      <w:r>
        <w:rPr>
          <w:rFonts w:ascii="SimSun" w:hAnsi="SimSun" w:eastAsia="SimSun" w:cs="SimSun"/>
          <w:color w:val="000000"/>
          <w:sz w:val="24"/>
        </w:rPr>
        <w:t xml:space="preserve">（北京时间）。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2.地点：“苏采云”政府采购交易系统网上开标大厅。</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招标公告及招标文件公告期限为自本公告发布之日起5个工作日。</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六、其他补充事宜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1.本项目招标文件中所有斜体下划线部分为实质性条款，如不满足，则为无效投标。</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3.供应商如确定参加投标，可自行下载采购文件及有关资料，按照《操作手册》进行注册，领取CA和办理电子签章，并按《操作手册》要求制作、上传电子投标文件，技术支持联系方式：13813140731。</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1"/>
        </w:rPr>
        <w:t xml:space="preserve"> </w:t>
      </w:r>
      <w:r>
        <w:rPr>
          <w:rFonts w:ascii="SimSun" w:hAnsi="SimSun" w:eastAsia="SimSun" w:cs="SimSun"/>
          <w:color w:val="000000"/>
          <w:sz w:val="24"/>
        </w:rPr>
        <w:t xml:space="preserve">潜在供应商对采购文件项目需求部分的询问、质疑请向采购人提出，由采购人负责答复。</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有关本次招标的事项若存在变动或修改，敬请及时关注“扬州市政府采购网”、 “江苏省政府采购网”发布的更正公告。</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本次招标不收取投标保证金。</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 本招标项目执行《中华人民共和国政府采购法》《中华人民共和国政府采购法实施条例》《中华人民共和国财政部令第87号》《财库〔2014〕68号》《财库〔2017〕141号》《财库〔2019〕9号》《财库〔2020〕46号》《苏财购〔2022〕45号》《苏财购〔2025〕62号》</w:t>
      </w:r>
      <w:r>
        <w:rPr>
          <w:rFonts w:ascii="SimSun" w:hAnsi="SimSun" w:eastAsia="SimSun" w:cs="SimSun"/>
          <w:color w:val="000000"/>
          <w:sz w:val="24"/>
          <w:u w:val="single"/>
        </w:rPr>
        <w:t xml:space="preserve">《国办发〔2025〕34号》《财库〔2026〕2号》</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七、本次招标联系方式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 购 人：江苏省苏北人民医院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联系地址：扬州市广陵区南通西路98号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人：丁老师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联系电话：0514-87373114</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2.采购代理机构：江苏苏豪创新科技集团高科有限公司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联系地址：南京市雨花台区软件大道21号苏豪国际广场（北园）C座612室</w:t>
      </w:r>
      <w:r/>
    </w:p>
    <w:p>
      <w:pPr>
        <w:ind w:left="0" w:right="0" w:firstLine="5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w:t>
      </w:r>
      <w:r>
        <w:rPr>
          <w:rFonts w:ascii="SimSun" w:hAnsi="SimSun" w:eastAsia="SimSun" w:cs="SimSun"/>
          <w:color w:val="000000"/>
          <w:spacing w:val="8"/>
          <w:sz w:val="24"/>
        </w:rPr>
        <w:t xml:space="preserve">吴冬晓、朱笑青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电话：025-52875975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5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项目联系人：吴冬晓、朱笑青</w:t>
      </w:r>
      <w:r/>
    </w:p>
    <w:p>
      <w:pPr>
        <w:ind w:left="0" w:right="0" w:firstLine="512"/>
        <w:jc w:val="both"/>
        <w:spacing w:before="0" w:after="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4"/>
        </w:rPr>
        <w:t xml:space="preserve">电话：025-52875975</w:t>
      </w:r>
      <w:r/>
    </w:p>
    <w:p>
      <w:pPr>
        <w:ind w:left="0" w:right="0" w:firstLine="436"/>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八、落实好政府采购履约资金扶持政策及其他相关政策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1.中标/成交供应商可凭政府采购合同办理融资贷款，详见江苏政府采购网“政采贷”专栏。”</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4.供应商对于投标产品的包装应按照“财办库〔2020〕123号《关于印发《商品包装政府采购需求标准（试行）》《快递包装政府采购需求标准（试行）》的通知》”执行。</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第二章  投标人须知</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1.招标方式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本次招标采取公开招标方式，本招标文件仅适用于招标公告中所述项目。</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2.合格的投标人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满足招标公告中供应商的资格要求的规定。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满足本文件实质性要求和条件的规定。</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3.适用法律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在本项目政府采购活动过程中，如果所执行的标准有更新的，按照最新标准执行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投标人应自行承担所有与参加投标有关的费用，无论投标过程中的做法和结果如何，江苏苏豪创新科技集团高科有限公司（以下简称招标代理机构）在任何情况下均无义务和责任承担这些费用。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4.2本次招标招标代理机构不收取标书工本费。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代理费收费标准：本项目采购代理服务费参照江苏省政府采购代理服务收费指导意见[苏政采协［2024］20号]文40%收取，应在领取中标通知书前缴纳。专家评审费按扬财购【2020】40号文《关于进一步规范扬州市政府采购专家评审费标准的通知》执行。服务费应在领取中标通知书前缴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户名：江苏苏豪创新科技集团高科有限公司</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开户银行：工商银行江苏省南京市白下支行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 xml:space="preserve">账号：4301013119100888895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5.招标文件的约束力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投标人一旦参加本项目采购活动，即被认为接受了本招标文件的规定和约束。</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6.招标文件构成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招标文件由以下部分组成：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请仔细检查招标文件是否齐全，如有缺漏请立即与代理机构联系解决。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7.招标文件的澄清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前按招标公告中的通讯地址，以书面形式通知代理机构。</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在投标截止时间前，代理机构可以对招标文件进行修改。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代理机构有权按照法定的要求推迟投标截止日期和开标日期。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8.3 招标文件的修改将在江苏政府采购网公布，补充文件将作为招标文件的组成部分，并对投标人具有约束力。</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投标人提交的投标文件以及投标人与代理机构就有关投标的所有来往通知、函件和文件均应使用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除技术性能另有规定外，投标文件所使用的度量衡单位，均须采用国家法定计量单位。</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10.投标文件构成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投标人编写的投标文件应包括</w:t>
      </w:r>
      <w:r>
        <w:rPr>
          <w:rFonts w:ascii="SimSun" w:hAnsi="SimSun" w:eastAsia="SimSun" w:cs="SimSun"/>
          <w:color w:val="000000"/>
          <w:sz w:val="24"/>
          <w:u w:val="single"/>
        </w:rPr>
        <w:t xml:space="preserve">资格证明文件、符合性证明文件、投标分项报价表、技术要求响应及偏离表、商务要求响应及偏离表、其他证明文件、投标函、开标一览表</w:t>
      </w:r>
      <w:r>
        <w:rPr>
          <w:rFonts w:ascii="SimSun" w:hAnsi="SimSun" w:eastAsia="SimSun" w:cs="SimSun"/>
          <w:color w:val="000000"/>
          <w:sz w:val="24"/>
        </w:rPr>
        <w:t xml:space="preserve">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如标书制作工具中格式和内容与“江苏政府采购网”发布的招标文件不一致，请以“江苏政府采购网”发布的招标文件为准。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11.证明投标人及投标标的符合招标文件规定的文件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投标人应按照招标文件要求提交证明文件，证明其及投标标的符合招标文件规定。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招标文件对证明文件无明确形式要求的，证明文件可以以文字资料、图纸和数据等形式提交。</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投标人应按照招标文件规定格式填报投标分项报价表。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投标货币。投标文件中的单价和总价无特殊规定的采用人民币报价，以元为单位标注。招标文件中另有规定的按规定执行。</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投标人需对招标文件中的技术要求与商务要求逐项作出响应或偏离，并说明原因。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投标人需根据招标文件要求提供培训计划。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投标人需根据招标文件要求提供所投标的的主要组成部分、功能设计、实现思路及关键技术等。</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15.投标函和开标一览表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投标人应按照招标文件中提供的格式完整、正确填写投标函、开标一览表。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16.投标有效期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投标有效期为开标之日后</w:t>
      </w:r>
      <w:r>
        <w:rPr>
          <w:rFonts w:ascii="SimSun" w:hAnsi="SimSun" w:eastAsia="SimSun" w:cs="SimSun"/>
          <w:b/>
          <w:color w:val="000000"/>
          <w:sz w:val="24"/>
          <w:u w:val="single"/>
        </w:rPr>
        <w:t xml:space="preserve">六十（60）天</w:t>
      </w:r>
      <w:r>
        <w:rPr>
          <w:rFonts w:ascii="SimSun" w:hAnsi="SimSun" w:eastAsia="SimSun" w:cs="SimSun"/>
          <w:color w:val="000000"/>
          <w:sz w:val="24"/>
        </w:rPr>
        <w:t xml:space="preserve">。投标有效期比规定短的将被视为未实质性响应招标文件而予以拒绝。</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17.投标有效期的延长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18.电子投标文件的递交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19.投标截止日期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投标人上传电子投标文件的时间不得迟于招标公告中规定的投标截止时间。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代理机构可以按照规定，通过修改招标文件酌情延长投标截止日期，在此情况下，投标人的所有权利和义务以及投标人受制的截止日期均应以延长后新的截止日期为准。</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20.投标文件的拒收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代理机构拒绝接收在其规定的投标截止时间后上传的任何投标文件。</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21.投标文件的撤回和修改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电子投标文件的撤回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 投标人撤回电子投标文件，则认为其不再参与本项目投标活动。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投标文件的修改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 投标人可在投标截止时间前，对其电子投标文件进行修改，具体操作方法见《操作手册》。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 在投标截止时间之后，投标人不得对其电子投标文件作任何修改。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在投标截止时间至招标文件中规定的投标有效期满之间的这段时间内，投标人不得撤回其投标。</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22.开标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代理机构将在招标公告中规定的时间和地点组织公开开标。投标人应当按照《操作手册》规定，参加开标活动和在苏采云系统规定的时间内对投标文件进行解密。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 开标仪式由代理机构组织。苏采云系统将自动对项目进行开标，并宣布各投标人名称和投标价格。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 投标人在开标过程中涉及到的投标文件解密、开标结果确认等工作，应按照《操作手册》规定执行。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 投标人如果对开标过程和开标记录有疑义，应当根据《操作手册》规定提出，如 苏采云系统中《开标记录表》宣布后5分钟内未提出的，视同认可开标结果。</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23.评标委员会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开标后，代理机构将立即组织评标委员会（以下简称评委会）进行评标。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评委会由采购人代表和有关技术、经济等方面的专家组成，且人员构成符合政府采购有关规定。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23.3评委会独立工作，负责评审所有投标文件并确定中标候选人。</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24.评标过程的保密与公正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凡是与审查、澄清、评价和比较投标的有关资料以及授标建议等，采购人、评委、代理机构均不得向投标人或与评标无关的其他人员透露。</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在评标过程中，投标人不得以任何行为影响评标过程，否则其投标文件将被作为无效投标文件。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代理机构和评标委员会不向未中标的投标人解释未中标原因，也不公布评标过程中的相关细节。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采用综合评分法的项目，未中标的投标人可于中标结果公告期限届满之日起通过苏采云系统查看自己的评审得分及排序情况。</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25.投标文件的澄清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评标期间，评委会对投标文件中含义不明确、同类问题表述不一致或者有明显文字和计算错误的内容 ，有权要求投标人作出必要的澄清、说明或者补正。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评标委员会并非对每个投标人都做澄清要求。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接到评委会澄清、说明和补正要求的投标人如未按规定做出澄清、说明和补正，其风险由投标人自行承担。</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26.对投标文件的初审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 投标文件初审分为资格审查和符合性审查。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采购人在进行资格性审查的同时，将在“信用中国”网站（www.creditchina.gov.cn）查询投标人的信用记录，以确定投标人是否具备投标资格。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26.4评委会将对确定为实质性响应的投标进行进一步审核，看其是否有计算上或累加上的算术错误，修正错误的原则如下：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26.7 投标人在开、评标全过程中应保持通讯畅通，及时登录苏采云系统查阅、答复相关信息，并安排专人与代理机构及评标委员会联系。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27.无效投标条款和废标条款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 无效投标条款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 投标人在苏采云系统规定的时间内未成功解密电子投标文件的。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 投标人未按照招标文件要求上传电子投标文件的。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 同一投标人提交两个（含两个）以上不同的投标报价的。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 投标人不具备招标文件中规定资格要求的。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27.1.5 投标人的报价超过了采购预算或最高限价的。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27.1.6 未通过符合性审查的。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27.1.7 不符合招标文件中规定的实质性要求和条件的</w:t>
      </w:r>
      <w:r>
        <w:rPr>
          <w:rFonts w:ascii="SimSun" w:hAnsi="SimSun" w:eastAsia="SimSun" w:cs="SimSun"/>
          <w:i/>
          <w:color w:val="000000"/>
          <w:sz w:val="24"/>
          <w:u w:val="single"/>
        </w:rPr>
        <w:t xml:space="preserve">（本招标文件中斜体且有下划线部分为实质性要求和条件）</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27.1.9 投标文件含有采购人不能接受的附加条件的。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27.1.10 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27.1.12 投标文件未按照招标文件要求加盖CA电子公章的。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27.1.13 其他法律、法规及本招标文件规定的属于无效投标的情形。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废标条款</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 符合专业条件的供应商或者对招标文件作实质响应的供应商不足三家的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 出现影响采购公正的违法、违规行为的。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27.2.3 因重大变故，采购任务取消的。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27.2.4 评标委员会认定招标文件存在歧义、重大缺陷导致评审工作无法进行。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27.2.5 因苏采云系统故障原因造成开标不成功的。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 投标截止时间结束后参加投标的供应商不足三家的处理：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 如出现投标截止时间结束后参加投标的供应商或者在评标期间对招标文件做出实质响应的供应商不足三家情况，按政府采购相关规定执行。</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28.确定中标单位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 中标候选人的选取原则和数量见招标文件第五章规定。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采购人应根据评委会推荐的中标候选人确定中标人。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 代理机构将在“江苏政府采购网”发布中标公告，公告期限为1个工作日。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 若有充分证据证明，中标人出现下列情况之一的，一经查实，将被取消中标资格：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28.4.1 提供虚假材料谋取中标的。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28.4.2 向采购人、代理机构行贿或者提供其他不正当利益的。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28.4.3 属于本文件规定的无效条件，但在评标过程中又未被评委会发现的。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28.4.4 与采购人或者其他供应商恶意串通的。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28.4.5 采取不正当手段诋毁、排挤其他供应商的。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28.5.有下列情形之一的，视为投标人串通投标，投标无效：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 不同投标人的投标文件由同一单位或者个人编制；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 不同投标人委托同一单位或者个人办理投标事宜；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 不同投标人的投标文件载明的项目管理成员或者联系人员为同一人；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 不同投标人的投标文件异常一致或者投标报价呈规律性差异；</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 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 对可以质疑的采购文件提出质疑的，为收到采购文件之日或者采购文件公告期限届满之日；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29.2.2 对采购过程提出质疑的，为各采购程序环节结束之日；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29.2.3 对中标或者成交结果提出质疑的，为中标或者成交结果公告期限届满之日。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 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供应商（含潜在供应商）对与本项目有关的所有询问、质疑均请向代理机构提出，由代理机构负责答复。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采购代理机构只接收以纸质原件形式送达的质疑，请供应商通过邮寄方式提交质疑（采购人和采购代理机构不接受未填写快递运单的快件）。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采购代理机构质疑接收人：丁一，联系地址：南京市雨花台区软件大道21号苏豪国际广场（北园）C座612室，联系电话：025-52875927。</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未参加投标活动的供应商或在投标活动中自身权益未受到损害的供应商所提出的质疑。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 供应商组成联合体参加投标，联合体中任何一方或多方未按要求签字、盖章、加盖公章的质疑。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30.中标通知书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 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left="0" w:right="0" w:firstLine="498"/>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31.签订合同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31.l中标人应当在中标通知书发出之日起三十日内，按照招标文件确定的事项与采购人签订政府采购合同。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 招标文件、中标人的投标文件及招标过程中有关澄清、承诺文件均应作为合同附件。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中标人不得将合同标的进行转包</w:t>
      </w:r>
      <w:r>
        <w:rPr>
          <w:rFonts w:ascii="SimSun" w:hAnsi="SimSun" w:eastAsia="SimSun" w:cs="SimSun"/>
          <w:color w:val="000000"/>
          <w:sz w:val="24"/>
        </w:rPr>
        <w:t xml:space="preserve">。未经采购人同意，中标人也不得采用分包的形式履行合同，否则采购人有权终止合同。转包或分包造成采购人损失的，中标人应承担相应赔偿责任。</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32.货物（包含与货物相关的服务）的追加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 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33.政府采购履约资金扶持政策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中标供应商可凭政府采购合同办理融资贷款，详情请见江苏政府采购网“政采贷”专栏。</w:t>
      </w:r>
      <w:r/>
    </w:p>
    <w:p>
      <w:pPr>
        <w:ind w:left="0" w:right="0" w:firstLine="0"/>
        <w:jc w:val="both"/>
        <w:spacing w:before="29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八、政府采购中实施本国产品标准及相关政策</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34.1 本项目对采购本国产品给予政策支持，具体内容见招标文件“第五章 评标方法与评标标准”。</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34.2 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设备购销合同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甲方：（买方）</w:t>
      </w:r>
      <w:r>
        <w:rPr>
          <w:rFonts w:ascii="SimSun" w:hAnsi="SimSun" w:eastAsia="SimSun" w:cs="SimSun"/>
          <w:color w:val="000000"/>
          <w:sz w:val="21"/>
          <w:u w:val="single"/>
        </w:rPr>
        <w:t xml:space="preserve">江苏省苏北人民医院</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乙方：（卖方）</w:t>
      </w:r>
      <w:r>
        <w:rPr>
          <w:rFonts w:ascii="SimSun" w:hAnsi="SimSun" w:eastAsia="SimSun" w:cs="SimSun"/>
          <w:color w:val="000000"/>
          <w:sz w:val="21"/>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根据《中华人民共和国民法典》以及</w:t>
      </w:r>
      <w:r>
        <w:rPr>
          <w:rFonts w:ascii="SimSun" w:hAnsi="SimSun" w:eastAsia="SimSun" w:cs="SimSun"/>
          <w:color w:val="000000"/>
          <w:sz w:val="21"/>
          <w:u w:val="single"/>
        </w:rPr>
        <w:t xml:space="preserve">            采购项目（招标编号/包号：                ）</w:t>
      </w:r>
      <w:r>
        <w:rPr>
          <w:rFonts w:ascii="SimSun" w:hAnsi="SimSun" w:eastAsia="SimSun" w:cs="SimSun"/>
          <w:color w:val="000000"/>
          <w:sz w:val="21"/>
        </w:rPr>
        <w:t xml:space="preserve">《招标文件》、乙方《投标文件》，遵循平等、自愿、公平和诚实信用等原则，甲乙双方同意按下述条款和条件签订本合同，并共同遵守。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一、标的</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68"/>
        <w:gridCol w:w="1295"/>
        <w:gridCol w:w="1047"/>
        <w:gridCol w:w="1308"/>
        <w:gridCol w:w="722"/>
        <w:gridCol w:w="692"/>
        <w:gridCol w:w="1125"/>
        <w:gridCol w:w="121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产品名称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含税合计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19" w:type="dxa"/>
            <w:vAlign w:val="center"/>
            <w:textDirection w:val="lrTb"/>
            <w:noWrap w:val="false"/>
          </w:tcPr>
          <w:p>
            <w:pPr>
              <w:ind w:left="0" w:right="42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二、合同金额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合同价金额为（大写）：</w:t>
      </w:r>
      <w:r>
        <w:rPr>
          <w:rFonts w:ascii="SimSun" w:hAnsi="SimSun" w:eastAsia="SimSun" w:cs="SimSun"/>
          <w:color w:val="000000"/>
          <w:sz w:val="21"/>
          <w:u w:val="single"/>
        </w:rPr>
        <w:t xml:space="preserve">          万元整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三、技术资料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3.1乙方应向甲方提供使用产品的有关技术资料，主要包括：技术说明书、使用说明书、安装维修手册、操作手册、常用易消耗品清单等。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3.2没有甲方事先书面同意，乙方不得将由甲方提供的有关合同或任何合同条文提供给与履行本合同无关的任何其他人。即使向履行本合同有关的人员提供，也应注意保密并限于履行合同的必需范围。</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四、知识产权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4.1乙方应保证甲方在使用、接受本合同货物和服务或其任何一部分时不受第三方提出侵犯其专利权、版权、商标权和工业设计权等知识产权的起诉。一旦出现侵权，由乙方负全部责任。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五、产权担保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5.1乙方保证所交付的货物的所有权完全属于乙方且无任何抵押、查封等产权瑕疵。</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六、项目实施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交 货 期：合同签订后</w:t>
      </w:r>
      <w:r>
        <w:rPr>
          <w:rFonts w:ascii="SimSun" w:hAnsi="SimSun" w:eastAsia="SimSun" w:cs="SimSun"/>
          <w:color w:val="000000"/>
          <w:sz w:val="21"/>
          <w:u w:val="single"/>
        </w:rPr>
        <w:t xml:space="preserve">    </w:t>
      </w:r>
      <w:r>
        <w:rPr>
          <w:rFonts w:ascii="SimSun" w:hAnsi="SimSun" w:eastAsia="SimSun" w:cs="SimSun"/>
          <w:color w:val="000000"/>
          <w:sz w:val="21"/>
        </w:rPr>
        <w:t xml:space="preserve">日内。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交货地点：甲方指定地点</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七、包装、运输、交货</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除合同另有规定外，乙方提供的全部货物均按标准保护措施进行包装。该包装应适应于远距离运输、防潮、防震、防锈和防野蛮装卸，以确保货物安全无损运抵指定现场。由于包装不善所引起的货物锈蚀、损坏和损失均由乙方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每件包装箱内应附一份详细装箱单和质量合格标识。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乙方负责安排运输，并承担相关费用。</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设备在项目安装调试验收合格并移交给甲方之前的保管由乙方负责。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八、货款支付</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合同签订后且乙方向甲方出具发票后，甲方15日内支付合同款的30%，项目验收合格后，甲方支付合同款的70%。</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九、安装及调试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设备到货后一周内，乙方应派有经验和能力、具有相应资质的技术人员，负责设备安装、调试至合格。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设备投入运行前，乙方需向甲方书面提交验收申请，由甲方组织对设备进行初步验收，验收标准：对照招标文件、投标文件、合同及合同附件，使用部门负责人签字确认合格后，通过初验后进行试运行。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设备投入试运行后正常工作</w:t>
      </w:r>
      <w:r>
        <w:rPr>
          <w:rFonts w:ascii="SimSun" w:hAnsi="SimSun" w:eastAsia="SimSun" w:cs="SimSun"/>
          <w:color w:val="000000"/>
          <w:sz w:val="21"/>
          <w:u w:val="single"/>
        </w:rPr>
        <w:t xml:space="preserve"> 30 </w:t>
      </w:r>
      <w:r>
        <w:rPr>
          <w:rFonts w:ascii="SimSun" w:hAnsi="SimSun" w:eastAsia="SimSun" w:cs="SimSun"/>
          <w:color w:val="000000"/>
          <w:sz w:val="21"/>
        </w:rPr>
        <w:t xml:space="preserve">日（时间由甲、乙双方商定），甲、乙方双方共同进行最终验收。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  最终验收合格后，甲乙双方共同签署验收报告，一式两份，一份交甲方留存，一份由乙方用作结算凭证。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10.4  如果发现与合同中要求不符，乙方须承担由此发生的一切损失和费用，并接受相应的处罚。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甲方有权委托中国有资格单位或机构对设备性能、精度进行校核。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10.6  验收时必须提供完整的验收资料。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十一、技术培训：</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技术培训要求详见招标文件《第三部分：采购需求》中商务要求条款。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十二、质量保证及售后服务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乙方应按招标文件规定的货物性能、技术要求、质量标准向甲方提供未经使用的全新产品。</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售后服务要求详见招标文件《第三部分：采购需求》中商务要求条款。</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十三、违约责任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13.1甲方不得以无正当理由拒收货物，否则由此所造成的损失须由甲方承担赔偿责任。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乙方逾期交付货物的，按照招标文件《第三部分：采购需求》中商务条款的相应条文执行。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十四、诉讼</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14.1双方在执行合同中所发生的一切争议，应通过协商解决。如协商不成，可向合同签订地法院起诉。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十五、合同生效及其它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本合同由甲乙双方在</w:t>
      </w:r>
      <w:r>
        <w:rPr>
          <w:rFonts w:ascii="SimSun" w:hAnsi="SimSun" w:eastAsia="SimSun" w:cs="SimSun"/>
          <w:color w:val="000000"/>
          <w:sz w:val="21"/>
          <w:u w:val="single"/>
        </w:rPr>
        <w:t xml:space="preserve">甲方所在地</w:t>
      </w:r>
      <w:r>
        <w:rPr>
          <w:rFonts w:ascii="SimSun" w:hAnsi="SimSun" w:eastAsia="SimSun" w:cs="SimSun"/>
          <w:color w:val="000000"/>
          <w:sz w:val="21"/>
        </w:rPr>
        <w:t xml:space="preserve">签订。合同经双方法定代表人或授权委托人签字盖章并经采购代理机构鉴证后生效。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招标、投标文件是本合同不可或缺的部分，与合同具有同等效力。本合同未尽事宜，遵照《合同法》有关条文执行。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本合同正本一式</w:t>
      </w:r>
      <w:r>
        <w:rPr>
          <w:rFonts w:ascii="SimSun" w:hAnsi="SimSun" w:eastAsia="SimSun" w:cs="SimSun"/>
          <w:color w:val="000000"/>
          <w:sz w:val="21"/>
          <w:u w:val="single"/>
        </w:rPr>
        <w:t xml:space="preserve">肆</w:t>
      </w:r>
      <w:r>
        <w:rPr>
          <w:rFonts w:ascii="SimSun" w:hAnsi="SimSun" w:eastAsia="SimSun" w:cs="SimSun"/>
          <w:color w:val="000000"/>
          <w:sz w:val="21"/>
        </w:rPr>
        <w:t xml:space="preserve">份，具有同等法律效力，甲方执</w:t>
      </w:r>
      <w:r>
        <w:rPr>
          <w:rFonts w:ascii="SimSun" w:hAnsi="SimSun" w:eastAsia="SimSun" w:cs="SimSun"/>
          <w:color w:val="000000"/>
          <w:sz w:val="21"/>
          <w:u w:val="single"/>
        </w:rPr>
        <w:t xml:space="preserve">贰</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份，鉴证方执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甲方（盖章）：江苏省苏北人民医院乙方（盖章）：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地址：扬州市南通西路98号             地址：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法定代表人或授权委托人（签字）：法定代表人或授权委托人（签字）：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纳税人识别号：12321000468830683C      纳税人识别号：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开户行：工行江苏扬州分行汶河支行开户行：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账号：1108020909000059659             账号：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联系电话：0514-87373493               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见证方（盖章）：江苏苏豪创新科技集团高科有限公司</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地址：南京市雨花台区软件大道21号苏豪国际广场（北园）C座617室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招标项目负责人（签字）：</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  月   日</w:t>
      </w:r>
      <w:r>
        <w:rPr>
          <w:rFonts w:ascii="SimSun" w:hAnsi="SimSun" w:eastAsia="SimSun" w:cs="SimSun"/>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第四章采购需求</w:t>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章内容里斜体且有下划线部分为实质性要求和条件，投标文件不满足的，视为无效投标处理。以下技术参数中如出现产品品牌，均仅作为供应商参与投标时产品质量或标准的参考，供应商所投产品质量或标准不得低于参考品牌及参数要求，在满足参数要求的情况下，采购人接受其他品牌产品的投标。采购文件中推荐的型号也非指定的型号，供应商可在设备参数满足采购要求的情况下，选择相应的产品型号。</w:t>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项目属性：货物类项目</w:t>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核心产品：基因芯片诊断系统</w:t>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4"/>
        <w:gridCol w:w="2612"/>
        <w:gridCol w:w="948"/>
        <w:gridCol w:w="2325"/>
        <w:gridCol w:w="2126"/>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采购预算</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（万元人民币）</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是否接受进口产品投标</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基因芯片诊断系统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w:t>
            </w:r>
            <w:r/>
          </w:p>
        </w:tc>
      </w:tr>
    </w:tbl>
    <w:p>
      <w:pPr>
        <w:numPr>
          <w:ilvl w:val="0"/>
          <w:numId w:val="13"/>
        </w:numPr>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1"/>
        <w:gridCol w:w="775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基因芯片扫描仪</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▲带有自动装片机，以实现≥48张芯片无人值守的自动装载和扫描操作；</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分辨率≤0.6μm；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检测灵敏度低于0.5个藻红蛋白/μm2；</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≥532nm固态绿色激光器、高带通≥500nm发射滤光片；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可储存至少16bit的高质量图像；</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▲系统可靠性高，每年可以保证完成≥1万次检测；</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基因芯片洗涤工作站</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▲无需人工监视，可机械自动完成基因芯片洗涤染色的全部过程；</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提供准确的压力控制，保证液流和加热的密封；</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配有液面检测装置，并能对洗涤过程中的故障进行自我诊断；</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洗涤工作站智能化提示每个洗涤用容器应放置缓冲液，并提示确认；</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洗涤工作站需实施实时监控，确保每步反应按照所选模块运行，并对各洗脱液、染色液进行核查，及时确认并提示；</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每台每次可以同时进行≥4张芯片的洗涤和染色，可多台设备兼容，同时受控，整合到全套系统中；</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洗涤工作站由独立运作的模块组成，每次运行最少可以运行一个模块，处理一个样本，不受样本量限制，不造成试剂、耗材的浪费及设备的过度使用；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基因芯片杂交炉</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全自动控制芯片的杂交过程，为保证成功的杂交提供精确的温度和速度控制；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▲芯片杂交炉可保证整个杂交过程的温度均一性；</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杂交炉一次运行可同时处理≥64张芯片；</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芯片舱可拆卸；</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配有安全互动锁，当操作时要安装或拆除芯片舱时，互动锁被触发，杂交炉即自动停止转动；</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数字显示速度控制：通过数字显示，可以精确地控制芯片的转动速度，并可以实时地显示、方便读取；</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温度控制范围包含30°C 到70°C；控温设定精度：± 0.1°C。</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可调转速范围包含10到80 RPM。</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仪器控制和操作软件：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可提供对洗涤工作站和扫描仪的全面控制，并在界面显示操作状态，及时反馈错误操作信息，并直接链接到错误解决方法界面，便于及时更正，确保每一张芯片的无误运转；</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从杂交开始管理实验流程，保障实验有序开展；</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自动生成芯片扫描原始图像，每一组探针的信号值统计学运算；</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给出仪器运转的质控报告。</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结果分析和信息化管理软件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级生信分析软件：需提供高级数据分析平台，除用于染色体芯片数据分析外，实现测序结果和染色体芯片数据的同平台分析比对与管理，临床指征的录入与管理以及本地检测数据库的建立，确保染色体芯片检测结果的多平台临床分析和科研拓展应用（提供说明书，彩页或检测报告等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软件具有≥3项芯片数据分析、注释解读相关的软件。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75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芯片实验检测全流程信息管理系统，可实现基于样本编号、临床表型、遗传变异结果（染色体区段、畸变类型、片段大小等）等维度的查询和统计分析功能（提供产品说明书、彩页或检测报告等证明文件）。</w:t>
            </w:r>
            <w:r/>
          </w:p>
        </w:tc>
      </w:tr>
    </w:tbl>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i/>
          <w:color w:val="000000"/>
          <w:sz w:val="24"/>
          <w:u w:val="single"/>
        </w:rPr>
        <w:t xml:space="preserve">★</w:t>
      </w:r>
      <w:r>
        <w:rPr>
          <w:rFonts w:ascii="SimSun" w:hAnsi="SimSun" w:eastAsia="SimSun" w:cs="SimSun"/>
          <w:b/>
          <w:i/>
          <w:color w:val="000000"/>
          <w:sz w:val="24"/>
          <w:u w:val="single"/>
        </w:rPr>
        <w:t xml:space="preserve">商务要求</w:t>
      </w:r>
      <w:r>
        <w:rPr>
          <w:rFonts w:ascii="SimSun" w:hAnsi="SimSun" w:eastAsia="SimSun" w:cs="SimSun"/>
          <w:b/>
          <w:color w:val="000000"/>
          <w:sz w:val="24"/>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下列条款中甲方为：江苏省苏北人民医院，乙方为：本项目的中标投标人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3.1、交货期：合同签订后60天内；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3.2、交货地点：甲方指定地点；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3.3、付款条件：</w:t>
      </w:r>
      <w:r>
        <w:rPr>
          <w:rFonts w:ascii="SimSun" w:hAnsi="SimSun" w:eastAsia="SimSun" w:cs="SimSun"/>
          <w:i/>
          <w:color w:val="000000"/>
          <w:sz w:val="24"/>
        </w:rPr>
        <w:t xml:space="preserve">合同签订后且乙方向甲方出具发票后，甲方15日内支付合同款的30%，项目验收合格后，甲方支付合同款的70%。</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3.4、包装和运输：</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3.4.2使用说明书、质量检验证明书、随配附件和工具以及清单一并附于货物内。</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3.4.3乙方在货物发运手续办理完毕后24小时内或货到甲方48小时前通知甲方，以准备接货。</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3.4.5货物在交付甲方前发生的风险均由乙方负责。</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3.4.6货物在规定的交付期限内由乙方送达甲方指定的地点视为交付，乙方同时需通知甲方货物已送达。</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3.5、售后服务：</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3.5.1乙方应按招标文件规定的货物性能、技术要求、质量标准向甲方提供未经使用的全新产品。</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3.5.2乙方提供的货物在质量期内因货物本身的质量问题发生故障，乙方应负责免费更换。对达不到技术要求者，根据实际情况，经双方协商，可按以下办法处理：</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⑴更换：由乙方承担所发生的全部费用。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⑵贬值处理：由甲乙双方合议定价。</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⑶退货处理：乙方应退还甲方支付的合同款，同时应承担该货物的直接费用（运输、保险、检验、货款利息及银行手续费等）。</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3.5.3如在使用过程中发生质量问题，乙方在接到甲方通知后在4小时内到达甲方现场。</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3.5.4在质保期内，乙方应对货物出现的质量及安全问题负责处理解决并承担一切费用。</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3.5.5上述货物免费保修期≥5年（自交货验收合格之日起计），因人为因素出现的故障不在免费保修范围内。超过保修期的机器设备，终身维修，维修时只收部件成本费。</w:t>
      </w:r>
      <w:r/>
    </w:p>
    <w:p>
      <w:pPr>
        <w:ind w:left="0" w:right="0" w:firstLine="482"/>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b/>
          <w:i/>
          <w:color w:val="000000"/>
          <w:sz w:val="24"/>
          <w:u w:val="single"/>
        </w:rPr>
        <w:t xml:space="preserve">3.6技术培训</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p>
    <w:p>
      <w:pPr>
        <w:ind w:left="0" w:right="0" w:firstLine="373"/>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四、其他说明：</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4.1上述中加注“★”符号的关键条款指标，不允许负偏离，否则投标无效；加注“▲”符号的重要条款指标；其他为一般条款指标。</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i/>
          <w:color w:val="000000"/>
          <w:sz w:val="24"/>
          <w:u w:val="single"/>
        </w:rPr>
        <w:t xml:space="preserve">本招标文件中斜体且有下划线部分为实质性要求和条件，不允许负偏离，否则投标无效。</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4.3所有技术指标均需提供佐证材料</w:t>
      </w:r>
      <w:r>
        <w:rPr>
          <w:rFonts w:ascii="SimSun" w:hAnsi="SimSun" w:eastAsia="SimSun" w:cs="SimSun"/>
          <w:color w:val="000000"/>
          <w:sz w:val="21"/>
        </w:rPr>
        <w:t xml:space="preserve">。</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4.4上述商务要求不接受任何一项的负偏离或者不满足，允许正偏离。</w:t>
      </w:r>
      <w:r/>
    </w:p>
    <w:p>
      <w:pPr>
        <w:ind w:left="0" w:right="0" w:firstLine="480"/>
        <w:jc w:val="both"/>
        <w:spacing w:before="0" w:after="0"/>
        <w:tabs>
          <w:tab w:val="left" w:pos="851" w:leader="none"/>
          <w:tab w:val="left" w:pos="1276" w:leader="none"/>
          <w:tab w:val="left" w:pos="141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4.5采购标的对应的中小企业划分标准所属行业为：工业</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第五章评标方法与评标标准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p>
    <w:p>
      <w:pPr>
        <w:pStyle w:val="735"/>
        <w:ind w:left="0" w:right="0" w:firstLine="0"/>
        <w:jc w:val="center"/>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（一）资格审查对照表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按照招标文件《第一章 投标邀请》申请人的资格要求进行资格审查。</w:t>
      </w:r>
      <w:r/>
    </w:p>
    <w:p>
      <w:pPr>
        <w:pStyle w:val="735"/>
        <w:numPr>
          <w:ilvl w:val="0"/>
          <w:numId w:val="14"/>
        </w:numPr>
        <w:jc w:val="center"/>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符合性审查对照表</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报价要求：</w:t>
      </w:r>
      <w:r>
        <w:rPr>
          <w:rFonts w:ascii="SimSun" w:hAnsi="SimSun" w:eastAsia="SimSun" w:cs="SimSun"/>
          <w:color w:val="000000"/>
          <w:sz w:val="24"/>
        </w:rPr>
        <w:t xml:space="preserve">投标报价表中的货物名称、数量、单位必须与招标文件采购需求一致，报价不超过最高限价。</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采购需求中必须满足的实质性要求，否则投标无效</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40"/>
      </w:tblGrid>
      <w:tr>
        <w:trPr>
          <w:trHeight w:val="33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4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实质性要求响应表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4"/>
              <w:gridCol w:w="4313"/>
              <w:gridCol w:w="1545"/>
              <w:gridCol w:w="1555"/>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3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实质性采购要求内容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投标人响应</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313" w:type="dxa"/>
                  <w:vAlign w:val="center"/>
                  <w:textDirection w:val="lrTb"/>
                  <w:noWrap w:val="false"/>
                </w:tcPr>
                <w:p>
                  <w:pPr>
                    <w:ind w:left="0" w:right="0" w:firstLine="0"/>
                    <w:jc w:val="both"/>
                    <w:spacing w:before="210" w:after="21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 采购需求》中“三、★商务要求”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£全部满足</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£不满足</w:t>
                  </w:r>
                  <w:r/>
                </w:p>
              </w:tc>
            </w:tr>
          </w:tbl>
          <w:p>
            <w:pPr>
              <w:ind w:left="0" w:right="0" w:firstLine="42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备注：1.商务要求不接受任何一项的负偏离或者不满足，允许正偏离。</w:t>
            </w:r>
            <w:r/>
          </w:p>
          <w:p>
            <w:pPr>
              <w:ind w:left="0" w:right="0" w:firstLine="42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3.具体响应内容以投标文件中的“商务要求响应及偏离表”为准。</w:t>
            </w:r>
            <w:r/>
          </w:p>
        </w:tc>
      </w:tr>
    </w:tbl>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投标文件没有重大负偏离，所谓重大负偏离是指投标人所投标的</w:t>
      </w:r>
      <w:r>
        <w:rPr>
          <w:rFonts w:ascii="SimSun" w:hAnsi="SimSun" w:eastAsia="SimSun" w:cs="SimSun"/>
          <w:color w:val="000000"/>
          <w:sz w:val="24"/>
          <w:u w:val="single"/>
        </w:rPr>
        <w:t xml:space="preserve">范围、质量、数量、付款方式、质保期和交货期限</w:t>
      </w:r>
      <w:r>
        <w:rPr>
          <w:rFonts w:ascii="SimSun" w:hAnsi="SimSun" w:eastAsia="SimSun" w:cs="SimSun"/>
          <w:color w:val="000000"/>
          <w:sz w:val="24"/>
        </w:rPr>
        <w:t xml:space="preserve">等明显不能满足招标文件的要求。重大负偏离的认定须经评标委员会三分之二以上同意；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 《第六章 投标文件构成》中“投标文件构成”没有缺漏；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 投标函：应按招标文件要求填写，没有缺漏；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 法人授权书：应按招标文件要求填写，没有缺漏；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 投标分项报价表：表中的设备名称、数量、单位必须与招标文件采购需求一致，报价不超过最高限价。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 其他格式要求：应按招标文件要求填写，没有缺漏；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 投标有效期符合招标文件要求；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 本项目不接受联合体投标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 本项目不接受备选投标方案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 投标文件没有采购人不能接受的附加条件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 投标文件没有法律、法规和招标文件规定的其他无效情形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15"/>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投标文件中的《技术要求响应及偏离表》按照表格要求编制，点对点应答。</w:t>
      </w:r>
      <w:r/>
    </w:p>
    <w:p>
      <w:pPr>
        <w:ind w:left="0" w:right="0" w:firstLine="48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政府采购政策功能落实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（1）本项目对小型和微型企业产品给予</w:t>
      </w:r>
      <w:r>
        <w:rPr>
          <w:rFonts w:ascii="SimSun" w:hAnsi="SimSun" w:eastAsia="SimSun" w:cs="SimSun"/>
          <w:b/>
          <w:color w:val="000000"/>
          <w:sz w:val="24"/>
          <w:u w:val="single"/>
        </w:rPr>
        <w:t xml:space="preserve">20%</w:t>
      </w:r>
      <w:r>
        <w:rPr>
          <w:rFonts w:ascii="SimSun" w:hAnsi="SimSun" w:eastAsia="SimSun" w:cs="SimSun"/>
          <w:color w:val="000000"/>
          <w:sz w:val="24"/>
        </w:rPr>
        <w:t xml:space="preserve">的扣除价格，用扣除后的价格参与评审。（2）供应商需按照采购文件的要求提供相应的《小微企业声明函》。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（1）本项目对残疾人福利性单位视同小型、微型企业，给予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（1）本项目对监狱和戒毒企业（简称监狱企业）视同小型、微型企业，给予</w:t>
      </w:r>
      <w:r>
        <w:rPr>
          <w:rFonts w:ascii="SimSun" w:hAnsi="SimSun" w:eastAsia="SimSun" w:cs="SimSun"/>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000000"/>
          <w:sz w:val="24"/>
          <w:u w:val="single"/>
        </w:rPr>
        <w:t xml:space="preserve">6%</w:t>
      </w:r>
      <w:r>
        <w:rPr>
          <w:rFonts w:ascii="SimSun" w:hAnsi="SimSun" w:eastAsia="SimSun" w:cs="SimSun"/>
          <w:color w:val="000000"/>
          <w:sz w:val="24"/>
        </w:rPr>
        <w:t xml:space="preserve">的价格扣除，用扣除后的价格参与评审。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6.联合体各方均为小型、微型企业（残疾人福利单位、监狱企业）的，联合体享受</w:t>
      </w:r>
      <w:r>
        <w:rPr>
          <w:rFonts w:ascii="SimSun" w:hAnsi="SimSun" w:eastAsia="SimSun" w:cs="SimSun"/>
          <w:color w:val="000000"/>
          <w:sz w:val="24"/>
          <w:u w:val="single"/>
        </w:rPr>
        <w:t xml:space="preserve">20%</w:t>
      </w:r>
      <w:r>
        <w:rPr>
          <w:rFonts w:ascii="SimSun" w:hAnsi="SimSun" w:eastAsia="SimSun" w:cs="SimSun"/>
          <w:color w:val="000000"/>
          <w:sz w:val="24"/>
        </w:rPr>
        <w:t xml:space="preserve">价格扣除，用扣除后的价格参与评审。</w:t>
      </w:r>
      <w:r/>
    </w:p>
    <w:p>
      <w:pPr>
        <w:ind w:left="0" w:right="0" w:firstLine="482"/>
        <w:jc w:val="both"/>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采购本国产品的支持政策</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本项目政府采购活动中既有本国产品又有非本国产品参与竞争的，依法对本国产品给予价格评审优惠，对本国产品的报价给予20%的价格扣除，用扣除后的价格参与评审。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 供应商需按照招标文件的要求提供《关于符合本国产品标准的声明函》（以下简称《声明函》），如不提供将不享受本国产品价格评审优惠。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强化政府采购异常低价审查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35"/>
        <w:ind w:left="0" w:right="0" w:firstLine="0"/>
        <w:jc w:val="center"/>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（三）评标方法与评标标准</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3"/>
        <w:gridCol w:w="7100"/>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评审标准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采用低价优先法计算，即满足招标文件要求且投标价格最低的投标报价为评标基准价，其价格分为满分30分。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其他投标人的价格分统一按照下列公式计算：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投标报价得分=（评标基准价/投标报价）×30（小数点保留两位）。</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技术要求响应</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（48分）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评委根据投标文件中《技术规格响应/偏离表》，结合投标文件提供的佐证材料等进行评审：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全响应招标文件《第三部分：采购需求》的技术规格条款要求，得48分；“★”号指标不允许负偏离，否则投标无效；加注“▲”符号的重要指标有一项负偏离或不满足扣5分（5个“▲”，共计25分）；一般指标有一项负偏离或不满足扣1分（23个一般，共计23分），扣完为止。</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注：标注“★号或▲号”的技术参数，须提供相关证明材料（包括制造商技术白皮书或Data Sheet或医疗器械检测所检测报告或国家承认的第三方机构出具的检测报告或厂家公开发行的宣传彩页等），并在响应文件需求响应偏离表备注栏中标注相应证明文件页码及相关证明条款，未提供相关证明材料或未标注页码或标注错误视为负偏离</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安装调试方案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设备到货、安装、调试方案，评委根据投标设备的到货运输、安装、设计方案进行横向对比评审：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培训服务实施方案，评委根据投标文件中的培训方案进行打分，具体方案包括但不限于：拟派技术人员清单，培训计划及培训方案等内容（根据是否具有详细的安装、使用、维护、保养等相关现场培训、事后的集中免费培训等计划等酌情给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售后服务方案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售后服务实施方案，评委根据投标文件中的质保期内售后服务（故障解决措施、技术人员保障、备品配件价格、服务网点、维修网点设置情况以及技术人员安排情况）等服务内容进行横向对比评审：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（1）内容科学合理、完整、切实可行的得5分；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（2）内容较为详细的，有一定的科学性和可行性的得3分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（3）内容不完整、科学性欠合理、可行性欠妥的得1分；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（4）未提供服务方案的不得分。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投标设备整体配置情况比较</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设备整体配置选型情况综合比较，针对本项目的投标产品配置选型合理、先进，且与项目需求的吻合度高，得5分；针对本项目的投标产品配置选型一般、且与项目需求的吻合度一般，得3分；针对本项目的投标产品配置选型差、且与项目需求的吻合度差，得1分；</w:t>
            </w:r>
            <w:r>
              <w:rPr>
                <w:rFonts w:ascii="SimSun" w:hAnsi="SimSun" w:eastAsia="SimSun" w:cs="SimSun"/>
                <w:color w:val="000000"/>
                <w:sz w:val="21"/>
              </w:rPr>
              <w:t xml:space="preserve">其余</w:t>
            </w:r>
            <w:r>
              <w:rPr>
                <w:rFonts w:ascii="SimSun" w:hAnsi="SimSun" w:eastAsia="SimSun" w:cs="SimSun"/>
                <w:color w:val="000000"/>
                <w:sz w:val="24"/>
              </w:rPr>
              <w:t xml:space="preserve">不得分。</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业绩</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0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2022年1月1日（合同签订时间）至今，所投产品销售业绩证明文件（同一采购单位不重复计分，提供合同、对应合同产品有效的货物验收报告或装机完成报告，材料需加盖供应商电子公章，两项材料缺一不可），每份有效业绩得1分，最高得2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注：证明资料不全或不符合要求不得分。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包号及设备名称：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w:t>
      </w:r>
      <w:r>
        <w:rPr>
          <w:rFonts w:ascii="SimSun" w:hAnsi="SimSun" w:eastAsia="SimSun" w:cs="SimSun"/>
          <w:b/>
          <w:color w:val="000000"/>
          <w:sz w:val="36"/>
          <w:u w:val="single"/>
        </w:rPr>
        <w:t xml:space="preserve">（加盖CA电子公章）</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日期 ：</w:t>
      </w:r>
      <w:r>
        <w:rPr>
          <w:rFonts w:ascii="SimSun" w:hAnsi="SimSun" w:eastAsia="SimSun" w:cs="SimSun"/>
          <w:b/>
          <w:color w:val="000000"/>
          <w:sz w:val="36"/>
          <w:u w:val="single"/>
        </w:rPr>
        <w:t xml:space="preserve">               </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投标函</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开标一览表</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投标分项报价表</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技术要求响应及偏离表</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商务要求响应及偏离表</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资格要求的证明文件</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法人授权书</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业绩情况表（如有）</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服务方案（如有）</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价格扣除证明文件（如有）</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投标人认为需要提供的其他资料（如有）</w:t>
      </w:r>
      <w:r/>
    </w:p>
    <w:p>
      <w:pPr>
        <w:numPr>
          <w:ilvl w:val="0"/>
          <w:numId w:val="16"/>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联合体协议（本项目不适用）</w:t>
      </w:r>
      <w:r/>
    </w:p>
    <w:p>
      <w:pPr>
        <w:ind w:left="48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3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致：江苏苏豪创新科技集团高科有限公司</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号招标文件，正式授权下述签字人________（姓名）代表我方______________（投标人的名称），全权处理本次项目投标的有关事宜。</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42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日期：________年____月____日</w:t>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招标编号：</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723"/>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23" w:type="dxa"/>
            <w:vAlign w:val="center"/>
            <w:textDirection w:val="lrTb"/>
            <w:noWrap w:val="false"/>
          </w:tcPr>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投标分项报价表（分包号：***）</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5"/>
        <w:gridCol w:w="994"/>
        <w:gridCol w:w="1239"/>
        <w:gridCol w:w="594"/>
        <w:gridCol w:w="803"/>
        <w:gridCol w:w="790"/>
        <w:gridCol w:w="753"/>
        <w:gridCol w:w="810"/>
        <w:gridCol w:w="1003"/>
        <w:gridCol w:w="772"/>
        <w:gridCol w:w="804"/>
      </w:tblGrid>
      <w:tr>
        <w:trPr>
          <w:trHeight w:val="104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1239"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规格及型号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5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制造商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交货期</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5"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2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5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75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0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77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0"/>
        </w:trPr>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22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总价合计（小写）</w:t>
            </w:r>
            <w:r/>
          </w:p>
        </w:tc>
        <w:tc>
          <w:tcPr>
            <w:gridSpan w:val="6"/>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600"/>
        </w:trPr>
        <w:tc>
          <w:tcPr>
            <w:gridSpan w:val="11"/>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15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本采购包中提供的符合本国产品标准的产品成本之和占该采购包提供的全部产品成本之和的比例为</w:t>
            </w:r>
            <w:r>
              <w:rPr>
                <w:rFonts w:ascii="SimSun" w:hAnsi="SimSun" w:eastAsia="SimSun" w:cs="SimSun"/>
                <w:color w:val="000000"/>
                <w:sz w:val="28"/>
                <w:u w:val="single"/>
              </w:rPr>
              <w:t xml:space="preserve">***</w:t>
            </w:r>
            <w:r>
              <w:rPr>
                <w:rFonts w:ascii="SimSun" w:hAnsi="SimSun" w:eastAsia="SimSun" w:cs="SimSun"/>
                <w:color w:val="000000"/>
                <w:sz w:val="28"/>
              </w:rPr>
              <w:t xml:space="preserve">%。</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numPr>
          <w:ilvl w:val="0"/>
          <w:numId w:val="1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numPr>
          <w:ilvl w:val="0"/>
          <w:numId w:val="1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“投标分项报价表”中“投标总报价”数额应当与“开标一览表”中“投标总报价”数额一致。</w:t>
      </w:r>
      <w:r/>
    </w:p>
    <w:p>
      <w:pPr>
        <w:numPr>
          <w:ilvl w:val="0"/>
          <w:numId w:val="1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18"/>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投标人需认真填写本报价表，尤其注意规格型号的准确填写。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技术要求响应及偏离表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697"/>
        <w:gridCol w:w="1368"/>
        <w:gridCol w:w="91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6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68"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numPr>
          <w:ilvl w:val="0"/>
          <w:numId w:val="1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行数不够，可自行添加；</w:t>
      </w:r>
      <w:r/>
    </w:p>
    <w:p>
      <w:pPr>
        <w:numPr>
          <w:ilvl w:val="0"/>
          <w:numId w:val="1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本表需要对招标文件《第四章 采购需求》技术要求的全部内容逐项/点对点响应，按照投标情况填写超出、符合或偏离；</w:t>
      </w:r>
      <w:r/>
    </w:p>
    <w:p>
      <w:pPr>
        <w:numPr>
          <w:ilvl w:val="0"/>
          <w:numId w:val="1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如果招标文件要求提供证明材料，投标人需将证明材料列于该表之下。</w:t>
      </w:r>
      <w:r/>
    </w:p>
    <w:p>
      <w:pPr>
        <w:numPr>
          <w:ilvl w:val="0"/>
          <w:numId w:val="1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对于技术要求中列明的▲或★参数，投标人须在此表后按顺序进行逐条佐证，提供相关证明材料（包括制造商技术白皮书或Data Sheet或医疗器械检测所检测报告或国家承认的第三方机构出具的检测报告或厂家公开发行的宣传彩页等），并在该表</w:t>
      </w:r>
      <w:r>
        <w:rPr>
          <w:rFonts w:ascii="SimSun" w:hAnsi="SimSun" w:eastAsia="SimSun" w:cs="SimSun"/>
          <w:b/>
          <w:color w:val="000000"/>
          <w:sz w:val="24"/>
        </w:rPr>
        <w:t xml:space="preserve">证明材料</w:t>
      </w:r>
      <w:r>
        <w:rPr>
          <w:rFonts w:ascii="SimSun" w:hAnsi="SimSun" w:eastAsia="SimSun" w:cs="SimSun"/>
          <w:color w:val="000000"/>
          <w:sz w:val="24"/>
        </w:rPr>
        <w:t xml:space="preserve">栏中标注相应证明文件页码及相关证明条款，未提供相关证明材料视为负偏离，页面或相关材料不清晰或页码标注问题影响评审，评标委员会有权视为负偏离或作无效标处理。</w:t>
      </w:r>
      <w:r/>
    </w:p>
    <w:p>
      <w:pPr>
        <w:numPr>
          <w:ilvl w:val="0"/>
          <w:numId w:val="19"/>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投标人需确保提供佐证材料的真实性，如被认定提供实质性虚假材料，将会导致无效响应处理。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商务要求响应及偏离表</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69"/>
        <w:gridCol w:w="2945"/>
        <w:gridCol w:w="2762"/>
        <w:gridCol w:w="1266"/>
        <w:gridCol w:w="1136"/>
      </w:tblGrid>
      <w:tr>
        <w:trPr>
          <w:trHeight w:val="117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4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6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1.商务要求不接受任何一项的负偏离或者不满足，允许正偏离，否则投标无效；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2.本表需要对招标文件</w:t>
      </w:r>
      <w:r>
        <w:rPr>
          <w:rFonts w:ascii="SimSun" w:hAnsi="SimSun" w:eastAsia="SimSun" w:cs="SimSun"/>
          <w:b/>
          <w:color w:val="000000"/>
          <w:sz w:val="24"/>
        </w:rPr>
        <w:t xml:space="preserve">商务要求</w:t>
      </w:r>
      <w:r>
        <w:rPr>
          <w:rFonts w:ascii="SimSun" w:hAnsi="SimSun" w:eastAsia="SimSun" w:cs="SimSun"/>
          <w:color w:val="000000"/>
          <w:sz w:val="24"/>
        </w:rPr>
        <w:t xml:space="preserve">逐项响应，按照投标情况填写超出、符合或偏离。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3.投标人对招标文件商务要求条款没有提出修改要求的，可以提供经签署、盖章的空白表格，采购人将视为供应商完全接受招标文件商务要求条款内容。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资格要求的证明文件</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5.1 法人或者其他组织的营业执照等证明文件，自然人的身份证明；</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5.2 上一年度的财务状况报告（成立不满一年无需提供）；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距开标时间六个月内任意一月份的财务状况报告（至少包括资产负债表和利润表），或其银行出具的资信证书（复印件）（开标前六个月内），或其2025年度经审计的财务报告复印件加盖公章；（投标人为参加本次政府采购活动前一年内注册的公司，无须提供）；</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5.3依法缴纳税收和社会保障资金的相关材料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5.4具备履行合同所必需的设备和专业技术能力的书面声明；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致：江苏省苏北人民医院</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5.5参加政府采购活动前3年内在经营活动中没有重大违法记录的书面声明</w:t>
      </w:r>
      <w:r/>
    </w:p>
    <w:p>
      <w:pPr>
        <w:ind w:left="0" w:right="0" w:firstLine="0"/>
        <w:jc w:val="center"/>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声明</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投标人名称：（加盖CA电子公章）</w:t>
      </w:r>
      <w:r/>
    </w:p>
    <w:p>
      <w:pPr>
        <w:ind w:left="0" w:right="0" w:firstLine="492"/>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日期：2026年XX月XX日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5.6供应商信用承诺书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供应商信用承诺书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承诺主体名称：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四、自觉接受行政管理部门、行业组织、社会公众、新闻舆论的监督；</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六、提出政府采购质疑和投诉坚持依法依规、诚实信用原则，在全国范围12个月内没有三次以上查无实据的政府采购投诉；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七、严格遵守信用信息公示相关规定，向社会公示信用信息；</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八、在“信用中国”和“中国政府采购网”网站中无违法违规、较重或严重失信记录；</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十、本承诺书自签订之日起生效。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（注：法定代表人或负责人、主体名称发生变更的应当重新做出承诺。）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承诺单位（签章）：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法定代表人（负责人）：</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年    月    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32"/>
          <w:u w:val="single"/>
        </w:rPr>
        <w:t xml:space="preserve"> </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5.7 投标产品如果属于医疗设备注册范畴的；投标人须根据投标产品的类别，提供《医疗器械经营企业许可证》或者《医疗器械经营备案凭证》（复印件）；</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5.8 投标产品如果属于医疗设备注册范畴的；投标人须提供投标产品的《医疗器械注册证》（复印件）；</w:t>
      </w:r>
      <w:r/>
    </w:p>
    <w:p>
      <w:pPr>
        <w:ind w:left="0" w:right="0" w:firstLine="0"/>
        <w:jc w:val="both"/>
        <w:spacing w:before="145"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8"/>
          <w:u w:val="single"/>
        </w:rPr>
        <w:t xml:space="preserve">5.9 本项目接受产品代理商或经销商投标；投标产品如果为进口货物的，投标人须提供制造商的授权书（复印件）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法人授权</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本授权书声明：____________（投标人名称）授权________________（被授权人的姓名）为我方就JSZC-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本授权书于______年____月____日起生效，特此声明。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（加盖CA电子公章）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（1）本授权委托书之后需附上法定代表人、授权委托人身份证复印件（正反面）；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（2）如果是法定代表人直接参与响应的可以不提供授权委托书；但必须在营业执照之后附上法定代表人身份证复印件；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SimSun" w:hAnsi="SimSun" w:eastAsia="SimSun" w:cs="SimSun"/>
          <w:b/>
          <w:i/>
          <w:color w:val="000000"/>
          <w:sz w:val="24"/>
          <w:u w:val="single"/>
        </w:rPr>
        <w:t xml:space="preserve">未按上述规定随附身份证复印件的，投标无效。</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业绩情况表（如有）</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5"/>
        <w:gridCol w:w="1448"/>
        <w:gridCol w:w="1541"/>
        <w:gridCol w:w="738"/>
        <w:gridCol w:w="1391"/>
        <w:gridCol w:w="1661"/>
        <w:gridCol w:w="1294"/>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联系人/电话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签订日期</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1.投标人须提供上述业绩合同复印件及评分标准中其他资料；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2.所有合同复印件应清晰，应能体现合同签订时间、双方签名盖章等内容；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3.投标人应在不涉及商业秘密的前提下尽可能提供详细的合同复印件内容。</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服务方案（如有）</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yellow"/>
        </w:rPr>
        <w:t xml:space="preserve">投标人根据本项目的采购需求及评分标准的要求编制项目服务方案，格式自拟</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yellow"/>
        </w:rPr>
        <w:t xml:space="preserve">价格扣除证明文件（如有）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（1）小微企业声明函（货物）（分包号：**）</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       </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（小型企业、微型企业）；</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36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4.此声明函将随中标结果同时公告，接受社会监督</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（2）残疾人福利性单位声明函（如适用）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（备注：1、供应商如不提供此声明函，价格将不做相应扣除。2、中标供应商为残疾人福利单位的，此声明函将随中标结果同时公告，接受社会监督）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企业名称（加盖CA电子公章）：</w:t>
      </w:r>
      <w:r/>
    </w:p>
    <w:p>
      <w:pPr>
        <w:ind w:left="0" w:right="480" w:firstLine="540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（3）关于符合本国产品标准的声明函（采购包号：**）</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0"/>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0"/>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（产品名称1）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0"/>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0"/>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0"/>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（规定比例）</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（关键组件）</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（关键工序）</w:t>
      </w:r>
      <w:r>
        <w:rPr>
          <w:rFonts w:ascii="SimSun" w:hAnsi="SimSun" w:eastAsia="SimSun" w:cs="SimSun"/>
          <w:color w:val="000000"/>
          <w:sz w:val="24"/>
          <w:highlight w:val="white"/>
        </w:rPr>
        <w:t xml:space="preserve">在中国境内完成。</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80" w:firstLine="372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1.产品如有型号，请在“产品名称”栏一并填写。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2.生产厂名与厂址应与生产厂营业执照载明的相关信息保持一致。</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3.该产品的中国境内生产的组件成本占比相关要求实施前，“规定比例”栏可不填，下同。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4.该产品的关键组件要求实施前，“关键组件”栏可不填，下同。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5.该产品的关键工序要求实施前，“关键工序”栏可不填，下同。</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6.用斜线划除的地方无需填写。</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highlight w:val="white"/>
        </w:rPr>
        <w:t xml:space="preserve"> </w:t>
      </w:r>
      <w:r/>
    </w:p>
    <w:p>
      <w:pPr>
        <w:ind w:left="0" w:right="0" w:firstLine="0"/>
        <w:jc w:val="both"/>
        <w:spacing w:before="30" w:after="3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735"/>
        <w:numPr>
          <w:ilvl w:val="0"/>
          <w:numId w:val="17"/>
        </w:numPr>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投标人认为需要提供的其他材料（如有）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请在此文档中增加所需其他相关内容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（包括资格要求、评分办法、采购需求中涉及的佐证资料及其他投标人认为有必要提供的资料），如没有请将此空文档上传。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例如（1）配置清单（如有）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例如（2）备品、配套零部件、易损易耗件价格表（如有）</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（免费质保期满后价格）</w:t>
      </w:r>
      <w:r/>
    </w:p>
    <w:tbl>
      <w:tblPr>
        <w:tblStyle w:val="76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60"/>
        <w:gridCol w:w="360"/>
        <w:gridCol w:w="955"/>
        <w:gridCol w:w="570"/>
        <w:gridCol w:w="292"/>
        <w:gridCol w:w="417"/>
        <w:gridCol w:w="409"/>
        <w:gridCol w:w="1987"/>
        <w:gridCol w:w="3493"/>
        <w:gridCol w:w="513"/>
      </w:tblGrid>
      <w:tr>
        <w:trPr>
          <w:trHeight w:val="6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备件名称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单位</w:t>
            </w:r>
            <w:r/>
          </w:p>
        </w:tc>
        <w:tc>
          <w:tcPr>
            <w:gridSpan w:val="3"/>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价格（元）</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gridAfter w:val="1"/>
          <w:trHeight w:val="62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总价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79"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jc w:val="center"/>
        <w:spacing w:before="26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6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1417" w:right="1587" w:bottom="850" w:left="1587" w:header="851" w:footer="56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jc w:val="center"/>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3238500</wp:posOffset>
              </wp:positionH>
              <wp:positionV relativeFrom="paragraph">
                <wp:posOffset>19050</wp:posOffset>
              </wp:positionV>
              <wp:extent cx="1621790" cy="1905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621790" cy="190500"/>
                      </a:xfrm>
                      <a:prstGeom prst="rect">
                        <a:avLst/>
                      </a:prstGeom>
                      <a:noFill/>
                      <a:ln>
                        <a:noFill/>
                      </a:ln>
                    </wps:spPr>
                    <wps:txbx>
                      <w:txbxContent>
                        <w:p>
                          <w:pPr>
                            <w:pStyle w:val="963"/>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page;margin-left:255.0pt;mso-position-horizontal:absolute;mso-position-vertical-relative:text;margin-top:1.5pt;mso-position-vertical:absolute;width:127.7pt;height:15.0pt;mso-wrap-distance-left:9.0pt;mso-wrap-distance-top:0.0pt;mso-wrap-distance-right:9.0pt;mso-wrap-distance-bottom:0.0pt;visibility:visible;" filled="f" stroked="f">
              <v:textbox inset="0,0,0,0">
                <w:txbxContent>
                  <w:p>
                    <w:pPr>
                      <w:pStyle w:val="963"/>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hint="eastAsia" w:ascii="宋体" w:hAnsi="宋体" w:cs="宋体"/>
                        <w:sz w:val="22"/>
                        <w:szCs w:val="22"/>
                      </w:rPr>
                      <w:t xml:space="preserve">１</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hint="eastAsia" w:ascii="宋体" w:hAnsi="宋体" w:cs="宋体"/>
                        <w:sz w:val="22"/>
                        <w:szCs w:val="22"/>
                      </w:rPr>
                      <w:t xml:space="preserve">68</w:t>
                    </w:r>
                    <w:r>
                      <w:rPr>
                        <w:rFonts w:hint="eastAsia" w:ascii="宋体" w:hAnsi="宋体" w:cs="宋体"/>
                        <w:sz w:val="22"/>
                        <w:szCs w:val="22"/>
                      </w:rPr>
                      <w:fldChar w:fldCharType="end"/>
                    </w:r>
                    <w:r>
                      <w:rPr>
                        <w:rFonts w:hint="eastAsia" w:ascii="宋体" w:hAnsi="宋体" w:cs="宋体"/>
                        <w:sz w:val="22"/>
                        <w:szCs w:val="22"/>
                      </w:rPr>
                      <w:t xml:space="preserve"> 页</w:t>
                    </w:r>
                    <w:r/>
                  </w:p>
                  <w:p>
                    <w:r/>
                    <w:r/>
                  </w:p>
                </w:txbxContent>
              </v:textbox>
            </v:shape>
          </w:pict>
        </mc:Fallback>
      </mc:AlternateContent>
    </w:r>
    <w:r>
      <w:rPr>
        <w:b/>
        <w:i/>
        <w:sz w:val="32"/>
        <w:szCs w:val="32"/>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p>
  <w:p>
    <w:pPr>
      <w:pStyle w:val="96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1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upperLetter"/>
      <w:pStyle w:val="100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0"/>
      <w:isLgl w:val="false"/>
      <w:suff w:val="nothing"/>
      <w:lvlText w:val=""/>
      <w:lvlJc w:val="left"/>
      <w:pPr>
        <w:ind w:left="0" w:firstLine="0"/>
      </w:pPr>
      <w:rPr>
        <w:rFonts w:hint="eastAsia"/>
      </w:rPr>
    </w:lvl>
    <w:lvl w:ilvl="6">
      <w:start w:val="1"/>
      <w:numFmt w:val="decimal"/>
      <w:pStyle w:val="921"/>
      <w:isLgl w:val="false"/>
      <w:suff w:val="nothing"/>
      <w:lvlText w:val=""/>
      <w:lvlJc w:val="left"/>
      <w:pPr>
        <w:ind w:left="0" w:firstLine="0"/>
      </w:pPr>
      <w:rPr>
        <w:rFonts w:hint="eastAsia"/>
      </w:rPr>
    </w:lvl>
    <w:lvl w:ilvl="7">
      <w:start w:val="1"/>
      <w:numFmt w:val="decimal"/>
      <w:pStyle w:val="922"/>
      <w:isLgl w:val="false"/>
      <w:suff w:val="nothing"/>
      <w:lvlText w:val=""/>
      <w:lvlJc w:val="left"/>
      <w:pPr>
        <w:ind w:left="0" w:firstLine="0"/>
      </w:pPr>
      <w:rPr>
        <w:rFonts w:hint="eastAsia"/>
      </w:rPr>
    </w:lvl>
    <w:lvl w:ilvl="8">
      <w:start w:val="1"/>
      <w:numFmt w:val="decimal"/>
      <w:pStyle w:val="923"/>
      <w:isLgl w:val="false"/>
      <w:suff w:val="nothing"/>
      <w:lvlText w:val=""/>
      <w:lvlJc w:val="left"/>
      <w:pPr>
        <w:ind w:left="0" w:firstLine="0"/>
      </w:pPr>
      <w:rPr>
        <w:rFonts w:hint="eastAsia"/>
      </w:rPr>
    </w:lvl>
  </w:abstractNum>
  <w:abstractNum w:abstractNumId="4">
    <w:multiLevelType w:val="hybridMultilevel"/>
    <w:lvl w:ilvl="0">
      <w:start w:val="1"/>
      <w:numFmt w:val="chineseCounting"/>
      <w:pStyle w:val="914"/>
      <w:isLgl w:val="false"/>
      <w:suff w:val="nothing"/>
      <w:lvlText w:val="%1、"/>
      <w:lvlJc w:val="left"/>
      <w:pPr>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945"/>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ind w:left="0" w:firstLine="42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default="1">
    <w:name w:val="Normal"/>
    <w:link w:val="103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4">
    <w:name w:val="Heading 1"/>
    <w:basedOn w:val="733"/>
    <w:next w:val="733"/>
    <w:link w:val="766"/>
    <w:uiPriority w:val="9"/>
    <w:qFormat/>
    <w:pPr>
      <w:keepLines/>
      <w:keepNext/>
      <w:spacing w:before="480" w:after="200"/>
      <w:outlineLvl w:val="0"/>
    </w:pPr>
    <w:rPr>
      <w:rFonts w:ascii="Arial" w:hAnsi="Arial" w:eastAsia="Arial" w:cs="Arial"/>
      <w:sz w:val="40"/>
      <w:szCs w:val="40"/>
    </w:rPr>
  </w:style>
  <w:style w:type="paragraph" w:styleId="735">
    <w:name w:val="Heading 2"/>
    <w:basedOn w:val="733"/>
    <w:next w:val="733"/>
    <w:link w:val="767"/>
    <w:uiPriority w:val="9"/>
    <w:unhideWhenUsed/>
    <w:qFormat/>
    <w:pPr>
      <w:keepLines/>
      <w:keepNext/>
      <w:spacing w:before="360" w:after="200"/>
      <w:outlineLvl w:val="1"/>
    </w:pPr>
    <w:rPr>
      <w:rFonts w:ascii="Arial" w:hAnsi="Arial" w:eastAsia="Arial" w:cs="Arial"/>
      <w:sz w:val="34"/>
    </w:rPr>
  </w:style>
  <w:style w:type="paragraph" w:styleId="736">
    <w:name w:val="Heading 3"/>
    <w:basedOn w:val="733"/>
    <w:next w:val="733"/>
    <w:link w:val="768"/>
    <w:uiPriority w:val="9"/>
    <w:unhideWhenUsed/>
    <w:qFormat/>
    <w:pPr>
      <w:keepLines/>
      <w:keepNext/>
      <w:spacing w:before="320" w:after="200"/>
      <w:outlineLvl w:val="2"/>
    </w:pPr>
    <w:rPr>
      <w:rFonts w:ascii="Arial" w:hAnsi="Arial" w:eastAsia="Arial" w:cs="Arial"/>
      <w:sz w:val="30"/>
      <w:szCs w:val="30"/>
    </w:rPr>
  </w:style>
  <w:style w:type="paragraph" w:styleId="737">
    <w:name w:val="Heading 4"/>
    <w:basedOn w:val="733"/>
    <w:next w:val="733"/>
    <w:link w:val="769"/>
    <w:uiPriority w:val="9"/>
    <w:unhideWhenUsed/>
    <w:qFormat/>
    <w:pPr>
      <w:keepLines/>
      <w:keepNext/>
      <w:spacing w:before="320" w:after="200"/>
      <w:outlineLvl w:val="3"/>
    </w:pPr>
    <w:rPr>
      <w:rFonts w:ascii="Arial" w:hAnsi="Arial" w:eastAsia="Arial" w:cs="Arial"/>
      <w:b/>
      <w:bCs/>
      <w:sz w:val="26"/>
      <w:szCs w:val="26"/>
    </w:rPr>
  </w:style>
  <w:style w:type="paragraph" w:styleId="738">
    <w:name w:val="Heading 5"/>
    <w:basedOn w:val="733"/>
    <w:next w:val="733"/>
    <w:link w:val="770"/>
    <w:uiPriority w:val="9"/>
    <w:unhideWhenUsed/>
    <w:qFormat/>
    <w:pPr>
      <w:keepLines/>
      <w:keepNext/>
      <w:spacing w:before="320" w:after="200"/>
      <w:outlineLvl w:val="4"/>
    </w:pPr>
    <w:rPr>
      <w:rFonts w:ascii="Arial" w:hAnsi="Arial" w:eastAsia="Arial" w:cs="Arial"/>
      <w:b/>
      <w:bCs/>
      <w:sz w:val="24"/>
      <w:szCs w:val="24"/>
    </w:rPr>
  </w:style>
  <w:style w:type="paragraph" w:styleId="739">
    <w:name w:val="Heading 6"/>
    <w:basedOn w:val="733"/>
    <w:next w:val="733"/>
    <w:link w:val="771"/>
    <w:uiPriority w:val="9"/>
    <w:unhideWhenUsed/>
    <w:qFormat/>
    <w:pPr>
      <w:keepLines/>
      <w:keepNext/>
      <w:spacing w:before="320" w:after="200"/>
      <w:outlineLvl w:val="5"/>
    </w:pPr>
    <w:rPr>
      <w:rFonts w:ascii="Arial" w:hAnsi="Arial" w:eastAsia="Arial" w:cs="Arial"/>
      <w:b/>
      <w:bCs/>
      <w:sz w:val="22"/>
      <w:szCs w:val="22"/>
    </w:rPr>
  </w:style>
  <w:style w:type="paragraph" w:styleId="740">
    <w:name w:val="Heading 7"/>
    <w:basedOn w:val="733"/>
    <w:next w:val="733"/>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41">
    <w:name w:val="Heading 8"/>
    <w:basedOn w:val="733"/>
    <w:next w:val="733"/>
    <w:link w:val="773"/>
    <w:uiPriority w:val="9"/>
    <w:unhideWhenUsed/>
    <w:qFormat/>
    <w:pPr>
      <w:keepLines/>
      <w:keepNext/>
      <w:spacing w:before="320" w:after="200"/>
      <w:outlineLvl w:val="7"/>
    </w:pPr>
    <w:rPr>
      <w:rFonts w:ascii="Arial" w:hAnsi="Arial" w:eastAsia="Arial" w:cs="Arial"/>
      <w:i/>
      <w:iCs/>
      <w:sz w:val="22"/>
      <w:szCs w:val="22"/>
    </w:rPr>
  </w:style>
  <w:style w:type="paragraph" w:styleId="742">
    <w:name w:val="Heading 9"/>
    <w:basedOn w:val="733"/>
    <w:next w:val="733"/>
    <w:link w:val="774"/>
    <w:uiPriority w:val="9"/>
    <w:unhideWhenUsed/>
    <w:qFormat/>
    <w:pPr>
      <w:keepLines/>
      <w:keepNext/>
      <w:spacing w:before="320" w:after="200"/>
      <w:outlineLvl w:val="8"/>
    </w:pPr>
    <w:rPr>
      <w:rFonts w:ascii="Arial" w:hAnsi="Arial" w:eastAsia="Arial" w:cs="Arial"/>
      <w:i/>
      <w:iCs/>
      <w:sz w:val="21"/>
      <w:szCs w:val="21"/>
    </w:rPr>
  </w:style>
  <w:style w:type="character" w:styleId="743" w:default="1">
    <w:name w:val="Default Paragraph Font"/>
    <w:uiPriority w:val="1"/>
    <w:semiHidden/>
    <w:unhideWhenUsed/>
    <w:qFormat/>
  </w:style>
  <w:style w:type="table" w:styleId="744" w:default="1">
    <w:name w:val="Normal Table"/>
    <w:uiPriority w:val="99"/>
    <w:semiHidden/>
    <w:unhideWhenUsed/>
    <w:qFormat/>
    <w:tblPr>
      <w:tblCellMar>
        <w:left w:w="108" w:type="dxa"/>
        <w:top w:w="0" w:type="dxa"/>
        <w:right w:w="108" w:type="dxa"/>
        <w:bottom w:w="0" w:type="dxa"/>
      </w:tblCellMar>
    </w:tblPr>
  </w:style>
  <w:style w:type="paragraph" w:styleId="745">
    <w:name w:val="toc 7"/>
    <w:basedOn w:val="733"/>
    <w:next w:val="733"/>
    <w:uiPriority w:val="39"/>
    <w:unhideWhenUsed/>
    <w:qFormat/>
    <w:pPr>
      <w:ind w:left="1701" w:right="0" w:firstLine="0"/>
      <w:spacing w:after="57"/>
    </w:pPr>
  </w:style>
  <w:style w:type="paragraph" w:styleId="746">
    <w:name w:val="Caption"/>
    <w:basedOn w:val="733"/>
    <w:next w:val="733"/>
    <w:uiPriority w:val="35"/>
    <w:semiHidden/>
    <w:unhideWhenUsed/>
    <w:qFormat/>
    <w:pPr>
      <w:spacing w:line="276" w:lineRule="auto"/>
    </w:pPr>
    <w:rPr>
      <w:b/>
      <w:bCs/>
      <w:color w:val="4f81bd" w:themeColor="accent1"/>
      <w:sz w:val="18"/>
      <w:szCs w:val="18"/>
    </w:rPr>
  </w:style>
  <w:style w:type="paragraph" w:styleId="747">
    <w:name w:val="toc 5"/>
    <w:basedOn w:val="733"/>
    <w:next w:val="733"/>
    <w:uiPriority w:val="39"/>
    <w:unhideWhenUsed/>
    <w:qFormat/>
    <w:pPr>
      <w:ind w:left="1134" w:right="0" w:firstLine="0"/>
      <w:spacing w:after="57"/>
    </w:pPr>
  </w:style>
  <w:style w:type="paragraph" w:styleId="748">
    <w:name w:val="toc 3"/>
    <w:basedOn w:val="733"/>
    <w:next w:val="733"/>
    <w:uiPriority w:val="39"/>
    <w:unhideWhenUsed/>
    <w:qFormat/>
    <w:pPr>
      <w:ind w:left="567" w:right="0" w:firstLine="0"/>
      <w:spacing w:after="57"/>
    </w:pPr>
  </w:style>
  <w:style w:type="paragraph" w:styleId="749">
    <w:name w:val="toc 8"/>
    <w:basedOn w:val="733"/>
    <w:next w:val="733"/>
    <w:uiPriority w:val="39"/>
    <w:unhideWhenUsed/>
    <w:qFormat/>
    <w:pPr>
      <w:ind w:left="1984" w:right="0" w:firstLine="0"/>
      <w:spacing w:after="57"/>
    </w:pPr>
  </w:style>
  <w:style w:type="paragraph" w:styleId="750">
    <w:name w:val="endnote text"/>
    <w:basedOn w:val="733"/>
    <w:link w:val="912"/>
    <w:uiPriority w:val="99"/>
    <w:semiHidden/>
    <w:unhideWhenUsed/>
    <w:qFormat/>
    <w:pPr>
      <w:spacing w:after="0" w:line="240" w:lineRule="auto"/>
    </w:pPr>
    <w:rPr>
      <w:sz w:val="20"/>
    </w:rPr>
  </w:style>
  <w:style w:type="paragraph" w:styleId="751">
    <w:name w:val="Footer"/>
    <w:basedOn w:val="733"/>
    <w:link w:val="785"/>
    <w:uiPriority w:val="99"/>
    <w:unhideWhenUsed/>
    <w:qFormat/>
    <w:pPr>
      <w:spacing w:after="0" w:line="240" w:lineRule="auto"/>
      <w:tabs>
        <w:tab w:val="center" w:pos="7143" w:leader="none"/>
        <w:tab w:val="right" w:pos="14287" w:leader="none"/>
      </w:tabs>
    </w:pPr>
  </w:style>
  <w:style w:type="paragraph" w:styleId="752">
    <w:name w:val="Header"/>
    <w:basedOn w:val="733"/>
    <w:link w:val="783"/>
    <w:uiPriority w:val="99"/>
    <w:unhideWhenUsed/>
    <w:qFormat/>
    <w:pPr>
      <w:spacing w:after="0" w:line="240" w:lineRule="auto"/>
      <w:tabs>
        <w:tab w:val="center" w:pos="7143" w:leader="none"/>
        <w:tab w:val="right" w:pos="14287" w:leader="none"/>
      </w:tabs>
    </w:pPr>
  </w:style>
  <w:style w:type="paragraph" w:styleId="753">
    <w:name w:val="toc 1"/>
    <w:basedOn w:val="733"/>
    <w:next w:val="733"/>
    <w:uiPriority w:val="39"/>
    <w:unhideWhenUsed/>
    <w:qFormat/>
    <w:pPr>
      <w:ind w:left="0" w:right="0" w:firstLine="0"/>
      <w:spacing w:after="57"/>
    </w:pPr>
  </w:style>
  <w:style w:type="paragraph" w:styleId="754">
    <w:name w:val="toc 4"/>
    <w:basedOn w:val="733"/>
    <w:next w:val="733"/>
    <w:uiPriority w:val="39"/>
    <w:unhideWhenUsed/>
    <w:qFormat/>
    <w:pPr>
      <w:ind w:left="850" w:right="0" w:firstLine="0"/>
      <w:spacing w:after="57"/>
    </w:pPr>
  </w:style>
  <w:style w:type="paragraph" w:styleId="755">
    <w:name w:val="Subtitle"/>
    <w:basedOn w:val="733"/>
    <w:next w:val="733"/>
    <w:link w:val="778"/>
    <w:uiPriority w:val="11"/>
    <w:qFormat/>
    <w:pPr>
      <w:spacing w:before="200" w:after="200"/>
    </w:pPr>
    <w:rPr>
      <w:sz w:val="24"/>
      <w:szCs w:val="24"/>
    </w:rPr>
  </w:style>
  <w:style w:type="paragraph" w:styleId="756">
    <w:name w:val="footnote text"/>
    <w:basedOn w:val="733"/>
    <w:link w:val="911"/>
    <w:uiPriority w:val="99"/>
    <w:semiHidden/>
    <w:unhideWhenUsed/>
    <w:qFormat/>
    <w:pPr>
      <w:spacing w:after="40" w:line="240" w:lineRule="auto"/>
    </w:pPr>
    <w:rPr>
      <w:sz w:val="18"/>
    </w:rPr>
  </w:style>
  <w:style w:type="paragraph" w:styleId="757">
    <w:name w:val="toc 6"/>
    <w:basedOn w:val="733"/>
    <w:next w:val="733"/>
    <w:uiPriority w:val="39"/>
    <w:unhideWhenUsed/>
    <w:qFormat/>
    <w:pPr>
      <w:ind w:left="1417" w:right="0" w:firstLine="0"/>
      <w:spacing w:after="57"/>
    </w:pPr>
  </w:style>
  <w:style w:type="paragraph" w:styleId="758">
    <w:name w:val="table of figures"/>
    <w:basedOn w:val="733"/>
    <w:next w:val="733"/>
    <w:uiPriority w:val="99"/>
    <w:unhideWhenUsed/>
    <w:qFormat/>
    <w:pPr>
      <w:spacing w:after="0" w:afterAutospacing="0"/>
    </w:pPr>
  </w:style>
  <w:style w:type="paragraph" w:styleId="759">
    <w:name w:val="toc 2"/>
    <w:basedOn w:val="733"/>
    <w:next w:val="733"/>
    <w:uiPriority w:val="39"/>
    <w:unhideWhenUsed/>
    <w:qFormat/>
    <w:pPr>
      <w:ind w:left="283" w:right="0" w:firstLine="0"/>
      <w:spacing w:after="57"/>
    </w:pPr>
  </w:style>
  <w:style w:type="paragraph" w:styleId="760">
    <w:name w:val="toc 9"/>
    <w:basedOn w:val="733"/>
    <w:next w:val="733"/>
    <w:uiPriority w:val="39"/>
    <w:unhideWhenUsed/>
    <w:qFormat/>
    <w:pPr>
      <w:ind w:left="2268" w:right="0" w:firstLine="0"/>
      <w:spacing w:after="57"/>
    </w:pPr>
  </w:style>
  <w:style w:type="paragraph" w:styleId="761">
    <w:name w:val="Title"/>
    <w:basedOn w:val="733"/>
    <w:next w:val="733"/>
    <w:link w:val="777"/>
    <w:uiPriority w:val="10"/>
    <w:qFormat/>
    <w:pPr>
      <w:contextualSpacing/>
      <w:spacing w:before="300" w:after="200"/>
    </w:pPr>
    <w:rPr>
      <w:sz w:val="48"/>
      <w:szCs w:val="48"/>
    </w:rPr>
  </w:style>
  <w:style w:type="table" w:styleId="76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endnote reference"/>
    <w:uiPriority w:val="99"/>
    <w:semiHidden/>
    <w:unhideWhenUsed/>
    <w:qFormat/>
    <w:rPr>
      <w:vertAlign w:val="superscript"/>
    </w:rPr>
  </w:style>
  <w:style w:type="character" w:styleId="764">
    <w:name w:val="Hyperlink"/>
    <w:uiPriority w:val="99"/>
    <w:unhideWhenUsed/>
    <w:qFormat/>
    <w:rPr>
      <w:color w:val="0000ff" w:themeColor="hyperlink"/>
      <w:u w:val="single"/>
    </w:rPr>
  </w:style>
  <w:style w:type="character" w:styleId="765">
    <w:name w:val="footnote reference"/>
    <w:uiPriority w:val="99"/>
    <w:unhideWhenUsed/>
    <w:qFormat/>
    <w:rPr>
      <w:vertAlign w:val="superscript"/>
    </w:rPr>
  </w:style>
  <w:style w:type="character" w:styleId="766" w:customStyle="1">
    <w:name w:val="Heading 1 Char"/>
    <w:link w:val="734"/>
    <w:uiPriority w:val="9"/>
    <w:qFormat/>
    <w:rPr>
      <w:rFonts w:ascii="Arial" w:hAnsi="Arial" w:eastAsia="Arial" w:cs="Arial"/>
      <w:sz w:val="40"/>
      <w:szCs w:val="40"/>
    </w:rPr>
  </w:style>
  <w:style w:type="character" w:styleId="767" w:customStyle="1">
    <w:name w:val="Heading 2 Char"/>
    <w:link w:val="735"/>
    <w:uiPriority w:val="9"/>
    <w:qFormat/>
    <w:rPr>
      <w:rFonts w:ascii="Arial" w:hAnsi="Arial" w:eastAsia="Arial" w:cs="Arial"/>
      <w:sz w:val="34"/>
    </w:rPr>
  </w:style>
  <w:style w:type="character" w:styleId="768" w:customStyle="1">
    <w:name w:val="Heading 3 Char"/>
    <w:link w:val="736"/>
    <w:uiPriority w:val="9"/>
    <w:qFormat/>
    <w:rPr>
      <w:rFonts w:ascii="Arial" w:hAnsi="Arial" w:eastAsia="Arial" w:cs="Arial"/>
      <w:sz w:val="30"/>
      <w:szCs w:val="30"/>
    </w:rPr>
  </w:style>
  <w:style w:type="character" w:styleId="769" w:customStyle="1">
    <w:name w:val="Heading 4 Char"/>
    <w:link w:val="737"/>
    <w:uiPriority w:val="9"/>
    <w:qFormat/>
    <w:rPr>
      <w:rFonts w:ascii="Arial" w:hAnsi="Arial" w:eastAsia="Arial" w:cs="Arial"/>
      <w:b/>
      <w:bCs/>
      <w:sz w:val="26"/>
      <w:szCs w:val="26"/>
    </w:rPr>
  </w:style>
  <w:style w:type="character" w:styleId="770" w:customStyle="1">
    <w:name w:val="Heading 5 Char"/>
    <w:link w:val="738"/>
    <w:uiPriority w:val="9"/>
    <w:qFormat/>
    <w:rPr>
      <w:rFonts w:ascii="Arial" w:hAnsi="Arial" w:eastAsia="Arial" w:cs="Arial"/>
      <w:b/>
      <w:bCs/>
      <w:sz w:val="24"/>
      <w:szCs w:val="24"/>
    </w:rPr>
  </w:style>
  <w:style w:type="character" w:styleId="771" w:customStyle="1">
    <w:name w:val="Heading 6 Char"/>
    <w:link w:val="739"/>
    <w:uiPriority w:val="9"/>
    <w:qFormat/>
    <w:rPr>
      <w:rFonts w:ascii="Arial" w:hAnsi="Arial" w:eastAsia="Arial" w:cs="Arial"/>
      <w:b/>
      <w:bCs/>
      <w:sz w:val="22"/>
      <w:szCs w:val="22"/>
    </w:rPr>
  </w:style>
  <w:style w:type="character" w:styleId="772" w:customStyle="1">
    <w:name w:val="Heading 7 Char"/>
    <w:link w:val="740"/>
    <w:uiPriority w:val="9"/>
    <w:qFormat/>
    <w:rPr>
      <w:rFonts w:ascii="Arial" w:hAnsi="Arial" w:eastAsia="Arial" w:cs="Arial"/>
      <w:b/>
      <w:bCs/>
      <w:i/>
      <w:iCs/>
      <w:sz w:val="22"/>
      <w:szCs w:val="22"/>
    </w:rPr>
  </w:style>
  <w:style w:type="character" w:styleId="773" w:customStyle="1">
    <w:name w:val="Heading 8 Char"/>
    <w:link w:val="741"/>
    <w:uiPriority w:val="9"/>
    <w:qFormat/>
    <w:rPr>
      <w:rFonts w:ascii="Arial" w:hAnsi="Arial" w:eastAsia="Arial" w:cs="Arial"/>
      <w:i/>
      <w:iCs/>
      <w:sz w:val="22"/>
      <w:szCs w:val="22"/>
    </w:rPr>
  </w:style>
  <w:style w:type="character" w:styleId="774" w:customStyle="1">
    <w:name w:val="Heading 9 Char"/>
    <w:link w:val="742"/>
    <w:uiPriority w:val="9"/>
    <w:qFormat/>
    <w:rPr>
      <w:rFonts w:ascii="Arial" w:hAnsi="Arial" w:eastAsia="Arial" w:cs="Arial"/>
      <w:i/>
      <w:iCs/>
      <w:sz w:val="21"/>
      <w:szCs w:val="21"/>
    </w:rPr>
  </w:style>
  <w:style w:type="paragraph" w:styleId="775">
    <w:name w:val="List Paragraph"/>
    <w:basedOn w:val="733"/>
    <w:uiPriority w:val="34"/>
    <w:qFormat/>
    <w:pPr>
      <w:contextualSpacing/>
      <w:ind w:left="720"/>
    </w:pPr>
  </w:style>
  <w:style w:type="paragraph" w:styleId="776">
    <w:name w:val="No Spacing"/>
    <w:uiPriority w:val="1"/>
    <w:qFormat/>
    <w:pPr>
      <w:spacing w:before="0" w:after="0" w:line="240" w:lineRule="auto"/>
    </w:pPr>
    <w:rPr>
      <w:rFonts w:hint="default" w:ascii="Times New Roman" w:hAnsi="Times New Roman" w:eastAsia="宋体" w:cs="Times New Roman"/>
    </w:rPr>
  </w:style>
  <w:style w:type="character" w:styleId="777" w:customStyle="1">
    <w:name w:val="Title Char"/>
    <w:link w:val="761"/>
    <w:uiPriority w:val="10"/>
    <w:qFormat/>
    <w:rPr>
      <w:sz w:val="48"/>
      <w:szCs w:val="48"/>
    </w:rPr>
  </w:style>
  <w:style w:type="character" w:styleId="778" w:customStyle="1">
    <w:name w:val="Subtitle Char"/>
    <w:link w:val="755"/>
    <w:uiPriority w:val="11"/>
    <w:qFormat/>
    <w:rPr>
      <w:sz w:val="24"/>
      <w:szCs w:val="24"/>
    </w:rPr>
  </w:style>
  <w:style w:type="paragraph" w:styleId="779">
    <w:name w:val="Quote"/>
    <w:basedOn w:val="733"/>
    <w:next w:val="733"/>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33"/>
    <w:next w:val="733"/>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52"/>
    <w:uiPriority w:val="99"/>
    <w:qFormat/>
  </w:style>
  <w:style w:type="character" w:styleId="784" w:customStyle="1">
    <w:name w:val="Footer Char"/>
    <w:link w:val="751"/>
    <w:uiPriority w:val="99"/>
    <w:qFormat/>
  </w:style>
  <w:style w:type="character" w:styleId="785" w:customStyle="1">
    <w:name w:val="Caption Char"/>
    <w:link w:val="751"/>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8"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0"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1"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2"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56"/>
    <w:uiPriority w:val="99"/>
    <w:qFormat/>
    <w:rPr>
      <w:sz w:val="18"/>
    </w:rPr>
  </w:style>
  <w:style w:type="character" w:styleId="912" w:customStyle="1">
    <w:name w:val="Endnote Text Char"/>
    <w:link w:val="750"/>
    <w:uiPriority w:val="99"/>
    <w:qFormat/>
    <w:rPr>
      <w:sz w:val="20"/>
    </w:rPr>
  </w:style>
  <w:style w:type="paragraph" w:styleId="913" w:customStyle="1">
    <w:name w:val="TOC Heading"/>
    <w:uiPriority w:val="39"/>
    <w:unhideWhenUsed/>
    <w:qFormat/>
    <w:rPr>
      <w:rFonts w:hint="default" w:ascii="Times New Roman" w:hAnsi="Times New Roman" w:eastAsia="宋体" w:cs="Times New Roman"/>
    </w:rPr>
  </w:style>
  <w:style w:type="paragraph" w:styleId="914" w:customStyle="1">
    <w:name w:val="标题 11"/>
    <w:basedOn w:val="733"/>
    <w:next w:val="733"/>
    <w:link w:val="926"/>
    <w:uiPriority w:val="0"/>
    <w:qFormat/>
    <w:pPr>
      <w:numPr>
        <w:ilvl w:val="0"/>
        <w:numId w:val="1"/>
      </w:numPr>
      <w:jc w:val="center"/>
      <w:keepNext/>
      <w:outlineLvl w:val="0"/>
    </w:pPr>
    <w:rPr>
      <w:rFonts w:ascii="宋体" w:hAnsi="宋体" w:eastAsia="宋体" w:cs="Times New Roman"/>
      <w:sz w:val="36"/>
      <w:szCs w:val="28"/>
    </w:rPr>
  </w:style>
  <w:style w:type="paragraph" w:styleId="915" w:customStyle="1">
    <w:name w:val="标题 21"/>
    <w:basedOn w:val="733"/>
    <w:next w:val="916"/>
    <w:link w:val="927"/>
    <w:uiPriority w:val="0"/>
    <w:qFormat/>
    <w:pPr>
      <w:jc w:val="center"/>
      <w:keepLines/>
      <w:keepNext/>
      <w:spacing w:line="240" w:lineRule="auto"/>
      <w:outlineLvl w:val="1"/>
    </w:pPr>
    <w:rPr>
      <w:rFonts w:ascii="Arial" w:hAnsi="Arial" w:eastAsia="宋体" w:cs="Arial"/>
      <w:bCs/>
      <w:sz w:val="36"/>
      <w:szCs w:val="44"/>
    </w:rPr>
  </w:style>
  <w:style w:type="paragraph" w:styleId="916" w:customStyle="1">
    <w:name w:val="正文缩进1"/>
    <w:basedOn w:val="733"/>
    <w:next w:val="733"/>
    <w:link w:val="928"/>
    <w:uiPriority w:val="0"/>
    <w:qFormat/>
    <w:pPr>
      <w:ind w:firstLine="420"/>
    </w:pPr>
    <w:rPr>
      <w:szCs w:val="21"/>
    </w:rPr>
  </w:style>
  <w:style w:type="paragraph" w:styleId="917" w:customStyle="1">
    <w:name w:val="标题 311"/>
    <w:basedOn w:val="733"/>
    <w:next w:val="916"/>
    <w:link w:val="929"/>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8" w:customStyle="1">
    <w:name w:val="标题 41"/>
    <w:basedOn w:val="733"/>
    <w:next w:val="916"/>
    <w:link w:val="930"/>
    <w:uiPriority w:val="0"/>
    <w:qFormat/>
    <w:pPr>
      <w:keepLines/>
      <w:keepNext/>
      <w:spacing w:before="280" w:after="290" w:line="376" w:lineRule="auto"/>
      <w:outlineLvl w:val="3"/>
    </w:pPr>
    <w:rPr>
      <w:rFonts w:ascii="Arial" w:hAnsi="Arial" w:eastAsia="黑体" w:cs="Arial"/>
      <w:b/>
      <w:bCs/>
      <w:sz w:val="28"/>
      <w:szCs w:val="28"/>
    </w:rPr>
  </w:style>
  <w:style w:type="paragraph" w:styleId="919" w:customStyle="1">
    <w:name w:val="标题 51"/>
    <w:basedOn w:val="733"/>
    <w:next w:val="916"/>
    <w:link w:val="931"/>
    <w:uiPriority w:val="0"/>
    <w:qFormat/>
    <w:pPr>
      <w:keepNext/>
      <w:outlineLvl w:val="4"/>
    </w:pPr>
    <w:rPr>
      <w:rFonts w:ascii="宋体" w:hAnsi="Times New Roman" w:eastAsia="宋体" w:cs="Times New Roman"/>
      <w:color w:val="000000"/>
      <w:sz w:val="28"/>
      <w:szCs w:val="28"/>
    </w:rPr>
  </w:style>
  <w:style w:type="paragraph" w:styleId="920" w:customStyle="1">
    <w:name w:val="标题 61"/>
    <w:basedOn w:val="733"/>
    <w:next w:val="733"/>
    <w:link w:val="932"/>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21" w:customStyle="1">
    <w:name w:val="标题 71"/>
    <w:basedOn w:val="733"/>
    <w:next w:val="733"/>
    <w:link w:val="933"/>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22" w:customStyle="1">
    <w:name w:val="标题 81"/>
    <w:basedOn w:val="733"/>
    <w:next w:val="733"/>
    <w:link w:val="934"/>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23" w:customStyle="1">
    <w:name w:val="标题 91"/>
    <w:basedOn w:val="733"/>
    <w:next w:val="733"/>
    <w:link w:val="935"/>
    <w:uiPriority w:val="0"/>
    <w:qFormat/>
    <w:pPr>
      <w:numPr>
        <w:ilvl w:val="8"/>
        <w:numId w:val="2"/>
      </w:numPr>
      <w:keepLines/>
      <w:keepNext/>
      <w:spacing w:before="240" w:after="64" w:line="320" w:lineRule="auto"/>
      <w:outlineLvl w:val="8"/>
    </w:pPr>
    <w:rPr>
      <w:rFonts w:ascii="Arial" w:hAnsi="Arial" w:eastAsia="黑体" w:cs="Times New Roman"/>
      <w:szCs w:val="21"/>
    </w:rPr>
  </w:style>
  <w:style w:type="character" w:styleId="924" w:customStyle="1">
    <w:name w:val="默认段落字体1"/>
    <w:link w:val="733"/>
    <w:uiPriority w:val="1"/>
    <w:unhideWhenUsed/>
    <w:qFormat/>
  </w:style>
  <w:style w:type="table" w:styleId="925" w:customStyle="1">
    <w:name w:val="普通表格1"/>
    <w:uiPriority w:val="99"/>
    <w:unhideWhenUsed/>
    <w:qFormat/>
    <w:pPr>
      <w:ind w:left="0" w:right="0"/>
      <w:keepLines w:val="0"/>
      <w:keepNext w:val="0"/>
      <w:spacing w:before="0" w:beforeAutospacing="0" w:after="0" w:afterAutospacing="0"/>
      <w:widowControl/>
      <w:suppressLineNumbers w:val="0"/>
    </w:pPr>
    <w:rPr>
      <w:rFonts w:ascii="Calibri" w:hAnsi="Calibri" w:cs="Calibri"/>
      <w:sz w:val="21"/>
      <w:szCs w:val="22"/>
    </w:rPr>
    <w:tblPr/>
  </w:style>
  <w:style w:type="character" w:styleId="926" w:customStyle="1">
    <w:name w:val="标题 1 字符"/>
    <w:link w:val="914"/>
    <w:uiPriority w:val="0"/>
    <w:qFormat/>
    <w:rPr>
      <w:rFonts w:ascii="宋体" w:hAnsi="宋体" w:eastAsia="宋体" w:cs="Times New Roman"/>
      <w:sz w:val="36"/>
      <w:szCs w:val="28"/>
    </w:rPr>
  </w:style>
  <w:style w:type="character" w:styleId="927" w:customStyle="1">
    <w:name w:val="标题 2 字符"/>
    <w:link w:val="915"/>
    <w:uiPriority w:val="0"/>
    <w:qFormat/>
    <w:rPr>
      <w:rFonts w:ascii="Arial" w:hAnsi="Arial" w:eastAsia="宋体" w:cs="Arial"/>
      <w:bCs/>
      <w:sz w:val="36"/>
      <w:szCs w:val="44"/>
    </w:rPr>
  </w:style>
  <w:style w:type="character" w:styleId="928" w:customStyle="1">
    <w:name w:val="正文缩进 字符"/>
    <w:link w:val="916"/>
    <w:uiPriority w:val="0"/>
    <w:qFormat/>
    <w:rPr>
      <w:szCs w:val="21"/>
    </w:rPr>
  </w:style>
  <w:style w:type="character" w:styleId="929" w:customStyle="1">
    <w:name w:val="标题 3 字符"/>
    <w:link w:val="917"/>
    <w:uiPriority w:val="0"/>
    <w:qFormat/>
    <w:rPr>
      <w:rFonts w:ascii="Times New Roman" w:hAnsi="Times New Roman" w:eastAsia="宋体" w:cs="Times New Roman"/>
      <w:b/>
      <w:bCs/>
      <w:sz w:val="32"/>
      <w:szCs w:val="32"/>
    </w:rPr>
  </w:style>
  <w:style w:type="character" w:styleId="930" w:customStyle="1">
    <w:name w:val="标题 4 字符"/>
    <w:link w:val="918"/>
    <w:uiPriority w:val="0"/>
    <w:qFormat/>
    <w:rPr>
      <w:rFonts w:ascii="Arial" w:hAnsi="Arial" w:eastAsia="黑体" w:cs="Arial"/>
      <w:b/>
      <w:bCs/>
      <w:sz w:val="28"/>
      <w:szCs w:val="28"/>
    </w:rPr>
  </w:style>
  <w:style w:type="character" w:styleId="931" w:customStyle="1">
    <w:name w:val="标题 5 字符"/>
    <w:link w:val="919"/>
    <w:uiPriority w:val="0"/>
    <w:qFormat/>
    <w:rPr>
      <w:rFonts w:ascii="宋体" w:hAnsi="Times New Roman" w:eastAsia="宋体" w:cs="Times New Roman"/>
      <w:color w:val="000000"/>
      <w:sz w:val="28"/>
      <w:szCs w:val="28"/>
    </w:rPr>
  </w:style>
  <w:style w:type="character" w:styleId="932" w:customStyle="1">
    <w:name w:val="标题 6 字符"/>
    <w:link w:val="920"/>
    <w:uiPriority w:val="0"/>
    <w:qFormat/>
    <w:rPr>
      <w:rFonts w:ascii="Arial" w:hAnsi="Arial" w:eastAsia="黑体"/>
      <w:b/>
      <w:bCs/>
      <w:sz w:val="24"/>
      <w:szCs w:val="24"/>
    </w:rPr>
  </w:style>
  <w:style w:type="character" w:styleId="933" w:customStyle="1">
    <w:name w:val="标题 7 字符"/>
    <w:link w:val="921"/>
    <w:uiPriority w:val="0"/>
    <w:qFormat/>
    <w:rPr>
      <w:rFonts w:ascii="Times New Roman" w:hAnsi="Times New Roman"/>
      <w:b/>
      <w:bCs/>
      <w:sz w:val="24"/>
      <w:szCs w:val="24"/>
    </w:rPr>
  </w:style>
  <w:style w:type="character" w:styleId="934" w:customStyle="1">
    <w:name w:val="标题 8 字符"/>
    <w:link w:val="922"/>
    <w:uiPriority w:val="0"/>
    <w:qFormat/>
    <w:rPr>
      <w:rFonts w:ascii="Arial" w:hAnsi="Arial" w:eastAsia="黑体"/>
      <w:sz w:val="24"/>
      <w:szCs w:val="24"/>
    </w:rPr>
  </w:style>
  <w:style w:type="character" w:styleId="935" w:customStyle="1">
    <w:name w:val="标题 9 字符"/>
    <w:link w:val="923"/>
    <w:uiPriority w:val="0"/>
    <w:qFormat/>
    <w:rPr>
      <w:rFonts w:ascii="Arial" w:hAnsi="Arial" w:eastAsia="黑体"/>
      <w:sz w:val="21"/>
      <w:szCs w:val="21"/>
    </w:rPr>
  </w:style>
  <w:style w:type="paragraph" w:styleId="936" w:customStyle="1">
    <w:name w:val="列表 31"/>
    <w:basedOn w:val="733"/>
    <w:uiPriority w:val="0"/>
    <w:qFormat/>
    <w:pPr>
      <w:ind w:left="100" w:hanging="200"/>
    </w:pPr>
    <w:rPr>
      <w:rFonts w:ascii="Times New Roman" w:hAnsi="Times New Roman" w:eastAsia="宋体" w:cs="Times New Roman"/>
      <w:szCs w:val="21"/>
    </w:rPr>
  </w:style>
  <w:style w:type="paragraph" w:styleId="937" w:customStyle="1">
    <w:name w:val="目录 71"/>
    <w:basedOn w:val="733"/>
    <w:next w:val="733"/>
    <w:uiPriority w:val="0"/>
    <w:semiHidden/>
    <w:qFormat/>
    <w:pPr>
      <w:ind w:left="1260"/>
      <w:jc w:val="left"/>
    </w:pPr>
    <w:rPr>
      <w:rFonts w:ascii="Times New Roman" w:hAnsi="Times New Roman" w:eastAsia="宋体" w:cs="Times New Roman"/>
      <w:szCs w:val="21"/>
    </w:rPr>
  </w:style>
  <w:style w:type="paragraph" w:styleId="938" w:customStyle="1">
    <w:name w:val="文档结构图1"/>
    <w:basedOn w:val="733"/>
    <w:link w:val="939"/>
    <w:uiPriority w:val="0"/>
    <w:semiHidden/>
    <w:qFormat/>
    <w:pPr>
      <w:shd w:val="clear" w:color="auto" w:fill="000080"/>
    </w:pPr>
    <w:rPr>
      <w:rFonts w:ascii="Times New Roman" w:hAnsi="Times New Roman" w:eastAsia="宋体" w:cs="Times New Roman"/>
      <w:szCs w:val="21"/>
    </w:rPr>
  </w:style>
  <w:style w:type="character" w:styleId="939" w:customStyle="1">
    <w:name w:val="文档结构图 字符"/>
    <w:link w:val="938"/>
    <w:uiPriority w:val="0"/>
    <w:semiHidden/>
    <w:qFormat/>
    <w:rPr>
      <w:rFonts w:ascii="Times New Roman" w:hAnsi="Times New Roman" w:eastAsia="宋体" w:cs="Times New Roman"/>
      <w:szCs w:val="21"/>
      <w:shd w:val="clear" w:color="auto" w:fill="000080"/>
    </w:rPr>
  </w:style>
  <w:style w:type="paragraph" w:styleId="940" w:customStyle="1">
    <w:name w:val="批注文字1"/>
    <w:basedOn w:val="733"/>
    <w:link w:val="941"/>
    <w:uiPriority w:val="0"/>
    <w:unhideWhenUsed/>
    <w:qFormat/>
    <w:pPr>
      <w:jc w:val="left"/>
    </w:pPr>
  </w:style>
  <w:style w:type="character" w:styleId="941" w:customStyle="1">
    <w:name w:val="批注文字 字符"/>
    <w:link w:val="940"/>
    <w:uiPriority w:val="99"/>
    <w:semiHidden/>
    <w:qFormat/>
  </w:style>
  <w:style w:type="paragraph" w:styleId="942" w:customStyle="1">
    <w:name w:val="正文文本 31"/>
    <w:basedOn w:val="733"/>
    <w:link w:val="943"/>
    <w:uiPriority w:val="0"/>
    <w:qFormat/>
    <w:rPr>
      <w:rFonts w:ascii="仿宋_GB2312" w:hAnsi="Arial" w:eastAsia="仿宋_GB2312" w:cs="Times New Roman"/>
      <w:sz w:val="32"/>
      <w:szCs w:val="32"/>
    </w:rPr>
  </w:style>
  <w:style w:type="character" w:styleId="943" w:customStyle="1">
    <w:name w:val="正文文本 3 字符"/>
    <w:link w:val="942"/>
    <w:uiPriority w:val="0"/>
    <w:qFormat/>
    <w:rPr>
      <w:rFonts w:ascii="仿宋_GB2312" w:hAnsi="Arial" w:eastAsia="仿宋_GB2312" w:cs="Times New Roman"/>
      <w:sz w:val="32"/>
      <w:szCs w:val="32"/>
    </w:rPr>
  </w:style>
  <w:style w:type="paragraph" w:styleId="944" w:customStyle="1">
    <w:name w:val="正文文本1"/>
    <w:basedOn w:val="733"/>
    <w:next w:val="945"/>
    <w:link w:val="948"/>
    <w:uiPriority w:val="0"/>
    <w:rPr>
      <w:rFonts w:ascii="楷体_GB2312" w:hAnsi="Arial" w:eastAsia="楷体_GB2312" w:cs="Times New Roman"/>
      <w:sz w:val="28"/>
      <w:szCs w:val="28"/>
    </w:rPr>
  </w:style>
  <w:style w:type="paragraph" w:styleId="945" w:customStyle="1">
    <w:name w:val="一级条标题"/>
    <w:basedOn w:val="946"/>
    <w:next w:val="947"/>
    <w:uiPriority w:val="0"/>
    <w:qFormat/>
    <w:pPr>
      <w:numPr>
        <w:ilvl w:val="1"/>
        <w:numId w:val="3"/>
      </w:numPr>
      <w:tabs>
        <w:tab w:val="left" w:pos="810" w:leader="none"/>
        <w:tab w:val="left" w:pos="1265" w:leader="none"/>
      </w:tabs>
      <w:outlineLvl w:val="2"/>
    </w:pPr>
    <w:rPr>
      <w:rFonts w:hAnsi="Times New Roman" w:cs="Times New Roman"/>
      <w:szCs w:val="21"/>
    </w:rPr>
  </w:style>
  <w:style w:type="paragraph" w:styleId="946" w:customStyle="1">
    <w:name w:val="章标题"/>
    <w:next w:val="73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47" w:customStyle="1">
    <w:name w:val="段"/>
    <w:basedOn w:val="733"/>
    <w:next w:val="733"/>
    <w:uiPriority w:val="0"/>
    <w:qFormat/>
    <w:pPr>
      <w:ind w:firstLine="200"/>
      <w:widowControl/>
    </w:pPr>
    <w:rPr>
      <w:rFonts w:hint="eastAsia" w:ascii="宋体"/>
      <w:szCs w:val="20"/>
    </w:rPr>
  </w:style>
  <w:style w:type="character" w:styleId="948" w:customStyle="1">
    <w:name w:val="正文文本 字符"/>
    <w:link w:val="944"/>
    <w:uiPriority w:val="0"/>
    <w:rPr>
      <w:rFonts w:ascii="楷体_GB2312" w:hAnsi="Arial" w:eastAsia="楷体_GB2312" w:cs="Times New Roman"/>
      <w:sz w:val="28"/>
      <w:szCs w:val="28"/>
    </w:rPr>
  </w:style>
  <w:style w:type="paragraph" w:styleId="949" w:customStyle="1">
    <w:name w:val="正文文本缩进1"/>
    <w:basedOn w:val="733"/>
    <w:link w:val="950"/>
    <w:uiPriority w:val="0"/>
    <w:unhideWhenUsed/>
    <w:qFormat/>
    <w:pPr>
      <w:ind w:left="420"/>
      <w:spacing w:after="120"/>
    </w:pPr>
  </w:style>
  <w:style w:type="character" w:styleId="950" w:customStyle="1">
    <w:name w:val="正文文本缩进 字符"/>
    <w:link w:val="949"/>
    <w:uiPriority w:val="99"/>
    <w:semiHidden/>
    <w:qFormat/>
  </w:style>
  <w:style w:type="paragraph" w:styleId="951" w:customStyle="1">
    <w:name w:val="列表 21"/>
    <w:basedOn w:val="733"/>
    <w:uiPriority w:val="0"/>
    <w:qFormat/>
    <w:pPr>
      <w:ind w:left="100" w:hanging="200"/>
    </w:pPr>
    <w:rPr>
      <w:rFonts w:ascii="Times New Roman" w:hAnsi="Times New Roman" w:eastAsia="宋体" w:cs="Times New Roman"/>
      <w:szCs w:val="21"/>
    </w:rPr>
  </w:style>
  <w:style w:type="paragraph" w:styleId="952" w:customStyle="1">
    <w:name w:val="目录 51"/>
    <w:basedOn w:val="733"/>
    <w:next w:val="733"/>
    <w:uiPriority w:val="0"/>
    <w:semiHidden/>
    <w:qFormat/>
    <w:pPr>
      <w:ind w:left="840"/>
      <w:jc w:val="left"/>
    </w:pPr>
    <w:rPr>
      <w:rFonts w:ascii="Times New Roman" w:hAnsi="Times New Roman" w:eastAsia="宋体" w:cs="Times New Roman"/>
      <w:szCs w:val="21"/>
    </w:rPr>
  </w:style>
  <w:style w:type="paragraph" w:styleId="953" w:customStyle="1">
    <w:name w:val="目录 31"/>
    <w:basedOn w:val="733"/>
    <w:next w:val="733"/>
    <w:uiPriority w:val="0"/>
    <w:semiHidden/>
    <w:pPr>
      <w:ind w:left="420"/>
      <w:jc w:val="left"/>
    </w:pPr>
    <w:rPr>
      <w:rFonts w:ascii="Times New Roman" w:hAnsi="Times New Roman" w:eastAsia="宋体" w:cs="Times New Roman"/>
      <w:i/>
      <w:iCs/>
      <w:szCs w:val="24"/>
    </w:rPr>
  </w:style>
  <w:style w:type="paragraph" w:styleId="954" w:customStyle="1">
    <w:name w:val="纯文本1"/>
    <w:basedOn w:val="733"/>
    <w:link w:val="955"/>
    <w:uiPriority w:val="0"/>
    <w:rPr>
      <w:rFonts w:ascii="宋体" w:hAnsi="Courier New" w:eastAsia="宋体" w:cs="Courier New"/>
      <w:szCs w:val="21"/>
    </w:rPr>
  </w:style>
  <w:style w:type="character" w:styleId="955" w:customStyle="1">
    <w:name w:val="纯文本 字符"/>
    <w:link w:val="954"/>
    <w:uiPriority w:val="0"/>
    <w:rPr>
      <w:rFonts w:ascii="宋体" w:hAnsi="Courier New" w:eastAsia="宋体" w:cs="Courier New"/>
      <w:szCs w:val="21"/>
    </w:rPr>
  </w:style>
  <w:style w:type="paragraph" w:styleId="956" w:customStyle="1">
    <w:name w:val="目录 81"/>
    <w:basedOn w:val="733"/>
    <w:next w:val="733"/>
    <w:uiPriority w:val="0"/>
    <w:semiHidden/>
    <w:qFormat/>
    <w:pPr>
      <w:ind w:left="1470"/>
      <w:jc w:val="left"/>
    </w:pPr>
    <w:rPr>
      <w:rFonts w:ascii="Times New Roman" w:hAnsi="Times New Roman" w:eastAsia="宋体" w:cs="Times New Roman"/>
      <w:szCs w:val="21"/>
    </w:rPr>
  </w:style>
  <w:style w:type="paragraph" w:styleId="957" w:customStyle="1">
    <w:name w:val="日期1"/>
    <w:basedOn w:val="733"/>
    <w:next w:val="733"/>
    <w:link w:val="958"/>
    <w:uiPriority w:val="0"/>
    <w:qFormat/>
    <w:rPr>
      <w:rFonts w:ascii="Times New Roman" w:hAnsi="Times New Roman" w:eastAsia="宋体" w:cs="Times New Roman"/>
      <w:sz w:val="24"/>
      <w:szCs w:val="24"/>
    </w:rPr>
  </w:style>
  <w:style w:type="character" w:styleId="958" w:customStyle="1">
    <w:name w:val="日期 字符"/>
    <w:link w:val="957"/>
    <w:uiPriority w:val="0"/>
    <w:rPr>
      <w:rFonts w:ascii="Times New Roman" w:hAnsi="Times New Roman" w:eastAsia="宋体" w:cs="Times New Roman"/>
      <w:sz w:val="24"/>
      <w:szCs w:val="24"/>
    </w:rPr>
  </w:style>
  <w:style w:type="paragraph" w:styleId="959" w:customStyle="1">
    <w:name w:val="正文文本缩进 21"/>
    <w:basedOn w:val="733"/>
    <w:link w:val="960"/>
    <w:uiPriority w:val="0"/>
    <w:qFormat/>
    <w:pPr>
      <w:ind w:left="630" w:firstLine="645"/>
    </w:pPr>
    <w:rPr>
      <w:rFonts w:ascii="Arial" w:hAnsi="Arial" w:eastAsia="仿宋_GB2312" w:cs="Arial"/>
      <w:sz w:val="32"/>
      <w:szCs w:val="32"/>
    </w:rPr>
  </w:style>
  <w:style w:type="character" w:styleId="960" w:customStyle="1">
    <w:name w:val="正文文本缩进 2 字符"/>
    <w:link w:val="959"/>
    <w:uiPriority w:val="0"/>
    <w:qFormat/>
    <w:rPr>
      <w:rFonts w:ascii="Arial" w:hAnsi="Arial" w:eastAsia="仿宋_GB2312" w:cs="Arial"/>
      <w:sz w:val="32"/>
      <w:szCs w:val="32"/>
    </w:rPr>
  </w:style>
  <w:style w:type="paragraph" w:styleId="961" w:customStyle="1">
    <w:name w:val="批注框文本1"/>
    <w:basedOn w:val="733"/>
    <w:link w:val="962"/>
    <w:uiPriority w:val="0"/>
    <w:semiHidden/>
    <w:qFormat/>
    <w:rPr>
      <w:rFonts w:ascii="Times New Roman" w:hAnsi="Times New Roman" w:eastAsia="宋体" w:cs="Times New Roman"/>
      <w:sz w:val="18"/>
      <w:szCs w:val="18"/>
    </w:rPr>
  </w:style>
  <w:style w:type="character" w:styleId="962" w:customStyle="1">
    <w:name w:val="批注框文本 字符"/>
    <w:link w:val="961"/>
    <w:uiPriority w:val="0"/>
    <w:semiHidden/>
    <w:qFormat/>
    <w:rPr>
      <w:rFonts w:ascii="Times New Roman" w:hAnsi="Times New Roman" w:eastAsia="宋体" w:cs="Times New Roman"/>
      <w:sz w:val="18"/>
      <w:szCs w:val="18"/>
    </w:rPr>
  </w:style>
  <w:style w:type="paragraph" w:styleId="963" w:customStyle="1">
    <w:name w:val="页脚1"/>
    <w:basedOn w:val="733"/>
    <w:link w:val="964"/>
    <w:uiPriority w:val="0"/>
    <w:pPr>
      <w:jc w:val="left"/>
      <w:tabs>
        <w:tab w:val="center" w:pos="4153" w:leader="none"/>
        <w:tab w:val="right" w:pos="8306" w:leader="none"/>
      </w:tabs>
    </w:pPr>
    <w:rPr>
      <w:rFonts w:ascii="Times New Roman" w:hAnsi="Times New Roman" w:eastAsia="宋体" w:cs="Times New Roman"/>
      <w:sz w:val="18"/>
      <w:szCs w:val="18"/>
    </w:rPr>
  </w:style>
  <w:style w:type="character" w:styleId="964" w:customStyle="1">
    <w:name w:val="页脚 字符"/>
    <w:link w:val="963"/>
    <w:uiPriority w:val="0"/>
    <w:rPr>
      <w:rFonts w:ascii="Times New Roman" w:hAnsi="Times New Roman" w:eastAsia="宋体" w:cs="Times New Roman"/>
      <w:sz w:val="18"/>
      <w:szCs w:val="18"/>
    </w:rPr>
  </w:style>
  <w:style w:type="paragraph" w:styleId="965" w:customStyle="1">
    <w:name w:val="页眉1"/>
    <w:basedOn w:val="733"/>
    <w:link w:val="966"/>
    <w:uiPriority w:val="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66" w:customStyle="1">
    <w:name w:val="页眉 字符"/>
    <w:link w:val="965"/>
    <w:uiPriority w:val="0"/>
    <w:rPr>
      <w:rFonts w:ascii="Times New Roman" w:hAnsi="Times New Roman" w:eastAsia="宋体" w:cs="Times New Roman"/>
      <w:sz w:val="18"/>
      <w:szCs w:val="18"/>
    </w:rPr>
  </w:style>
  <w:style w:type="paragraph" w:styleId="967" w:customStyle="1">
    <w:name w:val="目录 11"/>
    <w:basedOn w:val="733"/>
    <w:next w:val="733"/>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8" w:customStyle="1">
    <w:name w:val="目录 41"/>
    <w:basedOn w:val="733"/>
    <w:next w:val="733"/>
    <w:uiPriority w:val="0"/>
    <w:semiHidden/>
    <w:pPr>
      <w:ind w:left="630"/>
      <w:jc w:val="left"/>
    </w:pPr>
    <w:rPr>
      <w:rFonts w:ascii="Times New Roman" w:hAnsi="Times New Roman" w:eastAsia="宋体" w:cs="Times New Roman"/>
      <w:szCs w:val="21"/>
    </w:rPr>
  </w:style>
  <w:style w:type="paragraph" w:styleId="969" w:customStyle="1">
    <w:name w:val="列表1"/>
    <w:basedOn w:val="733"/>
    <w:uiPriority w:val="0"/>
    <w:qFormat/>
    <w:pPr>
      <w:ind w:left="200" w:hanging="200"/>
    </w:pPr>
    <w:rPr>
      <w:rFonts w:ascii="Times New Roman" w:hAnsi="Times New Roman" w:eastAsia="宋体" w:cs="Times New Roman"/>
      <w:szCs w:val="21"/>
    </w:rPr>
  </w:style>
  <w:style w:type="paragraph" w:styleId="970" w:customStyle="1">
    <w:name w:val="目录 61"/>
    <w:basedOn w:val="733"/>
    <w:next w:val="733"/>
    <w:uiPriority w:val="0"/>
    <w:semiHidden/>
    <w:pPr>
      <w:ind w:left="1050"/>
      <w:jc w:val="left"/>
    </w:pPr>
    <w:rPr>
      <w:rFonts w:ascii="Times New Roman" w:hAnsi="Times New Roman" w:eastAsia="宋体" w:cs="Times New Roman"/>
      <w:szCs w:val="21"/>
    </w:rPr>
  </w:style>
  <w:style w:type="paragraph" w:styleId="971" w:customStyle="1">
    <w:name w:val="正文文本缩进 31"/>
    <w:basedOn w:val="733"/>
    <w:link w:val="972"/>
    <w:uiPriority w:val="0"/>
    <w:qFormat/>
    <w:pPr>
      <w:ind w:left="645" w:firstLine="645"/>
    </w:pPr>
    <w:rPr>
      <w:rFonts w:ascii="Arial" w:hAnsi="Arial" w:eastAsia="仿宋_GB2312" w:cs="Arial"/>
      <w:color w:val="ffff00"/>
      <w:sz w:val="32"/>
      <w:szCs w:val="32"/>
    </w:rPr>
  </w:style>
  <w:style w:type="character" w:styleId="972" w:customStyle="1">
    <w:name w:val="正文文本缩进 3 字符"/>
    <w:link w:val="971"/>
    <w:uiPriority w:val="0"/>
    <w:qFormat/>
    <w:rPr>
      <w:rFonts w:ascii="Arial" w:hAnsi="Arial" w:eastAsia="仿宋_GB2312" w:cs="Arial"/>
      <w:color w:val="ffff00"/>
      <w:sz w:val="32"/>
      <w:szCs w:val="32"/>
    </w:rPr>
  </w:style>
  <w:style w:type="paragraph" w:styleId="973" w:customStyle="1">
    <w:name w:val="图表目录1"/>
    <w:basedOn w:val="733"/>
    <w:next w:val="733"/>
    <w:uiPriority w:val="0"/>
    <w:semiHidden/>
    <w:pPr>
      <w:ind w:left="840" w:hanging="420"/>
    </w:pPr>
    <w:rPr>
      <w:rFonts w:ascii="Times New Roman" w:hAnsi="Times New Roman" w:eastAsia="宋体" w:cs="Times New Roman"/>
      <w:szCs w:val="21"/>
    </w:rPr>
  </w:style>
  <w:style w:type="paragraph" w:styleId="974" w:customStyle="1">
    <w:name w:val="目录 21"/>
    <w:basedOn w:val="733"/>
    <w:next w:val="733"/>
    <w:uiPriority w:val="0"/>
    <w:semiHidden/>
    <w:qFormat/>
    <w:pPr>
      <w:ind w:left="210"/>
      <w:jc w:val="left"/>
    </w:pPr>
    <w:rPr>
      <w:rFonts w:ascii="Times New Roman" w:hAnsi="Times New Roman" w:eastAsia="宋体" w:cs="Times New Roman"/>
      <w:smallCaps/>
      <w:szCs w:val="24"/>
    </w:rPr>
  </w:style>
  <w:style w:type="paragraph" w:styleId="975" w:customStyle="1">
    <w:name w:val="目录 91"/>
    <w:basedOn w:val="733"/>
    <w:next w:val="733"/>
    <w:uiPriority w:val="0"/>
    <w:semiHidden/>
    <w:qFormat/>
    <w:pPr>
      <w:ind w:left="1680"/>
      <w:jc w:val="left"/>
    </w:pPr>
    <w:rPr>
      <w:rFonts w:ascii="Times New Roman" w:hAnsi="Times New Roman" w:eastAsia="宋体" w:cs="Times New Roman"/>
      <w:szCs w:val="21"/>
    </w:rPr>
  </w:style>
  <w:style w:type="paragraph" w:styleId="976" w:customStyle="1">
    <w:name w:val="正文文本 21"/>
    <w:basedOn w:val="733"/>
    <w:link w:val="977"/>
    <w:uiPriority w:val="0"/>
    <w:qFormat/>
    <w:pPr>
      <w:jc w:val="center"/>
      <w:widowControl/>
    </w:pPr>
    <w:rPr>
      <w:rFonts w:ascii="楷体_GB2312" w:hAnsi="Times New Roman" w:eastAsia="楷体_GB2312" w:cs="Times New Roman"/>
      <w:sz w:val="28"/>
      <w:szCs w:val="28"/>
    </w:rPr>
  </w:style>
  <w:style w:type="character" w:styleId="977" w:customStyle="1">
    <w:name w:val="正文文本 2 字符"/>
    <w:link w:val="976"/>
    <w:uiPriority w:val="0"/>
    <w:rPr>
      <w:rFonts w:ascii="楷体_GB2312" w:hAnsi="Times New Roman" w:eastAsia="楷体_GB2312" w:cs="Times New Roman"/>
      <w:sz w:val="28"/>
      <w:szCs w:val="28"/>
    </w:rPr>
  </w:style>
  <w:style w:type="paragraph" w:styleId="978" w:customStyle="1">
    <w:name w:val="普通(网站)1"/>
    <w:basedOn w:val="733"/>
    <w:uiPriority w:val="99"/>
    <w:qFormat/>
    <w:pPr>
      <w:jc w:val="left"/>
      <w:spacing w:before="100" w:beforeAutospacing="1" w:after="100" w:afterAutospacing="1"/>
      <w:widowControl/>
    </w:pPr>
    <w:rPr>
      <w:rFonts w:ascii="宋体" w:hAnsi="宋体" w:eastAsia="宋体" w:cs="宋体"/>
      <w:sz w:val="24"/>
      <w:szCs w:val="24"/>
    </w:rPr>
  </w:style>
  <w:style w:type="paragraph" w:styleId="979" w:customStyle="1">
    <w:name w:val="索引 11"/>
    <w:basedOn w:val="733"/>
    <w:next w:val="733"/>
    <w:uiPriority w:val="0"/>
    <w:semiHidden/>
    <w:qFormat/>
    <w:pPr>
      <w:spacing w:line="240" w:lineRule="atLeast"/>
    </w:pPr>
    <w:rPr>
      <w:rFonts w:ascii="Times New Roman" w:hAnsi="Times New Roman" w:eastAsia="宋体" w:cs="Times New Roman"/>
      <w:b/>
      <w:bCs/>
      <w:szCs w:val="21"/>
    </w:rPr>
  </w:style>
  <w:style w:type="paragraph" w:styleId="980" w:customStyle="1">
    <w:name w:val="批注主题1"/>
    <w:basedOn w:val="940"/>
    <w:next w:val="940"/>
    <w:link w:val="981"/>
    <w:uiPriority w:val="0"/>
    <w:semiHidden/>
    <w:qFormat/>
    <w:rPr>
      <w:rFonts w:ascii="Times New Roman" w:hAnsi="Times New Roman" w:eastAsia="宋体" w:cs="Times New Roman"/>
      <w:b/>
      <w:bCs/>
      <w:szCs w:val="21"/>
    </w:rPr>
  </w:style>
  <w:style w:type="character" w:styleId="981" w:customStyle="1">
    <w:name w:val="批注主题 字符"/>
    <w:link w:val="980"/>
    <w:uiPriority w:val="0"/>
    <w:semiHidden/>
    <w:qFormat/>
    <w:rPr>
      <w:rFonts w:ascii="Times New Roman" w:hAnsi="Times New Roman" w:eastAsia="宋体" w:cs="Times New Roman"/>
      <w:b/>
      <w:bCs/>
      <w:szCs w:val="21"/>
    </w:rPr>
  </w:style>
  <w:style w:type="paragraph" w:styleId="982" w:customStyle="1">
    <w:name w:val="正文首行缩进1"/>
    <w:basedOn w:val="733"/>
    <w:link w:val="983"/>
    <w:uiPriority w:val="0"/>
    <w:qFormat/>
    <w:pPr>
      <w:ind w:firstLine="200"/>
      <w:spacing w:line="360" w:lineRule="auto"/>
    </w:pPr>
    <w:rPr>
      <w:rFonts w:ascii="仿宋_GB2312" w:hAnsi="Times New Roman" w:eastAsia="仿宋_GB2312" w:cs="Times New Roman"/>
      <w:sz w:val="30"/>
      <w:szCs w:val="30"/>
    </w:rPr>
  </w:style>
  <w:style w:type="character" w:styleId="983" w:customStyle="1">
    <w:name w:val="正文文本首行缩进 字符"/>
    <w:link w:val="982"/>
    <w:uiPriority w:val="0"/>
    <w:rPr>
      <w:rFonts w:ascii="仿宋_GB2312" w:hAnsi="Times New Roman" w:eastAsia="仿宋_GB2312" w:cs="Times New Roman"/>
      <w:sz w:val="30"/>
      <w:szCs w:val="30"/>
    </w:rPr>
  </w:style>
  <w:style w:type="paragraph" w:styleId="984" w:customStyle="1">
    <w:name w:val="正文首行缩进 21"/>
    <w:basedOn w:val="949"/>
    <w:link w:val="985"/>
    <w:uiPriority w:val="0"/>
    <w:qFormat/>
    <w:pPr>
      <w:ind w:left="0" w:firstLine="420"/>
      <w:spacing w:after="0" w:line="360" w:lineRule="auto"/>
    </w:pPr>
    <w:rPr>
      <w:rFonts w:ascii="宋体" w:hAnsi="宋体" w:eastAsia="宋体" w:cs="Times New Roman"/>
      <w:szCs w:val="20"/>
    </w:rPr>
  </w:style>
  <w:style w:type="character" w:styleId="985" w:customStyle="1">
    <w:name w:val="正文文本首行缩进 2 字符"/>
    <w:link w:val="984"/>
    <w:uiPriority w:val="0"/>
    <w:qFormat/>
    <w:rPr>
      <w:rFonts w:ascii="宋体" w:hAnsi="宋体" w:eastAsia="宋体" w:cs="Times New Roman"/>
      <w:szCs w:val="20"/>
    </w:rPr>
  </w:style>
  <w:style w:type="table" w:styleId="986" w:customStyle="1">
    <w:name w:val="网格型1"/>
    <w:basedOn w:val="925"/>
    <w:uiPriority w:val="59"/>
    <w:pPr>
      <w:jc w:val="both"/>
      <w:widowControl w:val="off"/>
    </w:pPr>
    <w:rPr>
      <w:rFonts w:ascii="Times New Roman" w:hAnsi="Times New Roman" w:eastAsia="宋体" w:cs="Times New Roman"/>
      <w:sz w:val="20"/>
      <w:szCs w:val="20"/>
    </w:rPr>
    <w:tblPr/>
  </w:style>
  <w:style w:type="character" w:styleId="987" w:customStyle="1">
    <w:name w:val="要点1"/>
    <w:link w:val="733"/>
    <w:uiPriority w:val="0"/>
    <w:qFormat/>
    <w:rPr>
      <w:b/>
      <w:bCs/>
    </w:rPr>
  </w:style>
  <w:style w:type="character" w:styleId="988" w:customStyle="1">
    <w:name w:val="页码1"/>
    <w:link w:val="733"/>
    <w:uiPriority w:val="0"/>
    <w:qFormat/>
  </w:style>
  <w:style w:type="character" w:styleId="989" w:customStyle="1">
    <w:name w:val="已访问的超链接1"/>
    <w:link w:val="733"/>
    <w:uiPriority w:val="0"/>
    <w:qFormat/>
    <w:rPr>
      <w:color w:val="800080"/>
      <w:u w:val="single"/>
    </w:rPr>
  </w:style>
  <w:style w:type="character" w:styleId="990" w:customStyle="1">
    <w:name w:val="强调1"/>
    <w:link w:val="733"/>
    <w:uiPriority w:val="0"/>
    <w:qFormat/>
    <w:rPr>
      <w:i/>
    </w:rPr>
  </w:style>
  <w:style w:type="character" w:styleId="991" w:customStyle="1">
    <w:name w:val="超链接1"/>
    <w:link w:val="733"/>
    <w:uiPriority w:val="0"/>
    <w:rPr>
      <w:color w:val="0000ff"/>
      <w:u w:val="single"/>
    </w:rPr>
  </w:style>
  <w:style w:type="character" w:styleId="992" w:customStyle="1">
    <w:name w:val="批注引用1"/>
    <w:link w:val="733"/>
    <w:uiPriority w:val="0"/>
    <w:semiHidden/>
    <w:rPr>
      <w:sz w:val="21"/>
      <w:szCs w:val="21"/>
    </w:rPr>
  </w:style>
  <w:style w:type="paragraph" w:styleId="993" w:customStyle="1">
    <w:name w:val="标题 31"/>
    <w:basedOn w:val="733"/>
    <w:next w:val="733"/>
    <w:uiPriority w:val="0"/>
    <w:qFormat/>
    <w:pPr>
      <w:ind w:firstLine="1687"/>
      <w:keepLines/>
      <w:keepNext/>
      <w:spacing w:before="100" w:line="240" w:lineRule="auto"/>
      <w:outlineLvl w:val="2"/>
    </w:pPr>
    <w:rPr>
      <w:rFonts w:ascii="Times New Roman" w:hAnsi="Times New Roman" w:eastAsia="宋体" w:cs="Times New Roman"/>
      <w:b/>
      <w:bCs/>
      <w:sz w:val="30"/>
      <w:szCs w:val="32"/>
    </w:rPr>
  </w:style>
  <w:style w:type="character" w:styleId="994" w:customStyle="1">
    <w:name w:val="font5 Char"/>
    <w:link w:val="733"/>
    <w:uiPriority w:val="0"/>
    <w:qFormat/>
    <w:rPr>
      <w:rFonts w:ascii="宋体" w:hAnsi="宋体" w:eastAsia="宋体"/>
      <w:sz w:val="28"/>
      <w:szCs w:val="28"/>
      <w:lang w:val="en-US" w:eastAsia="zh-CN" w:bidi="ar-SA"/>
    </w:rPr>
  </w:style>
  <w:style w:type="character" w:styleId="995" w:customStyle="1">
    <w:name w:val="二级目录 Char"/>
    <w:link w:val="996"/>
    <w:uiPriority w:val="0"/>
    <w:qFormat/>
    <w:rPr>
      <w:b/>
      <w:sz w:val="30"/>
      <w:szCs w:val="28"/>
    </w:rPr>
  </w:style>
  <w:style w:type="paragraph" w:styleId="996" w:customStyle="1">
    <w:name w:val="二级目录"/>
    <w:next w:val="733"/>
    <w:link w:val="995"/>
    <w:uiPriority w:val="0"/>
    <w:pPr>
      <w:numPr>
        <w:ilvl w:val="0"/>
        <w:numId w:val="4"/>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7" w:customStyle="1">
    <w:name w:val="列出段落 Char"/>
    <w:link w:val="998"/>
    <w:uiPriority w:val="0"/>
    <w:qFormat/>
    <w:rPr>
      <w:rFonts w:ascii="Calibri" w:hAnsi="Calibri"/>
      <w:sz w:val="24"/>
      <w:szCs w:val="24"/>
      <w:lang w:eastAsia="en-US" w:bidi="en-US"/>
    </w:rPr>
  </w:style>
  <w:style w:type="paragraph" w:styleId="998" w:customStyle="1">
    <w:name w:val="列出段落1"/>
    <w:basedOn w:val="733"/>
    <w:link w:val="997"/>
    <w:uiPriority w:val="0"/>
    <w:qFormat/>
    <w:pPr>
      <w:contextualSpacing/>
      <w:ind w:left="720"/>
      <w:jc w:val="left"/>
      <w:widowControl/>
    </w:pPr>
    <w:rPr>
      <w:rFonts w:ascii="Calibri" w:hAnsi="Calibri"/>
      <w:sz w:val="24"/>
      <w:szCs w:val="24"/>
      <w:lang w:eastAsia="en-US" w:bidi="en-US"/>
    </w:rPr>
  </w:style>
  <w:style w:type="paragraph" w:styleId="999" w:customStyle="1">
    <w:name w:val="Body Text(ch)"/>
    <w:basedOn w:val="733"/>
    <w:next w:val="944"/>
    <w:uiPriority w:val="0"/>
    <w:qFormat/>
    <w:pPr>
      <w:spacing w:after="120"/>
    </w:pPr>
    <w:rPr>
      <w:rFonts w:ascii="宋体" w:hAnsi="Arial" w:eastAsia="宋体" w:cs="Times New Roman"/>
      <w:bCs/>
      <w:iCs/>
      <w:szCs w:val="24"/>
    </w:rPr>
  </w:style>
  <w:style w:type="paragraph" w:styleId="1000" w:customStyle="1">
    <w:name w:val="xl27"/>
    <w:basedOn w:val="73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1" w:customStyle="1">
    <w:name w:val="xl26"/>
    <w:basedOn w:val="73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customStyle="1">
    <w:name w:val="Char"/>
    <w:basedOn w:val="733"/>
    <w:uiPriority w:val="0"/>
    <w:pPr>
      <w:ind w:firstLine="200"/>
      <w:tabs>
        <w:tab w:val="left" w:pos="360" w:leader="none"/>
      </w:tabs>
    </w:pPr>
    <w:rPr>
      <w:rFonts w:ascii="Times New Roman" w:hAnsi="Times New Roman" w:eastAsia="宋体" w:cs="Times New Roman"/>
      <w:sz w:val="28"/>
      <w:szCs w:val="30"/>
    </w:rPr>
  </w:style>
  <w:style w:type="paragraph" w:styleId="1003" w:customStyle="1">
    <w:name w:val=" Char"/>
    <w:basedOn w:val="938"/>
    <w:uiPriority w:val="0"/>
    <w:qFormat/>
    <w:rPr>
      <w:rFonts w:ascii="Tahoma" w:hAnsi="Tahoma"/>
      <w:sz w:val="24"/>
      <w:szCs w:val="24"/>
    </w:rPr>
  </w:style>
  <w:style w:type="paragraph" w:styleId="1004" w:customStyle="1">
    <w:name w:val="普通正文"/>
    <w:basedOn w:val="733"/>
    <w:uiPriority w:val="0"/>
    <w:qFormat/>
    <w:pPr>
      <w:ind w:firstLine="480"/>
      <w:jc w:val="left"/>
      <w:spacing w:before="120" w:after="120" w:line="360" w:lineRule="auto"/>
    </w:pPr>
    <w:rPr>
      <w:rFonts w:ascii="Arial" w:hAnsi="Arial" w:eastAsia="宋体" w:cs="Times New Roman"/>
      <w:sz w:val="24"/>
      <w:szCs w:val="24"/>
    </w:rPr>
  </w:style>
  <w:style w:type="paragraph" w:styleId="1005" w:customStyle="1">
    <w:name w:val="table_lines"/>
    <w:basedOn w:val="733"/>
    <w:uiPriority w:val="0"/>
    <w:qFormat/>
    <w:pPr>
      <w:jc w:val="left"/>
      <w:widowControl/>
    </w:pPr>
    <w:rPr>
      <w:rFonts w:ascii="Times New Roman" w:hAnsi="Times New Roman" w:eastAsia="宋体" w:cs="Times New Roman"/>
      <w:sz w:val="20"/>
      <w:szCs w:val="20"/>
      <w:lang w:val="de-DE" w:eastAsia="de-DE"/>
    </w:rPr>
  </w:style>
  <w:style w:type="paragraph" w:styleId="1006" w:customStyle="1">
    <w:name w:val="附录1"/>
    <w:uiPriority w:val="0"/>
    <w:pPr>
      <w:numPr>
        <w:ilvl w:val="0"/>
        <w:numId w:val="4"/>
      </w:numPr>
      <w:spacing w:before="240" w:line="600" w:lineRule="atLeast"/>
    </w:pPr>
    <w:rPr>
      <w:rFonts w:hint="default" w:ascii="Times New Roman" w:hAnsi="Times New Roman" w:eastAsia="宋体" w:cs="Times New Roman"/>
      <w:b/>
      <w:i/>
      <w:sz w:val="28"/>
      <w:lang w:val="en-US" w:eastAsia="zh-CN" w:bidi="ar-SA"/>
    </w:rPr>
  </w:style>
  <w:style w:type="paragraph" w:styleId="1007" w:customStyle="1">
    <w:name w:val="font7"/>
    <w:basedOn w:val="733"/>
    <w:uiPriority w:val="0"/>
    <w:pPr>
      <w:jc w:val="left"/>
      <w:spacing w:before="100" w:beforeAutospacing="1" w:after="100" w:afterAutospacing="1"/>
      <w:widowControl/>
    </w:pPr>
    <w:rPr>
      <w:rFonts w:hint="eastAsia" w:ascii="宋体" w:hAnsi="宋体" w:eastAsia="宋体" w:cs="Times New Roman"/>
      <w:sz w:val="18"/>
      <w:szCs w:val="18"/>
    </w:rPr>
  </w:style>
  <w:style w:type="paragraph" w:styleId="1008" w:customStyle="1">
    <w:name w:val=" Char Char Char Char"/>
    <w:basedOn w:val="938"/>
    <w:uiPriority w:val="0"/>
    <w:pPr>
      <w:spacing w:line="360" w:lineRule="auto"/>
    </w:pPr>
    <w:rPr>
      <w:rFonts w:ascii="Tahoma" w:hAnsi="Tahoma"/>
      <w:sz w:val="24"/>
      <w:szCs w:val="24"/>
    </w:rPr>
  </w:style>
  <w:style w:type="paragraph" w:styleId="1009" w:customStyle="1">
    <w:name w:val="列表段落"/>
    <w:basedOn w:val="733"/>
    <w:uiPriority w:val="34"/>
    <w:qFormat/>
    <w:pPr>
      <w:contextualSpacing/>
      <w:ind w:left="720"/>
      <w:jc w:val="left"/>
      <w:widowControl/>
    </w:pPr>
    <w:rPr>
      <w:rFonts w:ascii="Calibri" w:hAnsi="Calibri" w:eastAsia="宋体" w:cs="Times New Roman"/>
      <w:sz w:val="24"/>
      <w:szCs w:val="24"/>
      <w:lang w:eastAsia="en-US" w:bidi="en-US"/>
    </w:rPr>
  </w:style>
  <w:style w:type="paragraph" w:styleId="1010" w:customStyle="1">
    <w:name w:val="4"/>
    <w:basedOn w:val="733"/>
    <w:next w:val="971"/>
    <w:uiPriority w:val="0"/>
    <w:pPr>
      <w:ind w:firstLine="420"/>
      <w:spacing w:line="360" w:lineRule="auto"/>
    </w:pPr>
    <w:rPr>
      <w:rFonts w:ascii="Times New Roman" w:hAnsi="Times New Roman" w:eastAsia="宋体" w:cs="Times New Roman"/>
      <w:color w:val="ff0000"/>
      <w:sz w:val="24"/>
      <w:szCs w:val="24"/>
    </w:rPr>
  </w:style>
  <w:style w:type="paragraph" w:styleId="1011" w:customStyle="1">
    <w:name w:val="普通 (Web)"/>
    <w:basedOn w:val="733"/>
    <w:uiPriority w:val="0"/>
    <w:pPr>
      <w:jc w:val="left"/>
      <w:spacing w:before="100" w:beforeAutospacing="1" w:after="100" w:afterAutospacing="1"/>
      <w:widowControl/>
    </w:pPr>
    <w:rPr>
      <w:rFonts w:ascii="宋体" w:hAnsi="宋体" w:eastAsia="宋体" w:cs="Times New Roman"/>
      <w:sz w:val="24"/>
      <w:szCs w:val="24"/>
    </w:rPr>
  </w:style>
  <w:style w:type="paragraph" w:styleId="1012" w:customStyle="1">
    <w:name w:val=" Char Char Char Char Char Char Char Char Char Char"/>
    <w:basedOn w:val="733"/>
    <w:uiPriority w:val="0"/>
    <w:pPr>
      <w:spacing w:line="360" w:lineRule="auto"/>
    </w:pPr>
    <w:rPr>
      <w:rFonts w:ascii="Times New Roman" w:hAnsi="Times New Roman" w:eastAsia="宋体" w:cs="Times New Roman"/>
      <w:sz w:val="24"/>
      <w:szCs w:val="20"/>
    </w:rPr>
  </w:style>
  <w:style w:type="paragraph" w:styleId="1013" w:customStyle="1">
    <w:name w:val="样式1"/>
    <w:basedOn w:val="733"/>
    <w:uiPriority w:val="0"/>
    <w:pPr>
      <w:numPr>
        <w:ilvl w:val="0"/>
        <w:numId w:val="5"/>
      </w:numPr>
    </w:pPr>
    <w:rPr>
      <w:rFonts w:ascii="宋体" w:hAnsi="宋体" w:eastAsia="宋体" w:cs="Times New Roman"/>
      <w:szCs w:val="21"/>
    </w:rPr>
  </w:style>
  <w:style w:type="paragraph" w:styleId="1014" w:customStyle="1">
    <w:name w:val="font6"/>
    <w:basedOn w:val="733"/>
    <w:uiPriority w:val="0"/>
    <w:pPr>
      <w:jc w:val="left"/>
      <w:spacing w:before="100" w:beforeAutospacing="1" w:after="100" w:afterAutospacing="1"/>
      <w:widowControl/>
    </w:pPr>
    <w:rPr>
      <w:rFonts w:hint="eastAsia" w:ascii="宋体" w:hAnsi="宋体" w:eastAsia="宋体" w:cs="Times New Roman"/>
      <w:sz w:val="28"/>
      <w:szCs w:val="28"/>
      <w:u w:val="single"/>
    </w:rPr>
  </w:style>
  <w:style w:type="paragraph" w:styleId="1015" w:customStyle="1">
    <w:name w:val="xl25"/>
    <w:basedOn w:val="733"/>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6" w:customStyle="1">
    <w:name w:val="图标"/>
    <w:basedOn w:val="733"/>
    <w:next w:val="733"/>
    <w:uiPriority w:val="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7" w:customStyle="1">
    <w:name w:val="标题3"/>
    <w:basedOn w:val="733"/>
    <w:next w:val="733"/>
    <w:uiPriority w:val="0"/>
    <w:pPr>
      <w:ind w:firstLine="624"/>
      <w:spacing w:line="590" w:lineRule="atLeast"/>
    </w:pPr>
    <w:rPr>
      <w:rFonts w:ascii="方正黑体_GBK" w:hAnsi="Times New Roman" w:eastAsia="方正黑体_GBK" w:cs="Times New Roman"/>
      <w:sz w:val="32"/>
      <w:szCs w:val="32"/>
    </w:rPr>
  </w:style>
  <w:style w:type="paragraph" w:styleId="1018" w:customStyle="1">
    <w:name w:val="xl24"/>
    <w:basedOn w:val="733"/>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9" w:customStyle="1">
    <w:name w:val="xl29"/>
    <w:basedOn w:val="733"/>
    <w:uiPriority w:val="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20" w:customStyle="1">
    <w:name w:val="Char Char Char Char Char Char Char Char"/>
    <w:basedOn w:val="733"/>
    <w:uiPriority w:val="0"/>
    <w:pPr>
      <w:jc w:val="left"/>
      <w:spacing w:after="160" w:line="240" w:lineRule="exact"/>
      <w:widowControl/>
    </w:pPr>
    <w:rPr>
      <w:rFonts w:ascii="Verdana" w:hAnsi="Verdana" w:eastAsia="宋体" w:cs="Times New Roman"/>
      <w:sz w:val="20"/>
      <w:szCs w:val="20"/>
      <w:lang w:eastAsia="en-US"/>
    </w:rPr>
  </w:style>
  <w:style w:type="paragraph" w:styleId="1021" w:customStyle="1">
    <w:name w:val="xl28"/>
    <w:basedOn w:val="733"/>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22" w:customStyle="1">
    <w:name w:val=" Char Char Char Char Char Char Char Char"/>
    <w:basedOn w:val="733"/>
    <w:uiPriority w:val="0"/>
    <w:pPr>
      <w:jc w:val="left"/>
      <w:spacing w:after="160" w:line="240" w:lineRule="exact"/>
      <w:widowControl/>
    </w:pPr>
    <w:rPr>
      <w:rFonts w:ascii="Verdana" w:hAnsi="Verdana" w:eastAsia="宋体" w:cs="Times New Roman"/>
      <w:sz w:val="20"/>
      <w:szCs w:val="20"/>
      <w:lang w:eastAsia="en-US"/>
    </w:rPr>
  </w:style>
  <w:style w:type="paragraph" w:styleId="1023" w:customStyle="1">
    <w:name w:val="xl30"/>
    <w:basedOn w:val="733"/>
    <w:uiPriority w:val="0"/>
    <w:pPr>
      <w:jc w:val="center"/>
      <w:spacing w:before="100" w:beforeAutospacing="1" w:after="100" w:afterAutospacing="1"/>
      <w:widowControl/>
    </w:pPr>
    <w:rPr>
      <w:rFonts w:ascii="宋体" w:hAnsi="宋体" w:eastAsia="宋体" w:cs="Times New Roman"/>
      <w:b/>
      <w:bCs/>
      <w:sz w:val="36"/>
      <w:szCs w:val="36"/>
    </w:rPr>
  </w:style>
  <w:style w:type="paragraph" w:styleId="1024" w:customStyle="1">
    <w:name w:val="Char Char Char Char"/>
    <w:basedOn w:val="938"/>
    <w:uiPriority w:val="0"/>
    <w:pPr>
      <w:spacing w:line="360" w:lineRule="auto"/>
    </w:pPr>
    <w:rPr>
      <w:rFonts w:ascii="Tahoma" w:hAnsi="Tahoma"/>
      <w:sz w:val="24"/>
      <w:szCs w:val="24"/>
    </w:rPr>
  </w:style>
  <w:style w:type="paragraph" w:styleId="1025" w:customStyle="1">
    <w:name w:val="table_1stline"/>
    <w:basedOn w:val="733"/>
    <w:uiPriority w:val="0"/>
    <w:pPr>
      <w:jc w:val="left"/>
      <w:spacing w:before="120"/>
      <w:widowControl/>
    </w:pPr>
    <w:rPr>
      <w:rFonts w:ascii="Times New Roman" w:hAnsi="Times New Roman" w:eastAsia="宋体" w:cs="Times New Roman"/>
      <w:bCs/>
      <w:sz w:val="20"/>
      <w:szCs w:val="20"/>
      <w:lang w:val="de-DE" w:eastAsia="de-DE"/>
    </w:rPr>
  </w:style>
  <w:style w:type="paragraph" w:styleId="1026" w:customStyle="1">
    <w:name w:val="font5"/>
    <w:basedOn w:val="733"/>
    <w:uiPriority w:val="0"/>
    <w:pPr>
      <w:jc w:val="left"/>
      <w:spacing w:before="100" w:beforeAutospacing="1" w:after="100" w:afterAutospacing="1"/>
      <w:widowControl/>
    </w:pPr>
    <w:rPr>
      <w:rFonts w:hint="eastAsia" w:ascii="宋体" w:hAnsi="宋体" w:eastAsia="宋体" w:cs="Times New Roman"/>
      <w:sz w:val="28"/>
      <w:szCs w:val="28"/>
    </w:rPr>
  </w:style>
  <w:style w:type="paragraph" w:styleId="1027" w:customStyle="1">
    <w:name w:val="标题1"/>
    <w:basedOn w:val="733"/>
    <w:next w:val="733"/>
    <w:uiPriority w:val="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8" w:customStyle="1">
    <w:name w:val="修订"/>
    <w:uiPriority w:val="99"/>
    <w:semiHidden/>
    <w:rPr>
      <w:rFonts w:hint="default" w:ascii="Times New Roman" w:hAnsi="Times New Roman" w:eastAsia="宋体" w:cs="Times New Roman"/>
      <w:sz w:val="21"/>
      <w:szCs w:val="21"/>
      <w:lang w:val="en-US" w:eastAsia="zh-CN" w:bidi="ar-SA"/>
    </w:rPr>
  </w:style>
  <w:style w:type="paragraph" w:styleId="102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0" w:customStyle="1">
    <w:name w:val="正文1"/>
    <w:uiPriority w:val="99"/>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paragraph" w:styleId="1031" w:customStyle="1">
    <w:name w:val="正文文本缩进2"/>
    <w:basedOn w:val="733"/>
    <w:uiPriority w:val="99"/>
    <w:qFormat/>
    <w:pPr>
      <w:ind w:firstLine="301"/>
      <w:spacing w:line="200" w:lineRule="exact"/>
    </w:pPr>
    <w:rPr>
      <w:rFonts w:ascii="宋体" w:hAnsi="Courier New"/>
      <w:spacing w:val="-4"/>
      <w:sz w:val="18"/>
      <w:szCs w:val="24"/>
    </w:rPr>
  </w:style>
  <w:style w:type="paragraph" w:styleId="1032" w:customStyle="1">
    <w:name w:val="正文文本11"/>
    <w:basedOn w:val="733"/>
    <w:next w:val="733"/>
    <w:uiPriority w:val="0"/>
    <w:qFormat/>
    <w:rPr>
      <w:rFonts w:ascii="楷体_GB2312" w:hAnsi="Arial" w:eastAsia="楷体_GB2312"/>
      <w:sz w:val="28"/>
      <w:szCs w:val="28"/>
    </w:rPr>
  </w:style>
  <w:style w:type="character" w:styleId="1033" w:customStyle="1">
    <w:name w:val="font31"/>
    <w:link w:val="733"/>
    <w:uiPriority w:val="0"/>
    <w:qFormat/>
    <w:rPr>
      <w:rFonts w:hint="eastAsia" w:ascii="宋体" w:hAnsi="宋体" w:eastAsia="宋体" w:cs="宋体"/>
      <w:color w:val="000000"/>
      <w:sz w:val="24"/>
      <w:szCs w:val="24"/>
      <w:u w:val="none"/>
    </w:rPr>
  </w:style>
  <w:style w:type="character" w:styleId="1034" w:customStyle="1">
    <w:name w:val="bot_zi"/>
    <w:link w:val="733"/>
    <w:uiPriority w:val="0"/>
    <w:qFormat/>
  </w:style>
  <w:style w:type="character" w:styleId="1035" w:customStyle="1">
    <w:name w:val="font21"/>
    <w:link w:val="733"/>
    <w:uiPriority w:val="0"/>
    <w:rPr>
      <w:rFonts w:hint="eastAsia" w:ascii="微软雅黑" w:hAnsi="微软雅黑" w:eastAsia="微软雅黑" w:cs="微软雅黑"/>
      <w:color w:val="000000"/>
      <w:sz w:val="21"/>
      <w:szCs w:val="21"/>
      <w:u w:val="none"/>
    </w:rPr>
  </w:style>
  <w:style w:type="character" w:styleId="1036" w:customStyle="1">
    <w:name w:val="font51"/>
    <w:link w:val="733"/>
    <w:uiPriority w:val="0"/>
    <w:rPr>
      <w:rFonts w:hint="eastAsia" w:ascii="微软雅黑" w:hAnsi="微软雅黑" w:eastAsia="微软雅黑" w:cs="微软雅黑"/>
      <w:color w:val="ff0000"/>
      <w:sz w:val="21"/>
      <w:szCs w:val="21"/>
      <w:u w:val="none"/>
    </w:rPr>
  </w:style>
  <w:style w:type="character" w:styleId="1037" w:customStyle="1">
    <w:name w:val="font41"/>
    <w:link w:val="733"/>
    <w:uiPriority w:val="0"/>
    <w:rPr>
      <w:rFonts w:hint="eastAsia" w:ascii="微软雅黑" w:hAnsi="微软雅黑" w:eastAsia="微软雅黑" w:cs="微软雅黑"/>
      <w:color w:val="000000"/>
      <w:sz w:val="21"/>
      <w:szCs w:val="21"/>
      <w:u w:val="none"/>
    </w:rPr>
  </w:style>
  <w:style w:type="character" w:styleId="1038" w:customStyle="1">
    <w:name w:val="font11"/>
    <w:link w:val="733"/>
    <w:uiPriority w:val="0"/>
    <w:rPr>
      <w:rFonts w:hint="eastAsia" w:ascii="幼圆" w:hAnsi="幼圆" w:eastAsia="幼圆" w:cs="幼圆"/>
      <w:b/>
      <w:bCs/>
      <w:color w:val="000000"/>
      <w:sz w:val="24"/>
      <w:szCs w:val="24"/>
      <w:u w:val="none"/>
    </w:rPr>
  </w:style>
  <w:style w:type="paragraph" w:styleId="1039" w:customStyle="1">
    <w:name w:val="Default"/>
    <w:next w:val="733"/>
    <w:uiPriority w:val="0"/>
    <w:qFormat/>
    <w:pPr>
      <w:widowControl w:val="off"/>
    </w:pPr>
    <w:rPr>
      <w:rFonts w:hint="default" w:ascii="宋体" w:hAnsi="Times New Roman" w:eastAsia="宋体" w:cs="宋体"/>
      <w:color w:val="000000"/>
      <w:sz w:val="24"/>
      <w:szCs w:val="24"/>
      <w:lang w:val="en-US" w:eastAsia="zh-CN" w:bidi="ar-SA"/>
    </w:rPr>
  </w:style>
  <w:style w:type="numbering" w:styleId="10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0411"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738"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7820" TargetMode="External"/><Relationship Id="rId16"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669" TargetMode="External"/><Relationship Id="rId17"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9514" TargetMode="External"/><Relationship Id="rId1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470" TargetMode="External"/><Relationship Id="rId1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055"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11</cp:revision>
  <dcterms:created xsi:type="dcterms:W3CDTF">2023-12-18T06:54:00Z</dcterms:created>
  <dcterms:modified xsi:type="dcterms:W3CDTF">2026-06-26T06:22:09Z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eyJoZGlkIjoiY2Y3OTRkOGU1OTJhNDViNThlMmM1ZmUzMjA5MjJhZDUiLCJ1c2VySWQiOiI2ODQyMDAzODQifQ==</vt:lpwstr>
  </property>
  <property fmtid="{D5CDD505-2E9C-101B-9397-08002B2CF9AE}" pid="3" name="KSOProductBuildVer">
    <vt:lpwstr>2052-12.1.0.26895</vt:lpwstr>
  </property>
  <property fmtid="{D5CDD505-2E9C-101B-9397-08002B2CF9AE}" pid="4" name="ICV">
    <vt:lpwstr>8E909503500B45719B0EA6D9592474D9_13</vt:lpwstr>
  </property>
</Properties>
</file>