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编号：JSZC-321003-JSWC-C2026-</w:t>
      </w:r>
      <w:r>
        <w:rPr>
          <w:rFonts w:hint="eastAsia" w:ascii="宋体" w:hAnsi="宋体" w:cs="宋体"/>
          <w:b/>
          <w:bCs/>
          <w:color w:val="auto"/>
          <w:sz w:val="32"/>
          <w:szCs w:val="21"/>
          <w:highlight w:val="none"/>
          <w:lang w:eastAsia="zh-CN"/>
        </w:rPr>
        <w:t xml:space="preserve">0017</w:t>
      </w:r>
      <w:r/>
    </w:p>
    <w:p>
      <w:pPr>
        <w:pStyle w:val="958"/>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扬州市邗江区明月湖水生态修复工程运维管护项目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49650"/>
                <wp:effectExtent l="0" t="0" r="6350" b="1206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384800" cy="35502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5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pStyle w:val="722"/>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2026年6月</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22</w:t>
      </w:r>
      <w:r>
        <w:rPr>
          <w:rFonts w:hint="eastAsia" w:ascii="宋体" w:hAnsi="宋体" w:cs="宋体"/>
          <w:color w:val="auto"/>
          <w:highlight w:val="none"/>
        </w:rPr>
        <w:fldChar w:fldCharType="end"/>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26</w:t>
      </w:r>
      <w:r>
        <w:rPr>
          <w:rFonts w:hint="eastAsia" w:ascii="宋体" w:hAnsi="宋体" w:cs="宋体"/>
          <w:color w:val="auto"/>
          <w:highlight w:val="none"/>
        </w:rPr>
        <w:fldChar w:fldCharType="end"/>
      </w:r>
      <w:r/>
    </w:p>
    <w:p>
      <w:pPr>
        <w:pStyle w:val="984"/>
        <w:jc w:val="center"/>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30</w:t>
      </w:r>
      <w:r>
        <w:rPr>
          <w:rFonts w:hint="eastAsia" w:ascii="宋体" w:hAnsi="宋体" w:cs="宋体"/>
          <w:color w:val="auto"/>
          <w:highlight w:val="none"/>
        </w:rPr>
        <w:fldChar w:fldCharType="end"/>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55"/>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109304962"/>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受扬州市邗江区水利局的委托，江苏唯诚建设咨询有限公司就扬州市邗江区明月湖水生态修复工程运维管护项目实施政府采购，本次采购采用竞争性磋商方式，欢迎符合条件的供应商参加磋商。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扬州市邗江区明月湖水生态修复工程运维管护项目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“邗江区政府采购网”、“扬州市政府采购网”、“江苏省政府采购网”、“中国政府采购网”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56"/>
        <w:ind w:firstLine="422"/>
        <w:spacing w:before="0" w:after="0" w:line="360" w:lineRule="auto"/>
        <w:rPr>
          <w:rFonts w:hint="eastAsia" w:ascii="宋体" w:hAnsi="宋体" w:cs="宋体"/>
          <w:bCs w:val="0"/>
          <w:color w:val="auto"/>
          <w:sz w:val="21"/>
          <w:szCs w:val="21"/>
          <w:highlight w:val="none"/>
        </w:rPr>
      </w:pPr>
      <w:r/>
      <w:bookmarkStart w:id="6" w:name="_Toc109304963"/>
      <w:r>
        <w:rPr>
          <w:rFonts w:hint="eastAsia" w:ascii="宋体" w:hAnsi="宋体" w:cs="宋体"/>
          <w:bCs w:val="0"/>
          <w:color w:val="auto"/>
          <w:sz w:val="21"/>
          <w:szCs w:val="21"/>
          <w:highlight w:val="none"/>
        </w:rPr>
        <w:t xml:space="preserve">一、项目基本情况</w:t>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1.项目编号：JSZC-321003-JSWC-C2026-</w:t>
      </w:r>
      <w:r>
        <w:rPr>
          <w:rFonts w:hint="eastAsia" w:ascii="宋体" w:hAnsi="宋体" w:cs="宋体"/>
          <w:color w:val="auto"/>
          <w:szCs w:val="21"/>
          <w:highlight w:val="none"/>
          <w:lang w:eastAsia="zh-CN"/>
        </w:rPr>
        <w:t xml:space="preserve">0017</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2.项目名称：扬州市邗江区明月湖水生态修复工程运维管护项目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4.预算金额：126.18万元</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highlight w:val="none"/>
        </w:rPr>
        <w:t xml:space="preserve">5.最高限价：</w:t>
      </w:r>
      <w:r>
        <w:rPr>
          <w:rFonts w:hint="eastAsia" w:ascii="宋体" w:hAnsi="宋体" w:cs="宋体"/>
          <w:color w:val="auto"/>
          <w:szCs w:val="21"/>
          <w:highlight w:val="none"/>
        </w:rPr>
        <w:t xml:space="preserve">126.18万元</w:t>
      </w:r>
      <w:r>
        <w:rPr>
          <w:rFonts w:hint="eastAsia" w:ascii="宋体" w:hAnsi="宋体" w:cs="宋体"/>
          <w:color w:val="auto"/>
          <w:highlight w:val="none"/>
        </w:rPr>
        <w:t xml:space="preserve">(报价超过最高限价做无效响应文件处理)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7.合同履行期限：见采购文件第四章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8.本项目不</w:t>
      </w:r>
      <w:r>
        <w:rPr>
          <w:rFonts w:hint="eastAsia" w:ascii="宋体" w:hAnsi="宋体" w:cs="宋体"/>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56"/>
        <w:ind w:firstLine="422"/>
        <w:spacing w:before="0" w:after="0" w:line="360" w:lineRule="auto"/>
        <w:rPr>
          <w:rFonts w:hint="eastAsia" w:ascii="宋体" w:hAnsi="宋体" w:cs="宋体"/>
          <w:bCs w:val="0"/>
          <w:color w:val="auto"/>
          <w:sz w:val="21"/>
          <w:szCs w:val="21"/>
          <w:highlight w:val="none"/>
        </w:rPr>
      </w:pPr>
      <w:r/>
      <w:bookmarkStart w:id="7" w:name="_Toc109304964"/>
      <w:r>
        <w:rPr>
          <w:rFonts w:hint="eastAsia" w:ascii="宋体" w:hAnsi="宋体" w:cs="宋体"/>
          <w:bCs w:val="0"/>
          <w:color w:val="auto"/>
          <w:sz w:val="21"/>
          <w:szCs w:val="21"/>
          <w:highlight w:val="none"/>
        </w:rPr>
        <w:t xml:space="preserve">二、申请人的资格要求：</w:t>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w:t>
      </w:r>
      <w:bookmarkStart w:id="50" w:name="_GoBack"/>
      <w:r/>
      <w:bookmarkEnd w:id="50"/>
      <w:r>
        <w:rPr>
          <w:rFonts w:hint="eastAsia" w:ascii="宋体" w:hAnsi="宋体" w:cs="宋体"/>
          <w:color w:val="auto"/>
          <w:szCs w:val="21"/>
          <w:highlight w:val="none"/>
        </w:rPr>
        <w:t xml:space="preserve">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供应商近</w:t>
      </w:r>
      <w:r>
        <w:rPr>
          <w:rFonts w:hint="eastAsia" w:ascii="宋体" w:hAnsi="宋体" w:cs="宋体"/>
          <w:i/>
          <w:iCs/>
          <w:color w:val="auto"/>
          <w:szCs w:val="21"/>
          <w:highlight w:val="none"/>
          <w:u w:val="single"/>
          <w:lang w:val="en-US" w:eastAsia="zh-CN"/>
        </w:rPr>
        <w:t xml:space="preserve">一年</w:t>
      </w:r>
      <w:r>
        <w:rPr>
          <w:rFonts w:hint="eastAsia" w:ascii="宋体" w:hAnsi="宋体" w:cs="宋体"/>
          <w:i/>
          <w:iCs/>
          <w:color w:val="auto"/>
          <w:szCs w:val="21"/>
          <w:highlight w:val="none"/>
          <w:u w:val="single"/>
        </w:rPr>
        <w:t xml:space="preserve">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w:t>
      </w:r>
      <w:r>
        <w:rPr>
          <w:rFonts w:hint="eastAsia" w:ascii="宋体" w:hAnsi="宋体" w:cs="宋体"/>
          <w:b/>
          <w:bCs w:val="0"/>
          <w:iCs/>
          <w:color w:val="auto"/>
          <w:szCs w:val="21"/>
          <w:highlight w:val="none"/>
        </w:rPr>
        <w:t xml:space="preserve">其他未列明行业</w:t>
      </w:r>
      <w:r>
        <w:rPr>
          <w:rFonts w:hint="eastAsia" w:ascii="宋体" w:hAnsi="宋体" w:cs="宋体"/>
          <w:bCs/>
          <w:iCs/>
          <w:color w:val="auto"/>
          <w:szCs w:val="21"/>
          <w:highlight w:val="none"/>
        </w:rPr>
        <w:t xml:space="preserve">（中小微企业划型标准网</w:t>
      </w:r>
      <w:r>
        <w:rPr>
          <w:rFonts w:hint="eastAsia" w:ascii="宋体" w:hAnsi="宋体" w:cs="宋体"/>
          <w:bCs/>
          <w:iCs/>
          <w:color w:val="auto"/>
          <w:szCs w:val="21"/>
          <w:highlight w:val="none"/>
        </w:rPr>
        <w:fldChar w:fldCharType="begin"/>
      </w:r>
      <w:r>
        <w:rPr>
          <w:rFonts w:hint="eastAsia" w:ascii="宋体" w:hAnsi="宋体" w:cs="宋体"/>
          <w:bCs/>
          <w:iCs/>
          <w:color w:val="auto"/>
          <w:szCs w:val="21"/>
          <w:highlight w:val="none"/>
        </w:rPr>
        <w:instrText xml:space="preserve"> HYPERLINK "http://www.ccgp.gov.cn/zcfg/mof/201310/t20131029_3587674.htm" </w:instrText>
      </w:r>
      <w:r>
        <w:rPr>
          <w:rFonts w:hint="eastAsia" w:ascii="宋体" w:hAnsi="宋体" w:cs="宋体"/>
          <w:bCs/>
          <w:iCs/>
          <w:color w:val="auto"/>
          <w:szCs w:val="21"/>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3.本项目的特定资格要求：无</w:t>
      </w:r>
      <w:r/>
    </w:p>
    <w:p>
      <w:pPr>
        <w:pStyle w:val="956"/>
        <w:ind w:firstLine="422"/>
        <w:spacing w:before="0" w:after="0" w:line="360" w:lineRule="auto"/>
        <w:rPr>
          <w:rFonts w:hint="eastAsia" w:ascii="宋体" w:hAnsi="宋体" w:cs="宋体"/>
          <w:bCs w:val="0"/>
          <w:color w:val="auto"/>
          <w:sz w:val="21"/>
          <w:szCs w:val="21"/>
          <w:highlight w:val="none"/>
        </w:rPr>
      </w:pPr>
      <w:r/>
      <w:bookmarkStart w:id="8" w:name="_Toc109304965"/>
      <w:r>
        <w:rPr>
          <w:rFonts w:hint="eastAsia" w:ascii="宋体" w:hAnsi="宋体" w:cs="宋体"/>
          <w:bCs w:val="0"/>
          <w:color w:val="auto"/>
          <w:sz w:val="21"/>
          <w:szCs w:val="21"/>
          <w:highlight w:val="none"/>
        </w:rPr>
        <w:t xml:space="preserve">三、获取采购文件</w:t>
      </w:r>
      <w:bookmarkEnd w:id="8"/>
      <w:r/>
      <w:r/>
    </w:p>
    <w:p>
      <w:pPr>
        <w:ind w:firstLine="420"/>
        <w:spacing w:line="360" w:lineRule="auto"/>
        <w:rPr>
          <w:rFonts w:hint="eastAsia" w:ascii="宋体" w:hAnsi="宋体" w:cs="宋体"/>
          <w:color w:val="auto"/>
          <w:highlight w:val="none"/>
        </w:rPr>
      </w:pPr>
      <w:r/>
      <w:bookmarkStart w:id="9" w:name="_Toc109304966"/>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2"/>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highlight w:val="none"/>
        </w:rPr>
        <w:t xml:space="preserve">2.获取方式：</w:t>
      </w:r>
      <w:r>
        <w:rPr>
          <w:rFonts w:hint="eastAsia" w:ascii="宋体" w:hAnsi="宋体" w:cs="宋体"/>
          <w:b w:val="0"/>
          <w:bCs w:val="0"/>
          <w:color w:val="auto"/>
          <w:szCs w:val="21"/>
          <w:highlight w:val="none"/>
        </w:rPr>
        <w:t xml:space="preserve">本项目采用网上注册登记方式。</w:t>
      </w:r>
      <w:r>
        <w:rPr>
          <w:b w:val="0"/>
          <w:bCs w:val="0"/>
        </w:rPr>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3.潜在供应商访问</w:t>
      </w:r>
      <w:r>
        <w:rPr>
          <w:rFonts w:hint="eastAsia" w:ascii="宋体" w:hAnsi="宋体" w:cs="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（3）“CA数字证书”的办理材料以及供应商操作手册详见：</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http://zfcg.yangzhou.gov.cn/zfcg/xzzx/202309/4d7de1f7865f4a2894fc22bc452f94d8.shtml。</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（4）潜在供应商访问“苏采云”系统的网络地址和方法：“苏采云”系统的网址：http://jszfcg.jsczt.cn/。</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（5）采购文件（后缀名为“.kedt”）、供应商操作手册及政府采购客户端工具也可通过“苏采云”系统--已报名项目--报名详情页面内相应链接进行下载。</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（6）招标代理机构（采购代理机构）将数据电文形式的采购文件加载至“苏采云”系统，供潜在供应商下载或者查阅。    </w:t>
      </w:r>
      <w:r>
        <w:rPr>
          <w:b w:val="0"/>
          <w:bCs w:val="0"/>
        </w:rPr>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（7）苏采云系统使用谷歌浏览器参与不见面开标。</w:t>
      </w:r>
      <w:r>
        <w:rPr>
          <w:b w:val="0"/>
          <w:bCs w:val="0"/>
        </w:rPr>
      </w:r>
      <w:r/>
    </w:p>
    <w:p>
      <w:pPr>
        <w:pStyle w:val="956"/>
        <w:ind w:firstLine="422"/>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9"/>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56"/>
        <w:ind w:firstLine="422"/>
        <w:spacing w:before="0" w:after="0" w:line="360" w:lineRule="auto"/>
        <w:rPr>
          <w:rFonts w:hint="eastAsia" w:ascii="宋体" w:hAnsi="宋体" w:cs="宋体"/>
          <w:bCs w:val="0"/>
          <w:color w:val="auto"/>
          <w:sz w:val="21"/>
          <w:szCs w:val="21"/>
          <w:highlight w:val="none"/>
        </w:rPr>
      </w:pPr>
      <w:r/>
      <w:bookmarkStart w:id="10" w:name="_Toc109304967"/>
      <w:r>
        <w:rPr>
          <w:rFonts w:hint="eastAsia" w:ascii="宋体" w:hAnsi="宋体" w:cs="宋体"/>
          <w:bCs w:val="0"/>
          <w:color w:val="auto"/>
          <w:sz w:val="21"/>
          <w:szCs w:val="21"/>
          <w:highlight w:val="none"/>
        </w:rPr>
        <w:t xml:space="preserve">五、开启</w:t>
      </w:r>
      <w:bookmarkEnd w:id="10"/>
      <w:r/>
      <w:r/>
    </w:p>
    <w:p>
      <w:pPr>
        <w:pStyle w:val="957"/>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56"/>
        <w:ind w:firstLine="422"/>
        <w:spacing w:before="0" w:after="0" w:line="360" w:lineRule="auto"/>
        <w:rPr>
          <w:rFonts w:hint="eastAsia" w:ascii="宋体" w:hAnsi="宋体" w:cs="宋体"/>
          <w:bCs w:val="0"/>
          <w:color w:val="auto"/>
          <w:sz w:val="21"/>
          <w:szCs w:val="21"/>
          <w:highlight w:val="none"/>
        </w:rPr>
      </w:pPr>
      <w:r/>
      <w:bookmarkStart w:id="11" w:name="_Toc109304968"/>
      <w:r>
        <w:rPr>
          <w:rFonts w:hint="eastAsia" w:ascii="宋体" w:hAnsi="宋体" w:cs="宋体"/>
          <w:bCs w:val="0"/>
          <w:color w:val="auto"/>
          <w:sz w:val="21"/>
          <w:szCs w:val="21"/>
          <w:highlight w:val="none"/>
        </w:rPr>
        <w:t xml:space="preserve">六、公告期限</w:t>
      </w:r>
      <w:bookmarkEnd w:id="1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56"/>
        <w:ind w:firstLine="422"/>
        <w:spacing w:before="0" w:after="0" w:line="360" w:lineRule="auto"/>
        <w:rPr>
          <w:rFonts w:hint="eastAsia" w:ascii="宋体" w:hAnsi="宋体" w:cs="宋体"/>
          <w:color w:val="auto"/>
          <w:sz w:val="21"/>
          <w:szCs w:val="21"/>
          <w:highlight w:val="none"/>
        </w:rPr>
      </w:pPr>
      <w:r/>
      <w:bookmarkStart w:id="12" w:name="_Toc109304969"/>
      <w:r>
        <w:rPr>
          <w:rFonts w:hint="eastAsia" w:ascii="宋体" w:hAnsi="宋体" w:cs="宋体"/>
          <w:color w:val="auto"/>
          <w:sz w:val="21"/>
          <w:szCs w:val="21"/>
          <w:highlight w:val="none"/>
        </w:rPr>
        <w:t xml:space="preserve">七、其他补充事宜</w:t>
      </w:r>
      <w:bookmarkEnd w:id="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56"/>
        <w:ind w:firstLine="422"/>
        <w:spacing w:before="0" w:after="0" w:line="360" w:lineRule="auto"/>
        <w:rPr>
          <w:rFonts w:hint="eastAsia" w:ascii="宋体" w:hAnsi="宋体" w:cs="宋体"/>
          <w:bCs w:val="0"/>
          <w:color w:val="auto"/>
          <w:sz w:val="21"/>
          <w:szCs w:val="21"/>
          <w:highlight w:val="none"/>
        </w:rPr>
      </w:pPr>
      <w:r/>
      <w:bookmarkStart w:id="13" w:name="_Toc109304970"/>
      <w:r>
        <w:rPr>
          <w:rFonts w:hint="eastAsia" w:ascii="宋体" w:hAnsi="宋体" w:cs="宋体"/>
          <w:bCs w:val="0"/>
          <w:color w:val="auto"/>
          <w:sz w:val="21"/>
          <w:szCs w:val="21"/>
          <w:highlight w:val="none"/>
        </w:rPr>
        <w:t xml:space="preserve">八、本次竞争性磋商联系方式</w:t>
      </w:r>
      <w:bookmarkEnd w:id="13"/>
      <w:r/>
      <w:r/>
    </w:p>
    <w:p>
      <w:pPr>
        <w:pStyle w:val="97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名    称：扬州市邗江区水利局</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    址：扬州市邗江区新城河路520号</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0514-87862404</w:t>
      </w:r>
      <w:r/>
    </w:p>
    <w:p>
      <w:pPr>
        <w:pStyle w:val="97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7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7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 系 人：魏水苹、林祖超</w:t>
      </w:r>
      <w:r/>
    </w:p>
    <w:p>
      <w:pPr>
        <w:pStyle w:val="973"/>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联系方式：0514-87880356、18652401357</w:t>
      </w:r>
      <w:r/>
    </w:p>
    <w:p>
      <w:pPr>
        <w:ind w:firstLine="422"/>
        <w:spacing w:line="360" w:lineRule="auto"/>
        <w:tabs>
          <w:tab w:val="left" w:pos="266" w:leader="none"/>
        </w:tabs>
        <w:rPr>
          <w:rFonts w:hint="eastAsia"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56"/>
        <w:ind w:firstLine="422"/>
        <w:spacing w:before="0" w:after="0" w:line="360" w:lineRule="auto"/>
        <w:rPr>
          <w:rFonts w:hint="eastAsia" w:ascii="宋体" w:hAnsi="宋体" w:cs="宋体"/>
          <w:color w:val="auto"/>
          <w:sz w:val="21"/>
          <w:szCs w:val="21"/>
          <w:highlight w:val="none"/>
        </w:rPr>
      </w:pPr>
      <w:r/>
      <w:bookmarkStart w:id="14" w:name="_Toc109304971"/>
      <w:r>
        <w:rPr>
          <w:rFonts w:hint="eastAsia" w:ascii="宋体" w:hAnsi="宋体" w:cs="宋体"/>
          <w:color w:val="auto"/>
          <w:sz w:val="21"/>
          <w:szCs w:val="21"/>
          <w:highlight w:val="none"/>
        </w:rPr>
        <w:t xml:space="preserve">十、其他</w:t>
      </w:r>
      <w:bookmarkEnd w:id="14"/>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80"/>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w:t>
      </w:r>
      <w:r>
        <w:rPr>
          <w:rFonts w:hint="eastAsia" w:ascii="宋体" w:hAnsi="宋体" w:cs="宋体"/>
          <w:color w:val="auto"/>
          <w:szCs w:val="21"/>
          <w:highlight w:val="none"/>
        </w:rPr>
        <w:t xml:space="preserve">“邗江区政府采购网”、</w:t>
      </w:r>
      <w:r>
        <w:rPr>
          <w:rFonts w:hint="eastAsia" w:ascii="宋体" w:hAnsi="宋体" w:cs="宋体"/>
          <w:bCs/>
          <w:color w:val="auto"/>
          <w:szCs w:val="21"/>
          <w:highlight w:val="none"/>
        </w:rPr>
        <w:t xml:space="preserve">“扬州市政府采购网”、“江苏省政府采购网”、“中国政府采购网”发布的信息。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55"/>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5" w:name="_Toc109304972"/>
      <w:r>
        <w:rPr>
          <w:rFonts w:hint="eastAsia" w:ascii="宋体" w:hAnsi="宋体" w:cs="宋体"/>
          <w:color w:val="auto"/>
          <w:highlight w:val="none"/>
        </w:rPr>
        <w:t xml:space="preserve">第二章 磋商须知</w:t>
      </w:r>
      <w:bookmarkEnd w:id="15"/>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本次采购采取竞争性磋商方式，本采购文件仅适用于JSZC-321003-JSWC-C2026-</w:t>
      </w:r>
      <w:r>
        <w:rPr>
          <w:rFonts w:hint="eastAsia" w:ascii="宋体" w:hAnsi="宋体" w:cs="宋体"/>
          <w:color w:val="auto"/>
          <w:highlight w:val="none"/>
          <w:lang w:eastAsia="zh-CN"/>
        </w:rPr>
        <w:t xml:space="preserve">0017</w:t>
      </w:r>
      <w:r>
        <w:rPr>
          <w:rFonts w:hint="eastAsia" w:ascii="宋体" w:hAnsi="宋体" w:cs="宋体"/>
          <w:color w:val="auto"/>
          <w:highlight w:val="none"/>
        </w:rPr>
        <w:t xml:space="preserve">号项目。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bookmarkStart w:id="16" w:name="_Hlk115095815"/>
      <w:r>
        <w:rPr>
          <w:rFonts w:hint="eastAsia" w:ascii="宋体" w:hAnsi="宋体" w:cs="宋体"/>
          <w:color w:val="auto"/>
          <w:highlight w:val="none"/>
        </w:rPr>
        <w:t xml:space="preserve">本次采购由采购人支付招标代理服务费,按照《关于印发&lt;江苏省政府采购代理服务收费指导意见&gt;的通知》（江苏省政府采购协会文件苏政采协【2024】20号）所规定的服务收费标准的90%计取，以成交价为计算基数。 </w:t>
      </w:r>
      <w:bookmarkEnd w:id="16"/>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firstLine="420"/>
        <w:spacing w:line="360" w:lineRule="auto"/>
        <w:rPr>
          <w:rFonts w:hint="eastAsia" w:ascii="宋体" w:hAnsi="宋体" w:eastAsia="宋体" w:cs="宋体"/>
          <w:color w:val="auto"/>
          <w:sz w:val="21"/>
          <w:szCs w:val="20"/>
          <w:highlight w:val="none"/>
          <w:lang w:val="en-US" w:eastAsia="zh-CN"/>
        </w:rPr>
      </w:pPr>
      <w:r>
        <w:rPr>
          <w:rFonts w:hint="eastAsia" w:ascii="宋体" w:hAnsi="宋体" w:eastAsia="宋体" w:cs="宋体"/>
          <w:color w:val="auto"/>
          <w:sz w:val="21"/>
          <w:szCs w:val="20"/>
          <w:highlight w:val="none"/>
          <w:lang w:val="en-US" w:eastAsia="zh-CN"/>
        </w:rPr>
        <w:t xml:space="preserve">4.3</w:t>
      </w:r>
      <w:r>
        <w:rPr>
          <w:rFonts w:hint="eastAsia" w:ascii="宋体" w:hAnsi="宋体" w:cs="宋体"/>
          <w:color w:val="auto"/>
          <w:sz w:val="21"/>
          <w:szCs w:val="20"/>
          <w:highlight w:val="none"/>
          <w:lang w:val="en-US" w:eastAsia="zh-CN"/>
        </w:rPr>
        <w:t xml:space="preserve">评委费按扬州市财政局关于进一步规范扬州市政府采购专家评审费标准的通知（扬财购〔2020〕40号）执行。专家评审费按实际发生费用由采购人支付。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7、采购文件的澄清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8、采购文件的修改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szCs w:val="21"/>
          <w:highlight w:val="none"/>
        </w:rPr>
        <w:t xml:space="preserve">“邗江区政府采购网”、</w:t>
      </w:r>
      <w:r>
        <w:rPr>
          <w:rFonts w:hint="eastAsia" w:ascii="宋体" w:hAnsi="宋体" w:cs="宋体"/>
          <w:color w:val="auto"/>
          <w:highlight w:val="none"/>
        </w:rPr>
        <w:t xml:space="preserve">“扬州市政府采购网”、“江苏省政府采购网”、“中国政府采购网”公布，补充文件将作为采购文件的组成部分，并对供应商具有约束力。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highlight w:val="none"/>
        </w:rPr>
      </w:pPr>
      <w:r/>
      <w:bookmarkStart w:id="17" w:name="_Toc20823297"/>
      <w:r/>
      <w:bookmarkStart w:id="18" w:name="_Toc16938541"/>
      <w:r>
        <w:rPr>
          <w:rFonts w:hint="eastAsia" w:ascii="宋体" w:hAnsi="宋体" w:cs="宋体"/>
          <w:color w:val="auto"/>
          <w:highlight w:val="none"/>
        </w:rPr>
        <w:t xml:space="preserve">17、响应文件</w:t>
      </w:r>
      <w:bookmarkEnd w:id="17"/>
      <w:r/>
      <w:bookmarkEnd w:id="18"/>
      <w:r>
        <w:rPr>
          <w:rFonts w:hint="eastAsia" w:ascii="宋体" w:hAnsi="宋体" w:cs="宋体"/>
          <w:color w:val="auto"/>
          <w:highlight w:val="none"/>
        </w:rPr>
        <w:t xml:space="preserve">的递交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cs="宋体"/>
          <w:color w:val="auto"/>
          <w:sz w:val="24"/>
          <w:highlight w:val="none"/>
        </w:rPr>
      </w:pPr>
      <w:r>
        <w:rPr>
          <w:rFonts w:hint="eastAsia" w:ascii="宋体" w:hAnsi="宋体" w:cs="宋体"/>
          <w:color w:val="auto"/>
          <w:highlight w:val="none"/>
        </w:rPr>
        <w:t xml:space="preserve">18、磋商响应截止日期</w:t>
      </w:r>
      <w:bookmarkEnd w:id="19"/>
      <w:r/>
      <w:bookmarkEnd w:id="20"/>
      <w:r/>
      <w:r/>
    </w:p>
    <w:p>
      <w:pPr>
        <w:ind w:firstLine="420"/>
        <w:spacing w:line="360" w:lineRule="auto"/>
        <w:rPr>
          <w:rFonts w:hint="eastAsia" w:ascii="宋体" w:hAnsi="宋体" w:cs="宋体"/>
          <w:i/>
          <w:color w:val="auto"/>
          <w:highlight w:val="none"/>
          <w:u w:val="single"/>
        </w:rPr>
      </w:pPr>
      <w:r>
        <w:rPr>
          <w:rFonts w:hint="eastAsia" w:ascii="宋体" w:hAnsi="宋体" w:cs="宋体"/>
          <w:i/>
          <w:iCs/>
          <w:color w:val="auto"/>
          <w:highlight w:val="none"/>
          <w:u w:val="single"/>
        </w:rPr>
        <w:t xml:space="preserve">18.1 </w:t>
      </w:r>
      <w:r>
        <w:rPr>
          <w:rFonts w:hint="eastAsia" w:ascii="宋体" w:hAnsi="宋体" w:cs="宋体"/>
          <w:i/>
          <w:iCs/>
          <w:color w:val="auto"/>
          <w:highlight w:val="none"/>
          <w:u w:val="single"/>
        </w:rPr>
        <w:t xml:space="preserve">供应商上传电子响应文件的时间不得迟于采购公告中规定的磋商响应截止时间。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highlight w:val="none"/>
        </w:rPr>
      </w:pPr>
      <w:r/>
      <w:bookmarkStart w:id="21" w:name="_Toc16938543"/>
      <w:r/>
      <w:bookmarkStart w:id="22" w:name="_Toc20823299"/>
      <w:r>
        <w:rPr>
          <w:rFonts w:hint="eastAsia" w:ascii="宋体" w:hAnsi="宋体" w:cs="宋体"/>
          <w:color w:val="auto"/>
          <w:highlight w:val="none"/>
        </w:rPr>
        <w:t xml:space="preserve">19、响应文件</w:t>
      </w:r>
      <w:bookmarkEnd w:id="21"/>
      <w:r/>
      <w:bookmarkEnd w:id="22"/>
      <w:r>
        <w:rPr>
          <w:rFonts w:hint="eastAsia" w:ascii="宋体" w:hAnsi="宋体" w:cs="宋体"/>
          <w:color w:val="auto"/>
          <w:highlight w:val="none"/>
        </w:rPr>
        <w:t xml:space="preserve">的拒收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highlight w:val="none"/>
        </w:rPr>
      </w:pPr>
      <w:r/>
      <w:bookmarkStart w:id="23" w:name="_Toc20823300"/>
      <w:r/>
      <w:bookmarkStart w:id="24" w:name="_Toc16938544"/>
      <w:r>
        <w:rPr>
          <w:rFonts w:hint="eastAsia" w:ascii="宋体" w:hAnsi="宋体" w:cs="宋体"/>
          <w:color w:val="auto"/>
          <w:highlight w:val="none"/>
        </w:rPr>
        <w:t xml:space="preserve">20、响应文件的撤回和修改</w:t>
      </w:r>
      <w:bookmarkEnd w:id="23"/>
      <w:r/>
      <w:bookmarkEnd w:id="24"/>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22、磋商小组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24、磋商的澄清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spacing w:line="360" w:lineRule="auto"/>
        <w:rPr>
          <w:rFonts w:hint="eastAsia"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rPr>
          <w:rFonts w:hint="eastAsia"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27.1.9.2</w:t>
      </w:r>
      <w:r>
        <w:rPr>
          <w:rFonts w:ascii="宋体" w:hAnsi="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27.1.9.3</w:t>
      </w:r>
      <w:r>
        <w:rPr>
          <w:rFonts w:ascii="宋体" w:hAnsi="宋体" w:cs="宋体"/>
          <w:color w:val="auto"/>
          <w:highlight w:val="none"/>
        </w:rPr>
        <w:t xml:space="preserve">投标（响应）报价低于采购项目最高限价 45% 的，即投标（响应）报价&lt;采购项目最高限价×45%；</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28、确定成交单位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szCs w:val="21"/>
          <w:highlight w:val="none"/>
        </w:rPr>
        <w:t xml:space="preserve">“邗江区政府采购网”、</w:t>
      </w:r>
      <w:r>
        <w:rPr>
          <w:rFonts w:hint="eastAsia" w:ascii="宋体" w:hAnsi="宋体" w:cs="宋体"/>
          <w:color w:val="auto"/>
          <w:highlight w:val="none"/>
        </w:rPr>
        <w:t xml:space="preserve">“扬州市政府采购网”、”江苏省政府采购网”、“中国政府采购网”发布成交公告，公告期限为1个工作日。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签订合同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成交供应商不得将货物或服务及其他服务进行转包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55"/>
        <w:jc w:val="center"/>
        <w:spacing w:line="360" w:lineRule="auto"/>
        <w:rPr>
          <w:rFonts w:hint="eastAsia" w:ascii="宋体" w:hAnsi="宋体" w:cs="宋体"/>
          <w:color w:val="auto"/>
          <w:highlight w:val="none"/>
        </w:rPr>
      </w:pPr>
      <w:r/>
      <w:bookmarkStart w:id="25"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5"/>
      <w:r/>
      <w:r/>
    </w:p>
    <w:p>
      <w:pPr>
        <w:pStyle w:val="719"/>
        <w:spacing w:line="480" w:lineRule="exact"/>
        <w:rPr>
          <w:rFonts w:hint="eastAsia" w:hAnsi="宋体" w:cs="宋体"/>
          <w:color w:val="auto"/>
          <w:sz w:val="21"/>
          <w:highlight w:val="none"/>
        </w:rPr>
      </w:pPr>
      <w:r>
        <w:rPr>
          <w:rFonts w:hint="eastAsia" w:hAnsi="宋体" w:cs="宋体"/>
          <w:color w:val="auto"/>
          <w:sz w:val="21"/>
          <w:highlight w:val="none"/>
        </w:rPr>
        <w:t xml:space="preserve">项目名称：扬州市邗江区明月湖水生态修复工程运维管护项目      </w:t>
      </w:r>
      <w:r/>
    </w:p>
    <w:p>
      <w:pPr>
        <w:pStyle w:val="719"/>
        <w:spacing w:line="480" w:lineRule="exact"/>
        <w:rPr>
          <w:rFonts w:hint="eastAsia" w:hAnsi="宋体" w:eastAsia="宋体" w:cs="宋体"/>
          <w:color w:val="auto"/>
          <w:sz w:val="21"/>
          <w:highlight w:val="none"/>
          <w:lang w:eastAsia="zh-CN"/>
        </w:rPr>
      </w:pPr>
      <w:r>
        <w:rPr>
          <w:rFonts w:hint="eastAsia" w:hAnsi="宋体" w:cs="宋体"/>
          <w:color w:val="auto"/>
          <w:sz w:val="21"/>
          <w:highlight w:val="none"/>
        </w:rPr>
        <w:t xml:space="preserve">编号：JSZC-321003-JSWC-C2026-</w:t>
      </w:r>
      <w:r>
        <w:rPr>
          <w:rFonts w:hint="eastAsia" w:hAnsi="宋体" w:cs="宋体"/>
          <w:color w:val="auto"/>
          <w:sz w:val="21"/>
          <w:highlight w:val="none"/>
          <w:lang w:eastAsia="zh-CN"/>
        </w:rPr>
        <w:t xml:space="preserve">0017</w:t>
      </w:r>
      <w:r/>
    </w:p>
    <w:p>
      <w:pPr>
        <w:pStyle w:val="719"/>
        <w:spacing w:line="480" w:lineRule="exact"/>
        <w:rPr>
          <w:rFonts w:hint="eastAsia" w:hAnsi="宋体" w:cs="宋体"/>
          <w:color w:val="auto"/>
          <w:sz w:val="21"/>
          <w:highlight w:val="none"/>
        </w:rPr>
      </w:pPr>
      <w:r>
        <w:rPr>
          <w:rFonts w:hint="eastAsia" w:hAnsi="宋体" w:cs="宋体"/>
          <w:color w:val="auto"/>
          <w:sz w:val="21"/>
          <w:highlight w:val="none"/>
        </w:rPr>
        <w:t xml:space="preserve">甲方（采购人/买方）：扬州市邗江区水利局       </w:t>
      </w:r>
      <w:r/>
    </w:p>
    <w:p>
      <w:pPr>
        <w:pStyle w:val="719"/>
        <w:spacing w:line="480" w:lineRule="exact"/>
        <w:rPr>
          <w:rFonts w:hint="eastAsia" w:hAnsi="宋体" w:cs="宋体"/>
          <w:color w:val="auto"/>
          <w:sz w:val="21"/>
          <w:highlight w:val="none"/>
          <w:u w:val="singl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19"/>
        <w:spacing w:line="480" w:lineRule="exact"/>
        <w:rPr>
          <w:rFonts w:hint="eastAsia" w:hAnsi="宋体" w:cs="宋体"/>
          <w:color w:val="auto"/>
          <w:sz w:val="21"/>
          <w:highlight w:val="none"/>
          <w:u w:val="single"/>
        </w:rPr>
      </w:pPr>
      <w:r>
        <w:rPr>
          <w:rFonts w:hint="eastAsia" w:hAnsi="宋体" w:cs="宋体"/>
          <w:color w:val="auto"/>
          <w:sz w:val="21"/>
          <w:highlight w:val="none"/>
        </w:rPr>
        <w:t xml:space="preserve">见证方：江苏唯诚建设咨询有限公司</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根据《中华人民共和国政府采购法》、《中华人民共和国民法典》等法律法规的规定，甲乙双方按照江苏唯诚建设咨询有限公司关于本项目磋商结果签订本合同。</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一、服务及产品内容</w:t>
      </w:r>
      <w:r/>
    </w:p>
    <w:p>
      <w:pPr>
        <w:pStyle w:val="71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项目（产品）名称：扬州市邗江区明月湖水生态修复工程运维管护项目</w:t>
      </w:r>
      <w:r/>
    </w:p>
    <w:p>
      <w:pPr>
        <w:pStyle w:val="719"/>
        <w:ind w:firstLine="420"/>
        <w:spacing w:before="120" w:after="120" w:line="360" w:lineRule="auto"/>
        <w:rPr>
          <w:rFonts w:hint="eastAsia" w:hAnsi="宋体"/>
          <w:color w:val="auto"/>
          <w:sz w:val="21"/>
          <w:highlight w:val="none"/>
          <w:u w:val="single"/>
        </w:rPr>
      </w:pPr>
      <w:r>
        <w:rPr>
          <w:rFonts w:hint="eastAsia" w:hAnsi="宋体"/>
          <w:color w:val="auto"/>
          <w:sz w:val="21"/>
          <w:highlight w:val="none"/>
        </w:rPr>
        <w:t xml:space="preserve">1.2 项目服务内容：</w:t>
      </w:r>
      <w:r>
        <w:rPr>
          <w:rFonts w:hint="eastAsia" w:hAnsi="宋体"/>
          <w:color w:val="auto"/>
          <w:sz w:val="21"/>
          <w:highlight w:val="none"/>
          <w:u w:val="single"/>
        </w:rPr>
        <w:t xml:space="preserve">                  </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本合同金额为（大写）：________________圆（________元）人民币。</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3.1乙方应按招标文件规定的时间向甲方提供使用服务或产品的有关技术资料。</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乙方保证所交付的服务或产品的所有权完全属于乙方且无任何抵押、查封等产权瑕疵。</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6.3履约保证金扣除甲方应得的补偿后的余额，在本合同履行结束后由甲方无息退还。 </w:t>
      </w:r>
      <w:r/>
    </w:p>
    <w:p>
      <w:pPr>
        <w:pStyle w:val="720"/>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6.4本项目不收取履约保证金。</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7.1本合同范围的服务或产品，应由乙方直接供应，不得转让他人供应；</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八、服务期</w:t>
      </w:r>
      <w:r/>
    </w:p>
    <w:p>
      <w:pPr>
        <w:pStyle w:val="719"/>
        <w:ind w:firstLine="420"/>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8.1 服务期：自合同签订之日起</w:t>
      </w:r>
      <w:r>
        <w:rPr>
          <w:rFonts w:hint="eastAsia" w:hAnsi="宋体" w:cs="宋体"/>
          <w:color w:val="auto"/>
          <w:sz w:val="21"/>
          <w:highlight w:val="none"/>
          <w:lang w:val="en-US" w:eastAsia="zh-CN"/>
        </w:rPr>
        <w:t xml:space="preserve">一年</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9.1 交付期：_________</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9.2 交付方式：_________</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9.3 交付地点：_________</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十、支付</w:t>
      </w:r>
      <w:r>
        <w:rPr>
          <w:rFonts w:hint="eastAsia" w:hAnsi="宋体" w:cs="宋体"/>
          <w:b/>
          <w:bCs/>
          <w:color w:val="auto"/>
          <w:sz w:val="21"/>
          <w:highlight w:val="none"/>
        </w:rPr>
        <w:t xml:space="preserve">方式</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719"/>
        <w:ind w:firstLine="422"/>
        <w:spacing w:before="120" w:after="120"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（1）成交价即合同价，签订合同后，甲方自收到乙方开具的发票后支付30%的合同款作为预付款。甲方按照《扬州市邗江区明月湖水生态修复工程运维管护</w:t>
      </w:r>
      <w:r>
        <w:rPr>
          <w:rFonts w:hint="eastAsia" w:hAnsi="宋体" w:cs="宋体"/>
          <w:b w:val="0"/>
          <w:bCs w:val="0"/>
          <w:color w:val="auto"/>
          <w:sz w:val="21"/>
          <w:highlight w:val="none"/>
        </w:rPr>
        <w:t xml:space="preserve">评估办法</w:t>
      </w:r>
      <w:r>
        <w:rPr>
          <w:rFonts w:hint="eastAsia" w:hAnsi="宋体" w:cs="宋体"/>
          <w:b w:val="0"/>
          <w:bCs w:val="0"/>
          <w:color w:val="auto"/>
          <w:sz w:val="21"/>
          <w:highlight w:val="none"/>
        </w:rPr>
        <w:t xml:space="preserve">》在每季度末按季度对河道长效管护工作进行考核；根据考核结果在每季度末以季度为单位支付相应的管护费用（第一季度末开始付款时进行预付款抵扣），每次付款节点均以甲方收到乙方开具的发票后支付。</w:t>
      </w:r>
      <w:r/>
    </w:p>
    <w:p>
      <w:pPr>
        <w:pStyle w:val="719"/>
        <w:ind w:firstLine="422"/>
        <w:spacing w:before="120" w:after="120"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rPr>
        <w:t xml:space="preserve">注：每次支付，甲方应自收到乙方发票之日起10个工作日内付款。</w:t>
      </w:r>
      <w:r>
        <w:rPr>
          <w:rFonts w:hint="eastAsia" w:hAnsi="宋体" w:cs="宋体"/>
          <w:b w:val="0"/>
          <w:bCs w:val="0"/>
          <w:color w:val="auto"/>
          <w:sz w:val="21"/>
          <w:highlight w:val="none"/>
          <w:lang w:eastAsia="zh-CN"/>
        </w:rPr>
        <w:t xml:space="preserve">）</w:t>
      </w:r>
      <w:r/>
    </w:p>
    <w:p>
      <w:pPr>
        <w:pStyle w:val="719"/>
        <w:ind w:firstLine="422"/>
        <w:spacing w:before="120" w:after="120"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（2）如发生拖欠农民工工资纠纷，甲方除可直接从合同金额中先行支付外，有权根据其影响后果对乙方进行罚款。同时向相关主管部门进行通报。</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十一、税费</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12.1 乙方应按招标文件规定的服务或产品性能、技术要求、质量标准向甲方提供。</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⑶退还处理：乙方应退还甲方支付的合同款，同时应承担该服务或产品的直接费用（运输、保险、检验、款项利息及银行手续费等）。</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如在使用过程中发生质量问题，乙方在接到甲方通知后在______小时内到达甲方现场。</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在质保期内，乙方应对服务或产品出现的质量及安全问题负责处理解决并承担一切费用。</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12.5上述的服务或产品免费保修期为</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十三、调试和验收</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13.4 对技术复杂的服务或产品，甲方可请国家认可的专业检测机构参与初步验收及最终验收，并由其出具质量检测报告。</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十四、服务或产品包装、发运及运输</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乙方应在服务或产品发运前对其进行满足运输距离、防潮、防震、防锈和防破损装卸等要求包装，以保证服务或产品安全运达甲方指定地点。</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14.3 乙方在服务或产品发运手续办理完毕后24小时内或交付到甲方48小时前通知甲方，以准备接受交付。</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14.4 服务在交付甲方前发生的风险均由乙方负责。</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服务或产品在规定的交付期限内由乙方送达甲方指定的地点视为交付，乙方同时需通知甲方服务或产品已送达。</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十五、违约责任</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15.1 甲方无正当理由拒收服务或产品的，甲方向乙方偿付拒收款项总值的百分之五违约金。</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十七、诉讼</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w:t>
      </w:r>
      <w:r/>
    </w:p>
    <w:p>
      <w:pPr>
        <w:pStyle w:val="719"/>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十八、合同生效及其它</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合同经双方法定代表人或授权代表签字并加盖单位公章，并经江苏唯诚建设咨询有限公司见证盖章后生效。</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18.2本合同未尽事宜，遵照《中华人民共和国民法典》有关条文执行。</w:t>
      </w:r>
      <w:r/>
    </w:p>
    <w:p>
      <w:pPr>
        <w:pStyle w:val="71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本合同正本一式五份，具有同等法律效力，甲方、乙方各执二份、见证方执一份。  </w:t>
      </w:r>
      <w:r/>
    </w:p>
    <w:p>
      <w:pPr>
        <w:pStyle w:val="719"/>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          （公章）                 乙方：           （公章）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或授权委托人： 　　　　　　　　          或授权委托人：</w:t>
      </w:r>
      <w:r/>
    </w:p>
    <w:p>
      <w:pPr>
        <w:ind w:left="4620" w:hanging="4620"/>
        <w:spacing w:line="7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                                   地址： </w:t>
      </w:r>
      <w:r/>
    </w:p>
    <w:p>
      <w:pPr>
        <w:spacing w:line="7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          </w:t>
      </w:r>
      <w:r>
        <w:rPr>
          <w:rFonts w:hint="eastAsia" w:ascii="宋体" w:hAnsi="宋体" w:cs="宋体"/>
          <w:color w:val="auto"/>
          <w:szCs w:val="21"/>
          <w:highlight w:val="none"/>
          <w:shd w:val="clear" w:color="auto" w:fill="ffffff"/>
        </w:rPr>
        <w:t xml:space="preserve"> </w:t>
      </w:r>
      <w:r>
        <w:rPr>
          <w:rFonts w:hint="eastAsia" w:ascii="宋体" w:hAnsi="宋体" w:cs="宋体"/>
          <w:color w:val="auto"/>
          <w:szCs w:val="21"/>
          <w:highlight w:val="none"/>
        </w:rPr>
        <w:t xml:space="preserve"> 　　　　               电话：</w:t>
      </w:r>
      <w:r/>
    </w:p>
    <w:p>
      <w:pPr>
        <w:spacing w:line="7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签订日期：   年  月  日                  签订日期：  年  月   日</w:t>
      </w:r>
      <w:r/>
    </w:p>
    <w:p>
      <w:pPr>
        <w:ind w:firstLine="64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经办人：</w:t>
      </w:r>
      <w:r/>
    </w:p>
    <w:p>
      <w:pPr>
        <w:spacing w:line="360" w:lineRule="auto"/>
        <w:widowControl/>
        <w:rPr>
          <w:color w:val="auto"/>
          <w:highlight w:val="none"/>
        </w:rPr>
      </w:pPr>
      <w:r>
        <w:rPr>
          <w:rFonts w:hint="eastAsia" w:ascii="宋体" w:hAnsi="宋体" w:cs="宋体"/>
          <w:color w:val="auto"/>
          <w:szCs w:val="21"/>
          <w:highlight w:val="none"/>
        </w:rPr>
        <w:t xml:space="preserve">签订日期：  年   月   日</w:t>
      </w:r>
      <w:r/>
    </w:p>
    <w:p>
      <w:p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73"/>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55"/>
        <w:jc w:val="center"/>
        <w:keepLines/>
        <w:keepNext/>
        <w:pageBreakBefore w:val="0"/>
        <w:spacing w:line="360" w:lineRule="auto"/>
        <w:widowControl w:val="off"/>
        <w:rPr>
          <w:rFonts w:hint="eastAsia" w:ascii="宋体" w:hAnsi="宋体" w:cs="宋体"/>
          <w:color w:val="auto"/>
          <w:highlight w:val="none"/>
        </w:rPr>
      </w:pPr>
      <w:r/>
      <w:bookmarkStart w:id="26" w:name="_Toc109304974"/>
      <w:r>
        <w:rPr>
          <w:rFonts w:hint="eastAsia" w:ascii="宋体" w:hAnsi="宋体" w:cs="宋体"/>
          <w:color w:val="auto"/>
          <w:highlight w:val="none"/>
        </w:rPr>
        <w:br w:type="page" w:clear="all"/>
      </w:r>
      <w:r>
        <w:rPr>
          <w:rFonts w:hint="eastAsia" w:ascii="宋体" w:hAnsi="宋体" w:cs="宋体"/>
          <w:color w:val="auto"/>
          <w:highlight w:val="none"/>
        </w:rPr>
        <w:t xml:space="preserve">第四章 项目需求</w:t>
      </w:r>
      <w:bookmarkEnd w:id="26"/>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工程概况：扬州市邗江区明月湖水生态修复工程运维管护项目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招标范围：明月湖全域水域（约16万㎡）、水生植物养护区、河道保洁区、水质监测站、压力水箱及配套设施的日常运维、管护、应急处置</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二、管护</w:t>
      </w:r>
      <w:r>
        <w:rPr>
          <w:rFonts w:hint="eastAsia" w:ascii="宋体" w:hAnsi="宋体" w:cs="宋体"/>
          <w:b/>
          <w:bCs/>
          <w:color w:val="auto"/>
          <w:szCs w:val="21"/>
          <w:highlight w:val="none"/>
          <w:lang w:val="en-US" w:eastAsia="zh-CN"/>
        </w:rPr>
        <w:t xml:space="preserve">目标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1、湖区</w:t>
      </w:r>
      <w:r>
        <w:rPr>
          <w:rFonts w:hint="eastAsia" w:ascii="宋体" w:hAnsi="宋体" w:cs="宋体"/>
          <w:color w:val="auto"/>
          <w:szCs w:val="21"/>
          <w:highlight w:val="none"/>
        </w:rPr>
        <w:t xml:space="preserve">水质稳定达到</w:t>
      </w:r>
      <w:r>
        <w:rPr>
          <w:rFonts w:hint="eastAsia" w:ascii="宋体" w:hAnsi="宋体" w:cs="宋体"/>
          <w:color w:val="auto"/>
          <w:szCs w:val="21"/>
          <w:highlight w:val="none"/>
          <w:lang w:val="en-US" w:eastAsia="zh-CN"/>
        </w:rPr>
        <w:t xml:space="preserve">环保部门要求的四项指标要求</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水生态系统稳定，生物多样性保持良好，蓝藻</w:t>
      </w:r>
      <w:r>
        <w:rPr>
          <w:rFonts w:hint="default" w:ascii="宋体" w:hAnsi="宋体"/>
          <w:color w:val="auto"/>
          <w:szCs w:val="21"/>
          <w:highlight w:val="none"/>
          <w:lang w:val="en-US" w:eastAsia="zh-CN"/>
        </w:rPr>
        <w:t xml:space="preserve">、水葫芦</w:t>
      </w:r>
      <w:r>
        <w:rPr>
          <w:rFonts w:hint="eastAsia" w:ascii="宋体" w:hAnsi="宋体" w:cs="宋体"/>
          <w:color w:val="auto"/>
          <w:szCs w:val="21"/>
          <w:highlight w:val="none"/>
        </w:rPr>
        <w:t xml:space="preserve">、青苔</w:t>
      </w:r>
      <w:r>
        <w:rPr>
          <w:rFonts w:hint="eastAsia" w:ascii="宋体" w:hAnsi="宋体" w:cs="宋体"/>
          <w:color w:val="auto"/>
          <w:szCs w:val="21"/>
          <w:highlight w:val="none"/>
          <w:lang w:val="en-US" w:eastAsia="zh-CN"/>
        </w:rPr>
        <w:t xml:space="preserve">等水生浮游植物单处聚集面积不大于50㎡</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水面、岸线常态整洁，无垃圾、无杂草、无障碍物；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设施设备完好运行，监测数据准确、传输正常；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长效管护机制健全，资料档案完整规范。</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三、管护</w:t>
      </w:r>
      <w:r>
        <w:rPr>
          <w:rFonts w:hint="eastAsia" w:ascii="宋体" w:hAnsi="宋体"/>
          <w:b/>
          <w:bCs/>
          <w:color w:val="auto"/>
          <w:szCs w:val="21"/>
          <w:highlight w:val="none"/>
          <w:lang w:val="en-US" w:eastAsia="zh-CN"/>
        </w:rPr>
        <w:t xml:space="preserve">服务期</w:t>
      </w:r>
      <w:r>
        <w:rPr>
          <w:rFonts w:hint="eastAsia" w:ascii="宋体" w:hAnsi="宋体"/>
          <w:b/>
          <w:bCs/>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自合同签订之日起</w:t>
      </w:r>
      <w:r>
        <w:rPr>
          <w:rFonts w:hint="eastAsia" w:ascii="宋体" w:hAnsi="宋体"/>
          <w:color w:val="auto"/>
          <w:szCs w:val="21"/>
          <w:highlight w:val="none"/>
          <w:lang w:val="en-US" w:eastAsia="zh-CN"/>
        </w:rPr>
        <w:t xml:space="preserve">一年</w:t>
      </w:r>
      <w:r>
        <w:rPr>
          <w:rFonts w:ascii="宋体" w:hAnsi="宋体"/>
          <w:color w:val="auto"/>
          <w:szCs w:val="21"/>
          <w:highlight w:val="none"/>
        </w:rPr>
        <w:t xml:space="preserve">。</w:t>
      </w:r>
      <w:r/>
    </w:p>
    <w:p>
      <w:pPr>
        <w:ind w:firstLine="422"/>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rPr>
        <w:t xml:space="preserve">四、</w:t>
      </w:r>
      <w:r>
        <w:rPr>
          <w:rFonts w:hint="eastAsia" w:ascii="宋体" w:hAnsi="宋体"/>
          <w:b/>
          <w:bCs/>
          <w:color w:val="auto"/>
          <w:szCs w:val="21"/>
          <w:highlight w:val="none"/>
          <w:lang w:val="en-US" w:eastAsia="zh-CN"/>
        </w:rPr>
        <w:t xml:space="preserve">服务内容</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（一）水生植物养护</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（1）养护范围：129835㎡水生植物区域，含沉水植物、挺水植物、浮叶植物、荷花控制区。</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（2）日常养护内容</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1.治虫、施肥：按季节科学施药、施肥，禁止使用高毒农药；</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2.收割清理：沉水植物、挺水植物枯萎后及时收割，残体全部清运消纳，不得遗留湖底；</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3.补种维护：对死亡、缺失植物及时补种，</w:t>
      </w:r>
      <w:r>
        <w:rPr>
          <w:rFonts w:hint="eastAsia" w:ascii="宋体" w:hAnsi="宋体"/>
          <w:b w:val="0"/>
          <w:bCs w:val="0"/>
          <w:color w:val="auto"/>
          <w:szCs w:val="21"/>
          <w:highlight w:val="none"/>
          <w:lang w:val="en-US" w:eastAsia="zh-CN"/>
        </w:rPr>
        <w:t xml:space="preserve">植物密度与原密度相当</w:t>
      </w:r>
      <w:r>
        <w:rPr>
          <w:rFonts w:hint="eastAsia" w:ascii="宋体" w:hAnsi="宋体"/>
          <w:b w:val="0"/>
          <w:bCs w:val="0"/>
          <w:color w:val="auto"/>
          <w:szCs w:val="21"/>
          <w:highlight w:val="none"/>
        </w:rPr>
        <w:t xml:space="preserve">；</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4.荷花管控：严格控制荷花蔓延，维护阻根带，</w:t>
      </w:r>
      <w:r>
        <w:rPr>
          <w:rFonts w:hint="eastAsia" w:ascii="宋体" w:hAnsi="宋体"/>
          <w:b w:val="0"/>
          <w:bCs w:val="0"/>
          <w:color w:val="auto"/>
          <w:szCs w:val="21"/>
          <w:highlight w:val="none"/>
          <w:lang w:val="en-US" w:eastAsia="zh-CN"/>
        </w:rPr>
        <w:t xml:space="preserve">越出阻根带的部分及时清理</w:t>
      </w:r>
      <w:r>
        <w:rPr>
          <w:rFonts w:hint="eastAsia" w:ascii="宋体" w:hAnsi="宋体"/>
          <w:b w:val="0"/>
          <w:bCs w:val="0"/>
          <w:color w:val="auto"/>
          <w:szCs w:val="21"/>
          <w:highlight w:val="none"/>
        </w:rPr>
        <w:t xml:space="preserve">；</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5.入侵物种防控：及时清除空心莲子草等入侵物种，防止扩散。</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（3）养护频次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1.日常巡查：每日1次；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2.修剪：每半年至少1次，重点区域按需加密；</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3.病虫害防治：每月排查 1次，发现问题 72 小时内处置。</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（二）河道养护与保洁</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（1）保洁范围：167890㎡河道及岸线区域。</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（2）常态保洁要求</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1.每日专人打捞，巡回保洁，水面无漂浮垃圾、无落叶、无动物尸体；</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2.岸线无垃圾、无杂草、无堆放杂物，整洁美观；</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3.暴雨、行洪后 24 小时内完成垃圾、杂草、障碍物清理；</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4.蓝藻、青苔采用微生物制剂</w:t>
      </w:r>
      <w:r>
        <w:rPr>
          <w:rFonts w:hint="eastAsia" w:ascii="宋体" w:hAnsi="宋体"/>
          <w:b w:val="0"/>
          <w:bCs w:val="0"/>
          <w:color w:val="auto"/>
          <w:szCs w:val="21"/>
          <w:highlight w:val="none"/>
          <w:lang w:val="en-US" w:eastAsia="zh-CN"/>
        </w:rPr>
        <w:t xml:space="preserve">等方法</w:t>
      </w:r>
      <w:r>
        <w:rPr>
          <w:rFonts w:hint="eastAsia" w:ascii="宋体" w:hAnsi="宋体"/>
          <w:b w:val="0"/>
          <w:bCs w:val="0"/>
          <w:color w:val="auto"/>
          <w:szCs w:val="21"/>
          <w:highlight w:val="none"/>
        </w:rPr>
        <w:t xml:space="preserve">处理，不得使用化学药剂污染水体；</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5.所有垃圾、植物弃料当日清运、规范消纳，不得随意倾倒。</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（3）保洁频次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1.日常巡回保洁：每日不少于 2 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2.全面保洁：每周 1 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3.应急清理：接到通知立即处置，最长不超过 24 小时。</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（三）水质监测站运维（2 套）</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（1）运维内容</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1.耗材、药剂定期更换，废液规范处理；</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2.电费按时缴纳，设备日常巡检、故障处理、校准校验；</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3.建立运维台账、耗材更换台账、废液处理台账，记录完整可追溯；</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4.保障监测数据实时、准确、稳定传输，确保在线监测正常运行。</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（2）运维要求</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1.每日巡检 1 次，每月校准 1 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2.故障发生后 4 小时内响应，24 小时内修复；</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3.耗材、药剂提前储备，不得因缺货停机。</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（四）压力水箱运维（1 套）</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（1）运维内容</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1.电费按时缴纳，日常维护、巡检、故障处理、校准校验；</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2.建立运维台账，记录运行状态、维护时间、处理结果；</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3.保障压力水箱稳定运行，无漏水、无异常声响、无停摆。</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（2）运维要求</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1.每周巡检不少于 2 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2.现异常立即停机处置，排除故障后方可重启。</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（五）水质调控与应急处理</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（1）常态调控</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w:t>
      </w:r>
      <w:r>
        <w:rPr>
          <w:rFonts w:hint="eastAsia" w:ascii="宋体" w:hAnsi="宋体"/>
          <w:b w:val="0"/>
          <w:bCs w:val="0"/>
          <w:color w:val="auto"/>
          <w:szCs w:val="21"/>
          <w:highlight w:val="none"/>
          <w:lang w:val="en-US" w:eastAsia="zh-CN"/>
        </w:rPr>
        <w:t xml:space="preserve">定</w:t>
      </w:r>
      <w:r>
        <w:rPr>
          <w:rFonts w:hint="eastAsia" w:ascii="宋体" w:hAnsi="宋体"/>
          <w:b w:val="0"/>
          <w:bCs w:val="0"/>
          <w:color w:val="auto"/>
          <w:szCs w:val="21"/>
          <w:highlight w:val="none"/>
        </w:rPr>
        <w:t xml:space="preserve">期开展水质监测，根据水质情况实施微生物制剂投放、水体循环等调控措施；</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2.保持水体溶解氧、透明度达标，防止水质恶化、黑臭现象。</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（2）应急处置</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1.水质突变、蓝藻暴发、水体黑臭、垃圾大面积漂浮等情况立即启动应急</w:t>
      </w:r>
      <w:r>
        <w:rPr>
          <w:rFonts w:hint="eastAsia" w:ascii="宋体" w:hAnsi="宋体"/>
          <w:b w:val="0"/>
          <w:bCs w:val="0"/>
          <w:color w:val="auto"/>
          <w:szCs w:val="21"/>
          <w:highlight w:val="none"/>
          <w:lang w:val="en-US" w:eastAsia="zh-CN"/>
        </w:rPr>
        <w:t xml:space="preserve">措施</w:t>
      </w:r>
      <w:r>
        <w:rPr>
          <w:rFonts w:hint="eastAsia" w:ascii="宋体" w:hAnsi="宋体"/>
          <w:b w:val="0"/>
          <w:bCs w:val="0"/>
          <w:color w:val="auto"/>
          <w:szCs w:val="21"/>
          <w:highlight w:val="none"/>
        </w:rPr>
        <w:t xml:space="preserve">；</w:t>
      </w:r>
      <w:r/>
    </w:p>
    <w:p>
      <w:pPr>
        <w:ind w:firstLine="422"/>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2.第一时间上报管理部门，采取打捞、调控、药剂处置等措施；</w:t>
      </w:r>
      <w:r/>
    </w:p>
    <w:p>
      <w:pPr>
        <w:ind w:firstLine="422"/>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3.应急处置全过程记录，形成应急报告。</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（六）</w:t>
      </w:r>
      <w:r>
        <w:rPr>
          <w:rFonts w:hint="default" w:ascii="宋体" w:hAnsi="宋体"/>
          <w:color w:val="auto"/>
          <w:szCs w:val="21"/>
          <w:highlight w:val="none"/>
          <w:lang w:val="en-US" w:eastAsia="zh-CN"/>
        </w:rPr>
        <w:t xml:space="preserve">日常巡查管护细则</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w:t>
      </w:r>
      <w:r>
        <w:rPr>
          <w:rFonts w:hint="default" w:ascii="宋体" w:hAnsi="宋体"/>
          <w:color w:val="auto"/>
          <w:szCs w:val="21"/>
          <w:highlight w:val="none"/>
          <w:lang w:val="en-US" w:eastAsia="zh-CN"/>
        </w:rPr>
        <w:t xml:space="preserve">巡查内容</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每日对以下内容开展全覆盖巡查，发现异常立即处置并上报：（1）水面是否存在成片漂浮物、浮泥、藻类聚集、垃圾、动物尸体；（2）是否存在污水直排、雨污混排、岸线污染源、水体发黑发臭；（3）水生植物是否枯萎、倒伏、病虫害、过度蔓延、残体堆积；（4）鱼类、底栖动物是否异常死亡；（5）监测站、压力水箱、生态潜堤、阻根带等设施是否完好；（6）是否存在违规垂钓、放生、排污、倾倒、破坏生态行为。</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w:t>
      </w:r>
      <w:r>
        <w:rPr>
          <w:rFonts w:hint="default" w:ascii="宋体" w:hAnsi="宋体"/>
          <w:color w:val="auto"/>
          <w:szCs w:val="21"/>
          <w:highlight w:val="none"/>
          <w:lang w:val="en-US" w:eastAsia="zh-CN"/>
        </w:rPr>
        <w:t xml:space="preserve">巡查频次</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一线运维人员：每日至少 1次巡回巡查；</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项目管理人员：每周至少 1次全面检查；</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单位主要负责人：每月至少 1次综合督查。</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蓝藻暴发期、汛期、高温期：每日2次及以上加密巡查。</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default" w:ascii="宋体" w:hAnsi="宋体"/>
          <w:color w:val="auto"/>
          <w:szCs w:val="21"/>
          <w:highlight w:val="none"/>
          <w:lang w:val="en-US" w:eastAsia="zh-CN"/>
        </w:rPr>
        <w:t xml:space="preserve">巡查记录与报告</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（1）每日16:00 前完成《日常巡查台账》，做到一事一记、一处一拍；</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（2）发现水污染、大面积漂浮物、植物暴发等情况立即上报，同步采取应急措施；</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（3）每周形成周报、每月形成月报，按要求报送主管部门；</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（4）蓝藻、水葫芦、绿萍等暴发生态事件期间每日上报处置情况。</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w:t>
      </w:r>
      <w:r>
        <w:rPr>
          <w:rFonts w:hint="default" w:ascii="宋体" w:hAnsi="宋体"/>
          <w:color w:val="auto"/>
          <w:szCs w:val="21"/>
          <w:highlight w:val="none"/>
          <w:lang w:val="en-US" w:eastAsia="zh-CN"/>
        </w:rPr>
        <w:t xml:space="preserve">巡查配置</w:t>
      </w:r>
      <w:r/>
    </w:p>
    <w:p>
      <w:pPr>
        <w:ind w:firstLine="420"/>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每组巡查人员不少于2人，必须穿戴救生装备；日常以岸线巡查为主；涉水污染溯源启用巡查船；重点区域与暴发期使用无人机航拍核查。</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五</w:t>
      </w:r>
      <w:r>
        <w:rPr>
          <w:rFonts w:hint="eastAsia" w:ascii="宋体" w:hAnsi="宋体"/>
          <w:b/>
          <w:bCs/>
          <w:color w:val="auto"/>
          <w:szCs w:val="21"/>
          <w:highlight w:val="none"/>
        </w:rPr>
        <w:t xml:space="preserve">、采购人、成交人双方权利和义务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（一）采购人相关权利、义务</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、负责承担</w:t>
      </w:r>
      <w:r>
        <w:rPr>
          <w:rFonts w:hint="eastAsia" w:ascii="宋体" w:hAnsi="宋体"/>
          <w:b w:val="0"/>
          <w:bCs w:val="0"/>
          <w:color w:val="auto"/>
          <w:szCs w:val="21"/>
          <w:highlight w:val="none"/>
          <w:lang w:val="en-US" w:eastAsia="zh-CN"/>
        </w:rPr>
        <w:t xml:space="preserve">运维</w:t>
      </w:r>
      <w:r>
        <w:rPr>
          <w:rFonts w:hint="eastAsia" w:ascii="宋体" w:hAnsi="宋体"/>
          <w:b w:val="0"/>
          <w:bCs w:val="0"/>
          <w:color w:val="auto"/>
          <w:szCs w:val="21"/>
          <w:highlight w:val="none"/>
        </w:rPr>
        <w:t xml:space="preserve">管理的费用。按照“</w:t>
      </w:r>
      <w:r>
        <w:rPr>
          <w:rFonts w:hint="eastAsia" w:hAnsi="宋体" w:cs="宋体"/>
          <w:b w:val="0"/>
          <w:bCs w:val="0"/>
          <w:color w:val="auto"/>
          <w:sz w:val="21"/>
          <w:highlight w:val="none"/>
        </w:rPr>
        <w:t xml:space="preserve">《扬州市邗江区明月湖水生态修复工程运维管护</w:t>
      </w:r>
      <w:r>
        <w:rPr>
          <w:rFonts w:hint="eastAsia" w:hAnsi="宋体" w:cs="宋体"/>
          <w:b w:val="0"/>
          <w:bCs w:val="0"/>
          <w:color w:val="auto"/>
          <w:sz w:val="21"/>
          <w:highlight w:val="none"/>
          <w:lang w:val="en-US" w:eastAsia="zh-CN"/>
        </w:rPr>
        <w:t xml:space="preserve">评估办法</w:t>
      </w:r>
      <w:r>
        <w:rPr>
          <w:rFonts w:hint="eastAsia" w:hAnsi="宋体" w:cs="宋体"/>
          <w:b w:val="0"/>
          <w:bCs w:val="0"/>
          <w:color w:val="auto"/>
          <w:sz w:val="21"/>
          <w:highlight w:val="none"/>
        </w:rPr>
        <w:t xml:space="preserve">》</w:t>
      </w:r>
      <w:r>
        <w:rPr>
          <w:rFonts w:hint="eastAsia" w:ascii="宋体" w:hAnsi="宋体"/>
          <w:b w:val="0"/>
          <w:bCs w:val="0"/>
          <w:color w:val="auto"/>
          <w:szCs w:val="21"/>
          <w:highlight w:val="none"/>
        </w:rPr>
        <w:t xml:space="preserve">”规定，根据每季度考核结果，结算成交人的保洁管理费用，“</w:t>
      </w:r>
      <w:r>
        <w:rPr>
          <w:rFonts w:hint="eastAsia" w:hAnsi="宋体" w:cs="宋体"/>
          <w:b w:val="0"/>
          <w:bCs w:val="0"/>
          <w:color w:val="auto"/>
          <w:sz w:val="21"/>
          <w:highlight w:val="none"/>
        </w:rPr>
        <w:t xml:space="preserve">《扬州市邗江区明月湖水生态修复工程运维管护</w:t>
      </w:r>
      <w:r>
        <w:rPr>
          <w:rFonts w:hint="eastAsia" w:hAnsi="宋体" w:cs="宋体"/>
          <w:b w:val="0"/>
          <w:bCs w:val="0"/>
          <w:color w:val="auto"/>
          <w:sz w:val="21"/>
          <w:highlight w:val="none"/>
          <w:lang w:val="en-US" w:eastAsia="zh-CN"/>
        </w:rPr>
        <w:t xml:space="preserve">评估办法</w:t>
      </w:r>
      <w:r>
        <w:rPr>
          <w:rFonts w:hint="eastAsia" w:hAnsi="宋体" w:cs="宋体"/>
          <w:b w:val="0"/>
          <w:bCs w:val="0"/>
          <w:color w:val="auto"/>
          <w:sz w:val="21"/>
          <w:highlight w:val="none"/>
        </w:rPr>
        <w:t xml:space="preserve">》</w:t>
      </w:r>
      <w:r>
        <w:rPr>
          <w:rFonts w:hint="eastAsia" w:ascii="宋体" w:hAnsi="宋体"/>
          <w:b w:val="0"/>
          <w:bCs w:val="0"/>
          <w:color w:val="auto"/>
          <w:szCs w:val="21"/>
          <w:highlight w:val="none"/>
        </w:rPr>
        <w:t xml:space="preserve">”作为合同附件。</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、协助成交人处理保洁管理过程中所遇到的矛盾，以保证</w:t>
      </w:r>
      <w:r>
        <w:rPr>
          <w:rFonts w:hint="eastAsia" w:ascii="宋体" w:hAnsi="宋体"/>
          <w:color w:val="auto"/>
          <w:szCs w:val="21"/>
          <w:highlight w:val="none"/>
          <w:lang w:val="en-US" w:eastAsia="zh-CN"/>
        </w:rPr>
        <w:t xml:space="preserve">运维</w:t>
      </w:r>
      <w:r>
        <w:rPr>
          <w:rFonts w:hint="eastAsia" w:ascii="宋体" w:hAnsi="宋体"/>
          <w:color w:val="auto"/>
          <w:szCs w:val="21"/>
          <w:highlight w:val="none"/>
        </w:rPr>
        <w:t xml:space="preserve">工作正常实施。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（二）成交人相关权利、义务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1、成交人成交后应根据招标文件要求提供保洁人员花名册、劳动合同、购买意外险的证明材料以及健康证。所有签订劳动合同的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人员从业期间年龄应符合劳动合同法的规定，且身体健康，持健康证上岗。</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负责职责保洁范围内水面和打捞垃圾堆放处岸坡的长效保洁和养护，及时打捞和清除河道内的漂浮物、垃圾、病死畜禽和水生植物等，确保达到无水生杂草、无垃圾、无漂浮物、无病死畜禽、河坡上无杂物堆放的“五无”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、成交人配备相应的安全设备和打捞工具，并配备有经验的满足河道保洁需要的水上作业人员。</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、成交人服从采购人监督管理和指导，无条件服从政府重大活动、节假日、重大检查及突击任务时对河道卫生保洁相关要求，做好河道环境的维护管理工作。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、实际工作中，若有合同范围以外的工作任务，采购人应向成交人派发由分管领导签发的工作任务单，成交人按任务单要求必须无条件完成工作任务，由采购人验收合格后支付成交人费用。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成交人应遵循《中华人民共和国安全保障法》、《中华人民共和国劳动法》的各项规定，做到规范操作、规范用工，并按规定办理意外伤害险等。成交人应做好安全保障工作，对其聘用的人员进行安全培训，配备必要的安全防护用具(如救生衣等)，并负责承担安全的全部责任(成交人的任何劳务、安全及意外伤害等纠纷和补偿均自行负责)；成交人负责从业人员、船只及垃圾外运的安全与管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、如遇突发情况，积极响应采购人保洁要求，响应时间2小时，响应不及时则罚款 1000元整。</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六</w:t>
      </w:r>
      <w:r>
        <w:rPr>
          <w:rFonts w:hint="eastAsia" w:ascii="宋体" w:hAnsi="宋体"/>
          <w:b/>
          <w:bCs/>
          <w:color w:val="auto"/>
          <w:szCs w:val="21"/>
          <w:highlight w:val="none"/>
        </w:rPr>
        <w:t xml:space="preserve">、</w:t>
      </w:r>
      <w:bookmarkStart w:id="27" w:name="_Toc237540256"/>
      <w:r/>
      <w:bookmarkStart w:id="28" w:name="_Toc247534993"/>
      <w:r/>
      <w:bookmarkStart w:id="29" w:name="_Toc269050409"/>
      <w:r/>
      <w:bookmarkStart w:id="30" w:name="_Toc237541627"/>
      <w:r/>
      <w:bookmarkStart w:id="31" w:name="_Toc275953502"/>
      <w:r>
        <w:rPr>
          <w:rFonts w:ascii="宋体" w:hAnsi="宋体"/>
          <w:b/>
          <w:bCs/>
          <w:color w:val="auto"/>
          <w:szCs w:val="21"/>
          <w:highlight w:val="none"/>
        </w:rPr>
        <w:t xml:space="preserve">计量和支付</w:t>
      </w:r>
      <w:bookmarkEnd w:id="27"/>
      <w:r/>
      <w:bookmarkEnd w:id="28"/>
      <w:r/>
      <w:bookmarkEnd w:id="29"/>
      <w:r/>
      <w:bookmarkEnd w:id="30"/>
      <w:r/>
      <w:bookmarkEnd w:id="31"/>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ascii="宋体" w:hAnsi="宋体"/>
          <w:color w:val="auto"/>
          <w:szCs w:val="21"/>
          <w:highlight w:val="none"/>
        </w:rPr>
        <w:t xml:space="preserve">除合同另有规定外，本合同为单价承包项目（部分为总价），其单价或总价包含河道岸坡保洁、清理、弃运、设施管护及一切必要的辅助工作等所包含的各项人工、材料、机械、管理费、间接费、利润、</w:t>
      </w:r>
      <w:r>
        <w:rPr>
          <w:rFonts w:hint="eastAsia" w:ascii="宋体" w:hAnsi="宋体"/>
          <w:color w:val="auto"/>
          <w:szCs w:val="21"/>
          <w:highlight w:val="none"/>
        </w:rPr>
        <w:t xml:space="preserve">规费、</w:t>
      </w:r>
      <w:r>
        <w:rPr>
          <w:rFonts w:ascii="宋体" w:hAnsi="宋体"/>
          <w:color w:val="auto"/>
          <w:szCs w:val="21"/>
          <w:highlight w:val="none"/>
        </w:rPr>
        <w:t xml:space="preserve">税金等。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未列入工程量清单中的其它项目和工程量，被认为是供应商实施本工程或本技术条款其它章节有关项目的附属工作，其费用应视为已分配在相关工程的单价和总价中，均不单独计量支付。</w:t>
      </w:r>
      <w:r/>
    </w:p>
    <w:p>
      <w:pPr>
        <w:ind w:firstLine="420"/>
        <w:spacing w:line="360" w:lineRule="auto"/>
        <w:rPr>
          <w:rFonts w:hint="eastAsia" w:ascii="宋体" w:hAnsi="宋体"/>
          <w:b w:val="0"/>
          <w:bCs w:val="0"/>
          <w:color w:val="auto"/>
          <w:szCs w:val="21"/>
          <w:highlight w:val="none"/>
        </w:rPr>
      </w:pPr>
      <w:r>
        <w:rPr>
          <w:rFonts w:hint="eastAsia" w:ascii="宋体" w:hAnsi="宋体"/>
          <w:color w:val="auto"/>
          <w:szCs w:val="21"/>
          <w:highlight w:val="none"/>
        </w:rPr>
        <w:t xml:space="preserve">3、日常管护费用</w:t>
      </w:r>
      <w:r>
        <w:rPr>
          <w:rFonts w:ascii="宋体" w:hAnsi="宋体"/>
          <w:color w:val="auto"/>
          <w:szCs w:val="21"/>
          <w:highlight w:val="none"/>
        </w:rPr>
        <w:t xml:space="preserve">按季度进行支付。</w:t>
      </w:r>
      <w:r>
        <w:rPr>
          <w:rFonts w:hint="eastAsia" w:ascii="宋体" w:hAnsi="宋体"/>
          <w:color w:val="auto"/>
          <w:szCs w:val="21"/>
          <w:highlight w:val="none"/>
        </w:rPr>
        <w:t xml:space="preserve">具体金额以季度考核得分为依据，90分为合格分，90分以下按得分百分比对该季度进行折扣支付，</w:t>
      </w:r>
      <w:r>
        <w:rPr>
          <w:rFonts w:ascii="宋体" w:hAnsi="宋体"/>
          <w:color w:val="auto"/>
          <w:szCs w:val="21"/>
          <w:highlight w:val="none"/>
        </w:rPr>
        <w:t xml:space="preserve">考核未达到</w:t>
      </w:r>
      <w:r>
        <w:rPr>
          <w:rFonts w:hint="eastAsia" w:ascii="宋体" w:hAnsi="宋体" w:eastAsia="宋体" w:cs="宋体"/>
          <w:b w:val="0"/>
          <w:bCs w:val="0"/>
          <w:color w:val="auto"/>
          <w:sz w:val="21"/>
          <w:szCs w:val="21"/>
          <w:highlight w:val="none"/>
        </w:rPr>
        <w:t xml:space="preserve">《扬州市邗江区明月湖水生态修复工程运维管护</w:t>
      </w:r>
      <w:r>
        <w:rPr>
          <w:rFonts w:hint="eastAsia" w:ascii="宋体" w:hAnsi="宋体" w:eastAsia="宋体" w:cs="宋体"/>
          <w:b w:val="0"/>
          <w:bCs w:val="0"/>
          <w:color w:val="auto"/>
          <w:sz w:val="21"/>
          <w:szCs w:val="21"/>
          <w:highlight w:val="none"/>
          <w:lang w:val="en-US" w:eastAsia="zh-CN"/>
        </w:rPr>
        <w:t xml:space="preserve">评估办法》</w:t>
      </w:r>
      <w:r>
        <w:rPr>
          <w:rFonts w:ascii="宋体" w:hAnsi="宋体"/>
          <w:b w:val="0"/>
          <w:bCs w:val="0"/>
          <w:color w:val="auto"/>
          <w:szCs w:val="21"/>
          <w:highlight w:val="none"/>
        </w:rPr>
        <w:t xml:space="preserve">规定标准要求的，不予支付。</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w:t>
      </w:r>
      <w:r>
        <w:rPr>
          <w:rFonts w:ascii="宋体" w:hAnsi="宋体"/>
          <w:b/>
          <w:bCs/>
          <w:color w:val="auto"/>
          <w:szCs w:val="21"/>
          <w:highlight w:val="none"/>
        </w:rPr>
        <w:t xml:space="preserve">具体管护标准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详见《扬州市邗江区明月湖水生态修复工程运维管护要求》</w:t>
      </w:r>
      <w:r/>
    </w:p>
    <w:p>
      <w:pPr>
        <w:ind w:firstLine="422"/>
        <w:spacing w:line="360" w:lineRule="auto"/>
        <w:rPr>
          <w:rFonts w:hint="default" w:ascii="宋体" w:hAnsi="宋体" w:eastAsia="方正仿宋_GBK"/>
          <w:b/>
          <w:bCs/>
          <w:color w:val="auto"/>
          <w:szCs w:val="21"/>
          <w:highlight w:val="none"/>
          <w:lang w:val="en-US" w:eastAsia="zh-CN"/>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、考核办法：</w:t>
      </w:r>
      <w:r/>
    </w:p>
    <w:p>
      <w:pPr>
        <w:jc w:val="center"/>
        <w:spacing w:line="360" w:lineRule="auto"/>
        <w:rPr>
          <w:rFonts w:hint="eastAsia" w:ascii="宋体" w:hAnsi="宋体" w:eastAsia="宋体" w:cs="宋体"/>
          <w:sz w:val="21"/>
          <w:szCs w:val="21"/>
        </w:rPr>
      </w:pPr>
      <w:r>
        <w:rPr>
          <w:rFonts w:hint="eastAsia" w:ascii="宋体" w:hAnsi="宋体" w:eastAsia="宋体" w:cs="宋体"/>
          <w:b/>
          <w:bCs/>
          <w:color w:val="auto"/>
          <w:sz w:val="21"/>
          <w:szCs w:val="21"/>
          <w:highlight w:val="none"/>
        </w:rPr>
        <w:t xml:space="preserve">扬州市邗江区明月湖水生态修复工程运维管护</w:t>
      </w:r>
      <w:r>
        <w:rPr>
          <w:rFonts w:hint="eastAsia" w:ascii="宋体" w:hAnsi="宋体" w:eastAsia="宋体" w:cs="宋体"/>
          <w:b/>
          <w:bCs/>
          <w:color w:val="auto"/>
          <w:sz w:val="21"/>
          <w:szCs w:val="21"/>
          <w:highlight w:val="none"/>
          <w:lang w:val="en-US" w:eastAsia="zh-CN"/>
        </w:rPr>
        <w:t xml:space="preserve">评估办法</w:t>
      </w:r>
      <w:r/>
    </w:p>
    <w:tbl>
      <w:tblPr>
        <w:tblStyle w:val="101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4"/>
        <w:gridCol w:w="1011"/>
        <w:gridCol w:w="1011"/>
        <w:gridCol w:w="4339"/>
        <w:gridCol w:w="654"/>
        <w:gridCol w:w="614"/>
      </w:tblGrid>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序号</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 xml:space="preserve">管理内容</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所占分数</w:t>
            </w:r>
            <w:r/>
          </w:p>
        </w:tc>
        <w:tc>
          <w:tcPr>
            <w:tcW w:w="2609"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考核标准</w:t>
            </w:r>
            <w:r/>
          </w:p>
        </w:tc>
        <w:tc>
          <w:tcPr>
            <w:tcW w:w="393"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 xml:space="preserve">扣分</w:t>
            </w:r>
            <w:r/>
          </w:p>
        </w:tc>
        <w:tc>
          <w:tcPr>
            <w:tcW w:w="369"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 xml:space="preserve">得分</w:t>
            </w:r>
            <w:r/>
          </w:p>
        </w:tc>
      </w:tr>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1</w:t>
            </w:r>
            <w:r/>
          </w:p>
        </w:tc>
        <w:tc>
          <w:tcPr>
            <w:shd w:val="clear" w:color="auto" w:fill="auto"/>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sz w:val="21"/>
                <w:szCs w:val="21"/>
              </w:rPr>
              <w:t xml:space="preserve">植物</w:t>
            </w:r>
            <w:r>
              <w:rPr>
                <w:rFonts w:hint="eastAsia" w:cs="宋体"/>
                <w:color w:val="auto"/>
                <w:spacing w:val="4"/>
                <w:sz w:val="21"/>
                <w:szCs w:val="21"/>
                <w:lang w:val="en-US" w:eastAsia="zh-CN"/>
              </w:rPr>
              <w:t xml:space="preserve">养护</w:t>
            </w:r>
            <w:r/>
          </w:p>
        </w:tc>
        <w:tc>
          <w:tcPr>
            <w:shd w:val="clear" w:color="auto" w:fill="auto"/>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3"/>
                <w:sz w:val="21"/>
                <w:szCs w:val="21"/>
              </w:rPr>
              <w:t xml:space="preserve">20</w:t>
            </w:r>
            <w:r/>
          </w:p>
        </w:tc>
        <w:tc>
          <w:tcPr>
            <w:shd w:val="clear" w:color="auto" w:fill="auto"/>
            <w:tcW w:w="2609" w:type="pct"/>
            <w:vAlign w:val="center"/>
            <w:textDirection w:val="lrTb"/>
            <w:noWrap w:val="false"/>
          </w:tcPr>
          <w:p>
            <w:pPr>
              <w:pStyle w:val="1015"/>
              <w:ind w:left="0" w:right="0"/>
              <w:jc w:val="left"/>
              <w:keepLines w:val="0"/>
              <w:keepNext w:val="0"/>
              <w:pageBreakBefore w:val="0"/>
              <w:spacing w:line="240" w:lineRule="auto"/>
              <w:widowControl/>
              <w:rPr>
                <w:rFonts w:hint="default" w:ascii="宋体" w:hAnsi="宋体" w:eastAsia="宋体" w:cs="宋体"/>
                <w:color w:val="auto"/>
                <w:spacing w:val="-1"/>
                <w:sz w:val="21"/>
                <w:szCs w:val="21"/>
                <w:u w:val="none"/>
                <w:lang w:val="en-US" w:eastAsia="zh-CN"/>
              </w:rPr>
            </w:pPr>
            <w:r>
              <w:rPr>
                <w:rFonts w:hint="eastAsia" w:ascii="宋体" w:hAnsi="宋体" w:eastAsia="宋体" w:cs="宋体"/>
                <w:color w:val="auto"/>
                <w:spacing w:val="-1"/>
                <w:sz w:val="21"/>
                <w:szCs w:val="21"/>
                <w:u w:val="none"/>
              </w:rPr>
              <w:t xml:space="preserve">1.按季节科学施药、施肥，禁止使用高毒农药；</w:t>
            </w:r>
            <w:r>
              <w:rPr>
                <w:rFonts w:hint="eastAsia" w:cs="宋体"/>
                <w:color w:val="auto"/>
                <w:spacing w:val="-1"/>
                <w:sz w:val="21"/>
                <w:szCs w:val="21"/>
                <w:u w:val="none"/>
                <w:lang w:val="en-US" w:eastAsia="zh-CN"/>
              </w:rPr>
              <w:t xml:space="preserve">未按要求施药、施肥，扣2分。</w:t>
            </w:r>
            <w:r/>
          </w:p>
          <w:p>
            <w:pPr>
              <w:pStyle w:val="1015"/>
              <w:ind w:left="0" w:right="0"/>
              <w:jc w:val="left"/>
              <w:keepLines w:val="0"/>
              <w:keepNext w:val="0"/>
              <w:pageBreakBefore w:val="0"/>
              <w:spacing w:line="240" w:lineRule="auto"/>
              <w:widowControl/>
              <w:rPr>
                <w:rFonts w:hint="eastAsia" w:ascii="宋体" w:hAnsi="宋体" w:eastAsia="宋体" w:cs="宋体"/>
                <w:color w:val="auto"/>
                <w:sz w:val="21"/>
                <w:szCs w:val="21"/>
                <w:u w:val="none"/>
              </w:rPr>
            </w:pPr>
            <w:r>
              <w:rPr>
                <w:rFonts w:hint="eastAsia" w:ascii="宋体" w:hAnsi="宋体" w:eastAsia="宋体" w:cs="宋体"/>
                <w:color w:val="auto"/>
                <w:spacing w:val="-1"/>
                <w:sz w:val="21"/>
                <w:szCs w:val="21"/>
                <w:u w:val="none"/>
              </w:rPr>
              <w:t xml:space="preserve">2.沉水植物、挺水植物枯萎后及时收割，残体全部清运消纳，不得遗留湖底；</w:t>
            </w:r>
            <w:r>
              <w:rPr>
                <w:rFonts w:hint="eastAsia" w:ascii="宋体" w:hAnsi="宋体" w:eastAsia="宋体" w:cs="宋体"/>
                <w:color w:val="auto"/>
                <w:sz w:val="21"/>
                <w:szCs w:val="21"/>
                <w:u w:val="none"/>
              </w:rPr>
              <w:t xml:space="preserve">如不及</w:t>
            </w:r>
            <w:r>
              <w:rPr>
                <w:rFonts w:hint="eastAsia" w:ascii="宋体" w:hAnsi="宋体" w:eastAsia="宋体" w:cs="宋体"/>
                <w:color w:val="auto"/>
                <w:spacing w:val="-1"/>
                <w:sz w:val="21"/>
                <w:szCs w:val="21"/>
                <w:u w:val="none"/>
              </w:rPr>
              <w:t xml:space="preserve">时清除扣除1分。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rPr>
            </w:pPr>
            <w:r>
              <w:rPr>
                <w:rFonts w:hint="eastAsia" w:ascii="宋体" w:hAnsi="宋体" w:eastAsia="宋体" w:cs="宋体"/>
                <w:color w:val="auto"/>
                <w:spacing w:val="-1"/>
                <w:sz w:val="21"/>
                <w:szCs w:val="21"/>
                <w:u w:val="none"/>
              </w:rPr>
              <w:t xml:space="preserve">3.对死亡、缺失植物及时补种，植物密度与原密度相当；未进行扣除1分。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rPr>
            </w:pPr>
            <w:r>
              <w:rPr>
                <w:rFonts w:hint="eastAsia" w:ascii="宋体" w:hAnsi="宋体" w:eastAsia="宋体" w:cs="宋体"/>
                <w:color w:val="auto"/>
                <w:spacing w:val="-1"/>
                <w:sz w:val="21"/>
                <w:szCs w:val="21"/>
                <w:u w:val="none"/>
              </w:rPr>
              <w:t xml:space="preserve">4.荷花管控：严格控制荷花蔓延，维护阻根带，越出阻根带的部分及时清理；</w:t>
            </w:r>
            <w:r>
              <w:rPr>
                <w:rFonts w:hint="eastAsia" w:ascii="宋体" w:hAnsi="宋体" w:eastAsia="宋体" w:cs="宋体"/>
                <w:color w:val="auto"/>
                <w:sz w:val="21"/>
                <w:szCs w:val="21"/>
                <w:u w:val="none"/>
              </w:rPr>
              <w:t xml:space="preserve">如不及</w:t>
            </w:r>
            <w:r>
              <w:rPr>
                <w:rFonts w:hint="eastAsia" w:ascii="宋体" w:hAnsi="宋体" w:eastAsia="宋体" w:cs="宋体"/>
                <w:color w:val="auto"/>
                <w:spacing w:val="-1"/>
                <w:sz w:val="21"/>
                <w:szCs w:val="21"/>
                <w:u w:val="none"/>
              </w:rPr>
              <w:t xml:space="preserve">时清</w:t>
            </w:r>
            <w:r>
              <w:rPr>
                <w:rFonts w:hint="eastAsia" w:cs="宋体"/>
                <w:color w:val="auto"/>
                <w:spacing w:val="-1"/>
                <w:sz w:val="21"/>
                <w:szCs w:val="21"/>
                <w:u w:val="none"/>
                <w:lang w:val="en-US" w:eastAsia="zh-CN"/>
              </w:rPr>
              <w:t xml:space="preserve">理</w:t>
            </w:r>
            <w:r>
              <w:rPr>
                <w:rFonts w:hint="eastAsia" w:ascii="宋体" w:hAnsi="宋体" w:eastAsia="宋体" w:cs="宋体"/>
                <w:color w:val="auto"/>
                <w:spacing w:val="-1"/>
                <w:sz w:val="21"/>
                <w:szCs w:val="21"/>
                <w:u w:val="none"/>
              </w:rPr>
              <w:t xml:space="preserve">扣除1分。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lang w:val="en-US" w:eastAsia="zh-CN" w:bidi="ar-SA"/>
              </w:rPr>
            </w:pPr>
            <w:r>
              <w:rPr>
                <w:rFonts w:hint="eastAsia" w:ascii="宋体" w:hAnsi="宋体" w:eastAsia="宋体" w:cs="宋体"/>
                <w:color w:val="auto"/>
                <w:spacing w:val="-1"/>
                <w:sz w:val="21"/>
                <w:szCs w:val="21"/>
                <w:u w:val="none"/>
              </w:rPr>
              <w:t xml:space="preserve">5.及时清除空心莲子草等入侵物种，防止扩散</w:t>
            </w:r>
            <w:r>
              <w:rPr>
                <w:rFonts w:hint="eastAsia" w:cs="宋体"/>
                <w:color w:val="auto"/>
                <w:spacing w:val="-1"/>
                <w:sz w:val="21"/>
                <w:szCs w:val="21"/>
                <w:u w:val="none"/>
                <w:lang w:eastAsia="zh-CN"/>
              </w:rPr>
              <w:t xml:space="preserve">；</w:t>
            </w:r>
            <w:r>
              <w:rPr>
                <w:rFonts w:hint="eastAsia" w:ascii="宋体" w:hAnsi="宋体" w:eastAsia="宋体" w:cs="宋体"/>
                <w:color w:val="auto"/>
                <w:sz w:val="21"/>
                <w:szCs w:val="21"/>
                <w:u w:val="none"/>
              </w:rPr>
              <w:t xml:space="preserve">如不及</w:t>
            </w:r>
            <w:r>
              <w:rPr>
                <w:rFonts w:hint="eastAsia" w:ascii="宋体" w:hAnsi="宋体" w:eastAsia="宋体" w:cs="宋体"/>
                <w:color w:val="auto"/>
                <w:spacing w:val="-1"/>
                <w:sz w:val="21"/>
                <w:szCs w:val="21"/>
                <w:u w:val="none"/>
              </w:rPr>
              <w:t xml:space="preserve">时清</w:t>
            </w:r>
            <w:r>
              <w:rPr>
                <w:rFonts w:hint="eastAsia" w:cs="宋体"/>
                <w:color w:val="auto"/>
                <w:spacing w:val="-1"/>
                <w:sz w:val="21"/>
                <w:szCs w:val="21"/>
                <w:u w:val="none"/>
                <w:lang w:val="en-US" w:eastAsia="zh-CN"/>
              </w:rPr>
              <w:t xml:space="preserve">理</w:t>
            </w:r>
            <w:r>
              <w:rPr>
                <w:rFonts w:hint="eastAsia" w:ascii="宋体" w:hAnsi="宋体" w:eastAsia="宋体" w:cs="宋体"/>
                <w:color w:val="auto"/>
                <w:spacing w:val="-1"/>
                <w:sz w:val="21"/>
                <w:szCs w:val="21"/>
                <w:u w:val="none"/>
              </w:rPr>
              <w:t xml:space="preserve">扣除1分。</w:t>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环境卫生</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20</w:t>
            </w:r>
            <w:r/>
          </w:p>
        </w:tc>
        <w:tc>
          <w:tcPr>
            <w:tcW w:w="2609" w:type="pct"/>
            <w:vAlign w:val="center"/>
            <w:textDirection w:val="lrTb"/>
            <w:noWrap w:val="false"/>
          </w:tcPr>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rPr>
            </w:pPr>
            <w:r>
              <w:rPr>
                <w:rFonts w:hint="eastAsia" w:ascii="宋体" w:hAnsi="宋体" w:eastAsia="宋体" w:cs="宋体"/>
                <w:color w:val="auto"/>
                <w:spacing w:val="-2"/>
                <w:sz w:val="21"/>
                <w:szCs w:val="21"/>
                <w:u w:val="none"/>
              </w:rPr>
              <w:t xml:space="preserve">1.每日专人打捞，巡回保洁，水面无漂浮垃圾、无落叶、无动物尸体；</w:t>
            </w:r>
            <w:r>
              <w:rPr>
                <w:rFonts w:hint="eastAsia" w:cs="宋体"/>
                <w:color w:val="auto"/>
                <w:spacing w:val="-2"/>
                <w:sz w:val="21"/>
                <w:szCs w:val="21"/>
                <w:u w:val="none"/>
                <w:lang w:val="en-US" w:eastAsia="zh-CN"/>
              </w:rPr>
              <w:t xml:space="preserve">水面</w:t>
            </w:r>
            <w:r>
              <w:rPr>
                <w:rFonts w:hint="eastAsia" w:ascii="宋体" w:hAnsi="宋体" w:eastAsia="宋体" w:cs="宋体"/>
                <w:color w:val="auto"/>
                <w:spacing w:val="-1"/>
                <w:sz w:val="21"/>
                <w:szCs w:val="21"/>
                <w:u w:val="none"/>
              </w:rPr>
              <w:t xml:space="preserve">有一处垃圾扣除</w:t>
            </w:r>
            <w:r>
              <w:rPr>
                <w:rFonts w:hint="eastAsia" w:cs="宋体"/>
                <w:color w:val="auto"/>
                <w:spacing w:val="-1"/>
                <w:sz w:val="21"/>
                <w:szCs w:val="21"/>
                <w:u w:val="none"/>
                <w:lang w:val="en-US" w:eastAsia="zh-CN"/>
              </w:rPr>
              <w:t xml:space="preserve">1</w:t>
            </w:r>
            <w:r>
              <w:rPr>
                <w:rFonts w:hint="eastAsia" w:ascii="宋体" w:hAnsi="宋体" w:eastAsia="宋体" w:cs="宋体"/>
                <w:color w:val="auto"/>
                <w:spacing w:val="-1"/>
                <w:sz w:val="21"/>
                <w:szCs w:val="21"/>
                <w:u w:val="none"/>
              </w:rPr>
              <w:t xml:space="preserve">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rPr>
            </w:pPr>
            <w:r>
              <w:rPr>
                <w:rFonts w:hint="eastAsia" w:ascii="宋体" w:hAnsi="宋体" w:eastAsia="宋体" w:cs="宋体"/>
                <w:color w:val="auto"/>
                <w:spacing w:val="-2"/>
                <w:sz w:val="21"/>
                <w:szCs w:val="21"/>
                <w:u w:val="none"/>
              </w:rPr>
              <w:t xml:space="preserve">2.岸线无垃圾、无杂草、无堆放杂物，整洁美观；</w:t>
            </w:r>
            <w:r>
              <w:rPr>
                <w:rFonts w:hint="eastAsia" w:cs="宋体"/>
                <w:color w:val="auto"/>
                <w:spacing w:val="-2"/>
                <w:sz w:val="21"/>
                <w:szCs w:val="21"/>
                <w:u w:val="none"/>
                <w:lang w:val="en-US" w:eastAsia="zh-CN"/>
              </w:rPr>
              <w:t xml:space="preserve">岸线</w:t>
            </w:r>
            <w:r>
              <w:rPr>
                <w:rFonts w:hint="eastAsia" w:ascii="宋体" w:hAnsi="宋体" w:eastAsia="宋体" w:cs="宋体"/>
                <w:color w:val="auto"/>
                <w:spacing w:val="-1"/>
                <w:sz w:val="21"/>
                <w:szCs w:val="21"/>
                <w:u w:val="none"/>
              </w:rPr>
              <w:t xml:space="preserve">有一处垃圾扣除</w:t>
            </w:r>
            <w:r>
              <w:rPr>
                <w:rFonts w:hint="eastAsia" w:cs="宋体"/>
                <w:color w:val="auto"/>
                <w:spacing w:val="-1"/>
                <w:sz w:val="21"/>
                <w:szCs w:val="21"/>
                <w:u w:val="none"/>
                <w:lang w:val="en-US" w:eastAsia="zh-CN"/>
              </w:rPr>
              <w:t xml:space="preserve">1</w:t>
            </w:r>
            <w:r>
              <w:rPr>
                <w:rFonts w:hint="eastAsia" w:ascii="宋体" w:hAnsi="宋体" w:eastAsia="宋体" w:cs="宋体"/>
                <w:color w:val="auto"/>
                <w:spacing w:val="-1"/>
                <w:sz w:val="21"/>
                <w:szCs w:val="21"/>
                <w:u w:val="none"/>
              </w:rPr>
              <w:t xml:space="preserve">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rPr>
            </w:pPr>
            <w:r>
              <w:rPr>
                <w:rFonts w:hint="eastAsia" w:ascii="宋体" w:hAnsi="宋体" w:eastAsia="宋体" w:cs="宋体"/>
                <w:color w:val="auto"/>
                <w:spacing w:val="-2"/>
                <w:sz w:val="21"/>
                <w:szCs w:val="21"/>
                <w:u w:val="none"/>
              </w:rPr>
              <w:t xml:space="preserve">3.暴雨、行洪后 24 小时内完成垃圾、杂草、障碍物清理；</w:t>
            </w:r>
            <w:r>
              <w:rPr>
                <w:rFonts w:hint="eastAsia" w:ascii="宋体" w:hAnsi="宋体" w:eastAsia="宋体" w:cs="宋体"/>
                <w:color w:val="auto"/>
                <w:sz w:val="21"/>
                <w:szCs w:val="21"/>
                <w:u w:val="none"/>
              </w:rPr>
              <w:t xml:space="preserve">如不及</w:t>
            </w:r>
            <w:r>
              <w:rPr>
                <w:rFonts w:hint="eastAsia" w:ascii="宋体" w:hAnsi="宋体" w:eastAsia="宋体" w:cs="宋体"/>
                <w:color w:val="auto"/>
                <w:spacing w:val="-1"/>
                <w:sz w:val="21"/>
                <w:szCs w:val="21"/>
                <w:u w:val="none"/>
              </w:rPr>
              <w:t xml:space="preserve">时清除扣除1分。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rPr>
            </w:pPr>
            <w:r>
              <w:rPr>
                <w:rFonts w:hint="eastAsia" w:ascii="宋体" w:hAnsi="宋体" w:eastAsia="宋体" w:cs="宋体"/>
                <w:color w:val="auto"/>
                <w:spacing w:val="-2"/>
                <w:sz w:val="21"/>
                <w:szCs w:val="21"/>
                <w:u w:val="none"/>
              </w:rPr>
              <w:t xml:space="preserve">4.蓝藻、青苔采用微生物制剂等方法处理，不得使用化学药剂污染水体；</w:t>
            </w:r>
            <w:r>
              <w:rPr>
                <w:rFonts w:hint="eastAsia" w:cs="宋体"/>
                <w:color w:val="auto"/>
                <w:sz w:val="21"/>
                <w:szCs w:val="21"/>
                <w:u w:val="none"/>
                <w:lang w:val="en-US" w:eastAsia="zh-CN"/>
              </w:rPr>
              <w:t xml:space="preserve">未按要求处理</w:t>
            </w:r>
            <w:r>
              <w:rPr>
                <w:rFonts w:hint="eastAsia" w:ascii="宋体" w:hAnsi="宋体" w:eastAsia="宋体" w:cs="宋体"/>
                <w:color w:val="auto"/>
                <w:spacing w:val="-1"/>
                <w:sz w:val="21"/>
                <w:szCs w:val="21"/>
                <w:u w:val="none"/>
              </w:rPr>
              <w:t xml:space="preserve">扣除</w:t>
            </w:r>
            <w:r>
              <w:rPr>
                <w:rFonts w:hint="eastAsia" w:cs="宋体"/>
                <w:color w:val="auto"/>
                <w:spacing w:val="-1"/>
                <w:sz w:val="21"/>
                <w:szCs w:val="21"/>
                <w:u w:val="none"/>
                <w:lang w:val="en-US" w:eastAsia="zh-CN"/>
              </w:rPr>
              <w:t xml:space="preserve">2</w:t>
            </w:r>
            <w:r>
              <w:rPr>
                <w:rFonts w:hint="eastAsia" w:ascii="宋体" w:hAnsi="宋体" w:eastAsia="宋体" w:cs="宋体"/>
                <w:color w:val="auto"/>
                <w:spacing w:val="-1"/>
                <w:sz w:val="21"/>
                <w:szCs w:val="21"/>
                <w:u w:val="none"/>
              </w:rPr>
              <w:t xml:space="preserve">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lang w:eastAsia="zh-CN"/>
              </w:rPr>
            </w:pPr>
            <w:r>
              <w:rPr>
                <w:rFonts w:hint="eastAsia" w:ascii="宋体" w:hAnsi="宋体" w:eastAsia="宋体" w:cs="宋体"/>
                <w:color w:val="auto"/>
                <w:spacing w:val="-2"/>
                <w:sz w:val="21"/>
                <w:szCs w:val="21"/>
                <w:u w:val="none"/>
              </w:rPr>
              <w:t xml:space="preserve">5.所有垃圾、植物弃料当日清运、规范消纳，不得随意倾倒</w:t>
            </w:r>
            <w:r>
              <w:rPr>
                <w:rFonts w:hint="eastAsia" w:cs="宋体"/>
                <w:color w:val="auto"/>
                <w:spacing w:val="-2"/>
                <w:sz w:val="21"/>
                <w:szCs w:val="21"/>
                <w:u w:val="none"/>
                <w:lang w:eastAsia="zh-CN"/>
              </w:rPr>
              <w:t xml:space="preserve">；</w:t>
            </w:r>
            <w:r>
              <w:rPr>
                <w:rFonts w:hint="eastAsia" w:cs="宋体"/>
                <w:color w:val="auto"/>
                <w:sz w:val="21"/>
                <w:szCs w:val="21"/>
                <w:u w:val="none"/>
                <w:lang w:val="en-US" w:eastAsia="zh-CN"/>
              </w:rPr>
              <w:t xml:space="preserve">未按要求处理</w:t>
            </w:r>
            <w:r>
              <w:rPr>
                <w:rFonts w:hint="eastAsia" w:ascii="宋体" w:hAnsi="宋体" w:eastAsia="宋体" w:cs="宋体"/>
                <w:color w:val="auto"/>
                <w:spacing w:val="-1"/>
                <w:sz w:val="21"/>
                <w:szCs w:val="21"/>
                <w:u w:val="none"/>
              </w:rPr>
              <w:t xml:space="preserve">扣除</w:t>
            </w:r>
            <w:r>
              <w:rPr>
                <w:rFonts w:hint="eastAsia" w:cs="宋体"/>
                <w:color w:val="auto"/>
                <w:spacing w:val="-1"/>
                <w:sz w:val="21"/>
                <w:szCs w:val="21"/>
                <w:u w:val="none"/>
                <w:lang w:val="en-US" w:eastAsia="zh-CN"/>
              </w:rPr>
              <w:t xml:space="preserve">1</w:t>
            </w:r>
            <w:r>
              <w:rPr>
                <w:rFonts w:hint="eastAsia" w:ascii="宋体" w:hAnsi="宋体" w:eastAsia="宋体" w:cs="宋体"/>
                <w:color w:val="auto"/>
                <w:spacing w:val="-1"/>
                <w:sz w:val="21"/>
                <w:szCs w:val="21"/>
                <w:u w:val="none"/>
              </w:rPr>
              <w:t xml:space="preserve">分。</w:t>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rPr>
              <w:t xml:space="preserve">设施</w:t>
            </w:r>
            <w:r>
              <w:rPr>
                <w:rFonts w:hint="eastAsia" w:cs="宋体"/>
                <w:color w:val="auto"/>
                <w:spacing w:val="4"/>
                <w:sz w:val="21"/>
                <w:szCs w:val="21"/>
                <w:lang w:val="en-US" w:eastAsia="zh-CN"/>
              </w:rPr>
              <w:t xml:space="preserve">运维</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cs="宋体"/>
                <w:color w:val="auto"/>
                <w:spacing w:val="-7"/>
                <w:sz w:val="21"/>
                <w:szCs w:val="21"/>
                <w:lang w:val="en-US" w:eastAsia="zh-CN"/>
              </w:rPr>
              <w:t xml:space="preserve">20</w:t>
            </w:r>
            <w:r/>
          </w:p>
        </w:tc>
        <w:tc>
          <w:tcPr>
            <w:tcW w:w="2609" w:type="pct"/>
            <w:vAlign w:val="center"/>
            <w:textDirection w:val="lrTb"/>
            <w:noWrap w:val="false"/>
          </w:tcPr>
          <w:p>
            <w:pPr>
              <w:pStyle w:val="1015"/>
              <w:ind w:left="0" w:right="0" w:hanging="9"/>
              <w:jc w:val="left"/>
              <w:keepLines w:val="0"/>
              <w:keepNext w:val="0"/>
              <w:pageBreakBefore w:val="0"/>
              <w:spacing w:line="240" w:lineRule="auto"/>
              <w:widowControl/>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1.耗材、药剂定期更换，废液规范处理；未</w:t>
            </w:r>
            <w:r>
              <w:rPr>
                <w:rFonts w:hint="eastAsia" w:cs="宋体"/>
                <w:color w:val="auto"/>
                <w:sz w:val="21"/>
                <w:szCs w:val="21"/>
                <w:u w:val="none"/>
                <w:lang w:val="en-US" w:eastAsia="zh-CN"/>
              </w:rPr>
              <w:t xml:space="preserve">定期</w:t>
            </w:r>
            <w:r>
              <w:rPr>
                <w:rFonts w:hint="eastAsia" w:ascii="宋体" w:hAnsi="宋体" w:eastAsia="宋体" w:cs="宋体"/>
                <w:color w:val="auto"/>
                <w:sz w:val="21"/>
                <w:szCs w:val="21"/>
                <w:u w:val="none"/>
              </w:rPr>
              <w:t xml:space="preserve">进行</w:t>
            </w:r>
            <w:r>
              <w:rPr>
                <w:rFonts w:hint="eastAsia" w:cs="宋体"/>
                <w:color w:val="auto"/>
                <w:sz w:val="21"/>
                <w:szCs w:val="21"/>
                <w:u w:val="none"/>
                <w:lang w:val="en-US" w:eastAsia="zh-CN"/>
              </w:rPr>
              <w:t xml:space="preserve">更换</w:t>
            </w:r>
            <w:r>
              <w:rPr>
                <w:rFonts w:hint="eastAsia" w:ascii="宋体" w:hAnsi="宋体" w:eastAsia="宋体" w:cs="宋体"/>
                <w:color w:val="auto"/>
                <w:sz w:val="21"/>
                <w:szCs w:val="21"/>
                <w:u w:val="none"/>
              </w:rPr>
              <w:t xml:space="preserve">或</w:t>
            </w:r>
            <w:r>
              <w:rPr>
                <w:rFonts w:hint="eastAsia" w:cs="宋体"/>
                <w:color w:val="auto"/>
                <w:sz w:val="21"/>
                <w:szCs w:val="21"/>
                <w:u w:val="none"/>
                <w:lang w:val="en-US" w:eastAsia="zh-CN"/>
              </w:rPr>
              <w:t xml:space="preserve">处理</w:t>
            </w:r>
            <w:r>
              <w:rPr>
                <w:rFonts w:hint="eastAsia" w:ascii="宋体" w:hAnsi="宋体" w:eastAsia="宋体" w:cs="宋体"/>
                <w:color w:val="auto"/>
                <w:sz w:val="21"/>
                <w:szCs w:val="21"/>
                <w:u w:val="none"/>
              </w:rPr>
              <w:t xml:space="preserve">扣</w:t>
            </w:r>
            <w:r>
              <w:rPr>
                <w:rFonts w:hint="eastAsia" w:ascii="宋体" w:hAnsi="宋体" w:eastAsia="宋体" w:cs="宋体"/>
                <w:color w:val="auto"/>
                <w:spacing w:val="-1"/>
                <w:sz w:val="21"/>
                <w:szCs w:val="21"/>
                <w:u w:val="none"/>
              </w:rPr>
              <w:t xml:space="preserve">除1分。</w:t>
            </w:r>
            <w:r/>
          </w:p>
          <w:p>
            <w:pPr>
              <w:pStyle w:val="1015"/>
              <w:ind w:left="0" w:right="0" w:hanging="9"/>
              <w:jc w:val="left"/>
              <w:keepLines w:val="0"/>
              <w:keepNext w:val="0"/>
              <w:pageBreakBefore w:val="0"/>
              <w:spacing w:line="240" w:lineRule="auto"/>
              <w:widowControl/>
              <w:rPr>
                <w:rFonts w:hint="default" w:ascii="宋体" w:hAnsi="宋体" w:eastAsia="宋体" w:cs="宋体"/>
                <w:color w:val="auto"/>
                <w:sz w:val="21"/>
                <w:szCs w:val="21"/>
                <w:u w:val="none"/>
                <w:lang w:val="en-US" w:eastAsia="zh-CN"/>
              </w:rPr>
            </w:pPr>
            <w:r>
              <w:rPr>
                <w:rFonts w:hint="eastAsia" w:ascii="宋体" w:hAnsi="宋体" w:eastAsia="宋体" w:cs="宋体"/>
                <w:color w:val="auto"/>
                <w:sz w:val="21"/>
                <w:szCs w:val="21"/>
                <w:u w:val="none"/>
              </w:rPr>
              <w:t xml:space="preserve">2.电费按时缴纳，设备日常巡检、故障处理、校准校验；</w:t>
            </w:r>
            <w:r>
              <w:rPr>
                <w:rFonts w:hint="eastAsia" w:cs="宋体"/>
                <w:color w:val="auto"/>
                <w:sz w:val="21"/>
                <w:szCs w:val="21"/>
                <w:u w:val="none"/>
                <w:lang w:val="en-US" w:eastAsia="zh-CN"/>
              </w:rPr>
              <w:t xml:space="preserve">未按要求实施扣除1分。</w:t>
            </w:r>
            <w:r/>
          </w:p>
          <w:p>
            <w:pPr>
              <w:pStyle w:val="1015"/>
              <w:ind w:left="0" w:right="0" w:hanging="9"/>
              <w:jc w:val="left"/>
              <w:keepLines w:val="0"/>
              <w:keepNext w:val="0"/>
              <w:pageBreakBefore w:val="0"/>
              <w:spacing w:line="240" w:lineRule="auto"/>
              <w:widowControl/>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3.建立运维台账、耗材更换台账、废液处理台账，记录完整可追溯；</w:t>
            </w:r>
            <w:r>
              <w:rPr>
                <w:rFonts w:hint="eastAsia" w:ascii="宋体" w:hAnsi="宋体" w:eastAsia="宋体" w:cs="宋体"/>
                <w:color w:val="auto"/>
                <w:spacing w:val="-1"/>
                <w:sz w:val="21"/>
                <w:szCs w:val="21"/>
                <w:u w:val="none"/>
              </w:rPr>
              <w:t xml:space="preserve">没有记</w:t>
            </w:r>
            <w:r>
              <w:rPr>
                <w:rFonts w:hint="eastAsia" w:ascii="宋体" w:hAnsi="宋体" w:eastAsia="宋体" w:cs="宋体"/>
                <w:color w:val="auto"/>
                <w:sz w:val="21"/>
                <w:szCs w:val="21"/>
                <w:u w:val="none"/>
              </w:rPr>
              <w:t xml:space="preserve">录扣除1分。</w:t>
            </w:r>
            <w:r/>
          </w:p>
          <w:p>
            <w:pPr>
              <w:pStyle w:val="1015"/>
              <w:ind w:left="0" w:right="0" w:hanging="9"/>
              <w:jc w:val="left"/>
              <w:keepLines w:val="0"/>
              <w:keepNext w:val="0"/>
              <w:pageBreakBefore w:val="0"/>
              <w:spacing w:line="240" w:lineRule="auto"/>
              <w:widowControl/>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4.保障监测数据实时、准确、稳定传输，确保在线监测正常运行</w:t>
            </w:r>
            <w:r>
              <w:rPr>
                <w:rFonts w:hint="eastAsia" w:cs="宋体"/>
                <w:color w:val="auto"/>
                <w:sz w:val="21"/>
                <w:szCs w:val="21"/>
                <w:u w:val="none"/>
                <w:lang w:eastAsia="zh-CN"/>
              </w:rPr>
              <w:t xml:space="preserve">；</w:t>
            </w:r>
            <w:r>
              <w:rPr>
                <w:rFonts w:hint="eastAsia" w:ascii="宋体" w:hAnsi="宋体" w:eastAsia="宋体" w:cs="宋体"/>
                <w:color w:val="auto"/>
                <w:spacing w:val="1"/>
                <w:sz w:val="21"/>
                <w:szCs w:val="21"/>
                <w:u w:val="none"/>
              </w:rPr>
              <w:t xml:space="preserve">未正常</w:t>
            </w:r>
            <w:r>
              <w:rPr>
                <w:rFonts w:hint="eastAsia" w:cs="宋体"/>
                <w:color w:val="auto"/>
                <w:spacing w:val="1"/>
                <w:sz w:val="21"/>
                <w:szCs w:val="21"/>
                <w:u w:val="none"/>
                <w:lang w:val="en-US" w:eastAsia="zh-CN"/>
              </w:rPr>
              <w:t xml:space="preserve">运行</w:t>
            </w:r>
            <w:r>
              <w:rPr>
                <w:rFonts w:hint="eastAsia" w:ascii="宋体" w:hAnsi="宋体" w:eastAsia="宋体" w:cs="宋体"/>
                <w:color w:val="auto"/>
                <w:spacing w:val="1"/>
                <w:sz w:val="21"/>
                <w:szCs w:val="21"/>
                <w:u w:val="none"/>
              </w:rPr>
              <w:t xml:space="preserve">扣除1</w:t>
            </w:r>
            <w:r>
              <w:rPr>
                <w:rFonts w:hint="eastAsia" w:ascii="宋体" w:hAnsi="宋体" w:eastAsia="宋体" w:cs="宋体"/>
                <w:color w:val="auto"/>
                <w:spacing w:val="-2"/>
                <w:sz w:val="21"/>
                <w:szCs w:val="21"/>
                <w:u w:val="none"/>
              </w:rPr>
              <w:t xml:space="preserve">分。</w:t>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水质调控与应急处理</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cs="宋体"/>
                <w:color w:val="auto"/>
                <w:sz w:val="21"/>
                <w:szCs w:val="21"/>
                <w:lang w:val="en-US" w:eastAsia="zh-CN"/>
              </w:rPr>
              <w:t xml:space="preserve">20</w:t>
            </w:r>
            <w:r/>
          </w:p>
        </w:tc>
        <w:tc>
          <w:tcPr>
            <w:tcW w:w="2609" w:type="pct"/>
            <w:vAlign w:val="center"/>
            <w:textDirection w:val="lrTb"/>
            <w:noWrap w:val="false"/>
          </w:tcPr>
          <w:p>
            <w:pPr>
              <w:pStyle w:val="1015"/>
              <w:ind w:left="0" w:right="0"/>
              <w:jc w:val="left"/>
              <w:keepLines w:val="0"/>
              <w:keepNext w:val="0"/>
              <w:pageBreakBefore w:val="0"/>
              <w:spacing w:line="240" w:lineRule="auto"/>
              <w:widowControl/>
              <w:rPr>
                <w:rFonts w:hint="default" w:ascii="宋体" w:hAnsi="宋体" w:eastAsia="宋体" w:cs="宋体"/>
                <w:color w:val="auto"/>
                <w:spacing w:val="-1"/>
                <w:sz w:val="21"/>
                <w:szCs w:val="21"/>
                <w:u w:val="none"/>
                <w:lang w:val="en-US" w:eastAsia="zh-CN"/>
              </w:rPr>
            </w:pPr>
            <w:r>
              <w:rPr>
                <w:rFonts w:hint="eastAsia" w:ascii="宋体" w:hAnsi="宋体" w:eastAsia="宋体" w:cs="宋体"/>
                <w:color w:val="auto"/>
                <w:spacing w:val="-1"/>
                <w:sz w:val="21"/>
                <w:szCs w:val="21"/>
                <w:u w:val="none"/>
                <w:lang w:eastAsia="zh-CN"/>
              </w:rPr>
              <w:t xml:space="preserve">1.定期开展水质监测，根据水质情况实施微生物制剂投放、水体循环等调控措施；</w:t>
            </w:r>
            <w:r>
              <w:rPr>
                <w:rFonts w:hint="eastAsia" w:cs="宋体"/>
                <w:color w:val="auto"/>
                <w:spacing w:val="-1"/>
                <w:sz w:val="21"/>
                <w:szCs w:val="21"/>
                <w:u w:val="none"/>
                <w:lang w:val="en-US" w:eastAsia="zh-CN"/>
              </w:rPr>
              <w:t xml:space="preserve">未</w:t>
            </w:r>
            <w:r>
              <w:rPr>
                <w:rFonts w:hint="eastAsia" w:ascii="宋体" w:hAnsi="宋体" w:eastAsia="宋体" w:cs="宋体"/>
                <w:color w:val="auto"/>
                <w:spacing w:val="-1"/>
                <w:sz w:val="21"/>
                <w:szCs w:val="21"/>
                <w:u w:val="none"/>
                <w:lang w:eastAsia="zh-CN"/>
              </w:rPr>
              <w:t xml:space="preserve">定期监测</w:t>
            </w:r>
            <w:r>
              <w:rPr>
                <w:rFonts w:hint="eastAsia" w:cs="宋体"/>
                <w:color w:val="auto"/>
                <w:spacing w:val="-1"/>
                <w:sz w:val="21"/>
                <w:szCs w:val="21"/>
                <w:u w:val="none"/>
                <w:lang w:val="en-US" w:eastAsia="zh-CN"/>
              </w:rPr>
              <w:t xml:space="preserve">或调控，扣2分。</w:t>
            </w:r>
            <w:r/>
          </w:p>
          <w:p>
            <w:pPr>
              <w:pStyle w:val="1015"/>
              <w:ind w:left="0" w:right="0"/>
              <w:jc w:val="left"/>
              <w:keepLines w:val="0"/>
              <w:keepNext w:val="0"/>
              <w:pageBreakBefore w:val="0"/>
              <w:spacing w:line="240" w:lineRule="auto"/>
              <w:widowControl/>
              <w:rPr>
                <w:rFonts w:hint="default" w:ascii="宋体" w:hAnsi="宋体" w:eastAsia="宋体" w:cs="宋体"/>
                <w:color w:val="auto"/>
                <w:spacing w:val="-1"/>
                <w:sz w:val="21"/>
                <w:szCs w:val="21"/>
                <w:u w:val="none"/>
                <w:lang w:val="en-US" w:eastAsia="zh-CN"/>
              </w:rPr>
            </w:pPr>
            <w:r>
              <w:rPr>
                <w:rFonts w:hint="eastAsia" w:ascii="宋体" w:hAnsi="宋体" w:eastAsia="宋体" w:cs="宋体"/>
                <w:color w:val="auto"/>
                <w:spacing w:val="-1"/>
                <w:sz w:val="21"/>
                <w:szCs w:val="21"/>
                <w:u w:val="none"/>
                <w:lang w:eastAsia="zh-CN"/>
              </w:rPr>
              <w:t xml:space="preserve">2.保持水体溶解氧、透明度达标，防止水质恶化、黑臭现象</w:t>
            </w:r>
            <w:r>
              <w:rPr>
                <w:rFonts w:hint="eastAsia" w:cs="宋体"/>
                <w:color w:val="auto"/>
                <w:spacing w:val="-1"/>
                <w:sz w:val="21"/>
                <w:szCs w:val="21"/>
                <w:u w:val="none"/>
                <w:lang w:eastAsia="zh-CN"/>
              </w:rPr>
              <w:t xml:space="preserve">，</w:t>
            </w:r>
            <w:r>
              <w:rPr>
                <w:rFonts w:hint="eastAsia" w:cs="宋体"/>
                <w:color w:val="auto"/>
                <w:spacing w:val="-1"/>
                <w:sz w:val="21"/>
                <w:szCs w:val="21"/>
                <w:u w:val="none"/>
                <w:lang w:val="en-US" w:eastAsia="zh-CN"/>
              </w:rPr>
              <w:t xml:space="preserve">出现</w:t>
            </w:r>
            <w:r>
              <w:rPr>
                <w:rFonts w:hint="eastAsia" w:ascii="宋体" w:hAnsi="宋体" w:eastAsia="宋体" w:cs="宋体"/>
                <w:color w:val="auto"/>
                <w:spacing w:val="-1"/>
                <w:sz w:val="21"/>
                <w:szCs w:val="21"/>
                <w:u w:val="none"/>
                <w:lang w:eastAsia="zh-CN"/>
              </w:rPr>
              <w:t xml:space="preserve">水质恶化、黑臭现象</w:t>
            </w:r>
            <w:r>
              <w:rPr>
                <w:rFonts w:hint="eastAsia" w:cs="宋体"/>
                <w:color w:val="auto"/>
                <w:spacing w:val="-1"/>
                <w:sz w:val="21"/>
                <w:szCs w:val="21"/>
                <w:u w:val="none"/>
                <w:lang w:val="en-US" w:eastAsia="zh-CN"/>
              </w:rPr>
              <w:t xml:space="preserve">扣2分。</w:t>
            </w:r>
            <w:r/>
          </w:p>
          <w:p>
            <w:pPr>
              <w:pStyle w:val="1015"/>
              <w:ind w:left="0" w:right="0"/>
              <w:jc w:val="left"/>
              <w:keepLines w:val="0"/>
              <w:keepNext w:val="0"/>
              <w:pageBreakBefore w:val="0"/>
              <w:spacing w:line="240" w:lineRule="auto"/>
              <w:widowControl/>
              <w:rPr>
                <w:rFonts w:hint="default" w:ascii="宋体" w:hAnsi="宋体" w:eastAsia="宋体" w:cs="宋体"/>
                <w:color w:val="auto"/>
                <w:spacing w:val="-1"/>
                <w:sz w:val="21"/>
                <w:szCs w:val="21"/>
                <w:u w:val="none"/>
                <w:lang w:val="en-US" w:eastAsia="zh-CN"/>
              </w:rPr>
            </w:pPr>
            <w:r>
              <w:rPr>
                <w:rFonts w:hint="eastAsia" w:cs="宋体"/>
                <w:color w:val="auto"/>
                <w:spacing w:val="-1"/>
                <w:sz w:val="21"/>
                <w:szCs w:val="21"/>
                <w:u w:val="none"/>
                <w:lang w:val="en-US" w:eastAsia="zh-CN"/>
              </w:rPr>
              <w:t xml:space="preserve">3</w:t>
            </w:r>
            <w:r>
              <w:rPr>
                <w:rFonts w:hint="eastAsia" w:ascii="宋体" w:hAnsi="宋体" w:eastAsia="宋体" w:cs="宋体"/>
                <w:color w:val="auto"/>
                <w:spacing w:val="-1"/>
                <w:sz w:val="21"/>
                <w:szCs w:val="21"/>
                <w:u w:val="none"/>
                <w:lang w:eastAsia="zh-CN"/>
              </w:rPr>
              <w:t xml:space="preserve">.水质突变、蓝藻暴发、水体黑臭、垃圾大面积漂浮等情况立即启动应急措施；</w:t>
            </w:r>
            <w:r>
              <w:rPr>
                <w:rFonts w:hint="eastAsia" w:cs="宋体"/>
                <w:color w:val="auto"/>
                <w:spacing w:val="-1"/>
                <w:sz w:val="21"/>
                <w:szCs w:val="21"/>
                <w:u w:val="none"/>
                <w:lang w:val="en-US" w:eastAsia="zh-CN"/>
              </w:rPr>
              <w:t xml:space="preserve">未及时处理扣2分。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lang w:eastAsia="zh-CN"/>
              </w:rPr>
            </w:pPr>
            <w:r>
              <w:rPr>
                <w:rFonts w:hint="eastAsia" w:cs="宋体"/>
                <w:color w:val="auto"/>
                <w:spacing w:val="-1"/>
                <w:sz w:val="21"/>
                <w:szCs w:val="21"/>
                <w:u w:val="none"/>
                <w:lang w:val="en-US" w:eastAsia="zh-CN"/>
              </w:rPr>
              <w:t xml:space="preserve">4</w:t>
            </w:r>
            <w:r>
              <w:rPr>
                <w:rFonts w:hint="eastAsia" w:ascii="宋体" w:hAnsi="宋体" w:eastAsia="宋体" w:cs="宋体"/>
                <w:color w:val="auto"/>
                <w:spacing w:val="-1"/>
                <w:sz w:val="21"/>
                <w:szCs w:val="21"/>
                <w:u w:val="none"/>
                <w:lang w:eastAsia="zh-CN"/>
              </w:rPr>
              <w:t xml:space="preserve">.第一时间上报管理部门，采取打捞、调控、药剂处置等措施；</w:t>
            </w:r>
            <w:r>
              <w:rPr>
                <w:rFonts w:hint="eastAsia" w:cs="宋体"/>
                <w:color w:val="auto"/>
                <w:spacing w:val="-1"/>
                <w:sz w:val="21"/>
                <w:szCs w:val="21"/>
                <w:u w:val="none"/>
                <w:lang w:val="en-US" w:eastAsia="zh-CN"/>
              </w:rPr>
              <w:t xml:space="preserve">未及时处理扣2分。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lang w:eastAsia="zh-CN"/>
              </w:rPr>
            </w:pPr>
            <w:r>
              <w:rPr>
                <w:rFonts w:hint="eastAsia" w:cs="宋体"/>
                <w:color w:val="auto"/>
                <w:spacing w:val="-1"/>
                <w:sz w:val="21"/>
                <w:szCs w:val="21"/>
                <w:u w:val="none"/>
                <w:lang w:val="en-US" w:eastAsia="zh-CN"/>
              </w:rPr>
              <w:t xml:space="preserve">5</w:t>
            </w:r>
            <w:r>
              <w:rPr>
                <w:rFonts w:hint="eastAsia" w:ascii="宋体" w:hAnsi="宋体" w:eastAsia="宋体" w:cs="宋体"/>
                <w:color w:val="auto"/>
                <w:spacing w:val="-1"/>
                <w:sz w:val="21"/>
                <w:szCs w:val="21"/>
                <w:u w:val="none"/>
                <w:lang w:eastAsia="zh-CN"/>
              </w:rPr>
              <w:t xml:space="preserve">.应急处置全过程记录，形成应急报告</w:t>
            </w:r>
            <w:r>
              <w:rPr>
                <w:rFonts w:hint="eastAsia" w:cs="宋体"/>
                <w:color w:val="auto"/>
                <w:spacing w:val="-1"/>
                <w:sz w:val="21"/>
                <w:szCs w:val="21"/>
                <w:u w:val="none"/>
                <w:lang w:eastAsia="zh-CN"/>
              </w:rPr>
              <w:t xml:space="preserve">；</w:t>
            </w:r>
            <w:r>
              <w:rPr>
                <w:rFonts w:hint="eastAsia" w:ascii="宋体" w:hAnsi="宋体" w:eastAsia="宋体" w:cs="宋体"/>
                <w:color w:val="auto"/>
                <w:spacing w:val="-1"/>
                <w:sz w:val="21"/>
                <w:szCs w:val="21"/>
                <w:u w:val="none"/>
              </w:rPr>
              <w:t xml:space="preserve">没有记</w:t>
            </w:r>
            <w:r>
              <w:rPr>
                <w:rFonts w:hint="eastAsia" w:ascii="宋体" w:hAnsi="宋体" w:eastAsia="宋体" w:cs="宋体"/>
                <w:color w:val="auto"/>
                <w:sz w:val="21"/>
                <w:szCs w:val="21"/>
                <w:u w:val="none"/>
              </w:rPr>
              <w:t xml:space="preserve">录扣除</w:t>
            </w:r>
            <w:r>
              <w:rPr>
                <w:rFonts w:hint="eastAsia" w:cs="宋体"/>
                <w:color w:val="auto"/>
                <w:sz w:val="21"/>
                <w:szCs w:val="21"/>
                <w:u w:val="none"/>
                <w:lang w:val="en-US" w:eastAsia="zh-CN"/>
              </w:rPr>
              <w:t xml:space="preserve">2</w:t>
            </w:r>
            <w:r>
              <w:rPr>
                <w:rFonts w:hint="eastAsia" w:ascii="宋体" w:hAnsi="宋体" w:eastAsia="宋体" w:cs="宋体"/>
                <w:color w:val="auto"/>
                <w:sz w:val="21"/>
                <w:szCs w:val="21"/>
                <w:u w:val="none"/>
              </w:rPr>
              <w:t xml:space="preserve">分。</w:t>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411"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default" w:ascii="宋体" w:hAnsi="宋体" w:eastAsia="宋体" w:cs="宋体"/>
                <w:color w:val="auto"/>
                <w:sz w:val="21"/>
                <w:szCs w:val="21"/>
                <w:lang w:val="en-US"/>
              </w:rPr>
            </w:pPr>
            <w:r>
              <w:rPr>
                <w:rFonts w:hint="default" w:ascii="宋体" w:hAnsi="宋体"/>
                <w:color w:val="auto"/>
                <w:szCs w:val="21"/>
                <w:highlight w:val="none"/>
                <w:lang w:val="en-US" w:eastAsia="zh-CN"/>
              </w:rPr>
              <w:t xml:space="preserve">日常巡查</w:t>
            </w:r>
            <w:r>
              <w:rPr>
                <w:rFonts w:hint="eastAsia"/>
                <w:color w:val="auto"/>
                <w:szCs w:val="21"/>
                <w:highlight w:val="none"/>
                <w:lang w:val="en-US" w:eastAsia="zh-CN"/>
              </w:rPr>
              <w:t xml:space="preserve">管护</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cs="宋体"/>
                <w:color w:val="auto"/>
                <w:spacing w:val="-7"/>
                <w:sz w:val="21"/>
                <w:szCs w:val="21"/>
                <w:lang w:val="en-US" w:eastAsia="zh-CN"/>
              </w:rPr>
              <w:t xml:space="preserve">2</w:t>
            </w:r>
            <w:r>
              <w:rPr>
                <w:rFonts w:hint="eastAsia" w:ascii="宋体" w:hAnsi="宋体" w:eastAsia="宋体" w:cs="宋体"/>
                <w:color w:val="auto"/>
                <w:spacing w:val="-7"/>
                <w:sz w:val="21"/>
                <w:szCs w:val="21"/>
              </w:rPr>
              <w:t xml:space="preserve">0</w:t>
            </w:r>
            <w:r/>
          </w:p>
        </w:tc>
        <w:tc>
          <w:tcPr>
            <w:tcW w:w="2609" w:type="pct"/>
            <w:vAlign w:val="center"/>
            <w:textDirection w:val="lrTb"/>
            <w:noWrap w:val="false"/>
          </w:tcPr>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lang w:val="en-US" w:eastAsia="zh-CN"/>
              </w:rPr>
            </w:pPr>
            <w:r>
              <w:rPr>
                <w:rFonts w:hint="eastAsia" w:cs="宋体"/>
                <w:color w:val="auto"/>
                <w:spacing w:val="-1"/>
                <w:sz w:val="21"/>
                <w:szCs w:val="21"/>
                <w:u w:val="none"/>
                <w:lang w:val="en-US" w:eastAsia="zh-CN"/>
              </w:rPr>
              <w:t xml:space="preserve">1.</w:t>
            </w:r>
            <w:r>
              <w:rPr>
                <w:rFonts w:hint="eastAsia" w:ascii="宋体" w:hAnsi="宋体" w:eastAsia="宋体" w:cs="宋体"/>
                <w:color w:val="auto"/>
                <w:spacing w:val="-1"/>
                <w:sz w:val="21"/>
                <w:szCs w:val="21"/>
                <w:u w:val="none"/>
                <w:lang w:val="en-US" w:eastAsia="zh-CN"/>
              </w:rPr>
              <w:t xml:space="preserve">巡查内容不全面，或发现异常未及时处置并上报，扣1分。</w:t>
            </w:r>
            <w:r/>
          </w:p>
          <w:p>
            <w:pPr>
              <w:pStyle w:val="1015"/>
              <w:ind w:left="0" w:right="0"/>
              <w:jc w:val="left"/>
              <w:keepLines w:val="0"/>
              <w:keepNext w:val="0"/>
              <w:pageBreakBefore w:val="0"/>
              <w:spacing w:line="240" w:lineRule="auto"/>
              <w:widowControl/>
              <w:rPr>
                <w:rFonts w:hint="default" w:ascii="宋体" w:hAnsi="宋体" w:eastAsia="宋体" w:cs="宋体"/>
                <w:color w:val="auto"/>
                <w:spacing w:val="-1"/>
                <w:sz w:val="21"/>
                <w:szCs w:val="21"/>
                <w:u w:val="none"/>
                <w:lang w:val="en-US" w:eastAsia="zh-CN"/>
              </w:rPr>
            </w:pPr>
            <w:r>
              <w:rPr>
                <w:rFonts w:hint="eastAsia" w:cs="宋体"/>
                <w:color w:val="auto"/>
                <w:spacing w:val="-1"/>
                <w:sz w:val="21"/>
                <w:szCs w:val="21"/>
                <w:u w:val="none"/>
                <w:lang w:val="en-US" w:eastAsia="zh-CN"/>
              </w:rPr>
              <w:t xml:space="preserve">2.</w:t>
            </w:r>
            <w:r>
              <w:rPr>
                <w:rFonts w:hint="default" w:ascii="宋体" w:hAnsi="宋体" w:eastAsia="宋体" w:cs="宋体"/>
                <w:color w:val="auto"/>
                <w:spacing w:val="-1"/>
                <w:sz w:val="21"/>
                <w:szCs w:val="21"/>
                <w:u w:val="none"/>
                <w:lang w:val="en-US" w:eastAsia="zh-CN"/>
              </w:rPr>
              <w:t xml:space="preserve">巡查频次</w:t>
            </w:r>
            <w:r>
              <w:rPr>
                <w:rFonts w:hint="eastAsia" w:ascii="宋体" w:hAnsi="宋体" w:eastAsia="宋体" w:cs="宋体"/>
                <w:color w:val="auto"/>
                <w:spacing w:val="-1"/>
                <w:sz w:val="21"/>
                <w:szCs w:val="21"/>
                <w:u w:val="none"/>
                <w:lang w:val="en-US" w:eastAsia="zh-CN"/>
              </w:rPr>
              <w:t xml:space="preserve">不达标，扣1分。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1"/>
                <w:sz w:val="21"/>
                <w:szCs w:val="21"/>
                <w:u w:val="none"/>
                <w:lang w:eastAsia="zh-CN"/>
              </w:rPr>
            </w:pPr>
            <w:r>
              <w:rPr>
                <w:rFonts w:hint="eastAsia" w:cs="宋体"/>
                <w:color w:val="auto"/>
                <w:spacing w:val="-1"/>
                <w:sz w:val="21"/>
                <w:szCs w:val="21"/>
                <w:u w:val="none"/>
                <w:lang w:val="en-US" w:eastAsia="zh-CN"/>
              </w:rPr>
              <w:t xml:space="preserve">3.</w:t>
            </w:r>
            <w:r>
              <w:rPr>
                <w:rFonts w:hint="eastAsia" w:ascii="宋体" w:hAnsi="宋体" w:eastAsia="宋体" w:cs="宋体"/>
                <w:color w:val="auto"/>
                <w:spacing w:val="-1"/>
                <w:sz w:val="21"/>
                <w:szCs w:val="21"/>
                <w:u w:val="none"/>
                <w:lang w:eastAsia="zh-CN"/>
              </w:rPr>
              <w:t xml:space="preserve">巡查落实台账记录情况，未进行记录，扣除1分。</w:t>
            </w:r>
            <w:r/>
          </w:p>
          <w:p>
            <w:pPr>
              <w:pStyle w:val="1015"/>
              <w:ind w:left="0" w:right="0"/>
              <w:jc w:val="left"/>
              <w:keepLines w:val="0"/>
              <w:keepNext w:val="0"/>
              <w:pageBreakBefore w:val="0"/>
              <w:spacing w:line="240" w:lineRule="auto"/>
              <w:widowControl/>
              <w:rPr>
                <w:rFonts w:hint="eastAsia" w:ascii="宋体" w:hAnsi="宋体" w:eastAsia="宋体" w:cs="宋体"/>
                <w:color w:val="auto"/>
                <w:spacing w:val="-2"/>
                <w:sz w:val="21"/>
                <w:szCs w:val="21"/>
                <w:u w:val="none"/>
              </w:rPr>
            </w:pPr>
            <w:r>
              <w:rPr>
                <w:rFonts w:hint="eastAsia" w:cs="宋体"/>
                <w:color w:val="auto"/>
                <w:spacing w:val="-1"/>
                <w:sz w:val="21"/>
                <w:szCs w:val="21"/>
                <w:u w:val="none"/>
                <w:lang w:val="en-US" w:eastAsia="zh-CN"/>
              </w:rPr>
              <w:t xml:space="preserve">4.</w:t>
            </w:r>
            <w:r>
              <w:rPr>
                <w:rFonts w:hint="default" w:ascii="宋体" w:hAnsi="宋体" w:eastAsia="宋体" w:cs="宋体"/>
                <w:color w:val="auto"/>
                <w:spacing w:val="-1"/>
                <w:sz w:val="21"/>
                <w:szCs w:val="21"/>
                <w:u w:val="none"/>
                <w:lang w:val="en-US" w:eastAsia="zh-CN"/>
              </w:rPr>
              <w:t xml:space="preserve">巡查</w:t>
            </w:r>
            <w:r>
              <w:rPr>
                <w:rFonts w:hint="eastAsia" w:ascii="宋体" w:hAnsi="宋体" w:eastAsia="宋体" w:cs="宋体"/>
                <w:color w:val="auto"/>
                <w:spacing w:val="-1"/>
                <w:sz w:val="21"/>
                <w:szCs w:val="21"/>
                <w:u w:val="none"/>
                <w:lang w:val="en-US" w:eastAsia="zh-CN"/>
              </w:rPr>
              <w:t xml:space="preserve">配置不达标，扣1分。</w:t>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trPr>
        <w:tc>
          <w:tcPr>
            <w:tcW w:w="411"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合计</w:t>
            </w:r>
            <w:r/>
          </w:p>
        </w:tc>
        <w:tc>
          <w:tcPr>
            <w:tcW w:w="608" w:type="pct"/>
            <w:vAlign w:val="center"/>
            <w:textDirection w:val="lrTb"/>
            <w:noWrap w:val="false"/>
          </w:tcPr>
          <w:p>
            <w:pPr>
              <w:pStyle w:val="1015"/>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100</w:t>
            </w:r>
            <w:r/>
          </w:p>
        </w:tc>
        <w:tc>
          <w:tcPr>
            <w:tcW w:w="260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3"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9" w:type="pct"/>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1.此表作为项目运维考核依据。</w:t>
      </w:r>
      <w:r/>
    </w:p>
    <w:p>
      <w:pPr>
        <w:ind w:firstLine="42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2.具体运维资金发放标准如下</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2.1季度考评得</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分以上的资金全额发放；</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2.2季度考评得</w:t>
      </w:r>
      <w:r>
        <w:rPr>
          <w:rFonts w:hint="eastAsia" w:ascii="宋体" w:hAnsi="宋体" w:eastAsia="宋体" w:cs="宋体"/>
          <w:sz w:val="21"/>
          <w:szCs w:val="21"/>
          <w:lang w:val="en-US" w:eastAsia="zh-CN"/>
        </w:rPr>
        <w:t xml:space="preserve">80</w:t>
      </w:r>
      <w:r>
        <w:rPr>
          <w:rFonts w:hint="eastAsia" w:ascii="宋体" w:hAnsi="宋体" w:eastAsia="宋体" w:cs="宋体"/>
          <w:sz w:val="21"/>
          <w:szCs w:val="21"/>
        </w:rPr>
        <w:t xml:space="preserve">分至</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分（不含</w:t>
      </w:r>
      <w:r>
        <w:rPr>
          <w:rFonts w:hint="eastAsia" w:ascii="宋体" w:hAnsi="宋体" w:eastAsia="宋体" w:cs="宋体"/>
          <w:sz w:val="21"/>
          <w:szCs w:val="21"/>
          <w:lang w:val="en-US" w:eastAsia="zh-CN"/>
        </w:rPr>
        <w:t xml:space="preserve">90</w:t>
      </w:r>
      <w:r>
        <w:rPr>
          <w:rFonts w:hint="eastAsia" w:ascii="宋体" w:hAnsi="宋体" w:eastAsia="宋体" w:cs="宋体"/>
          <w:sz w:val="21"/>
          <w:szCs w:val="21"/>
        </w:rPr>
        <w:t xml:space="preserve">分）的，资金按9折发放；</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季度考评得</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rPr>
        <w:t xml:space="preserve">分至</w:t>
      </w:r>
      <w:r>
        <w:rPr>
          <w:rFonts w:hint="eastAsia" w:ascii="宋体" w:hAnsi="宋体" w:eastAsia="宋体" w:cs="宋体"/>
          <w:sz w:val="21"/>
          <w:szCs w:val="21"/>
          <w:lang w:val="en-US" w:eastAsia="zh-CN"/>
        </w:rPr>
        <w:t xml:space="preserve">80</w:t>
      </w:r>
      <w:r>
        <w:rPr>
          <w:rFonts w:hint="eastAsia" w:ascii="宋体" w:hAnsi="宋体" w:eastAsia="宋体" w:cs="宋体"/>
          <w:sz w:val="21"/>
          <w:szCs w:val="21"/>
        </w:rPr>
        <w:t xml:space="preserve">分（不含</w:t>
      </w:r>
      <w:r>
        <w:rPr>
          <w:rFonts w:hint="eastAsia" w:ascii="宋体" w:hAnsi="宋体" w:eastAsia="宋体" w:cs="宋体"/>
          <w:sz w:val="21"/>
          <w:szCs w:val="21"/>
          <w:lang w:val="en-US" w:eastAsia="zh-CN"/>
        </w:rPr>
        <w:t xml:space="preserve">80</w:t>
      </w:r>
      <w:r>
        <w:rPr>
          <w:rFonts w:hint="eastAsia" w:ascii="宋体" w:hAnsi="宋体" w:eastAsia="宋体" w:cs="宋体"/>
          <w:sz w:val="21"/>
          <w:szCs w:val="21"/>
        </w:rPr>
        <w:t xml:space="preserve">分）的，资金按</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折发放；</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季度考评得</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分至</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rPr>
        <w:t xml:space="preserve">分（不含</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rPr>
        <w:t xml:space="preserve">分）的，资金按</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折发放，并责令整改，整改不到位的采购人有权终止合同，重新招标。</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color w:val="auto"/>
          <w:szCs w:val="21"/>
          <w:highlight w:val="none"/>
        </w:rPr>
      </w:pPr>
      <w:r>
        <w:rPr>
          <w:color w:val="auto"/>
          <w:highlight w:val="none"/>
        </w:rPr>
        <w:br w:type="page" w:clear="all"/>
      </w:r>
      <w:r/>
    </w:p>
    <w:p>
      <w:pPr>
        <w:pStyle w:val="955"/>
        <w:jc w:val="center"/>
        <w:spacing w:line="360" w:lineRule="auto"/>
        <w:rPr>
          <w:rFonts w:hint="eastAsia" w:ascii="宋体" w:hAnsi="宋体" w:cs="宋体"/>
          <w:color w:val="auto"/>
          <w:highlight w:val="none"/>
        </w:rPr>
      </w:pPr>
      <w:r/>
      <w:bookmarkStart w:id="32" w:name="_Toc109304975"/>
      <w:r>
        <w:rPr>
          <w:rFonts w:hint="eastAsia" w:ascii="宋体" w:hAnsi="宋体" w:cs="宋体"/>
          <w:color w:val="auto"/>
          <w:highlight w:val="none"/>
        </w:rPr>
        <w:t xml:space="preserve">第五章 评审方法及评审标准</w:t>
      </w:r>
      <w:bookmarkEnd w:id="1"/>
      <w:r/>
      <w:bookmarkEnd w:id="32"/>
      <w:r/>
      <w:r/>
    </w:p>
    <w:p>
      <w:pPr>
        <w:pStyle w:val="991"/>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33" w:name="_Toc449016388"/>
      <w:r/>
      <w:bookmarkStart w:id="34" w:name="_Toc449017024"/>
      <w:r>
        <w:rPr>
          <w:rFonts w:hint="eastAsia" w:ascii="宋体" w:hAnsi="宋体"/>
          <w:b/>
          <w:color w:val="auto"/>
          <w:szCs w:val="21"/>
          <w:highlight w:val="none"/>
        </w:rPr>
        <w:t xml:space="preserve">二、政府采购政策功能落实</w:t>
      </w:r>
      <w:bookmarkEnd w:id="33"/>
      <w:r/>
      <w:bookmarkEnd w:id="34"/>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99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991"/>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1241"/>
        <w:gridCol w:w="5227"/>
        <w:gridCol w:w="883"/>
      </w:tblGrid>
      <w:tr>
        <w:trPr>
          <w:jc w:val="center"/>
          <w:trHeight w:val="567"/>
        </w:trPr>
        <w:tc>
          <w:tcPr>
            <w:tcW w:w="686" w:type="pct"/>
            <w:vAlign w:val="center"/>
            <w:textDirection w:val="lrTb"/>
            <w:noWrap w:val="false"/>
          </w:tcPr>
          <w:p>
            <w:pPr>
              <w:jc w:val="center"/>
              <w:rPr>
                <w:rFonts w:hint="eastAsia" w:ascii="宋体" w:hAnsi="宋体"/>
                <w:b/>
                <w:bCs/>
                <w:color w:val="auto"/>
                <w:szCs w:val="21"/>
                <w:highlight w:val="none"/>
              </w:rPr>
            </w:pPr>
            <w:r>
              <w:rPr>
                <w:rFonts w:ascii="宋体" w:hAnsi="宋体" w:cs="宋体"/>
                <w:b/>
                <w:bCs/>
                <w:color w:val="auto"/>
                <w:szCs w:val="21"/>
                <w:highlight w:val="none"/>
              </w:rPr>
              <w:t xml:space="preserve">评审</w:t>
            </w:r>
            <w:r>
              <w:rPr>
                <w:rFonts w:hint="eastAsia" w:ascii="宋体" w:hAnsi="宋体" w:cs="宋体"/>
                <w:b/>
                <w:bCs/>
                <w:color w:val="auto"/>
                <w:szCs w:val="21"/>
                <w:highlight w:val="none"/>
              </w:rPr>
              <w:t xml:space="preserve">内容</w:t>
            </w:r>
            <w:r/>
          </w:p>
        </w:tc>
        <w:tc>
          <w:tcPr>
            <w:gridSpan w:val="2"/>
            <w:tcW w:w="3795" w:type="pct"/>
            <w:vAlign w:val="center"/>
            <w:textDirection w:val="lrTb"/>
            <w:noWrap w:val="false"/>
          </w:tcPr>
          <w:p>
            <w:pPr>
              <w:jc w:val="center"/>
              <w:rPr>
                <w:rFonts w:hint="eastAsia" w:ascii="宋体" w:hAnsi="宋体"/>
                <w:b/>
                <w:bCs/>
                <w:color w:val="auto"/>
                <w:szCs w:val="21"/>
                <w:highlight w:val="none"/>
              </w:rPr>
            </w:pPr>
            <w:r>
              <w:rPr>
                <w:rFonts w:ascii="宋体" w:hAnsi="宋体" w:cs="宋体"/>
                <w:b/>
                <w:bCs/>
                <w:color w:val="auto"/>
                <w:szCs w:val="21"/>
                <w:highlight w:val="none"/>
              </w:rPr>
              <w:t xml:space="preserve">评审规则</w:t>
            </w:r>
            <w:r/>
          </w:p>
        </w:tc>
        <w:tc>
          <w:tcPr>
            <w:tcW w:w="518" w:type="pct"/>
            <w:vAlign w:val="center"/>
            <w:textDirection w:val="lrTb"/>
            <w:noWrap w:val="false"/>
          </w:tcPr>
          <w:p>
            <w:pPr>
              <w:jc w:val="center"/>
              <w:rPr>
                <w:rFonts w:hint="eastAsia" w:ascii="宋体" w:hAnsi="宋体"/>
                <w:b/>
                <w:bCs/>
                <w:color w:val="auto"/>
                <w:szCs w:val="21"/>
                <w:highlight w:val="none"/>
              </w:rPr>
            </w:pPr>
            <w:r>
              <w:rPr>
                <w:rFonts w:ascii="宋体" w:hAnsi="宋体" w:cs="宋体"/>
                <w:b/>
                <w:bCs/>
                <w:color w:val="auto"/>
                <w:szCs w:val="21"/>
                <w:highlight w:val="none"/>
              </w:rPr>
              <w:t xml:space="preserve">分值</w:t>
            </w:r>
            <w:r/>
          </w:p>
        </w:tc>
      </w:tr>
      <w:tr>
        <w:trPr>
          <w:jc w:val="center"/>
          <w:trHeight w:val="567"/>
        </w:trPr>
        <w:tc>
          <w:tcPr>
            <w:tcW w:w="686"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响应报价</w:t>
            </w:r>
            <w:r/>
          </w:p>
        </w:tc>
        <w:tc>
          <w:tcPr>
            <w:gridSpan w:val="2"/>
            <w:tcW w:w="3795"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以满足磋商文件要求的各响应报价（总价）的最低价为基准价，得满分15分，其他报价得分=（基准价∕其他报价）×15×100%，保留两位有效小数。</w:t>
            </w:r>
            <w:r/>
          </w:p>
        </w:tc>
        <w:tc>
          <w:tcPr>
            <w:tcW w:w="51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r>
      <w:tr>
        <w:trPr>
          <w:jc w:val="center"/>
          <w:trHeight w:val="567"/>
        </w:trPr>
        <w:tc>
          <w:tcPr>
            <w:tcW w:w="686" w:type="pct"/>
            <w:vAlign w:val="center"/>
            <w:vMerge w:val="restart"/>
            <w:textDirection w:val="lrTb"/>
            <w:noWrap w:val="false"/>
          </w:tcPr>
          <w:p>
            <w:pPr>
              <w:jc w:val="center"/>
              <w:rPr>
                <w:rFonts w:hint="eastAsia" w:ascii="宋体" w:hAnsi="宋体"/>
                <w:b/>
                <w:bCs/>
                <w:color w:val="auto"/>
                <w:szCs w:val="21"/>
                <w:highlight w:val="none"/>
              </w:rPr>
            </w:pPr>
            <w:r>
              <w:rPr>
                <w:rFonts w:hint="eastAsia" w:ascii="宋体" w:hAnsi="宋体" w:cs="宋体"/>
                <w:b/>
                <w:bCs/>
                <w:color w:val="auto"/>
                <w:szCs w:val="21"/>
                <w:highlight w:val="none"/>
              </w:rPr>
              <w:t xml:space="preserve">工作组织方案</w:t>
            </w:r>
            <w:r/>
          </w:p>
        </w:tc>
        <w:tc>
          <w:tcPr>
            <w:tcW w:w="728" w:type="pct"/>
            <w:vAlign w:val="center"/>
            <w:vMerge w:val="restart"/>
            <w:textDirection w:val="lrTb"/>
            <w:noWrap w:val="false"/>
          </w:tcPr>
          <w:p>
            <w:pPr>
              <w:jc w:val="center"/>
              <w:rPr>
                <w:rFonts w:hint="eastAsia" w:ascii="宋体" w:hAnsi="宋体"/>
                <w:b/>
                <w:bCs/>
                <w:color w:val="auto"/>
                <w:highlight w:val="none"/>
              </w:rPr>
            </w:pPr>
            <w:r>
              <w:rPr>
                <w:rFonts w:hint="eastAsia" w:ascii="宋体" w:hAnsi="宋体"/>
                <w:b/>
                <w:bCs/>
                <w:color w:val="auto"/>
                <w:highlight w:val="none"/>
              </w:rPr>
              <w:t xml:space="preserve">日常管护、保洁方案</w:t>
            </w:r>
            <w:r/>
          </w:p>
          <w:p>
            <w:pPr>
              <w:jc w:val="center"/>
              <w:rPr>
                <w:rFonts w:hint="eastAsia" w:ascii="宋体" w:hAnsi="宋体"/>
                <w:b/>
                <w:bCs/>
                <w:color w:val="auto"/>
                <w:highlight w:val="none"/>
              </w:rPr>
            </w:pPr>
            <w:r>
              <w:rPr>
                <w:rFonts w:hint="eastAsia" w:ascii="宋体" w:hAnsi="宋体"/>
                <w:b/>
                <w:bCs/>
                <w:color w:val="auto"/>
                <w:highlight w:val="none"/>
              </w:rPr>
              <w:t xml:space="preserve">（33分）</w:t>
            </w:r>
            <w:r/>
          </w:p>
          <w:p>
            <w:pPr>
              <w:pStyle w:val="736"/>
              <w:ind w:left="0" w:firstLine="0"/>
              <w:jc w:val="center"/>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pStyle w:val="835"/>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①</w:t>
            </w:r>
            <w:r>
              <w:rPr>
                <w:rFonts w:hint="eastAsia" w:ascii="宋体" w:hAnsi="宋体"/>
                <w:color w:val="auto"/>
                <w:highlight w:val="none"/>
              </w:rPr>
              <w:t xml:space="preserve">水生植物养护方案</w:t>
            </w:r>
            <w:r/>
          </w:p>
          <w:p>
            <w:pPr>
              <w:rPr>
                <w:rFonts w:hint="eastAsia" w:ascii="宋体" w:hAnsi="宋体" w:cs="宋体"/>
                <w:color w:val="auto"/>
                <w:highlight w:val="none"/>
              </w:rPr>
            </w:pPr>
            <w:r>
              <w:rPr>
                <w:rFonts w:hint="eastAsia" w:ascii="宋体" w:hAnsi="宋体" w:cs="宋体"/>
                <w:color w:val="auto"/>
                <w:highlight w:val="none"/>
              </w:rPr>
              <w:t xml:space="preserve">方案科学合理，内容详细，亮点多，针对性强，方案细致全面、合理、完全响应需求，具有技术可行性的得6分；</w:t>
            </w:r>
            <w:r/>
          </w:p>
          <w:p>
            <w:pPr>
              <w:rPr>
                <w:rFonts w:hint="eastAsia" w:ascii="宋体" w:hAnsi="宋体" w:cs="宋体"/>
                <w:color w:val="auto"/>
                <w:highlight w:val="none"/>
              </w:rPr>
            </w:pPr>
            <w:r>
              <w:rPr>
                <w:rFonts w:hint="eastAsia" w:ascii="宋体" w:hAnsi="宋体" w:cs="宋体"/>
                <w:color w:val="auto"/>
                <w:highlight w:val="none"/>
              </w:rPr>
              <w:t xml:space="preserve">方案基本合理、基本全面、技术可行性实施存在一定难度的得4分；</w:t>
            </w:r>
            <w:r/>
          </w:p>
          <w:p>
            <w:pPr>
              <w:rPr>
                <w:rFonts w:hint="eastAsia" w:ascii="宋体" w:hAnsi="宋体" w:cs="宋体"/>
                <w:color w:val="auto"/>
                <w:highlight w:val="none"/>
              </w:rPr>
            </w:pPr>
            <w:r>
              <w:rPr>
                <w:rFonts w:hint="eastAsia" w:ascii="宋体" w:hAnsi="宋体" w:cs="宋体"/>
                <w:color w:val="auto"/>
                <w:highlight w:val="none"/>
              </w:rPr>
              <w:t xml:space="preserve">方案不完整、响应存在欠缺、技术可行性实施存在难度的得2分；</w:t>
            </w:r>
            <w:r/>
          </w:p>
          <w:p>
            <w:pPr>
              <w:rPr>
                <w:rFonts w:hint="eastAsia" w:ascii="宋体" w:hAnsi="宋体"/>
                <w:color w:val="auto"/>
                <w:highlight w:val="none"/>
              </w:rPr>
            </w:pPr>
            <w:r>
              <w:rPr>
                <w:rFonts w:hint="eastAsia" w:ascii="宋体" w:hAnsi="宋体" w:cs="宋体"/>
                <w:color w:val="auto"/>
                <w:highlight w:val="none"/>
              </w:rPr>
              <w:t xml:space="preserve">不提供不得分</w:t>
            </w:r>
            <w:r>
              <w:rPr>
                <w:rFonts w:hint="eastAsia" w:ascii="宋体" w:hAnsi="宋体"/>
                <w:color w:val="auto"/>
                <w:highlight w:val="none"/>
              </w:rPr>
              <w:t xml:space="preserve">；</w:t>
            </w:r>
            <w:r/>
          </w:p>
        </w:tc>
        <w:tc>
          <w:tcPr>
            <w:tcW w:w="518" w:type="pct"/>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51</w:t>
            </w:r>
            <w:r/>
          </w:p>
        </w:tc>
      </w:tr>
      <w:tr>
        <w:trPr>
          <w:jc w:val="center"/>
          <w:trHeight w:val="567"/>
        </w:trPr>
        <w:tc>
          <w:tcPr>
            <w:tcW w:w="686" w:type="pct"/>
            <w:vAlign w:val="center"/>
            <w:vMerge w:val="continue"/>
            <w:textDirection w:val="lrTb"/>
            <w:noWrap w:val="false"/>
          </w:tcPr>
          <w:p>
            <w:pPr>
              <w:pStyle w:val="736"/>
              <w:ind w:left="0" w:firstLine="0"/>
              <w:spacing w:after="0"/>
              <w:rPr>
                <w:b/>
                <w:bCs/>
                <w:color w:val="auto"/>
                <w:highlight w:val="none"/>
              </w:rPr>
            </w:pPr>
            <w:r>
              <w:rPr>
                <w:b/>
                <w:bCs/>
                <w:color w:val="auto"/>
                <w:highlight w:val="none"/>
              </w:rPr>
            </w:r>
            <w:r/>
          </w:p>
        </w:tc>
        <w:tc>
          <w:tcPr>
            <w:tcW w:w="728" w:type="pct"/>
            <w:vAlign w:val="center"/>
            <w:vMerge w:val="continue"/>
            <w:textDirection w:val="lrTb"/>
            <w:noWrap w:val="false"/>
          </w:tcPr>
          <w:p>
            <w:pPr>
              <w:pStyle w:val="736"/>
              <w:ind w:left="0" w:firstLine="0"/>
              <w:spacing w:after="0"/>
              <w:rPr>
                <w:color w:val="auto"/>
                <w:highlight w:val="none"/>
              </w:rPr>
            </w:pPr>
            <w:r>
              <w:rPr>
                <w:color w:val="auto"/>
                <w:highlight w:val="none"/>
              </w:rPr>
            </w:r>
            <w:r/>
          </w:p>
        </w:tc>
        <w:tc>
          <w:tcPr>
            <w:tcW w:w="3066" w:type="pct"/>
            <w:vAlign w:val="center"/>
            <w:textDirection w:val="lrTb"/>
            <w:noWrap w:val="false"/>
          </w:tcPr>
          <w:p>
            <w:pPr>
              <w:pStyle w:val="835"/>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②</w:t>
            </w:r>
            <w:r>
              <w:rPr>
                <w:rFonts w:ascii="宋体" w:hAnsi="宋体"/>
                <w:color w:val="auto"/>
                <w:highlight w:val="none"/>
              </w:rPr>
              <w:t xml:space="preserve">河道养护、保洁、巡查</w:t>
            </w:r>
            <w:r>
              <w:rPr>
                <w:rFonts w:hint="eastAsia" w:ascii="宋体" w:hAnsi="宋体"/>
                <w:color w:val="auto"/>
                <w:highlight w:val="none"/>
              </w:rPr>
              <w:t xml:space="preserve">方案</w:t>
            </w:r>
            <w:r/>
          </w:p>
          <w:p>
            <w:pPr>
              <w:rPr>
                <w:rFonts w:hint="eastAsia" w:ascii="宋体" w:hAnsi="宋体" w:cs="宋体"/>
                <w:color w:val="auto"/>
                <w:highlight w:val="none"/>
              </w:rPr>
            </w:pPr>
            <w:r>
              <w:rPr>
                <w:rFonts w:hint="eastAsia" w:ascii="宋体" w:hAnsi="宋体" w:cs="宋体"/>
                <w:color w:val="auto"/>
                <w:highlight w:val="none"/>
              </w:rPr>
              <w:t xml:space="preserve">方案科学合理，内容详细，亮点多，针对性强，方案细致全面、合理、完全响应需求，具有技术可行性的得9分；</w:t>
            </w:r>
            <w:r/>
          </w:p>
          <w:p>
            <w:pPr>
              <w:rPr>
                <w:rFonts w:hint="eastAsia" w:ascii="宋体" w:hAnsi="宋体" w:cs="宋体"/>
                <w:color w:val="auto"/>
                <w:highlight w:val="none"/>
              </w:rPr>
            </w:pPr>
            <w:r>
              <w:rPr>
                <w:rFonts w:hint="eastAsia" w:ascii="宋体" w:hAnsi="宋体" w:cs="宋体"/>
                <w:color w:val="auto"/>
                <w:highlight w:val="none"/>
              </w:rPr>
              <w:t xml:space="preserve">方案合理、完整但不全面、满足响应需求，具有技术可行性的得6分；</w:t>
            </w:r>
            <w:r/>
          </w:p>
          <w:p>
            <w:pPr>
              <w:rPr>
                <w:rFonts w:hint="eastAsia" w:ascii="宋体" w:hAnsi="宋体" w:cs="宋体"/>
                <w:color w:val="auto"/>
                <w:highlight w:val="none"/>
              </w:rPr>
            </w:pPr>
            <w:r>
              <w:rPr>
                <w:rFonts w:hint="eastAsia" w:ascii="宋体" w:hAnsi="宋体" w:cs="宋体"/>
                <w:color w:val="auto"/>
                <w:highlight w:val="none"/>
              </w:rPr>
              <w:t xml:space="preserve">方案基本合理、基本全面、技术可行性实施存在一定难度的得3分；</w:t>
            </w:r>
            <w:r/>
          </w:p>
          <w:p>
            <w:pPr>
              <w:rPr>
                <w:rFonts w:hint="eastAsia" w:ascii="宋体" w:hAnsi="宋体" w:cs="宋体"/>
                <w:color w:val="auto"/>
                <w:highlight w:val="none"/>
              </w:rPr>
            </w:pPr>
            <w:r>
              <w:rPr>
                <w:rFonts w:hint="eastAsia" w:ascii="宋体" w:hAnsi="宋体" w:cs="宋体"/>
                <w:color w:val="auto"/>
                <w:highlight w:val="none"/>
              </w:rPr>
              <w:t xml:space="preserve">方案不完整、响应存在欠缺、技术可行性实施存在难度的得1分；</w:t>
            </w:r>
            <w:r/>
          </w:p>
          <w:p>
            <w:pPr>
              <w:pStyle w:val="736"/>
              <w:ind w:left="0" w:firstLine="0"/>
              <w:spacing w:after="0"/>
              <w:rPr>
                <w:rFonts w:hint="default" w:ascii="宋体" w:hAnsi="宋体" w:cs="宋体"/>
                <w:strike w:val="0"/>
                <w:color w:val="auto"/>
                <w:highlight w:val="none"/>
                <w:lang w:val="en-US" w:eastAsia="zh-CN"/>
              </w:rPr>
            </w:pPr>
            <w:r>
              <w:rPr>
                <w:rFonts w:hint="eastAsia" w:ascii="宋体" w:hAnsi="宋体" w:cs="宋体"/>
                <w:color w:val="auto"/>
                <w:highlight w:val="none"/>
              </w:rPr>
              <w:t xml:space="preserve">不提供不得分。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rFonts w:hint="eastAsia" w:ascii="宋体" w:hAnsi="宋体"/>
                <w:b/>
                <w:bCs/>
                <w:color w:val="auto"/>
                <w:highlight w:val="none"/>
              </w:rPr>
            </w:pPr>
            <w:r>
              <w:rPr>
                <w:rFonts w:hint="eastAsia" w:ascii="宋体" w:hAnsi="宋体"/>
                <w:b/>
                <w:bCs/>
                <w:color w:val="auto"/>
                <w:highlight w:val="none"/>
              </w:rPr>
            </w:r>
            <w:r/>
          </w:p>
        </w:tc>
        <w:tc>
          <w:tcPr>
            <w:tcW w:w="72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pStyle w:val="835"/>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③</w:t>
            </w:r>
            <w:r>
              <w:rPr>
                <w:rFonts w:ascii="宋体" w:hAnsi="宋体"/>
                <w:color w:val="auto"/>
                <w:highlight w:val="none"/>
              </w:rPr>
              <w:t xml:space="preserve">水质监测站运维</w:t>
            </w:r>
            <w:r>
              <w:rPr>
                <w:rFonts w:hint="eastAsia" w:ascii="宋体" w:hAnsi="宋体"/>
                <w:color w:val="auto"/>
                <w:highlight w:val="none"/>
              </w:rPr>
              <w:t xml:space="preserve">方案</w:t>
            </w:r>
            <w:r/>
          </w:p>
          <w:p>
            <w:pPr>
              <w:rPr>
                <w:rFonts w:hint="eastAsia" w:ascii="宋体" w:hAnsi="宋体" w:cs="宋体"/>
                <w:color w:val="auto"/>
                <w:highlight w:val="none"/>
              </w:rPr>
            </w:pPr>
            <w:r>
              <w:rPr>
                <w:rFonts w:hint="eastAsia" w:ascii="宋体" w:hAnsi="宋体" w:cs="宋体"/>
                <w:color w:val="auto"/>
                <w:highlight w:val="none"/>
              </w:rPr>
              <w:t xml:space="preserve">方案科学合理，内容详细，亮点多，针对性强，方案细致全面、合理、完全响应需求，具有技术可行性的得6分；</w:t>
            </w:r>
            <w:r/>
          </w:p>
          <w:p>
            <w:pPr>
              <w:rPr>
                <w:rFonts w:hint="eastAsia" w:ascii="宋体" w:hAnsi="宋体" w:cs="宋体"/>
                <w:color w:val="auto"/>
                <w:highlight w:val="none"/>
              </w:rPr>
            </w:pPr>
            <w:r>
              <w:rPr>
                <w:rFonts w:hint="eastAsia" w:ascii="宋体" w:hAnsi="宋体" w:cs="宋体"/>
                <w:color w:val="auto"/>
                <w:highlight w:val="none"/>
              </w:rPr>
              <w:t xml:space="preserve">方案基本合理、基本全面、技术可行性实施存在一定难度的得4分；</w:t>
            </w:r>
            <w:r/>
          </w:p>
          <w:p>
            <w:pPr>
              <w:rPr>
                <w:rFonts w:hint="eastAsia" w:ascii="宋体" w:hAnsi="宋体" w:cs="宋体"/>
                <w:color w:val="auto"/>
                <w:highlight w:val="none"/>
              </w:rPr>
            </w:pPr>
            <w:r>
              <w:rPr>
                <w:rFonts w:hint="eastAsia" w:ascii="宋体" w:hAnsi="宋体" w:cs="宋体"/>
                <w:color w:val="auto"/>
                <w:highlight w:val="none"/>
              </w:rPr>
              <w:t xml:space="preserve">方案不完整、响应存在欠缺、技术可行性实施存在难度的得2分；</w:t>
            </w:r>
            <w:r/>
          </w:p>
          <w:p>
            <w:pPr>
              <w:rPr>
                <w:rFonts w:hint="eastAsia" w:ascii="宋体" w:hAnsi="宋体"/>
                <w:color w:val="auto"/>
                <w:highlight w:val="none"/>
              </w:rPr>
            </w:pPr>
            <w:r>
              <w:rPr>
                <w:rFonts w:hint="eastAsia" w:ascii="宋体" w:hAnsi="宋体" w:cs="宋体"/>
                <w:color w:val="auto"/>
                <w:highlight w:val="none"/>
              </w:rPr>
              <w:t xml:space="preserve">不提供不得分。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rFonts w:hint="eastAsia" w:ascii="宋体" w:hAnsi="宋体"/>
                <w:b/>
                <w:bCs/>
                <w:color w:val="auto"/>
                <w:highlight w:val="none"/>
              </w:rPr>
            </w:pPr>
            <w:r>
              <w:rPr>
                <w:rFonts w:hint="eastAsia" w:ascii="宋体" w:hAnsi="宋体"/>
                <w:b/>
                <w:bCs/>
                <w:color w:val="auto"/>
                <w:highlight w:val="none"/>
              </w:rPr>
            </w:r>
            <w:r/>
          </w:p>
        </w:tc>
        <w:tc>
          <w:tcPr>
            <w:tcW w:w="72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pStyle w:val="736"/>
              <w:ind w:left="0" w:firstLine="0"/>
              <w:spacing w:after="0"/>
              <w:rPr>
                <w:rFonts w:hint="default" w:ascii="宋体" w:hAnsi="宋体" w:cs="宋体"/>
                <w:b/>
                <w:bCs/>
                <w:strike w:val="0"/>
                <w:color w:val="auto"/>
                <w:highlight w:val="none"/>
                <w:lang w:val="en-US" w:eastAsia="zh-CN"/>
              </w:rPr>
            </w:pPr>
            <w:r>
              <w:rPr>
                <w:rFonts w:hint="eastAsia" w:ascii="宋体" w:hAnsi="宋体"/>
                <w:color w:val="auto"/>
                <w:highlight w:val="none"/>
                <w:lang w:val="en-US" w:eastAsia="zh-CN"/>
              </w:rPr>
              <w:t xml:space="preserve">④</w:t>
            </w:r>
            <w:r>
              <w:rPr>
                <w:rFonts w:hint="eastAsia" w:ascii="宋体" w:hAnsi="宋体" w:cs="宋体"/>
                <w:b/>
                <w:bCs/>
                <w:strike w:val="0"/>
                <w:color w:val="auto"/>
                <w:highlight w:val="none"/>
                <w:lang w:val="en-US" w:eastAsia="zh-CN"/>
              </w:rPr>
              <w:t xml:space="preserve">压力水箱运维方案</w:t>
            </w:r>
            <w:r/>
          </w:p>
          <w:p>
            <w:pPr>
              <w:rPr>
                <w:rFonts w:hint="eastAsia" w:ascii="宋体" w:hAnsi="宋体" w:cs="宋体"/>
                <w:color w:val="auto"/>
                <w:highlight w:val="none"/>
              </w:rPr>
            </w:pPr>
            <w:r>
              <w:rPr>
                <w:rFonts w:hint="eastAsia" w:ascii="宋体" w:hAnsi="宋体" w:cs="宋体"/>
                <w:color w:val="auto"/>
                <w:highlight w:val="none"/>
              </w:rPr>
              <w:t xml:space="preserve">方案科学合理，内容详细，亮点多，针对性强，方案细致全面、合理、完全响应需求，具有技术可行性的得6分；</w:t>
            </w:r>
            <w:r/>
          </w:p>
          <w:p>
            <w:pPr>
              <w:rPr>
                <w:rFonts w:hint="eastAsia" w:ascii="宋体" w:hAnsi="宋体" w:cs="宋体"/>
                <w:color w:val="auto"/>
                <w:highlight w:val="none"/>
              </w:rPr>
            </w:pPr>
            <w:r>
              <w:rPr>
                <w:rFonts w:hint="eastAsia" w:ascii="宋体" w:hAnsi="宋体" w:cs="宋体"/>
                <w:color w:val="auto"/>
                <w:highlight w:val="none"/>
              </w:rPr>
              <w:t xml:space="preserve">方案基本合理、基本全面、技术可行性实施存在一定难度的得4分；</w:t>
            </w:r>
            <w:r/>
          </w:p>
          <w:p>
            <w:pPr>
              <w:rPr>
                <w:rFonts w:hint="eastAsia" w:ascii="宋体" w:hAnsi="宋体" w:cs="宋体"/>
                <w:color w:val="auto"/>
                <w:highlight w:val="none"/>
              </w:rPr>
            </w:pPr>
            <w:r>
              <w:rPr>
                <w:rFonts w:hint="eastAsia" w:ascii="宋体" w:hAnsi="宋体" w:cs="宋体"/>
                <w:color w:val="auto"/>
                <w:highlight w:val="none"/>
              </w:rPr>
              <w:t xml:space="preserve">方案不完整、响应存在欠缺、技术可行性实施存在难度的得2分；</w:t>
            </w:r>
            <w:r/>
          </w:p>
          <w:p>
            <w:pPr>
              <w:rPr>
                <w:rFonts w:hint="eastAsia" w:ascii="宋体" w:hAnsi="宋体"/>
                <w:color w:val="auto"/>
                <w:highlight w:val="none"/>
              </w:rPr>
            </w:pPr>
            <w:r>
              <w:rPr>
                <w:rFonts w:hint="eastAsia" w:ascii="宋体" w:hAnsi="宋体" w:cs="宋体"/>
                <w:color w:val="auto"/>
                <w:highlight w:val="none"/>
              </w:rPr>
              <w:t xml:space="preserve">不提供不得分。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rFonts w:hint="eastAsia" w:ascii="宋体" w:hAnsi="宋体"/>
                <w:b/>
                <w:bCs/>
                <w:color w:val="auto"/>
                <w:highlight w:val="none"/>
              </w:rPr>
            </w:pPr>
            <w:r>
              <w:rPr>
                <w:rFonts w:hint="eastAsia" w:ascii="宋体" w:hAnsi="宋体"/>
                <w:b/>
                <w:bCs/>
                <w:color w:val="auto"/>
                <w:highlight w:val="none"/>
              </w:rPr>
            </w:r>
            <w:r/>
          </w:p>
        </w:tc>
        <w:tc>
          <w:tcPr>
            <w:tcW w:w="72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pStyle w:val="835"/>
              <w:numPr>
                <w:ilvl w:val="0"/>
                <w:numId w:val="0"/>
              </w:numPr>
              <w:rPr>
                <w:rFonts w:hint="eastAsia" w:ascii="宋体" w:hAnsi="宋体"/>
                <w:color w:val="auto"/>
                <w:highlight w:val="none"/>
              </w:rPr>
            </w:pPr>
            <w:r>
              <w:rPr>
                <w:rFonts w:hint="eastAsia" w:ascii="宋体" w:hAnsi="宋体"/>
                <w:color w:val="auto"/>
                <w:highlight w:val="none"/>
                <w:lang w:val="en-US" w:eastAsia="zh-CN"/>
              </w:rPr>
              <w:t xml:space="preserve">⑤</w:t>
            </w:r>
            <w:r>
              <w:rPr>
                <w:rFonts w:ascii="宋体" w:hAnsi="宋体"/>
                <w:color w:val="auto"/>
                <w:highlight w:val="none"/>
              </w:rPr>
              <w:t xml:space="preserve">水质调控与应急处理</w:t>
            </w:r>
            <w:r>
              <w:rPr>
                <w:rFonts w:hint="eastAsia" w:ascii="宋体" w:hAnsi="宋体"/>
                <w:color w:val="auto"/>
                <w:highlight w:val="none"/>
              </w:rPr>
              <w:t xml:space="preserve">方案</w:t>
            </w:r>
            <w:r/>
          </w:p>
          <w:p>
            <w:pPr>
              <w:rPr>
                <w:rFonts w:hint="eastAsia" w:ascii="宋体" w:hAnsi="宋体" w:cs="宋体"/>
                <w:color w:val="auto"/>
                <w:highlight w:val="none"/>
              </w:rPr>
            </w:pPr>
            <w:r>
              <w:rPr>
                <w:rFonts w:hint="eastAsia" w:ascii="宋体" w:hAnsi="宋体" w:cs="宋体"/>
                <w:color w:val="auto"/>
                <w:highlight w:val="none"/>
              </w:rPr>
              <w:t xml:space="preserve">方案科学合理，内容详细，亮点多，针对性强，方案细致全面、合理、完全响应需求，具有技术可行性的得6分；</w:t>
            </w:r>
            <w:r/>
          </w:p>
          <w:p>
            <w:pPr>
              <w:rPr>
                <w:rFonts w:hint="eastAsia" w:ascii="宋体" w:hAnsi="宋体" w:cs="宋体"/>
                <w:color w:val="auto"/>
                <w:highlight w:val="none"/>
              </w:rPr>
            </w:pPr>
            <w:r>
              <w:rPr>
                <w:rFonts w:hint="eastAsia" w:ascii="宋体" w:hAnsi="宋体" w:cs="宋体"/>
                <w:color w:val="auto"/>
                <w:highlight w:val="none"/>
              </w:rPr>
              <w:t xml:space="preserve">方案基本合理、基本全面、技术可行性实施存在一定难度的得4分；</w:t>
            </w:r>
            <w:r/>
          </w:p>
          <w:p>
            <w:pPr>
              <w:rPr>
                <w:rFonts w:hint="eastAsia" w:ascii="宋体" w:hAnsi="宋体" w:cs="宋体"/>
                <w:color w:val="auto"/>
                <w:highlight w:val="none"/>
              </w:rPr>
            </w:pPr>
            <w:r>
              <w:rPr>
                <w:rFonts w:hint="eastAsia" w:ascii="宋体" w:hAnsi="宋体" w:cs="宋体"/>
                <w:color w:val="auto"/>
                <w:highlight w:val="none"/>
              </w:rPr>
              <w:t xml:space="preserve">方案不完整、响应存在欠缺、技术可行性实施存在难度的得2分；</w:t>
            </w:r>
            <w:r/>
          </w:p>
          <w:p>
            <w:pPr>
              <w:pStyle w:val="736"/>
              <w:ind w:left="0" w:firstLine="0"/>
              <w:spacing w:after="0"/>
              <w:rPr>
                <w:rFonts w:hint="eastAsia" w:ascii="宋体" w:hAnsi="宋体"/>
                <w:color w:val="auto"/>
                <w:highlight w:val="none"/>
              </w:rPr>
            </w:pPr>
            <w:r>
              <w:rPr>
                <w:rFonts w:hint="eastAsia" w:ascii="宋体" w:hAnsi="宋体" w:cs="宋体"/>
                <w:color w:val="auto"/>
                <w:highlight w:val="none"/>
              </w:rPr>
              <w:t xml:space="preserve">不提供不得分。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b/>
                <w:bCs/>
                <w:color w:val="auto"/>
                <w:highlight w:val="none"/>
              </w:rPr>
            </w:pPr>
            <w:r>
              <w:rPr>
                <w:b/>
                <w:bCs/>
                <w:color w:val="auto"/>
                <w:highlight w:val="none"/>
              </w:rPr>
            </w:r>
            <w:r/>
          </w:p>
        </w:tc>
        <w:tc>
          <w:tcPr>
            <w:tcW w:w="728" w:type="pct"/>
            <w:vAlign w:val="center"/>
            <w:vMerge w:val="restart"/>
            <w:textDirection w:val="lrTb"/>
            <w:noWrap w:val="false"/>
          </w:tcPr>
          <w:p>
            <w:pPr>
              <w:rPr>
                <w:rFonts w:hint="eastAsia" w:ascii="宋体" w:hAnsi="宋体"/>
                <w:b/>
                <w:bCs/>
                <w:color w:val="auto"/>
                <w:highlight w:val="none"/>
              </w:rPr>
            </w:pPr>
            <w:r>
              <w:rPr>
                <w:rFonts w:hint="eastAsia" w:ascii="宋体" w:hAnsi="宋体"/>
                <w:b/>
                <w:bCs/>
                <w:color w:val="auto"/>
                <w:highlight w:val="none"/>
              </w:rPr>
              <w:t xml:space="preserve">安全保障</w:t>
            </w:r>
            <w:r/>
          </w:p>
          <w:p>
            <w:pPr>
              <w:rPr>
                <w:rFonts w:hint="eastAsia" w:ascii="宋体" w:hAnsi="宋体"/>
                <w:b/>
                <w:bCs/>
                <w:color w:val="auto"/>
                <w:highlight w:val="none"/>
              </w:rPr>
            </w:pPr>
            <w:r>
              <w:rPr>
                <w:rFonts w:hint="eastAsia" w:ascii="宋体" w:hAnsi="宋体"/>
                <w:b/>
                <w:bCs/>
                <w:color w:val="auto"/>
                <w:highlight w:val="none"/>
              </w:rPr>
              <w:t xml:space="preserve">（12分）</w:t>
            </w:r>
            <w:r/>
          </w:p>
          <w:p>
            <w:pPr>
              <w:pStyle w:val="736"/>
              <w:ind w:left="0" w:firstLine="0"/>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①水上作业安全设备、人员安全装备的配置方案切实可行、内容齐全且符合要求，得5分。</w:t>
            </w:r>
            <w:r/>
          </w:p>
          <w:p>
            <w:pPr>
              <w:rPr>
                <w:rFonts w:hint="eastAsia" w:ascii="宋体" w:hAnsi="宋体"/>
                <w:color w:val="auto"/>
                <w:highlight w:val="none"/>
              </w:rPr>
            </w:pPr>
            <w:r>
              <w:rPr>
                <w:rFonts w:hint="eastAsia" w:ascii="宋体" w:hAnsi="宋体"/>
                <w:color w:val="auto"/>
                <w:highlight w:val="none"/>
              </w:rPr>
              <w:t xml:space="preserve">水上作业安全设备、人员安全装备的配置方案基本可行、内容基本齐全且基本符合要求，得3分。</w:t>
            </w:r>
            <w:r/>
          </w:p>
          <w:p>
            <w:pPr>
              <w:rPr>
                <w:rFonts w:hint="eastAsia" w:ascii="宋体" w:hAnsi="宋体"/>
                <w:color w:val="auto"/>
                <w:highlight w:val="none"/>
              </w:rPr>
            </w:pPr>
            <w:r>
              <w:rPr>
                <w:rFonts w:hint="eastAsia" w:ascii="宋体" w:hAnsi="宋体"/>
                <w:color w:val="auto"/>
                <w:highlight w:val="none"/>
              </w:rPr>
              <w:t xml:space="preserve">水上作业安全设备、人员安全装备的配置方案可行性低、内容缺失且不完全符合要求，得1分。</w:t>
            </w:r>
            <w:r/>
          </w:p>
          <w:p>
            <w:pPr>
              <w:pStyle w:val="736"/>
              <w:ind w:left="0" w:firstLine="0"/>
              <w:spacing w:after="0"/>
              <w:rPr>
                <w:rFonts w:hint="eastAsia" w:ascii="宋体" w:hAnsi="宋体"/>
                <w:color w:val="auto"/>
                <w:highlight w:val="none"/>
              </w:rPr>
            </w:pPr>
            <w:r>
              <w:rPr>
                <w:rFonts w:hint="eastAsia" w:ascii="宋体" w:hAnsi="宋体"/>
                <w:color w:val="auto"/>
                <w:highlight w:val="none"/>
              </w:rPr>
              <w:t xml:space="preserve">无方案不得分。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b/>
                <w:bCs/>
                <w:color w:val="auto"/>
                <w:highlight w:val="none"/>
              </w:rPr>
            </w:pPr>
            <w:r>
              <w:rPr>
                <w:b/>
                <w:bCs/>
                <w:color w:val="auto"/>
                <w:highlight w:val="none"/>
              </w:rPr>
            </w:r>
            <w:r/>
          </w:p>
        </w:tc>
        <w:tc>
          <w:tcPr>
            <w:tcW w:w="728" w:type="pct"/>
            <w:vAlign w:val="center"/>
            <w:vMerge w:val="continue"/>
            <w:textDirection w:val="lrTb"/>
            <w:noWrap w:val="false"/>
          </w:tcPr>
          <w:p>
            <w:pPr>
              <w:pStyle w:val="736"/>
              <w:ind w:left="0" w:firstLine="0"/>
              <w:spacing w:after="0"/>
              <w:rPr>
                <w:color w:val="auto"/>
                <w:highlight w:val="none"/>
              </w:rPr>
            </w:pPr>
            <w:r>
              <w:rPr>
                <w:color w:val="auto"/>
                <w:highlight w:val="none"/>
              </w:rPr>
            </w:r>
            <w:r/>
          </w:p>
        </w:tc>
        <w:tc>
          <w:tcPr>
            <w:tcW w:w="3066"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②人员岗前培训方案、安全管理制度切实可行、内容齐全且符合要求，得4分。</w:t>
            </w:r>
            <w:r/>
          </w:p>
          <w:p>
            <w:pPr>
              <w:rPr>
                <w:rFonts w:hint="eastAsia" w:ascii="宋体" w:hAnsi="宋体"/>
                <w:color w:val="auto"/>
                <w:highlight w:val="none"/>
              </w:rPr>
            </w:pPr>
            <w:r>
              <w:rPr>
                <w:rFonts w:hint="eastAsia" w:ascii="宋体" w:hAnsi="宋体"/>
                <w:color w:val="auto"/>
                <w:highlight w:val="none"/>
              </w:rPr>
              <w:t xml:space="preserve">人员岗前培训方案、安全管理制度基本切实可行、内容基本齐全且基本符合要求，得2分。</w:t>
            </w:r>
            <w:r/>
          </w:p>
          <w:p>
            <w:pPr>
              <w:pStyle w:val="736"/>
              <w:ind w:left="0" w:firstLine="0"/>
              <w:spacing w:after="0"/>
              <w:rPr>
                <w:rFonts w:hint="eastAsia" w:ascii="宋体" w:hAnsi="宋体"/>
                <w:color w:val="auto"/>
                <w:highlight w:val="none"/>
              </w:rPr>
            </w:pPr>
            <w:r>
              <w:rPr>
                <w:rFonts w:hint="eastAsia" w:ascii="宋体" w:hAnsi="宋体"/>
                <w:color w:val="auto"/>
                <w:highlight w:val="none"/>
              </w:rPr>
              <w:t xml:space="preserve">无方案不得分。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rFonts w:hint="eastAsia" w:ascii="宋体" w:hAnsi="宋体"/>
                <w:b/>
                <w:bCs/>
                <w:color w:val="auto"/>
                <w:highlight w:val="none"/>
              </w:rPr>
            </w:pPr>
            <w:r>
              <w:rPr>
                <w:rFonts w:hint="eastAsia" w:ascii="宋体" w:hAnsi="宋体"/>
                <w:b/>
                <w:bCs/>
                <w:color w:val="auto"/>
                <w:highlight w:val="none"/>
              </w:rPr>
            </w:r>
            <w:r/>
          </w:p>
        </w:tc>
        <w:tc>
          <w:tcPr>
            <w:tcW w:w="72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c>
          <w:tcPr>
            <w:tcW w:w="3066"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③安全预案（急救措施）切实可行、内容齐全且符合要求，得3分。</w:t>
            </w:r>
            <w:r/>
          </w:p>
          <w:p>
            <w:pPr>
              <w:rPr>
                <w:rFonts w:hint="eastAsia" w:ascii="宋体" w:hAnsi="宋体"/>
                <w:color w:val="auto"/>
                <w:highlight w:val="none"/>
              </w:rPr>
            </w:pPr>
            <w:r>
              <w:rPr>
                <w:rFonts w:hint="eastAsia" w:ascii="宋体" w:hAnsi="宋体"/>
                <w:color w:val="auto"/>
                <w:highlight w:val="none"/>
              </w:rPr>
              <w:t xml:space="preserve">安全预案（急救措施）基本切实可行、内容基本齐全且基本符合要求，得</w:t>
            </w:r>
            <w:r>
              <w:rPr>
                <w:rFonts w:ascii="宋体" w:hAnsi="宋体"/>
                <w:color w:val="auto"/>
                <w:highlight w:val="none"/>
              </w:rPr>
              <w:t xml:space="preserve">1</w:t>
            </w:r>
            <w:r>
              <w:rPr>
                <w:rFonts w:hint="eastAsia" w:ascii="宋体" w:hAnsi="宋体"/>
                <w:color w:val="auto"/>
                <w:highlight w:val="none"/>
              </w:rPr>
              <w:t xml:space="preserve">分。</w:t>
            </w:r>
            <w:r/>
          </w:p>
          <w:p>
            <w:pPr>
              <w:pStyle w:val="736"/>
              <w:ind w:left="0" w:firstLine="0"/>
              <w:spacing w:after="0"/>
              <w:rPr>
                <w:rFonts w:hint="eastAsia" w:ascii="宋体" w:hAnsi="宋体"/>
                <w:color w:val="auto"/>
                <w:highlight w:val="none"/>
              </w:rPr>
            </w:pPr>
            <w:r>
              <w:rPr>
                <w:rFonts w:hint="eastAsia" w:ascii="宋体" w:hAnsi="宋体"/>
                <w:color w:val="auto"/>
                <w:highlight w:val="none"/>
              </w:rPr>
              <w:t xml:space="preserve">无方案不得分。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rFonts w:hint="eastAsia" w:ascii="宋体" w:hAnsi="宋体"/>
                <w:b/>
                <w:bCs/>
                <w:color w:val="auto"/>
                <w:highlight w:val="none"/>
              </w:rPr>
            </w:pPr>
            <w:r>
              <w:rPr>
                <w:rFonts w:hint="eastAsia" w:ascii="宋体" w:hAnsi="宋体"/>
                <w:b/>
                <w:bCs/>
                <w:color w:val="auto"/>
                <w:highlight w:val="none"/>
              </w:rPr>
            </w:r>
            <w:r/>
          </w:p>
        </w:tc>
        <w:tc>
          <w:tcPr>
            <w:tcW w:w="728" w:type="pct"/>
            <w:vAlign w:val="center"/>
            <w:vMerge w:val="restart"/>
            <w:textDirection w:val="lrTb"/>
            <w:noWrap w:val="false"/>
          </w:tcPr>
          <w:p>
            <w:pPr>
              <w:pStyle w:val="736"/>
              <w:ind w:left="0" w:firstLine="0"/>
              <w:jc w:val="center"/>
              <w:spacing w:after="0"/>
              <w:rPr>
                <w:rFonts w:hint="eastAsia" w:ascii="宋体" w:hAnsi="宋体"/>
                <w:b/>
                <w:bCs/>
                <w:color w:val="auto"/>
                <w:highlight w:val="none"/>
              </w:rPr>
            </w:pPr>
            <w:r>
              <w:rPr>
                <w:rFonts w:hint="eastAsia" w:ascii="宋体" w:hAnsi="宋体"/>
                <w:b/>
                <w:bCs/>
                <w:color w:val="auto"/>
                <w:highlight w:val="none"/>
              </w:rPr>
              <w:t xml:space="preserve">资料档案和人员工保障</w:t>
            </w:r>
            <w:r/>
          </w:p>
          <w:p>
            <w:pPr>
              <w:pStyle w:val="736"/>
              <w:ind w:left="0" w:firstLine="0"/>
              <w:jc w:val="center"/>
              <w:spacing w:after="0"/>
              <w:rPr>
                <w:rFonts w:hint="eastAsia" w:ascii="宋体" w:hAnsi="宋体"/>
                <w:color w:val="auto"/>
                <w:highlight w:val="none"/>
              </w:rPr>
            </w:pPr>
            <w:r>
              <w:rPr>
                <w:rFonts w:hint="eastAsia" w:ascii="宋体" w:hAnsi="宋体"/>
                <w:b/>
                <w:bCs/>
                <w:color w:val="auto"/>
                <w:highlight w:val="none"/>
              </w:rPr>
              <w:t xml:space="preserve">（6分）</w:t>
            </w:r>
            <w:r/>
          </w:p>
        </w:tc>
        <w:tc>
          <w:tcPr>
            <w:tcW w:w="3066"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①项目资料有专人专职负责，岗位职责分明，档案建设规范，配备的设备齐全，档案整理措施合理可行得3分；</w:t>
            </w:r>
            <w:r/>
          </w:p>
          <w:p>
            <w:pPr>
              <w:rPr>
                <w:rFonts w:hint="eastAsia" w:ascii="宋体" w:hAnsi="宋体"/>
                <w:color w:val="auto"/>
                <w:highlight w:val="none"/>
              </w:rPr>
            </w:pPr>
            <w:r>
              <w:rPr>
                <w:rFonts w:hint="eastAsia" w:ascii="宋体" w:hAnsi="宋体"/>
                <w:color w:val="auto"/>
                <w:highlight w:val="none"/>
              </w:rPr>
              <w:t xml:space="preserve">项目资料、档案建设较规范，配备的设备较齐全，档案整理措施较合理可行得1分。</w:t>
            </w:r>
            <w:r/>
          </w:p>
          <w:p>
            <w:pPr>
              <w:pStyle w:val="736"/>
              <w:ind w:left="0" w:firstLine="0"/>
              <w:spacing w:after="0"/>
              <w:rPr>
                <w:rFonts w:hint="eastAsia" w:ascii="宋体" w:hAnsi="宋体"/>
                <w:color w:val="auto"/>
                <w:highlight w:val="none"/>
              </w:rPr>
            </w:pPr>
            <w:r>
              <w:rPr>
                <w:rFonts w:hint="eastAsia" w:ascii="宋体" w:hAnsi="宋体" w:cs="宋体"/>
                <w:color w:val="auto"/>
                <w:szCs w:val="21"/>
                <w:highlight w:val="none"/>
              </w:rPr>
              <w:t xml:space="preserve">无方案不得分。</w:t>
            </w:r>
            <w:r/>
          </w:p>
        </w:tc>
        <w:tc>
          <w:tcPr>
            <w:tcW w:w="518" w:type="pct"/>
            <w:vAlign w:val="center"/>
            <w:vMerge w:val="continue"/>
            <w:textDirection w:val="lrTb"/>
            <w:noWrap w:val="false"/>
          </w:tcPr>
          <w:p>
            <w:pPr>
              <w:pStyle w:val="736"/>
              <w:ind w:left="0" w:firstLine="0"/>
              <w:spacing w:after="0"/>
              <w:rPr>
                <w:rFonts w:hint="eastAsia" w:ascii="宋体" w:hAnsi="宋体"/>
                <w:color w:val="auto"/>
                <w:highlight w:val="none"/>
              </w:rPr>
            </w:pPr>
            <w:r>
              <w:rPr>
                <w:rFonts w:hint="eastAsia" w:ascii="宋体" w:hAnsi="宋体"/>
                <w:color w:val="auto"/>
                <w:highlight w:val="none"/>
              </w:rPr>
            </w:r>
            <w:r/>
          </w:p>
        </w:tc>
      </w:tr>
      <w:tr>
        <w:trPr>
          <w:jc w:val="center"/>
          <w:trHeight w:val="567"/>
        </w:trPr>
        <w:tc>
          <w:tcPr>
            <w:tcW w:w="686" w:type="pct"/>
            <w:vAlign w:val="center"/>
            <w:vMerge w:val="continue"/>
            <w:textDirection w:val="lrTb"/>
            <w:noWrap w:val="false"/>
          </w:tcPr>
          <w:p>
            <w:pPr>
              <w:pStyle w:val="736"/>
              <w:ind w:left="0" w:firstLine="0"/>
              <w:spacing w:after="0"/>
              <w:rPr>
                <w:b/>
                <w:bCs/>
                <w:color w:val="auto"/>
                <w:highlight w:val="none"/>
              </w:rPr>
            </w:pPr>
            <w:r>
              <w:rPr>
                <w:b/>
                <w:bCs/>
                <w:color w:val="auto"/>
                <w:highlight w:val="none"/>
              </w:rPr>
            </w:r>
            <w:r/>
          </w:p>
        </w:tc>
        <w:tc>
          <w:tcPr>
            <w:tcW w:w="728" w:type="pct"/>
            <w:vAlign w:val="center"/>
            <w:vMerge w:val="continue"/>
            <w:textDirection w:val="lrTb"/>
            <w:noWrap w:val="false"/>
          </w:tcPr>
          <w:p>
            <w:pPr>
              <w:pStyle w:val="736"/>
              <w:ind w:left="0" w:firstLine="0"/>
              <w:spacing w:after="0"/>
              <w:rPr>
                <w:color w:val="auto"/>
                <w:highlight w:val="none"/>
              </w:rPr>
            </w:pPr>
            <w:r>
              <w:rPr>
                <w:color w:val="auto"/>
                <w:highlight w:val="none"/>
              </w:rPr>
            </w:r>
            <w:r/>
          </w:p>
        </w:tc>
        <w:tc>
          <w:tcPr>
            <w:tcW w:w="3066"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②人员工资发放制度建立、合同签订等保证措施方案合理健全得3分；</w:t>
            </w:r>
            <w:r/>
          </w:p>
          <w:p>
            <w:pPr>
              <w:jc w:val="left"/>
              <w:widowControl/>
              <w:rPr>
                <w:rFonts w:hint="eastAsia" w:ascii="宋体" w:hAnsi="宋体"/>
                <w:color w:val="auto"/>
                <w:highlight w:val="none"/>
              </w:rPr>
            </w:pPr>
            <w:r>
              <w:rPr>
                <w:rFonts w:hint="eastAsia" w:ascii="宋体" w:hAnsi="宋体"/>
                <w:color w:val="auto"/>
                <w:highlight w:val="none"/>
              </w:rPr>
              <w:t xml:space="preserve">人员工资发放制度建立、合同签订等保证措施方案基本合理健全得1分。</w:t>
            </w:r>
            <w:r/>
          </w:p>
          <w:p>
            <w:pPr>
              <w:pStyle w:val="736"/>
              <w:ind w:left="0" w:firstLine="0"/>
              <w:spacing w:after="0"/>
              <w:rPr>
                <w:rFonts w:hint="eastAsia" w:ascii="宋体" w:hAnsi="宋体" w:cs="宋体"/>
                <w:color w:val="auto"/>
                <w:szCs w:val="21"/>
                <w:highlight w:val="none"/>
              </w:rPr>
            </w:pPr>
            <w:r>
              <w:rPr>
                <w:rFonts w:hint="eastAsia" w:ascii="宋体" w:hAnsi="宋体" w:cs="宋体"/>
                <w:color w:val="auto"/>
                <w:szCs w:val="21"/>
                <w:highlight w:val="none"/>
              </w:rPr>
              <w:t xml:space="preserve">无方案不得分。</w:t>
            </w:r>
            <w:r/>
          </w:p>
        </w:tc>
        <w:tc>
          <w:tcPr>
            <w:tcW w:w="518" w:type="pct"/>
            <w:vAlign w:val="center"/>
            <w:vMerge w:val="continue"/>
            <w:textDirection w:val="lrTb"/>
            <w:noWrap w:val="false"/>
          </w:tcPr>
          <w:p>
            <w:pPr>
              <w:pStyle w:val="736"/>
              <w:ind w:left="0" w:firstLine="0"/>
              <w:spacing w:after="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686"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资源配备</w:t>
            </w:r>
            <w:r/>
          </w:p>
        </w:tc>
        <w:tc>
          <w:tcPr>
            <w:gridSpan w:val="2"/>
            <w:tcW w:w="3795"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1、人员配置（14分）</w:t>
            </w:r>
            <w:r/>
          </w:p>
          <w:p>
            <w:pPr>
              <w:rPr>
                <w:rFonts w:hint="eastAsia" w:ascii="宋体" w:hAnsi="宋体" w:cs="宋体"/>
                <w:color w:val="auto"/>
                <w:highlight w:val="none"/>
              </w:rPr>
            </w:pPr>
            <w:r>
              <w:rPr>
                <w:rFonts w:hint="eastAsia" w:ascii="宋体" w:hAnsi="宋体" w:cs="宋体"/>
                <w:color w:val="auto"/>
                <w:highlight w:val="none"/>
              </w:rPr>
              <w:t xml:space="preserve">①项目经理具备</w:t>
            </w:r>
            <w:r>
              <w:rPr>
                <w:rFonts w:hint="eastAsia" w:ascii="宋体" w:hAnsi="宋体" w:cs="宋体"/>
                <w:color w:val="auto"/>
                <w:highlight w:val="none"/>
                <w:lang w:val="en-US" w:eastAsia="zh-CN"/>
              </w:rPr>
              <w:t xml:space="preserve">与项目需求相关的</w:t>
            </w:r>
            <w:r>
              <w:rPr>
                <w:rFonts w:hint="eastAsia" w:ascii="宋体" w:hAnsi="宋体" w:cs="宋体"/>
                <w:color w:val="auto"/>
                <w:highlight w:val="none"/>
              </w:rPr>
              <w:t xml:space="preserve">中级及以上工程师职称，得2分；具备类似业绩的得2分，最高得4分。</w:t>
            </w:r>
            <w:r/>
          </w:p>
          <w:p>
            <w:pPr>
              <w:rPr>
                <w:rFonts w:hint="eastAsia" w:ascii="宋体" w:hAnsi="宋体" w:cs="宋体"/>
                <w:color w:val="auto"/>
                <w:highlight w:val="none"/>
              </w:rPr>
            </w:pPr>
            <w:r>
              <w:rPr>
                <w:rFonts w:hint="eastAsia" w:ascii="宋体" w:hAnsi="宋体" w:cs="宋体"/>
                <w:color w:val="auto"/>
                <w:szCs w:val="21"/>
                <w:highlight w:val="none"/>
              </w:rPr>
              <w:t xml:space="preserve">（2023年1月1日以来、时间以合同签订时间为准）（提供证书、合同，原件扫描上传）</w:t>
            </w:r>
            <w:r/>
          </w:p>
          <w:p>
            <w:pPr>
              <w:rPr>
                <w:rFonts w:hint="eastAsia" w:ascii="宋体" w:hAnsi="宋体" w:cs="宋体"/>
                <w:color w:val="auto"/>
                <w:highlight w:val="none"/>
              </w:rPr>
            </w:pPr>
            <w:r>
              <w:rPr>
                <w:rFonts w:hint="eastAsia" w:ascii="宋体" w:hAnsi="宋体" w:cs="宋体"/>
                <w:color w:val="auto"/>
                <w:highlight w:val="none"/>
              </w:rPr>
              <w:t xml:space="preserve">②</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人员数量：投入的保洁管护</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人员数量≥</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分，每少1人扣1分，最少得0分。</w:t>
            </w:r>
            <w:r/>
          </w:p>
          <w:p>
            <w:pPr>
              <w:pStyle w:val="736"/>
              <w:ind w:left="0" w:firstLine="0"/>
              <w:spacing w:after="0"/>
              <w:rPr>
                <w:rFonts w:hint="eastAsia" w:ascii="宋体" w:hAnsi="宋体"/>
                <w:color w:val="auto"/>
                <w:highlight w:val="none"/>
              </w:rPr>
            </w:pPr>
            <w:r>
              <w:rPr>
                <w:rFonts w:hint="eastAsia" w:ascii="宋体" w:hAnsi="宋体" w:cs="宋体"/>
                <w:color w:val="auto"/>
                <w:highlight w:val="none"/>
              </w:rPr>
              <w:t xml:space="preserve">③年龄结构：供应商承诺投入项目人员年龄</w:t>
            </w:r>
            <w:r>
              <w:rPr>
                <w:rFonts w:hint="eastAsia" w:ascii="宋体" w:hAnsi="宋体" w:cs="宋体"/>
                <w:color w:val="auto"/>
                <w:highlight w:val="none"/>
                <w:lang w:val="en-US" w:eastAsia="zh-CN"/>
              </w:rPr>
              <w:t xml:space="preserve">均</w:t>
            </w:r>
            <w:r>
              <w:rPr>
                <w:rFonts w:hint="eastAsia" w:ascii="宋体" w:hAnsi="宋体" w:cs="宋体"/>
                <w:color w:val="auto"/>
                <w:highlight w:val="none"/>
              </w:rPr>
              <w:t xml:space="preserve">在18-60周岁之间得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olor w:val="auto"/>
                <w:highlight w:val="none"/>
              </w:rPr>
              <w:t xml:space="preserve">否则不得分。</w:t>
            </w:r>
            <w:r/>
          </w:p>
          <w:p>
            <w:pPr>
              <w:pStyle w:val="736"/>
              <w:ind w:left="0" w:firstLine="0"/>
              <w:spacing w:after="0"/>
              <w:rPr>
                <w:rFonts w:hint="eastAsia" w:ascii="宋体" w:hAnsi="宋体"/>
                <w:color w:val="auto"/>
                <w:highlight w:val="none"/>
              </w:rPr>
            </w:pPr>
            <w:r>
              <w:rPr>
                <w:rFonts w:hint="eastAsia" w:ascii="宋体" w:hAnsi="宋体"/>
                <w:color w:val="auto"/>
                <w:highlight w:val="none"/>
              </w:rPr>
              <w:t xml:space="preserve">④意外保险：承诺对全部人员办理人身意外保险，得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分，否则不得分。</w:t>
            </w:r>
            <w:r/>
          </w:p>
          <w:p>
            <w:pPr>
              <w:pStyle w:val="736"/>
              <w:ind w:left="0" w:firstLine="0"/>
              <w:spacing w:after="0"/>
              <w:rPr>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②</w:t>
            </w:r>
            <w:r>
              <w:rPr>
                <w:rFonts w:hint="eastAsia" w:ascii="宋体" w:hAnsi="宋体" w:cs="宋体"/>
                <w:color w:val="auto"/>
                <w:highlight w:val="none"/>
              </w:rPr>
              <w:t xml:space="preserve">→</w:t>
            </w:r>
            <w:r>
              <w:rPr>
                <w:rFonts w:hint="eastAsia" w:ascii="宋体" w:hAnsi="宋体"/>
                <w:color w:val="auto"/>
                <w:highlight w:val="none"/>
              </w:rPr>
              <w:t xml:space="preserve">④</w:t>
            </w:r>
            <w:r>
              <w:rPr>
                <w:rFonts w:hint="eastAsia" w:ascii="宋体" w:hAnsi="宋体"/>
                <w:color w:val="auto"/>
                <w:highlight w:val="none"/>
              </w:rPr>
              <w:t xml:space="preserve">条</w:t>
            </w:r>
            <w:r>
              <w:rPr>
                <w:rFonts w:hint="eastAsia" w:ascii="宋体" w:hAnsi="宋体" w:cs="宋体"/>
                <w:color w:val="auto"/>
                <w:highlight w:val="none"/>
              </w:rPr>
              <w:t xml:space="preserve">提供承诺函原件加盖供应商公章，格式自拟，扫描件上传）</w:t>
            </w:r>
            <w:r/>
          </w:p>
          <w:p>
            <w:pPr>
              <w:rPr>
                <w:rFonts w:hint="eastAsia" w:ascii="宋体" w:hAnsi="宋体" w:cs="宋体"/>
                <w:color w:val="auto"/>
                <w:highlight w:val="none"/>
              </w:rPr>
            </w:pPr>
            <w:r>
              <w:rPr>
                <w:rFonts w:hint="eastAsia" w:ascii="宋体" w:hAnsi="宋体" w:cs="宋体"/>
                <w:color w:val="auto"/>
                <w:highlight w:val="none"/>
              </w:rPr>
              <w:t xml:space="preserve">2、设备配置（13分）：</w:t>
            </w:r>
            <w:r/>
          </w:p>
          <w:p>
            <w:pPr>
              <w:rPr>
                <w:rFonts w:hint="eastAsia" w:ascii="宋体" w:hAnsi="宋体" w:cs="宋体"/>
                <w:color w:val="auto"/>
                <w:highlight w:val="none"/>
              </w:rPr>
            </w:pPr>
            <w:r>
              <w:rPr>
                <w:rFonts w:hint="eastAsia" w:ascii="宋体" w:hAnsi="宋体" w:cs="宋体"/>
                <w:color w:val="auto"/>
                <w:highlight w:val="none"/>
              </w:rPr>
              <w:t xml:space="preserve">①每具有1台打捞船得5分（</w:t>
            </w:r>
            <w:r>
              <w:rPr>
                <w:rFonts w:hint="eastAsia" w:ascii="宋体" w:hAnsi="宋体" w:cs="宋体"/>
                <w:color w:val="auto"/>
                <w:highlight w:val="none"/>
                <w:lang w:val="en-US" w:eastAsia="zh-CN"/>
              </w:rPr>
              <w:t xml:space="preserve">需</w:t>
            </w:r>
            <w:r>
              <w:rPr>
                <w:rFonts w:hint="eastAsia" w:ascii="宋体" w:hAnsi="宋体" w:cs="宋体"/>
                <w:color w:val="auto"/>
                <w:highlight w:val="none"/>
              </w:rPr>
              <w:t xml:space="preserve">配备钉耙、钢叉、网勺、竹竿等必备工具，附购置发票或租赁合同，否则不计分，原件扫描件上传），满分10分；</w:t>
            </w:r>
            <w:r/>
          </w:p>
          <w:p>
            <w:pPr>
              <w:rPr>
                <w:rFonts w:hint="eastAsia" w:ascii="宋体" w:hAnsi="宋体" w:cs="宋体"/>
                <w:color w:val="auto"/>
                <w:highlight w:val="none"/>
              </w:rPr>
            </w:pPr>
            <w:r>
              <w:rPr>
                <w:rFonts w:hint="eastAsia" w:ascii="宋体" w:hAnsi="宋体" w:cs="宋体"/>
                <w:color w:val="auto"/>
                <w:highlight w:val="none"/>
              </w:rPr>
              <w:t xml:space="preserve">②具备</w:t>
            </w:r>
            <w:r>
              <w:rPr>
                <w:rFonts w:hint="eastAsia" w:ascii="宋体" w:hAnsi="宋体" w:cs="宋体"/>
                <w:color w:val="auto"/>
                <w:highlight w:val="none"/>
                <w:lang w:val="en-US" w:eastAsia="zh-CN"/>
              </w:rPr>
              <w:t xml:space="preserve">1台</w:t>
            </w:r>
            <w:r>
              <w:rPr>
                <w:rFonts w:hint="eastAsia" w:ascii="宋体" w:hAnsi="宋体" w:cs="宋体"/>
                <w:color w:val="auto"/>
                <w:highlight w:val="none"/>
              </w:rPr>
              <w:t xml:space="preserve">无人机得2分（提供购置发票或租赁合同，扫描件上传），其余不得分；</w:t>
            </w:r>
            <w:r/>
          </w:p>
          <w:p>
            <w:pPr>
              <w:rPr>
                <w:rFonts w:hint="eastAsia" w:ascii="宋体" w:hAnsi="宋体" w:cs="宋体"/>
                <w:color w:val="auto"/>
                <w:highlight w:val="none"/>
              </w:rPr>
            </w:pPr>
            <w:r>
              <w:rPr>
                <w:rFonts w:hint="eastAsia" w:ascii="宋体" w:hAnsi="宋体" w:cs="宋体"/>
                <w:color w:val="auto"/>
                <w:highlight w:val="none"/>
              </w:rPr>
              <w:t xml:space="preserve">③从业人员通讯设备及水上作业安全设备配置充分、有效（每条保洁船须配备救生衣、救生圈，夏季防暑降温药物及雨雪天气防滑设施，提供承诺函原件加盖供应商公章，格式自拟，扫描件上传），得1分。</w:t>
            </w:r>
            <w:r/>
          </w:p>
        </w:tc>
        <w:tc>
          <w:tcPr>
            <w:tcW w:w="51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27</w:t>
            </w:r>
            <w:r/>
          </w:p>
        </w:tc>
      </w:tr>
      <w:tr>
        <w:trPr>
          <w:jc w:val="center"/>
          <w:trHeight w:val="567"/>
        </w:trPr>
        <w:tc>
          <w:tcPr>
            <w:tcW w:w="686" w:type="pct"/>
            <w:vAlign w:val="center"/>
            <w:textDirection w:val="lrTb"/>
            <w:noWrap w:val="false"/>
          </w:tcPr>
          <w:p>
            <w:pPr>
              <w:jc w:val="center"/>
              <w:rPr>
                <w:rFonts w:hint="eastAsia" w:ascii="宋体" w:hAnsi="宋体"/>
                <w:b/>
                <w:bCs/>
                <w:color w:val="auto"/>
                <w:szCs w:val="21"/>
                <w:highlight w:val="none"/>
              </w:rPr>
            </w:pPr>
            <w:r>
              <w:rPr>
                <w:rFonts w:hint="eastAsia" w:ascii="宋体" w:hAnsi="宋体" w:cs="宋体"/>
                <w:b/>
                <w:bCs/>
                <w:color w:val="auto"/>
                <w:szCs w:val="21"/>
                <w:highlight w:val="none"/>
              </w:rPr>
              <w:t xml:space="preserve">企业实力</w:t>
            </w:r>
            <w:r/>
          </w:p>
        </w:tc>
        <w:tc>
          <w:tcPr>
            <w:gridSpan w:val="2"/>
            <w:tcW w:w="3795" w:type="pct"/>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rPr>
              <w:t xml:space="preserve">获得质量管理体系认证的得1分，获得环境管理体系得1分，获得职业健康安全管理体系认证的得1分，最高得3分。（满分3分）（认证证书在有效期内，原件扫描上传）</w:t>
            </w:r>
            <w:r/>
          </w:p>
        </w:tc>
        <w:tc>
          <w:tcPr>
            <w:tcW w:w="5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r>
      <w:tr>
        <w:trPr>
          <w:jc w:val="center"/>
          <w:trHeight w:val="567"/>
        </w:trPr>
        <w:tc>
          <w:tcPr>
            <w:tcW w:w="686"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业绩</w:t>
            </w:r>
            <w:r/>
          </w:p>
        </w:tc>
        <w:tc>
          <w:tcPr>
            <w:gridSpan w:val="2"/>
            <w:tcW w:w="3795" w:type="pct"/>
            <w:vAlign w:val="center"/>
            <w:textDirection w:val="lrTb"/>
            <w:noWrap w:val="false"/>
          </w:tcPr>
          <w:p>
            <w:pPr>
              <w:ind w:firstLine="27"/>
              <w:rPr>
                <w:rFonts w:hint="eastAsia" w:ascii="宋体" w:hAnsi="宋体" w:cs="宋体"/>
                <w:color w:val="auto"/>
                <w:szCs w:val="21"/>
                <w:highlight w:val="none"/>
              </w:rPr>
            </w:pPr>
            <w:r>
              <w:rPr>
                <w:rFonts w:hint="eastAsia" w:ascii="宋体" w:hAnsi="宋体" w:cs="宋体"/>
                <w:color w:val="auto"/>
                <w:szCs w:val="21"/>
                <w:highlight w:val="none"/>
              </w:rPr>
              <w:t xml:space="preserve">供应商（2023年1月1日以来、时间以合同签订时间为准）具有河道保洁或长效管护类似业绩的，有1项得4分，最高得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提供合同，原件扫描上传）</w:t>
            </w:r>
            <w:r/>
          </w:p>
        </w:tc>
        <w:tc>
          <w:tcPr>
            <w:tcW w:w="5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55"/>
        <w:jc w:val="center"/>
        <w:spacing w:line="360" w:lineRule="auto"/>
        <w:rPr>
          <w:rFonts w:hint="eastAsia" w:ascii="宋体" w:hAnsi="宋体" w:cs="宋体"/>
          <w:color w:val="auto"/>
          <w:highlight w:val="none"/>
        </w:rPr>
      </w:pPr>
      <w:r/>
      <w:bookmarkStart w:id="35" w:name="_Toc109304976"/>
      <w:r/>
      <w:r/>
    </w:p>
    <w:p>
      <w:pPr>
        <w:pStyle w:val="955"/>
        <w:jc w:val="center"/>
        <w:spacing w:line="360" w:lineRule="auto"/>
        <w:rPr>
          <w:rFonts w:hint="eastAsia"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35"/>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9"/>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rPr>
              <w:t xml:space="preserve">内任意一个月缴纳职工社会保障资金的缴款凭证或缴款证明)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内任意一份依法纳税的缴款凭证</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hint="eastAsia" w:ascii="宋体" w:hAnsi="宋体" w:cs="宋体"/>
                <w:bCs/>
                <w:i/>
                <w:color w:val="auto"/>
                <w:highlight w:val="none"/>
                <w:u w:val="single"/>
              </w:rPr>
            </w:pP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c>
          <w:tcPr>
            <w:tcW w:w="1824" w:type="dxa"/>
            <w:vAlign w:val="center"/>
            <w:textDirection w:val="lrTb"/>
            <w:noWrap w:val="false"/>
          </w:tcPr>
          <w:p>
            <w:pPr>
              <w:pStyle w:val="958"/>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96"/>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996"/>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96"/>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96"/>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9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3"/>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3"/>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56"/>
        <w:jc w:val="center"/>
        <w:spacing w:before="300" w:after="300" w:line="360" w:lineRule="auto"/>
        <w:widowControl/>
        <w:rPr>
          <w:rFonts w:hint="eastAsia" w:ascii="宋体" w:hAnsi="宋体" w:cs="宋体"/>
          <w:color w:val="auto"/>
          <w:sz w:val="21"/>
          <w:szCs w:val="21"/>
          <w:highlight w:val="none"/>
        </w:rPr>
      </w:pPr>
      <w:r/>
      <w:bookmarkStart w:id="36" w:name="_Toc109304977"/>
      <w:r>
        <w:rPr>
          <w:rFonts w:hint="eastAsia" w:ascii="宋体" w:hAnsi="宋体" w:cs="宋体"/>
          <w:bCs w:val="0"/>
          <w:color w:val="auto"/>
          <w:sz w:val="21"/>
          <w:szCs w:val="21"/>
          <w:highlight w:val="none"/>
        </w:rPr>
        <w:t xml:space="preserve">中小微企业划型标准</w:t>
      </w:r>
      <w:bookmarkEnd w:id="36"/>
      <w:r>
        <w:rPr>
          <w:rFonts w:hint="eastAsia" w:ascii="宋体" w:hAnsi="宋体" w:cs="宋体"/>
          <w:bCs w:val="0"/>
          <w:color w:val="auto"/>
          <w:sz w:val="21"/>
          <w:szCs w:val="21"/>
          <w:highlight w:val="none"/>
        </w:rPr>
        <w:t xml:space="preserve"> </w:t>
      </w:r>
      <w:r/>
    </w:p>
    <w:p>
      <w:pPr>
        <w:pStyle w:val="986"/>
        <w:ind w:firstLine="420"/>
        <w:spacing w:before="300" w:after="452"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中小微企业划型标准如下：</w:t>
      </w:r>
      <w:r/>
    </w:p>
    <w:tbl>
      <w:tblPr>
        <w:tblStyle w:val="70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6"/>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6"/>
              <w:jc w:val="center"/>
              <w:spacing w:line="360" w:lineRule="auto"/>
              <w:widowControl/>
              <w:rPr>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X＜10</w:t>
            </w:r>
            <w:r/>
          </w:p>
        </w:tc>
      </w:tr>
    </w:tbl>
    <w:p>
      <w:pPr>
        <w:pStyle w:val="986"/>
        <w:ind w:firstLine="420"/>
        <w:spacing w:before="300" w:after="452" w:line="360" w:lineRule="auto"/>
        <w:widowControl/>
        <w:rPr>
          <w:rStyle w:val="989"/>
          <w:rFonts w:hint="eastAsia" w:ascii="宋体" w:hAnsi="宋体" w:cs="宋体"/>
          <w:color w:val="auto"/>
          <w:sz w:val="21"/>
          <w:szCs w:val="21"/>
          <w:highlight w:val="none"/>
        </w:rPr>
      </w:pPr>
      <w:r>
        <w:rPr>
          <w:rStyle w:val="98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989"/>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四、磋商响应报价表（详见附件）</w:t>
      </w:r>
      <w:r/>
    </w:p>
    <w:p>
      <w:pPr>
        <w:rPr>
          <w:rFonts w:hint="eastAsia" w:ascii="宋体" w:hAnsi="宋体" w:cs="宋体"/>
          <w:color w:val="auto"/>
          <w:highlight w:val="none"/>
        </w:rPr>
      </w:pPr>
      <w:r>
        <w:rPr>
          <w:rFonts w:hint="eastAsia" w:ascii="宋体" w:hAnsi="宋体" w:cs="宋体"/>
          <w:color w:val="auto"/>
          <w:highlight w:val="none"/>
        </w:rPr>
        <w:t xml:space="preserve"> </w:t>
      </w:r>
      <w:r/>
    </w:p>
    <w:p>
      <w:pPr>
        <w:rPr>
          <w:color w:val="auto"/>
          <w:highlight w:val="none"/>
        </w:rPr>
      </w:pPr>
      <w:r>
        <w:rPr>
          <w:rFonts w:hint="eastAsia"/>
          <w:color w:val="auto"/>
          <w:highlight w:val="none"/>
        </w:rPr>
        <w:t xml:space="preserve">本次为首轮报价</w:t>
      </w:r>
      <w:r/>
    </w:p>
    <w:p>
      <w:pPr>
        <w:pStyle w:val="975"/>
        <w:spacing w:line="360" w:lineRule="auto"/>
        <w:rPr>
          <w:color w:val="auto"/>
          <w:sz w:val="21"/>
          <w:szCs w:val="22"/>
          <w:highlight w:val="none"/>
        </w:rPr>
      </w:pPr>
      <w:r>
        <w:rPr>
          <w:rFonts w:hint="eastAsia"/>
          <w:color w:val="auto"/>
          <w:sz w:val="21"/>
          <w:szCs w:val="22"/>
          <w:highlight w:val="none"/>
        </w:rPr>
        <w:t xml:space="preserve">项目名称： </w:t>
      </w:r>
      <w:r/>
    </w:p>
    <w:p>
      <w:pPr>
        <w:pStyle w:val="975"/>
        <w:spacing w:line="360" w:lineRule="auto"/>
        <w:rPr>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2、供应商在报价时应按采购文件规定的格式（详见附件）。分项报价表按照附件提供的工程量清单的格式进行填报，分别填报单价和合价，要求填报完整，漏报项视为价格已分摊到其他清单项中。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56"/>
        <w:jc w:val="center"/>
        <w:spacing w:line="360" w:lineRule="auto"/>
        <w:rPr>
          <w:rFonts w:hint="eastAsia" w:ascii="宋体" w:hAnsi="宋体" w:cs="宋体"/>
          <w:bCs w:val="0"/>
          <w:color w:val="auto"/>
          <w:highlight w:val="none"/>
        </w:rPr>
      </w:pPr>
      <w:r/>
      <w:bookmarkStart w:id="37" w:name="_Toc109304978"/>
      <w:r>
        <w:rPr>
          <w:rFonts w:hint="eastAsia" w:ascii="宋体" w:hAnsi="宋体" w:cs="宋体"/>
          <w:bCs w:val="0"/>
          <w:color w:val="auto"/>
          <w:highlight w:val="none"/>
        </w:rPr>
        <w:t xml:space="preserve">五、技术参数响应及偏离表</w:t>
      </w:r>
      <w:bookmarkEnd w:id="37"/>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56"/>
        <w:jc w:val="center"/>
        <w:spacing w:line="360" w:lineRule="auto"/>
        <w:rPr>
          <w:rFonts w:hint="eastAsia" w:ascii="宋体" w:hAnsi="宋体" w:cs="宋体"/>
          <w:bCs w:val="0"/>
          <w:color w:val="auto"/>
          <w:highlight w:val="none"/>
        </w:rPr>
      </w:pPr>
      <w:r/>
      <w:bookmarkStart w:id="38" w:name="_Hlt26955054"/>
      <w:r/>
      <w:bookmarkEnd w:id="38"/>
      <w:r/>
      <w:bookmarkStart w:id="39"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9"/>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40" w:name="_Hlt26580838"/>
      <w:r/>
      <w:bookmarkEnd w:id="40"/>
      <w:r/>
      <w:bookmarkStart w:id="41" w:name="_Hlt26609391"/>
      <w:r/>
      <w:bookmarkEnd w:id="41"/>
      <w:r/>
      <w:bookmarkStart w:id="42" w:name="_Hlt26955064"/>
      <w:r/>
      <w:bookmarkEnd w:id="42"/>
      <w:r/>
      <w:bookmarkStart w:id="43" w:name="_Hlt26782999"/>
      <w:r/>
      <w:bookmarkEnd w:id="43"/>
      <w:r/>
      <w:bookmarkStart w:id="44" w:name="_Hlt24879081"/>
      <w:r/>
      <w:bookmarkEnd w:id="44"/>
      <w:r/>
      <w:bookmarkStart w:id="45" w:name="_Hlt26671372"/>
      <w:r/>
      <w:bookmarkEnd w:id="45"/>
      <w:r/>
      <w:bookmarkStart w:id="46" w:name="_Hlt26671343"/>
      <w:r/>
      <w:bookmarkEnd w:id="46"/>
      <w:r/>
      <w:bookmarkStart w:id="47" w:name="_Hlt26955056"/>
      <w:r/>
      <w:bookmarkEnd w:id="47"/>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0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Cambria">
    <w:panose1 w:val="02040503050406030204"/>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fldChar w:fldCharType="begin"/>
    </w:r>
    <w:r>
      <w:instrText xml:space="preserve">PAGE   \* MERGEFORMAT</w:instrText>
    </w:r>
    <w:r>
      <w:fldChar w:fldCharType="separate"/>
    </w:r>
    <w:r>
      <w:rPr>
        <w:lang w:val="zh-CN"/>
      </w:rPr>
      <w:t xml:space="preserve">32</w:t>
    </w:r>
    <w:r>
      <w:fldChar w:fldCharType="end"/>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fldChar w:fldCharType="begin"/>
    </w:r>
    <w:r>
      <w:instrText xml:space="preserve">PAGE   \* MERGEFORMAT</w:instrText>
    </w:r>
    <w:r>
      <w:fldChar w:fldCharType="separate"/>
    </w:r>
    <w:r>
      <w:rPr>
        <w:lang w:val="zh-CN"/>
      </w:rPr>
      <w:t xml:space="preserve">38</w:t>
    </w:r>
    <w:r>
      <w:fldChar w:fldCharType="end"/>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szCs w:val="22"/>
      </w:rPr>
    </w:pPr>
    <w:r/>
    <w:bookmarkStart w:id="48" w:name="_Hlk69393955"/>
    <w:r/>
    <w:bookmarkStart w:id="49" w:name="_Hlk69393956"/>
    <w:r>
      <w:rPr>
        <w:rFonts w:hint="eastAsia"/>
      </w:rPr>
      <w:t xml:space="preserve">JSZC-321003-JSWC-</w:t>
    </w:r>
    <w:r>
      <w:rPr>
        <w:rFonts w:hint="eastAsia"/>
        <w:lang w:eastAsia="zh-CN"/>
      </w:rPr>
      <w:t xml:space="preserve">C2026-0017</w:t>
    </w:r>
    <w:r>
      <w:t xml:space="preserve">                                    </w:t>
    </w:r>
    <w:r>
      <w:rPr>
        <w:rFonts w:hint="eastAsia"/>
      </w:rPr>
      <w:t xml:space="preserve"> </w:t>
    </w:r>
    <w:r>
      <w:t xml:space="preserve">   </w:t>
    </w:r>
    <w:bookmarkEnd w:id="48"/>
    <w:r/>
    <w:bookmarkEnd w:id="49"/>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8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ascii="Times New Roman" w:hAnsi="Times New Roman" w:eastAsia="宋体" w:cs="Times New Roman"/>
      <w:sz w:val="21"/>
      <w:szCs w:val="22"/>
      <w:lang w:val="en-US" w:eastAsia="zh-CN" w:bidi="ar-SA"/>
    </w:rPr>
  </w:style>
  <w:style w:type="paragraph" w:styleId="699">
    <w:name w:val="Heading 1"/>
    <w:basedOn w:val="698"/>
    <w:next w:val="698"/>
    <w:link w:val="826"/>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827"/>
    <w:uiPriority w:val="9"/>
    <w:qFormat/>
    <w:pPr>
      <w:keepLines/>
      <w:keepNext/>
      <w:spacing w:before="360" w:after="200"/>
      <w:outlineLvl w:val="1"/>
    </w:pPr>
    <w:rPr>
      <w:rFonts w:ascii="Arial" w:hAnsi="Arial" w:eastAsia="Arial" w:cs="Arial"/>
      <w:sz w:val="34"/>
    </w:rPr>
  </w:style>
  <w:style w:type="paragraph" w:styleId="701">
    <w:name w:val="Heading 3"/>
    <w:basedOn w:val="698"/>
    <w:next w:val="698"/>
    <w:link w:val="828"/>
    <w:uiPriority w:val="9"/>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829"/>
    <w:uiPriority w:val="9"/>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830"/>
    <w:uiPriority w:val="9"/>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831"/>
    <w:uiPriority w:val="9"/>
    <w:qFormat/>
    <w:pPr>
      <w:keepLines/>
      <w:keepNext/>
      <w:spacing w:before="320" w:after="200"/>
      <w:outlineLvl w:val="5"/>
    </w:pPr>
    <w:rPr>
      <w:rFonts w:ascii="Arial" w:hAnsi="Arial" w:eastAsia="Arial" w:cs="Arial"/>
      <w:b/>
      <w:bCs/>
      <w:sz w:val="22"/>
    </w:rPr>
  </w:style>
  <w:style w:type="paragraph" w:styleId="705">
    <w:name w:val="Heading 7"/>
    <w:basedOn w:val="698"/>
    <w:next w:val="698"/>
    <w:link w:val="832"/>
    <w:uiPriority w:val="9"/>
    <w:qFormat/>
    <w:pPr>
      <w:keepLines/>
      <w:keepNext/>
      <w:spacing w:before="320" w:after="200"/>
      <w:outlineLvl w:val="6"/>
    </w:pPr>
    <w:rPr>
      <w:rFonts w:ascii="Arial" w:hAnsi="Arial" w:eastAsia="Arial" w:cs="Arial"/>
      <w:b/>
      <w:bCs/>
      <w:i/>
      <w:iCs/>
      <w:sz w:val="22"/>
    </w:rPr>
  </w:style>
  <w:style w:type="paragraph" w:styleId="706">
    <w:name w:val="Heading 8"/>
    <w:basedOn w:val="698"/>
    <w:next w:val="698"/>
    <w:link w:val="833"/>
    <w:uiPriority w:val="9"/>
    <w:qFormat/>
    <w:pPr>
      <w:keepLines/>
      <w:keepNext/>
      <w:spacing w:before="320" w:after="200"/>
      <w:outlineLvl w:val="7"/>
    </w:pPr>
    <w:rPr>
      <w:rFonts w:ascii="Arial" w:hAnsi="Arial" w:eastAsia="Arial" w:cs="Arial"/>
      <w:i/>
      <w:iCs/>
      <w:sz w:val="22"/>
    </w:rPr>
  </w:style>
  <w:style w:type="paragraph" w:styleId="707">
    <w:name w:val="Heading 9"/>
    <w:basedOn w:val="698"/>
    <w:next w:val="698"/>
    <w:link w:val="834"/>
    <w:uiPriority w:val="9"/>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索引 41"/>
    <w:basedOn w:val="698"/>
    <w:next w:val="698"/>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711">
    <w:name w:val="toc 7"/>
    <w:basedOn w:val="698"/>
    <w:next w:val="698"/>
    <w:uiPriority w:val="39"/>
    <w:qFormat/>
    <w:pPr>
      <w:ind w:left="1701"/>
      <w:spacing w:after="57"/>
    </w:pPr>
  </w:style>
  <w:style w:type="paragraph" w:styleId="712">
    <w:name w:val="Normal Indent"/>
    <w:basedOn w:val="698"/>
    <w:uiPriority w:val="0"/>
    <w:qFormat/>
    <w:pPr>
      <w:ind w:firstLine="482"/>
      <w:spacing w:line="360" w:lineRule="atLeast"/>
    </w:pPr>
    <w:rPr>
      <w:sz w:val="24"/>
      <w:szCs w:val="20"/>
    </w:rPr>
  </w:style>
  <w:style w:type="paragraph" w:styleId="713">
    <w:name w:val="Caption"/>
    <w:basedOn w:val="698"/>
    <w:next w:val="698"/>
    <w:uiPriority w:val="35"/>
    <w:qFormat/>
    <w:pPr>
      <w:spacing w:line="276" w:lineRule="auto"/>
    </w:pPr>
    <w:rPr>
      <w:b/>
      <w:bCs/>
      <w:color w:val="4f81bd"/>
      <w:sz w:val="18"/>
      <w:szCs w:val="18"/>
    </w:rPr>
  </w:style>
  <w:style w:type="paragraph" w:styleId="714">
    <w:name w:val="annotation text"/>
    <w:basedOn w:val="698"/>
    <w:uiPriority w:val="99"/>
    <w:semiHidden/>
    <w:unhideWhenUsed/>
    <w:qFormat/>
    <w:pPr>
      <w:jc w:val="left"/>
    </w:pPr>
  </w:style>
  <w:style w:type="paragraph" w:styleId="715">
    <w:name w:val="Body Text"/>
    <w:basedOn w:val="698"/>
    <w:uiPriority w:val="0"/>
    <w:qFormat/>
    <w:rPr>
      <w:rFonts w:ascii="楷体_GB2312" w:hAnsi="Arial" w:eastAsia="楷体_GB2312"/>
      <w:sz w:val="28"/>
      <w:szCs w:val="28"/>
    </w:rPr>
  </w:style>
  <w:style w:type="paragraph" w:styleId="716">
    <w:name w:val="Body Text Indent"/>
    <w:basedOn w:val="698"/>
    <w:next w:val="698"/>
    <w:uiPriority w:val="99"/>
    <w:qFormat/>
    <w:pPr>
      <w:ind w:left="420"/>
      <w:spacing w:after="120"/>
    </w:pPr>
  </w:style>
  <w:style w:type="paragraph" w:styleId="717">
    <w:name w:val="toc 5"/>
    <w:basedOn w:val="698"/>
    <w:next w:val="698"/>
    <w:uiPriority w:val="39"/>
    <w:qFormat/>
    <w:pPr>
      <w:ind w:left="1134"/>
      <w:spacing w:after="57"/>
    </w:pPr>
  </w:style>
  <w:style w:type="paragraph" w:styleId="718">
    <w:name w:val="toc 3"/>
    <w:basedOn w:val="698"/>
    <w:next w:val="698"/>
    <w:uiPriority w:val="39"/>
    <w:qFormat/>
    <w:pPr>
      <w:ind w:left="567"/>
      <w:spacing w:after="57"/>
    </w:pPr>
  </w:style>
  <w:style w:type="paragraph" w:styleId="719">
    <w:name w:val="Plain Text"/>
    <w:basedOn w:val="698"/>
    <w:next w:val="720"/>
    <w:uiPriority w:val="0"/>
    <w:qFormat/>
    <w:rPr>
      <w:rFonts w:ascii="宋体" w:hAnsi="Courier New"/>
      <w:sz w:val="20"/>
      <w:szCs w:val="21"/>
    </w:rPr>
  </w:style>
  <w:style w:type="paragraph" w:styleId="720" w:customStyle="1">
    <w:name w:val="Char Char Char Char Char"/>
    <w:basedOn w:val="698"/>
    <w:next w:val="698"/>
    <w:uiPriority w:val="0"/>
    <w:qFormat/>
    <w:pPr>
      <w:ind w:firstLine="5632"/>
    </w:pPr>
  </w:style>
  <w:style w:type="paragraph" w:styleId="721">
    <w:name w:val="toc 8"/>
    <w:basedOn w:val="698"/>
    <w:next w:val="698"/>
    <w:uiPriority w:val="39"/>
    <w:qFormat/>
    <w:pPr>
      <w:ind w:left="1984"/>
      <w:spacing w:after="57"/>
    </w:pPr>
  </w:style>
  <w:style w:type="paragraph" w:styleId="722">
    <w:name w:val="Body Text Indent 2"/>
    <w:basedOn w:val="698"/>
    <w:uiPriority w:val="99"/>
    <w:qFormat/>
    <w:pPr>
      <w:ind w:firstLine="562"/>
      <w:spacing w:line="480" w:lineRule="exact"/>
    </w:pPr>
    <w:rPr>
      <w:rFonts w:ascii="楷体_GB2312" w:eastAsia="楷体_GB2312"/>
      <w:b/>
      <w:bCs/>
      <w:sz w:val="28"/>
      <w:szCs w:val="24"/>
    </w:rPr>
  </w:style>
  <w:style w:type="paragraph" w:styleId="723">
    <w:name w:val="endnote text"/>
    <w:basedOn w:val="698"/>
    <w:link w:val="953"/>
    <w:uiPriority w:val="99"/>
    <w:qFormat/>
    <w:rPr>
      <w:sz w:val="20"/>
    </w:rPr>
  </w:style>
  <w:style w:type="paragraph" w:styleId="724">
    <w:name w:val="Footer"/>
    <w:basedOn w:val="698"/>
    <w:link w:val="845"/>
    <w:uiPriority w:val="99"/>
    <w:qFormat/>
    <w:pPr>
      <w:tabs>
        <w:tab w:val="center" w:pos="7143" w:leader="none"/>
        <w:tab w:val="right" w:pos="14287" w:leader="none"/>
      </w:tabs>
    </w:pPr>
  </w:style>
  <w:style w:type="paragraph" w:styleId="725">
    <w:name w:val="Header"/>
    <w:basedOn w:val="698"/>
    <w:link w:val="843"/>
    <w:uiPriority w:val="99"/>
    <w:qFormat/>
    <w:pPr>
      <w:tabs>
        <w:tab w:val="center" w:pos="7143" w:leader="none"/>
        <w:tab w:val="right" w:pos="14287" w:leader="none"/>
      </w:tabs>
    </w:pPr>
  </w:style>
  <w:style w:type="paragraph" w:styleId="726">
    <w:name w:val="toc 1"/>
    <w:basedOn w:val="698"/>
    <w:next w:val="698"/>
    <w:uiPriority w:val="39"/>
    <w:qFormat/>
    <w:pPr>
      <w:spacing w:after="57"/>
    </w:pPr>
  </w:style>
  <w:style w:type="paragraph" w:styleId="727">
    <w:name w:val="toc 4"/>
    <w:basedOn w:val="698"/>
    <w:next w:val="698"/>
    <w:uiPriority w:val="39"/>
    <w:qFormat/>
    <w:pPr>
      <w:ind w:left="850"/>
      <w:spacing w:after="57"/>
    </w:pPr>
  </w:style>
  <w:style w:type="paragraph" w:styleId="728">
    <w:name w:val="Subtitle"/>
    <w:basedOn w:val="698"/>
    <w:next w:val="698"/>
    <w:link w:val="838"/>
    <w:uiPriority w:val="11"/>
    <w:qFormat/>
    <w:pPr>
      <w:spacing w:before="200" w:after="200"/>
    </w:pPr>
    <w:rPr>
      <w:sz w:val="24"/>
      <w:szCs w:val="24"/>
    </w:rPr>
  </w:style>
  <w:style w:type="paragraph" w:styleId="729">
    <w:name w:val="footnote text"/>
    <w:basedOn w:val="698"/>
    <w:link w:val="952"/>
    <w:uiPriority w:val="99"/>
    <w:qFormat/>
    <w:pPr>
      <w:spacing w:after="40"/>
    </w:pPr>
    <w:rPr>
      <w:sz w:val="18"/>
    </w:rPr>
  </w:style>
  <w:style w:type="paragraph" w:styleId="730">
    <w:name w:val="toc 6"/>
    <w:basedOn w:val="698"/>
    <w:next w:val="698"/>
    <w:uiPriority w:val="39"/>
    <w:qFormat/>
    <w:pPr>
      <w:ind w:left="1417"/>
      <w:spacing w:after="57"/>
    </w:pPr>
  </w:style>
  <w:style w:type="paragraph" w:styleId="731">
    <w:name w:val="table of figures"/>
    <w:basedOn w:val="698"/>
    <w:next w:val="698"/>
    <w:uiPriority w:val="99"/>
    <w:qFormat/>
  </w:style>
  <w:style w:type="paragraph" w:styleId="732">
    <w:name w:val="toc 2"/>
    <w:basedOn w:val="698"/>
    <w:next w:val="698"/>
    <w:uiPriority w:val="39"/>
    <w:qFormat/>
    <w:pPr>
      <w:ind w:left="283"/>
      <w:spacing w:after="57"/>
    </w:pPr>
  </w:style>
  <w:style w:type="paragraph" w:styleId="733">
    <w:name w:val="toc 9"/>
    <w:basedOn w:val="698"/>
    <w:next w:val="698"/>
    <w:uiPriority w:val="39"/>
    <w:qFormat/>
    <w:pPr>
      <w:ind w:left="2268"/>
      <w:spacing w:after="57"/>
    </w:pPr>
  </w:style>
  <w:style w:type="paragraph" w:styleId="734">
    <w:name w:val="Body Text 2"/>
    <w:basedOn w:val="698"/>
    <w:uiPriority w:val="0"/>
    <w:qFormat/>
    <w:pPr>
      <w:spacing w:after="120" w:line="480" w:lineRule="auto"/>
    </w:pPr>
  </w:style>
  <w:style w:type="paragraph" w:styleId="735">
    <w:name w:val="Title"/>
    <w:basedOn w:val="698"/>
    <w:next w:val="698"/>
    <w:link w:val="837"/>
    <w:uiPriority w:val="10"/>
    <w:qFormat/>
    <w:pPr>
      <w:contextualSpacing/>
      <w:spacing w:before="300" w:after="200"/>
    </w:pPr>
    <w:rPr>
      <w:sz w:val="48"/>
      <w:szCs w:val="48"/>
    </w:rPr>
  </w:style>
  <w:style w:type="paragraph" w:styleId="736">
    <w:name w:val="Body Text First Indent 2"/>
    <w:basedOn w:val="716"/>
    <w:uiPriority w:val="99"/>
    <w:qFormat/>
    <w:pPr>
      <w:ind w:firstLine="420"/>
    </w:p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qFormat/>
    <w:rPr>
      <w:vertAlign w:val="superscript"/>
    </w:rPr>
  </w:style>
  <w:style w:type="character" w:styleId="739">
    <w:name w:val="Hyperlink"/>
    <w:uiPriority w:val="99"/>
    <w:qFormat/>
    <w:rPr>
      <w:color w:val="0000ff"/>
      <w:u w:val="single"/>
    </w:rPr>
  </w:style>
  <w:style w:type="character" w:styleId="740">
    <w:name w:val="footnote reference"/>
    <w:uiPriority w:val="99"/>
    <w:qFormat/>
    <w:rPr>
      <w:vertAlign w:val="superscript"/>
    </w:rPr>
  </w:style>
  <w:style w:type="character" w:styleId="741" w:customStyle="1">
    <w:name w:val="Heading 1 Char"/>
    <w:basedOn w:val="708"/>
    <w:uiPriority w:val="9"/>
    <w:qFormat/>
    <w:rPr>
      <w:rFonts w:ascii="Arial" w:hAnsi="Arial" w:eastAsia="Arial" w:cs="Arial"/>
      <w:sz w:val="40"/>
      <w:szCs w:val="40"/>
    </w:rPr>
  </w:style>
  <w:style w:type="character" w:styleId="742" w:customStyle="1">
    <w:name w:val="Heading 2 Char"/>
    <w:basedOn w:val="708"/>
    <w:uiPriority w:val="9"/>
    <w:qFormat/>
    <w:rPr>
      <w:rFonts w:ascii="Arial" w:hAnsi="Arial" w:eastAsia="Arial" w:cs="Arial"/>
      <w:sz w:val="34"/>
    </w:rPr>
  </w:style>
  <w:style w:type="character" w:styleId="743" w:customStyle="1">
    <w:name w:val="Heading 3 Char"/>
    <w:basedOn w:val="708"/>
    <w:uiPriority w:val="9"/>
    <w:qFormat/>
    <w:rPr>
      <w:rFonts w:ascii="Arial" w:hAnsi="Arial" w:eastAsia="Arial" w:cs="Arial"/>
      <w:sz w:val="30"/>
      <w:szCs w:val="30"/>
    </w:rPr>
  </w:style>
  <w:style w:type="character" w:styleId="744" w:customStyle="1">
    <w:name w:val="Heading 4 Char"/>
    <w:basedOn w:val="708"/>
    <w:uiPriority w:val="9"/>
    <w:qFormat/>
    <w:rPr>
      <w:rFonts w:ascii="Arial" w:hAnsi="Arial" w:eastAsia="Arial" w:cs="Arial"/>
      <w:b/>
      <w:bCs/>
      <w:sz w:val="26"/>
      <w:szCs w:val="26"/>
    </w:rPr>
  </w:style>
  <w:style w:type="character" w:styleId="745" w:customStyle="1">
    <w:name w:val="Heading 5 Char"/>
    <w:basedOn w:val="708"/>
    <w:uiPriority w:val="9"/>
    <w:qFormat/>
    <w:rPr>
      <w:rFonts w:ascii="Arial" w:hAnsi="Arial" w:eastAsia="Arial" w:cs="Arial"/>
      <w:b/>
      <w:bCs/>
      <w:sz w:val="24"/>
      <w:szCs w:val="24"/>
    </w:rPr>
  </w:style>
  <w:style w:type="character" w:styleId="746" w:customStyle="1">
    <w:name w:val="Heading 6 Char"/>
    <w:basedOn w:val="708"/>
    <w:uiPriority w:val="9"/>
    <w:qFormat/>
    <w:rPr>
      <w:rFonts w:ascii="Arial" w:hAnsi="Arial" w:eastAsia="Arial" w:cs="Arial"/>
      <w:b/>
      <w:bCs/>
      <w:sz w:val="22"/>
      <w:szCs w:val="22"/>
    </w:rPr>
  </w:style>
  <w:style w:type="character" w:styleId="747" w:customStyle="1">
    <w:name w:val="Heading 7 Char"/>
    <w:basedOn w:val="708"/>
    <w:uiPriority w:val="9"/>
    <w:qFormat/>
    <w:rPr>
      <w:rFonts w:ascii="Arial" w:hAnsi="Arial" w:eastAsia="Arial" w:cs="Arial"/>
      <w:b/>
      <w:bCs/>
      <w:i/>
      <w:iCs/>
      <w:sz w:val="22"/>
      <w:szCs w:val="22"/>
    </w:rPr>
  </w:style>
  <w:style w:type="character" w:styleId="748" w:customStyle="1">
    <w:name w:val="Heading 8 Char"/>
    <w:basedOn w:val="708"/>
    <w:uiPriority w:val="9"/>
    <w:qFormat/>
    <w:rPr>
      <w:rFonts w:ascii="Arial" w:hAnsi="Arial" w:eastAsia="Arial" w:cs="Arial"/>
      <w:i/>
      <w:iCs/>
      <w:sz w:val="22"/>
      <w:szCs w:val="22"/>
    </w:rPr>
  </w:style>
  <w:style w:type="character" w:styleId="749" w:customStyle="1">
    <w:name w:val="Heading 9 Char"/>
    <w:basedOn w:val="708"/>
    <w:uiPriority w:val="9"/>
    <w:qFormat/>
    <w:rPr>
      <w:rFonts w:ascii="Arial" w:hAnsi="Arial" w:eastAsia="Arial" w:cs="Arial"/>
      <w:i/>
      <w:iCs/>
      <w:sz w:val="21"/>
      <w:szCs w:val="21"/>
    </w:rPr>
  </w:style>
  <w:style w:type="character" w:styleId="750" w:customStyle="1">
    <w:name w:val="Title Char"/>
    <w:basedOn w:val="708"/>
    <w:uiPriority w:val="10"/>
    <w:qFormat/>
    <w:rPr>
      <w:sz w:val="48"/>
      <w:szCs w:val="48"/>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08"/>
    <w:uiPriority w:val="99"/>
    <w:qFormat/>
  </w:style>
  <w:style w:type="character" w:styleId="754" w:customStyle="1">
    <w:name w:val="Footer Char"/>
    <w:basedOn w:val="708"/>
    <w:uiPriority w:val="99"/>
    <w:qFormat/>
  </w:style>
  <w:style w:type="table" w:styleId="755"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ascii="Times New Roman" w:hAnsi="Times New Roman" w:eastAsia="宋体" w:cs="Times New Roman"/>
      <w:lang w:val="en-US" w:eastAsia="zh-CN" w:bidi="ar-SA"/>
    </w:rPr>
  </w:style>
  <w:style w:type="paragraph" w:styleId="775" w:customStyle="1">
    <w:name w:val="段"/>
    <w:basedOn w:val="776"/>
    <w:next w:val="698"/>
    <w:uiPriority w:val="0"/>
    <w:qFormat/>
    <w:pPr>
      <w:ind w:firstLine="200"/>
      <w:widowControl/>
    </w:pPr>
    <w:rPr>
      <w:rFonts w:hAnsi="Times New Roman"/>
      <w:sz w:val="20"/>
    </w:rPr>
  </w:style>
  <w:style w:type="paragraph" w:styleId="776" w:customStyle="1">
    <w:name w:val="正文1"/>
    <w:basedOn w:val="698"/>
    <w:next w:val="777"/>
    <w:uiPriority w:val="0"/>
    <w:qFormat/>
    <w:pPr>
      <w:jc w:val="left"/>
      <w:spacing w:line="360" w:lineRule="atLeast"/>
    </w:pPr>
    <w:rPr>
      <w:rFonts w:ascii="宋体" w:hAnsi="Calibri"/>
      <w:sz w:val="24"/>
      <w:szCs w:val="20"/>
    </w:rPr>
  </w:style>
  <w:style w:type="paragraph" w:styleId="777" w:customStyle="1">
    <w:name w:val="正文文本1"/>
    <w:basedOn w:val="776"/>
    <w:next w:val="778"/>
    <w:uiPriority w:val="0"/>
    <w:qFormat/>
    <w:pPr>
      <w:spacing w:after="120"/>
    </w:pPr>
    <w:rPr>
      <w:rFonts w:ascii="Times New Roman" w:hAnsi="Times New Roman"/>
      <w:lang w:eastAsia="en-US"/>
    </w:rPr>
  </w:style>
  <w:style w:type="paragraph" w:styleId="778" w:customStyle="1">
    <w:name w:val="一级条标题"/>
    <w:basedOn w:val="779"/>
    <w:next w:val="77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79" w:customStyle="1">
    <w:name w:val="章标题"/>
    <w:next w:val="7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0" w:customStyle="1">
    <w:name w:val="正文11"/>
    <w:next w:val="776"/>
    <w:uiPriority w:val="0"/>
    <w:qFormat/>
    <w:pPr>
      <w:jc w:val="both"/>
      <w:widowControl w:val="off"/>
    </w:pPr>
    <w:rPr>
      <w:rFonts w:ascii="Times New Roman" w:hAnsi="Times New Roman" w:eastAsia="宋体" w:cs="Times New Roman"/>
      <w:sz w:val="21"/>
      <w:szCs w:val="22"/>
      <w:lang w:val="en-US" w:eastAsia="zh-CN" w:bidi="ar-SA"/>
    </w:rPr>
  </w:style>
  <w:style w:type="paragraph" w:styleId="781" w:customStyle="1">
    <w:name w:val="ListBullet2"/>
    <w:basedOn w:val="698"/>
    <w:uiPriority w:val="0"/>
    <w:qFormat/>
    <w:pPr>
      <w:numPr>
        <w:ilvl w:val="0"/>
        <w:numId w:val="1"/>
      </w:numPr>
    </w:pPr>
  </w:style>
  <w:style w:type="paragraph" w:styleId="782" w:customStyle="1">
    <w:name w:val="正文（缩进）"/>
    <w:basedOn w:val="698"/>
    <w:next w:val="783"/>
    <w:uiPriority w:val="0"/>
    <w:qFormat/>
    <w:pPr>
      <w:ind w:firstLine="480"/>
    </w:pPr>
  </w:style>
  <w:style w:type="paragraph" w:styleId="783" w:customStyle="1">
    <w:name w:val="Char Char Char Char Char Char Char Char Char"/>
    <w:basedOn w:val="698"/>
    <w:next w:val="784"/>
    <w:uiPriority w:val="99"/>
    <w:qFormat/>
    <w:pPr>
      <w:ind w:left="360" w:firstLine="5784"/>
    </w:pPr>
  </w:style>
  <w:style w:type="paragraph" w:styleId="784" w:customStyle="1">
    <w:name w:val="正文文本 21"/>
    <w:basedOn w:val="698"/>
    <w:next w:val="785"/>
    <w:uiPriority w:val="99"/>
    <w:qFormat/>
    <w:pPr>
      <w:ind w:left="720" w:firstLine="5680"/>
      <w:widowControl/>
    </w:pPr>
  </w:style>
  <w:style w:type="paragraph" w:styleId="785" w:customStyle="1">
    <w:name w:val="默认段落字体 Para Char Char Char Char Char Char Char"/>
    <w:basedOn w:val="698"/>
    <w:next w:val="786"/>
    <w:uiPriority w:val="99"/>
    <w:qFormat/>
    <w:pPr>
      <w:ind w:firstLine="200"/>
    </w:pPr>
    <w:rPr>
      <w:rFonts w:cs="Arial"/>
    </w:rPr>
  </w:style>
  <w:style w:type="paragraph" w:styleId="786" w:customStyle="1">
    <w:name w:val="样式 首行缩进:  2 字符"/>
    <w:basedOn w:val="698"/>
    <w:next w:val="787"/>
    <w:uiPriority w:val="99"/>
    <w:qFormat/>
    <w:pPr>
      <w:ind w:left="480" w:firstLine="5856"/>
      <w:spacing w:line="360" w:lineRule="auto"/>
    </w:pPr>
  </w:style>
  <w:style w:type="paragraph" w:styleId="787" w:customStyle="1">
    <w:name w:val="样式 段后: 0.25 行"/>
    <w:basedOn w:val="698"/>
    <w:next w:val="788"/>
    <w:uiPriority w:val="99"/>
    <w:qFormat/>
    <w:pPr>
      <w:ind w:left="420" w:firstLine="5796"/>
      <w:spacing w:line="300" w:lineRule="auto"/>
      <w:widowControl/>
    </w:pPr>
  </w:style>
  <w:style w:type="paragraph" w:styleId="788" w:customStyle="1">
    <w:name w:val="正文 New New New New New New New New New New New New New New"/>
    <w:next w:val="733"/>
    <w:uiPriority w:val="99"/>
    <w:qFormat/>
    <w:pPr>
      <w:ind w:firstLine="2048"/>
      <w:jc w:val="both"/>
      <w:widowControl w:val="off"/>
    </w:pPr>
    <w:rPr>
      <w:rFonts w:ascii="Calibri" w:hAnsi="Calibri" w:eastAsia="宋体" w:cs="Times New Roman"/>
      <w:lang w:val="en-US" w:eastAsia="zh-CN" w:bidi="ar-SA"/>
    </w:rPr>
  </w:style>
  <w:style w:type="character" w:styleId="789" w:customStyle="1">
    <w:name w:val="Heading 1 Char_b127612a-46ac-4d30-988a-0f2fd1272b22"/>
    <w:basedOn w:val="708"/>
    <w:uiPriority w:val="9"/>
    <w:qFormat/>
    <w:rPr>
      <w:rFonts w:ascii="Arial" w:hAnsi="Arial" w:eastAsia="Arial" w:cs="Arial"/>
      <w:sz w:val="40"/>
      <w:szCs w:val="40"/>
    </w:rPr>
  </w:style>
  <w:style w:type="character" w:styleId="790" w:customStyle="1">
    <w:name w:val="Heading 2 Char_3852ce68-7c97-4966-8976-2459b61fd5e7"/>
    <w:basedOn w:val="708"/>
    <w:uiPriority w:val="9"/>
    <w:qFormat/>
    <w:rPr>
      <w:rFonts w:ascii="Arial" w:hAnsi="Arial" w:eastAsia="Arial" w:cs="Arial"/>
      <w:sz w:val="34"/>
    </w:rPr>
  </w:style>
  <w:style w:type="character" w:styleId="791" w:customStyle="1">
    <w:name w:val="Heading 3 Char_f7d11f25-14cf-49a1-a93f-35bbf919396b"/>
    <w:basedOn w:val="708"/>
    <w:uiPriority w:val="9"/>
    <w:qFormat/>
    <w:rPr>
      <w:rFonts w:ascii="Arial" w:hAnsi="Arial" w:eastAsia="Arial" w:cs="Arial"/>
      <w:sz w:val="30"/>
      <w:szCs w:val="30"/>
    </w:rPr>
  </w:style>
  <w:style w:type="character" w:styleId="792" w:customStyle="1">
    <w:name w:val="Heading 4 Char_37ad4d14-29cc-4d16-96f8-d5916b2fd4cc"/>
    <w:basedOn w:val="708"/>
    <w:uiPriority w:val="9"/>
    <w:qFormat/>
    <w:rPr>
      <w:rFonts w:ascii="Arial" w:hAnsi="Arial" w:eastAsia="Arial" w:cs="Arial"/>
      <w:b/>
      <w:bCs/>
      <w:sz w:val="26"/>
      <w:szCs w:val="26"/>
    </w:rPr>
  </w:style>
  <w:style w:type="character" w:styleId="793" w:customStyle="1">
    <w:name w:val="Heading 5 Char_ed43af33-2a75-474b-a326-04978b423b2b"/>
    <w:basedOn w:val="708"/>
    <w:uiPriority w:val="9"/>
    <w:qFormat/>
    <w:rPr>
      <w:rFonts w:ascii="Arial" w:hAnsi="Arial" w:eastAsia="Arial" w:cs="Arial"/>
      <w:b/>
      <w:bCs/>
      <w:sz w:val="24"/>
      <w:szCs w:val="24"/>
    </w:rPr>
  </w:style>
  <w:style w:type="character" w:styleId="794" w:customStyle="1">
    <w:name w:val="Heading 6 Char_b8e9b59b-97b0-43cf-8d15-c36da8c6eb83"/>
    <w:basedOn w:val="708"/>
    <w:uiPriority w:val="9"/>
    <w:qFormat/>
    <w:rPr>
      <w:rFonts w:ascii="Arial" w:hAnsi="Arial" w:eastAsia="Arial" w:cs="Arial"/>
      <w:b/>
      <w:bCs/>
      <w:sz w:val="22"/>
      <w:szCs w:val="22"/>
    </w:rPr>
  </w:style>
  <w:style w:type="character" w:styleId="795" w:customStyle="1">
    <w:name w:val="Heading 7 Char_2a7bb52a-09a4-4253-ab34-2661683bcdb0"/>
    <w:basedOn w:val="708"/>
    <w:uiPriority w:val="9"/>
    <w:qFormat/>
    <w:rPr>
      <w:rFonts w:ascii="Arial" w:hAnsi="Arial" w:eastAsia="Arial" w:cs="Arial"/>
      <w:b/>
      <w:bCs/>
      <w:i/>
      <w:iCs/>
      <w:sz w:val="22"/>
      <w:szCs w:val="22"/>
    </w:rPr>
  </w:style>
  <w:style w:type="character" w:styleId="796" w:customStyle="1">
    <w:name w:val="Heading 8 Char_3964ce1c-bf9c-4598-88c4-95beb607feb8"/>
    <w:basedOn w:val="708"/>
    <w:uiPriority w:val="9"/>
    <w:qFormat/>
    <w:rPr>
      <w:rFonts w:ascii="Arial" w:hAnsi="Arial" w:eastAsia="Arial" w:cs="Arial"/>
      <w:i/>
      <w:iCs/>
      <w:sz w:val="22"/>
      <w:szCs w:val="22"/>
    </w:rPr>
  </w:style>
  <w:style w:type="character" w:styleId="797" w:customStyle="1">
    <w:name w:val="Heading 9 Char_04556595-4e3a-4a56-93e7-6c38c583cd48"/>
    <w:basedOn w:val="708"/>
    <w:uiPriority w:val="9"/>
    <w:qFormat/>
    <w:rPr>
      <w:rFonts w:ascii="Arial" w:hAnsi="Arial" w:eastAsia="Arial" w:cs="Arial"/>
      <w:i/>
      <w:iCs/>
      <w:sz w:val="21"/>
      <w:szCs w:val="21"/>
    </w:rPr>
  </w:style>
  <w:style w:type="character" w:styleId="798" w:customStyle="1">
    <w:name w:val="Title Char_71bfe03e-d3ba-484a-8009-3870b97cebf1"/>
    <w:basedOn w:val="708"/>
    <w:uiPriority w:val="10"/>
    <w:qFormat/>
    <w:rPr>
      <w:sz w:val="48"/>
      <w:szCs w:val="48"/>
    </w:rPr>
  </w:style>
  <w:style w:type="character" w:styleId="799" w:customStyle="1">
    <w:name w:val="Subtitle Char"/>
    <w:basedOn w:val="708"/>
    <w:uiPriority w:val="11"/>
    <w:qFormat/>
    <w:rPr>
      <w:sz w:val="24"/>
      <w:szCs w:val="24"/>
    </w:rPr>
  </w:style>
  <w:style w:type="character" w:styleId="800" w:customStyle="1">
    <w:name w:val="Quote Char_4ee300e1-fe05-4b1b-b9c3-4b691c7be6c9"/>
    <w:uiPriority w:val="29"/>
    <w:qFormat/>
    <w:rPr>
      <w:i/>
    </w:rPr>
  </w:style>
  <w:style w:type="character" w:styleId="801" w:customStyle="1">
    <w:name w:val="Intense Quote Char_71fcc739-3a4e-4867-a6f1-c209fa7280d2"/>
    <w:uiPriority w:val="30"/>
    <w:qFormat/>
    <w:rPr>
      <w:i/>
    </w:rPr>
  </w:style>
  <w:style w:type="character" w:styleId="802" w:customStyle="1">
    <w:name w:val="Header Char_293a267c-921b-4f9d-ac3e-0f7c69a31286"/>
    <w:basedOn w:val="708"/>
    <w:uiPriority w:val="99"/>
    <w:qFormat/>
  </w:style>
  <w:style w:type="character" w:styleId="803" w:customStyle="1">
    <w:name w:val="Caption Char"/>
    <w:uiPriority w:val="99"/>
    <w:qFormat/>
  </w:style>
  <w:style w:type="table" w:styleId="804" w:customStyle="1">
    <w:name w:val="无格式表格 11"/>
    <w:basedOn w:val="70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0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0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0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09"/>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0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0" w:customStyle="1">
    <w:name w:val="网格表 21"/>
    <w:basedOn w:val="70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1" w:customStyle="1">
    <w:name w:val="网格表 31"/>
    <w:basedOn w:val="70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0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3" w:customStyle="1">
    <w:name w:val="网格表 5 深色1"/>
    <w:basedOn w:val="7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4" w:customStyle="1">
    <w:name w:val="网格表 6 彩色1"/>
    <w:basedOn w:val="70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15" w:customStyle="1">
    <w:name w:val="网格表 7 彩色1"/>
    <w:basedOn w:val="709"/>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6" w:customStyle="1">
    <w:name w:val="清单表 1 浅色1"/>
    <w:basedOn w:val="709"/>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7" w:customStyle="1">
    <w:name w:val="清单表 21"/>
    <w:basedOn w:val="709"/>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18" w:customStyle="1">
    <w:name w:val="清单表 31"/>
    <w:basedOn w:val="70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9" w:customStyle="1">
    <w:name w:val="清单表 41"/>
    <w:basedOn w:val="7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0" w:customStyle="1">
    <w:name w:val="清单表 5 深色1"/>
    <w:basedOn w:val="709"/>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21" w:customStyle="1">
    <w:name w:val="清单表 6 彩色1"/>
    <w:basedOn w:val="709"/>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22" w:customStyle="1">
    <w:name w:val="清单表 7 彩色1"/>
    <w:basedOn w:val="709"/>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_46a5ae15-2b88-4b1d-8625-83c688820e95"/>
    <w:uiPriority w:val="39"/>
    <w:qFormat/>
    <w:rPr>
      <w:rFonts w:ascii="Times New Roman" w:hAnsi="Times New Roman" w:eastAsia="宋体" w:cs="Times New Roman"/>
      <w:lang w:val="en-US" w:eastAsia="zh-CN" w:bidi="ar-SA"/>
    </w:rPr>
  </w:style>
  <w:style w:type="character" w:styleId="826" w:customStyle="1">
    <w:name w:val="标题 1 字符"/>
    <w:link w:val="699"/>
    <w:uiPriority w:val="9"/>
    <w:qFormat/>
    <w:rPr>
      <w:rFonts w:ascii="Arial" w:hAnsi="Arial" w:eastAsia="Arial" w:cs="Arial"/>
      <w:sz w:val="40"/>
      <w:szCs w:val="40"/>
    </w:rPr>
  </w:style>
  <w:style w:type="character" w:styleId="827" w:customStyle="1">
    <w:name w:val="标题 2 字符"/>
    <w:link w:val="700"/>
    <w:uiPriority w:val="9"/>
    <w:qFormat/>
    <w:rPr>
      <w:rFonts w:ascii="Arial" w:hAnsi="Arial" w:eastAsia="Arial" w:cs="Arial"/>
      <w:sz w:val="34"/>
    </w:rPr>
  </w:style>
  <w:style w:type="character" w:styleId="828" w:customStyle="1">
    <w:name w:val="标题 3 字符"/>
    <w:link w:val="701"/>
    <w:uiPriority w:val="9"/>
    <w:qFormat/>
    <w:rPr>
      <w:rFonts w:ascii="Arial" w:hAnsi="Arial" w:eastAsia="Arial" w:cs="Arial"/>
      <w:sz w:val="30"/>
      <w:szCs w:val="30"/>
    </w:rPr>
  </w:style>
  <w:style w:type="character" w:styleId="829" w:customStyle="1">
    <w:name w:val="标题 4 字符"/>
    <w:link w:val="702"/>
    <w:uiPriority w:val="9"/>
    <w:qFormat/>
    <w:rPr>
      <w:rFonts w:ascii="Arial" w:hAnsi="Arial" w:eastAsia="Arial" w:cs="Arial"/>
      <w:b/>
      <w:bCs/>
      <w:sz w:val="26"/>
      <w:szCs w:val="26"/>
    </w:rPr>
  </w:style>
  <w:style w:type="character" w:styleId="830" w:customStyle="1">
    <w:name w:val="标题 5 字符"/>
    <w:link w:val="703"/>
    <w:uiPriority w:val="9"/>
    <w:qFormat/>
    <w:rPr>
      <w:rFonts w:ascii="Arial" w:hAnsi="Arial" w:eastAsia="Arial" w:cs="Arial"/>
      <w:b/>
      <w:bCs/>
      <w:sz w:val="24"/>
      <w:szCs w:val="24"/>
    </w:rPr>
  </w:style>
  <w:style w:type="character" w:styleId="831" w:customStyle="1">
    <w:name w:val="标题 6 字符"/>
    <w:link w:val="704"/>
    <w:uiPriority w:val="9"/>
    <w:qFormat/>
    <w:rPr>
      <w:rFonts w:ascii="Arial" w:hAnsi="Arial" w:eastAsia="Arial" w:cs="Arial"/>
      <w:b/>
      <w:bCs/>
      <w:sz w:val="22"/>
      <w:szCs w:val="22"/>
    </w:rPr>
  </w:style>
  <w:style w:type="character" w:styleId="832" w:customStyle="1">
    <w:name w:val="标题 7 字符"/>
    <w:link w:val="705"/>
    <w:uiPriority w:val="9"/>
    <w:qFormat/>
    <w:rPr>
      <w:rFonts w:ascii="Arial" w:hAnsi="Arial" w:eastAsia="Arial" w:cs="Arial"/>
      <w:b/>
      <w:bCs/>
      <w:i/>
      <w:iCs/>
      <w:sz w:val="22"/>
      <w:szCs w:val="22"/>
    </w:rPr>
  </w:style>
  <w:style w:type="character" w:styleId="833" w:customStyle="1">
    <w:name w:val="标题 8 字符"/>
    <w:link w:val="706"/>
    <w:uiPriority w:val="9"/>
    <w:qFormat/>
    <w:rPr>
      <w:rFonts w:ascii="Arial" w:hAnsi="Arial" w:eastAsia="Arial" w:cs="Arial"/>
      <w:i/>
      <w:iCs/>
      <w:sz w:val="22"/>
      <w:szCs w:val="22"/>
    </w:rPr>
  </w:style>
  <w:style w:type="character" w:styleId="834" w:customStyle="1">
    <w:name w:val="标题 9 字符"/>
    <w:link w:val="707"/>
    <w:uiPriority w:val="9"/>
    <w:qFormat/>
    <w:rPr>
      <w:rFonts w:ascii="Arial" w:hAnsi="Arial" w:eastAsia="Arial" w:cs="Arial"/>
      <w:i/>
      <w:iCs/>
      <w:sz w:val="21"/>
      <w:szCs w:val="21"/>
    </w:rPr>
  </w:style>
  <w:style w:type="paragraph" w:styleId="835">
    <w:name w:val="List Paragraph"/>
    <w:basedOn w:val="698"/>
    <w:uiPriority w:val="34"/>
    <w:qFormat/>
    <w:pPr>
      <w:contextualSpacing/>
      <w:ind w:left="720"/>
    </w:p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link w:val="735"/>
    <w:uiPriority w:val="10"/>
    <w:qFormat/>
    <w:rPr>
      <w:sz w:val="48"/>
      <w:szCs w:val="48"/>
    </w:rPr>
  </w:style>
  <w:style w:type="character" w:styleId="838" w:customStyle="1">
    <w:name w:val="副标题 字符"/>
    <w:link w:val="728"/>
    <w:uiPriority w:val="11"/>
    <w:qFormat/>
    <w:rPr>
      <w:sz w:val="24"/>
      <w:szCs w:val="24"/>
    </w:rPr>
  </w:style>
  <w:style w:type="paragraph" w:styleId="839">
    <w:name w:val="Quote"/>
    <w:basedOn w:val="698"/>
    <w:next w:val="698"/>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698"/>
    <w:next w:val="698"/>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25"/>
    <w:uiPriority w:val="99"/>
    <w:qFormat/>
  </w:style>
  <w:style w:type="character" w:styleId="844" w:customStyle="1">
    <w:name w:val="Footer Char_86385f5c-f410-4a56-a72e-90ceb29c3cc5"/>
    <w:uiPriority w:val="99"/>
    <w:qFormat/>
  </w:style>
  <w:style w:type="character" w:styleId="845" w:customStyle="1">
    <w:name w:val="页脚 字符"/>
    <w:link w:val="724"/>
    <w:uiPriority w:val="99"/>
    <w:qFormat/>
  </w:style>
  <w:style w:type="table" w:styleId="84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3"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2" w:customStyle="1">
    <w:name w:val="脚注文本 字符"/>
    <w:link w:val="729"/>
    <w:uiPriority w:val="99"/>
    <w:qFormat/>
    <w:rPr>
      <w:sz w:val="18"/>
    </w:rPr>
  </w:style>
  <w:style w:type="character" w:styleId="953" w:customStyle="1">
    <w:name w:val="尾注文本 字符"/>
    <w:link w:val="723"/>
    <w:uiPriority w:val="99"/>
    <w:qFormat/>
    <w:rPr>
      <w:sz w:val="20"/>
    </w:rPr>
  </w:style>
  <w:style w:type="paragraph" w:styleId="954" w:customStyle="1">
    <w:name w:val="TOC 标题1"/>
    <w:uiPriority w:val="39"/>
    <w:qFormat/>
    <w:rPr>
      <w:rFonts w:ascii="Times New Roman" w:hAnsi="Times New Roman" w:eastAsia="宋体" w:cs="Times New Roman"/>
      <w:lang w:val="en-US" w:eastAsia="zh-CN" w:bidi="ar-SA"/>
    </w:rPr>
  </w:style>
  <w:style w:type="paragraph" w:styleId="955" w:customStyle="1">
    <w:name w:val="标题 11"/>
    <w:basedOn w:val="698"/>
    <w:next w:val="698"/>
    <w:link w:val="963"/>
    <w:uiPriority w:val="0"/>
    <w:qFormat/>
    <w:pPr>
      <w:keepLines/>
      <w:keepNext/>
      <w:spacing w:before="340" w:after="330" w:line="578" w:lineRule="auto"/>
      <w:outlineLvl w:val="0"/>
    </w:pPr>
    <w:rPr>
      <w:rFonts w:ascii="Calibri" w:hAnsi="Calibri"/>
      <w:b/>
      <w:bCs/>
      <w:sz w:val="44"/>
      <w:szCs w:val="44"/>
    </w:rPr>
  </w:style>
  <w:style w:type="paragraph" w:styleId="956" w:customStyle="1">
    <w:name w:val="标题 21"/>
    <w:basedOn w:val="698"/>
    <w:next w:val="957"/>
    <w:link w:val="964"/>
    <w:uiPriority w:val="0"/>
    <w:qFormat/>
    <w:pPr>
      <w:keepLines/>
      <w:keepNext/>
      <w:spacing w:before="260" w:after="260" w:line="416" w:lineRule="auto"/>
      <w:outlineLvl w:val="1"/>
    </w:pPr>
    <w:rPr>
      <w:rFonts w:ascii="Cambria" w:hAnsi="Cambria"/>
      <w:b/>
      <w:bCs/>
      <w:sz w:val="32"/>
      <w:szCs w:val="32"/>
    </w:rPr>
  </w:style>
  <w:style w:type="paragraph" w:styleId="957" w:customStyle="1">
    <w:name w:val="正文缩进1"/>
    <w:basedOn w:val="698"/>
    <w:uiPriority w:val="0"/>
    <w:qFormat/>
    <w:pPr>
      <w:ind w:firstLine="420"/>
    </w:pPr>
    <w:rPr>
      <w:rFonts w:ascii="Calibri" w:hAnsi="Calibri"/>
    </w:rPr>
  </w:style>
  <w:style w:type="paragraph" w:styleId="958" w:customStyle="1">
    <w:name w:val="标题 31"/>
    <w:basedOn w:val="698"/>
    <w:next w:val="698"/>
    <w:link w:val="965"/>
    <w:uiPriority w:val="0"/>
    <w:qFormat/>
    <w:pPr>
      <w:keepLines/>
      <w:keepNext/>
      <w:spacing w:before="260" w:after="260" w:line="416" w:lineRule="auto"/>
      <w:outlineLvl w:val="2"/>
    </w:pPr>
    <w:rPr>
      <w:rFonts w:ascii="Calibri" w:hAnsi="Calibri"/>
      <w:b/>
      <w:bCs/>
      <w:sz w:val="32"/>
      <w:szCs w:val="32"/>
    </w:rPr>
  </w:style>
  <w:style w:type="paragraph" w:styleId="959" w:customStyle="1">
    <w:name w:val="标题 41"/>
    <w:basedOn w:val="698"/>
    <w:next w:val="957"/>
    <w:link w:val="966"/>
    <w:uiPriority w:val="0"/>
    <w:qFormat/>
    <w:pPr>
      <w:spacing w:before="280" w:after="290" w:line="377" w:lineRule="auto"/>
      <w:outlineLvl w:val="3"/>
    </w:pPr>
    <w:rPr>
      <w:rFonts w:ascii="Arial" w:hAnsi="Arial" w:eastAsia="黑体"/>
      <w:b/>
      <w:bCs/>
      <w:sz w:val="28"/>
      <w:szCs w:val="28"/>
    </w:rPr>
  </w:style>
  <w:style w:type="character" w:styleId="960" w:customStyle="1">
    <w:name w:val="默认段落字体1"/>
    <w:uiPriority w:val="0"/>
    <w:qFormat/>
    <w:rPr>
      <w:rFonts w:ascii="Times New Roman" w:hAnsi="Times New Roman" w:eastAsia="宋体" w:cs="Times New Roman"/>
    </w:rPr>
  </w:style>
  <w:style w:type="table" w:styleId="961" w:customStyle="1">
    <w:name w:val="普通表格1"/>
    <w:uiPriority w:val="0"/>
    <w:qFormat/>
    <w:tblPr>
      <w:tblCellMar>
        <w:left w:w="0" w:type="dxa"/>
        <w:top w:w="0" w:type="dxa"/>
        <w:right w:w="0" w:type="dxa"/>
        <w:bottom w:w="0" w:type="dxa"/>
      </w:tblCellMar>
    </w:tblPr>
  </w:style>
  <w:style w:type="paragraph" w:styleId="962" w:customStyle="1">
    <w:name w:val="文本块1"/>
    <w:basedOn w:val="698"/>
    <w:uiPriority w:val="99"/>
    <w:qFormat/>
    <w:pPr>
      <w:ind w:left="1440" w:right="1440"/>
      <w:spacing w:after="120"/>
    </w:pPr>
  </w:style>
  <w:style w:type="character" w:styleId="963" w:customStyle="1">
    <w:name w:val="标题 1 Char"/>
    <w:link w:val="955"/>
    <w:uiPriority w:val="0"/>
    <w:qFormat/>
    <w:rPr>
      <w:rFonts w:ascii="Calibri" w:hAnsi="Calibri" w:eastAsia="宋体" w:cs="Times New Roman"/>
      <w:b/>
      <w:bCs/>
      <w:sz w:val="44"/>
      <w:szCs w:val="44"/>
    </w:rPr>
  </w:style>
  <w:style w:type="character" w:styleId="964" w:customStyle="1">
    <w:name w:val="标题 2 Char"/>
    <w:link w:val="956"/>
    <w:uiPriority w:val="0"/>
    <w:qFormat/>
    <w:rPr>
      <w:rFonts w:ascii="Cambria" w:hAnsi="Cambria" w:eastAsia="宋体" w:cs="Times New Roman"/>
      <w:b/>
      <w:bCs/>
      <w:sz w:val="32"/>
      <w:szCs w:val="32"/>
    </w:rPr>
  </w:style>
  <w:style w:type="character" w:styleId="965" w:customStyle="1">
    <w:name w:val="标题 3 Char"/>
    <w:link w:val="958"/>
    <w:uiPriority w:val="0"/>
    <w:qFormat/>
    <w:rPr>
      <w:rFonts w:ascii="Calibri" w:hAnsi="Calibri" w:eastAsia="宋体" w:cs="Times New Roman"/>
      <w:b/>
      <w:bCs/>
      <w:sz w:val="32"/>
      <w:szCs w:val="32"/>
    </w:rPr>
  </w:style>
  <w:style w:type="character" w:styleId="966" w:customStyle="1">
    <w:name w:val="标题 4 Char"/>
    <w:link w:val="959"/>
    <w:uiPriority w:val="0"/>
    <w:qFormat/>
    <w:rPr>
      <w:rFonts w:ascii="Arial" w:hAnsi="Arial" w:eastAsia="黑体" w:cs="Times New Roman"/>
      <w:b/>
      <w:bCs/>
      <w:sz w:val="28"/>
      <w:szCs w:val="28"/>
    </w:rPr>
  </w:style>
  <w:style w:type="paragraph" w:styleId="967" w:customStyle="1">
    <w:name w:val="文档结构图1"/>
    <w:basedOn w:val="698"/>
    <w:link w:val="968"/>
    <w:uiPriority w:val="0"/>
    <w:qFormat/>
    <w:rPr>
      <w:rFonts w:ascii="宋体"/>
      <w:sz w:val="18"/>
      <w:szCs w:val="18"/>
    </w:rPr>
  </w:style>
  <w:style w:type="character" w:styleId="968" w:customStyle="1">
    <w:name w:val="文档结构图 Char"/>
    <w:link w:val="967"/>
    <w:uiPriority w:val="0"/>
    <w:qFormat/>
    <w:rPr>
      <w:rFonts w:ascii="宋体" w:hAnsi="Times New Roman" w:eastAsia="宋体" w:cs="Times New Roman"/>
      <w:sz w:val="18"/>
      <w:szCs w:val="18"/>
    </w:rPr>
  </w:style>
  <w:style w:type="paragraph" w:styleId="969" w:customStyle="1">
    <w:name w:val="引文目录标题1"/>
    <w:basedOn w:val="698"/>
    <w:next w:val="698"/>
    <w:uiPriority w:val="0"/>
    <w:qFormat/>
    <w:pPr>
      <w:spacing w:before="120"/>
    </w:pPr>
    <w:rPr>
      <w:rFonts w:ascii="Cambria" w:hAnsi="Cambria"/>
      <w:sz w:val="24"/>
    </w:rPr>
  </w:style>
  <w:style w:type="paragraph" w:styleId="970" w:customStyle="1">
    <w:name w:val="批注文字1"/>
    <w:basedOn w:val="698"/>
    <w:uiPriority w:val="0"/>
    <w:qFormat/>
    <w:pPr>
      <w:jc w:val="left"/>
    </w:pPr>
  </w:style>
  <w:style w:type="paragraph" w:styleId="971" w:customStyle="1">
    <w:name w:val="正文文本11"/>
    <w:basedOn w:val="698"/>
    <w:next w:val="698"/>
    <w:uiPriority w:val="0"/>
    <w:qFormat/>
    <w:rPr>
      <w:rFonts w:ascii="楷体_GB2312" w:hAnsi="Arial" w:eastAsia="楷体_GB2312"/>
      <w:sz w:val="28"/>
      <w:szCs w:val="28"/>
    </w:rPr>
  </w:style>
  <w:style w:type="paragraph" w:styleId="972" w:customStyle="1">
    <w:name w:val="正文文本缩进1"/>
    <w:basedOn w:val="698"/>
    <w:next w:val="69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73" w:customStyle="1">
    <w:name w:val="纯文本1"/>
    <w:basedOn w:val="698"/>
    <w:link w:val="974"/>
    <w:uiPriority w:val="0"/>
    <w:qFormat/>
    <w:rPr>
      <w:rFonts w:ascii="宋体" w:hAnsi="Courier New"/>
      <w:sz w:val="20"/>
      <w:szCs w:val="20"/>
    </w:rPr>
  </w:style>
  <w:style w:type="character" w:styleId="974" w:customStyle="1">
    <w:name w:val="纯文本 Char"/>
    <w:link w:val="973"/>
    <w:uiPriority w:val="0"/>
    <w:qFormat/>
    <w:rPr>
      <w:rFonts w:ascii="宋体" w:hAnsi="Courier New" w:eastAsia="宋体" w:cs="Times New Roman"/>
    </w:rPr>
  </w:style>
  <w:style w:type="paragraph" w:styleId="975" w:customStyle="1">
    <w:name w:val="日期1"/>
    <w:basedOn w:val="698"/>
    <w:next w:val="698"/>
    <w:link w:val="976"/>
    <w:uiPriority w:val="0"/>
    <w:qFormat/>
    <w:rPr>
      <w:sz w:val="24"/>
      <w:szCs w:val="20"/>
    </w:rPr>
  </w:style>
  <w:style w:type="character" w:styleId="976" w:customStyle="1">
    <w:name w:val="日期 Char"/>
    <w:link w:val="975"/>
    <w:uiPriority w:val="0"/>
    <w:qFormat/>
    <w:rPr>
      <w:rFonts w:ascii="Times New Roman" w:hAnsi="Times New Roman" w:eastAsia="宋体" w:cs="Times New Roman"/>
      <w:sz w:val="24"/>
    </w:rPr>
  </w:style>
  <w:style w:type="paragraph" w:styleId="977" w:customStyle="1">
    <w:name w:val="批注框文本1"/>
    <w:basedOn w:val="698"/>
    <w:link w:val="978"/>
    <w:uiPriority w:val="0"/>
    <w:qFormat/>
    <w:rPr>
      <w:sz w:val="18"/>
      <w:szCs w:val="18"/>
    </w:rPr>
  </w:style>
  <w:style w:type="character" w:styleId="978" w:customStyle="1">
    <w:name w:val="批注框文本 Char"/>
    <w:link w:val="977"/>
    <w:uiPriority w:val="0"/>
    <w:qFormat/>
    <w:rPr>
      <w:rFonts w:ascii="Times New Roman" w:hAnsi="Times New Roman" w:eastAsia="宋体" w:cs="Times New Roman"/>
      <w:sz w:val="18"/>
      <w:szCs w:val="18"/>
    </w:rPr>
  </w:style>
  <w:style w:type="paragraph" w:styleId="979" w:customStyle="1">
    <w:name w:val="页脚1"/>
    <w:basedOn w:val="698"/>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寄信人地址1"/>
    <w:basedOn w:val="698"/>
    <w:uiPriority w:val="0"/>
    <w:qFormat/>
    <w:rPr>
      <w:rFonts w:ascii="Arial" w:hAnsi="Arial"/>
    </w:rPr>
  </w:style>
  <w:style w:type="paragraph" w:styleId="982" w:customStyle="1">
    <w:name w:val="页眉1"/>
    <w:basedOn w:val="698"/>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uiPriority w:val="0"/>
    <w:qFormat/>
    <w:rPr>
      <w:rFonts w:ascii="Times New Roman" w:hAnsi="Times New Roman" w:eastAsia="宋体" w:cs="Times New Roman"/>
      <w:sz w:val="18"/>
      <w:szCs w:val="18"/>
    </w:rPr>
  </w:style>
  <w:style w:type="paragraph" w:styleId="984" w:customStyle="1">
    <w:name w:val="目录 11"/>
    <w:basedOn w:val="698"/>
    <w:next w:val="698"/>
    <w:uiPriority w:val="0"/>
    <w:qFormat/>
    <w:rPr>
      <w:rFonts w:ascii="Calibri" w:hAnsi="Calibri"/>
    </w:rPr>
  </w:style>
  <w:style w:type="paragraph" w:styleId="985" w:customStyle="1">
    <w:name w:val="目录 21"/>
    <w:basedOn w:val="698"/>
    <w:next w:val="698"/>
    <w:uiPriority w:val="0"/>
    <w:qFormat/>
    <w:pPr>
      <w:ind w:left="420"/>
    </w:pPr>
  </w:style>
  <w:style w:type="paragraph" w:styleId="986" w:customStyle="1">
    <w:name w:val="普通(网站)1"/>
    <w:basedOn w:val="698"/>
    <w:uiPriority w:val="0"/>
    <w:qFormat/>
    <w:pPr>
      <w:jc w:val="left"/>
    </w:pPr>
    <w:rPr>
      <w:rFonts w:ascii="Calibri" w:hAnsi="Calibri"/>
      <w:sz w:val="24"/>
      <w:szCs w:val="24"/>
    </w:rPr>
  </w:style>
  <w:style w:type="paragraph" w:styleId="987" w:customStyle="1">
    <w:name w:val="正文首行缩进1"/>
    <w:basedOn w:val="971"/>
    <w:next w:val="698"/>
    <w:uiPriority w:val="0"/>
    <w:qFormat/>
    <w:pPr>
      <w:ind w:firstLine="420"/>
    </w:pPr>
  </w:style>
  <w:style w:type="paragraph" w:styleId="988" w:customStyle="1">
    <w:name w:val="正文首行缩进 21"/>
    <w:basedOn w:val="972"/>
    <w:next w:val="987"/>
    <w:uiPriority w:val="0"/>
    <w:qFormat/>
    <w:pPr>
      <w:ind w:firstLine="420"/>
    </w:pPr>
    <w:rPr>
      <w:rFonts w:ascii="Times New Roman" w:cs="宋体"/>
      <w:szCs w:val="21"/>
    </w:rPr>
  </w:style>
  <w:style w:type="character" w:styleId="989" w:customStyle="1">
    <w:name w:val="要点1"/>
    <w:uiPriority w:val="0"/>
    <w:qFormat/>
    <w:rPr>
      <w:rFonts w:ascii="Times New Roman" w:hAnsi="Times New Roman" w:eastAsia="宋体" w:cs="Times New Roman"/>
      <w:b/>
    </w:rPr>
  </w:style>
  <w:style w:type="paragraph" w:styleId="990" w:customStyle="1">
    <w:name w:val="列出段落"/>
    <w:basedOn w:val="698"/>
    <w:uiPriority w:val="0"/>
    <w:qFormat/>
    <w:pPr>
      <w:ind w:firstLine="420"/>
    </w:pPr>
  </w:style>
  <w:style w:type="paragraph" w:styleId="991" w:customStyle="1">
    <w:name w:val="普通正文"/>
    <w:basedOn w:val="776"/>
    <w:uiPriority w:val="0"/>
    <w:qFormat/>
    <w:pPr>
      <w:ind w:firstLine="480"/>
      <w:spacing w:before="120" w:after="120" w:line="360" w:lineRule="auto"/>
    </w:pPr>
    <w:rPr>
      <w:rFonts w:ascii="Arial" w:hAnsi="Arial"/>
      <w:szCs w:val="24"/>
    </w:rPr>
  </w:style>
  <w:style w:type="paragraph" w:styleId="992" w:customStyle="1">
    <w:name w:val="UserStyle_52"/>
    <w:basedOn w:val="698"/>
    <w:uiPriority w:val="0"/>
    <w:qFormat/>
    <w:pPr>
      <w:spacing w:line="240" w:lineRule="exact"/>
    </w:pPr>
    <w:rPr>
      <w:rFonts w:ascii="宋体" w:hAnsi="宋体"/>
      <w:lang w:val="zh-TW" w:eastAsia="zh-TW" w:bidi="zh-TW"/>
    </w:rPr>
  </w:style>
  <w:style w:type="character" w:styleId="993" w:customStyle="1">
    <w:name w:val="HtmlCite1"/>
    <w:uiPriority w:val="0"/>
    <w:qFormat/>
    <w:rPr>
      <w:rFonts w:ascii="Times New Roman" w:hAnsi="Times New Roman" w:eastAsia="宋体" w:cs="Times New Roman"/>
    </w:rPr>
  </w:style>
  <w:style w:type="paragraph" w:styleId="994" w:customStyle="1">
    <w:name w:val="Table Paragraph"/>
    <w:basedOn w:val="698"/>
    <w:uiPriority w:val="0"/>
    <w:qFormat/>
    <w:rPr>
      <w:rFonts w:ascii="宋体" w:hAnsi="宋体" w:cs="宋体"/>
      <w:sz w:val="22"/>
      <w:lang w:val="zh-CN" w:bidi="zh-CN"/>
    </w:rPr>
  </w:style>
  <w:style w:type="paragraph" w:styleId="995" w:customStyle="1">
    <w:name w:val="ListBullet21"/>
    <w:basedOn w:val="698"/>
    <w:uiPriority w:val="0"/>
    <w:qFormat/>
    <w:pPr>
      <w:numPr>
        <w:ilvl w:val="0"/>
        <w:numId w:val="2"/>
      </w:numPr>
    </w:pPr>
  </w:style>
  <w:style w:type="paragraph" w:styleId="996" w:customStyle="1">
    <w:name w:val="Char"/>
    <w:basedOn w:val="698"/>
    <w:uiPriority w:val="0"/>
    <w:qFormat/>
    <w:pPr>
      <w:ind w:firstLine="200"/>
      <w:tabs>
        <w:tab w:val="left" w:pos="360" w:leader="none"/>
      </w:tabs>
    </w:pPr>
    <w:rPr>
      <w:sz w:val="28"/>
      <w:szCs w:val="30"/>
    </w:rPr>
  </w:style>
  <w:style w:type="character" w:styleId="997" w:customStyle="1">
    <w:name w:val="页脚 Char1"/>
    <w:uiPriority w:val="0"/>
    <w:qFormat/>
    <w:rPr>
      <w:rFonts w:ascii="Times New Roman" w:hAnsi="Times New Roman" w:eastAsia="宋体" w:cs="Times New Roman"/>
      <w:sz w:val="18"/>
      <w:szCs w:val="18"/>
    </w:rPr>
  </w:style>
  <w:style w:type="character" w:styleId="998" w:customStyle="1">
    <w:name w:val="日期 Char1"/>
    <w:uiPriority w:val="0"/>
    <w:qFormat/>
    <w:rPr>
      <w:rFonts w:ascii="Times New Roman" w:hAnsi="Times New Roman" w:eastAsia="宋体" w:cs="Times New Roman"/>
    </w:rPr>
  </w:style>
  <w:style w:type="character" w:styleId="999" w:customStyle="1">
    <w:name w:val="纯文本 Char1"/>
    <w:uiPriority w:val="0"/>
    <w:qFormat/>
    <w:rPr>
      <w:rFonts w:ascii="宋体" w:hAnsi="Courier New" w:eastAsia="宋体" w:cs="Courier New"/>
      <w:szCs w:val="21"/>
    </w:rPr>
  </w:style>
  <w:style w:type="character" w:styleId="1000" w:customStyle="1">
    <w:name w:val="页眉 Char1"/>
    <w:uiPriority w:val="0"/>
    <w:qFormat/>
    <w:rPr>
      <w:rFonts w:ascii="Times New Roman" w:hAnsi="Times New Roman" w:eastAsia="宋体" w:cs="Times New Roman"/>
      <w:sz w:val="18"/>
      <w:szCs w:val="18"/>
    </w:rPr>
  </w:style>
  <w:style w:type="paragraph" w:styleId="1001"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02" w:customStyle="1">
    <w:name w:val="正文空2格  1."/>
    <w:basedOn w:val="698"/>
    <w:uiPriority w:val="0"/>
    <w:qFormat/>
    <w:pPr>
      <w:ind w:firstLine="480"/>
    </w:pPr>
    <w:rPr>
      <w:rFonts w:cs="宋体"/>
      <w:sz w:val="28"/>
      <w:szCs w:val="20"/>
    </w:rPr>
  </w:style>
  <w:style w:type="paragraph" w:styleId="1003"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1004"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05" w:customStyle="1">
    <w:name w:val="标题 1 Char Char Char"/>
    <w:uiPriority w:val="0"/>
    <w:qFormat/>
    <w:rPr>
      <w:rFonts w:eastAsia="宋体"/>
      <w:b/>
      <w:bCs/>
      <w:sz w:val="44"/>
      <w:szCs w:val="44"/>
      <w:lang w:val="en-US" w:eastAsia="zh-CN" w:bidi="ar-SA"/>
    </w:rPr>
  </w:style>
  <w:style w:type="paragraph" w:styleId="1006"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7"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8" w:customStyle="1">
    <w:name w:val="正文_0_0"/>
    <w:basedOn w:val="1009"/>
    <w:uiPriority w:val="0"/>
    <w:qFormat/>
    <w:rPr>
      <w:szCs w:val="21"/>
    </w:rPr>
  </w:style>
  <w:style w:type="paragraph" w:styleId="100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Normal_20"/>
    <w:link w:val="1011"/>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11" w:customStyle="1">
    <w:name w:val="Normal_20 Char"/>
    <w:link w:val="1010"/>
    <w:uiPriority w:val="0"/>
    <w:qFormat/>
    <w:rPr>
      <w:rFonts w:ascii="Times New Roman" w:hAnsi="Times New Roman" w:eastAsia="Calibri" w:cs="Times New Roman"/>
      <w:sz w:val="22"/>
      <w:szCs w:val="22"/>
      <w:lang w:val="en-US" w:eastAsia="en-US" w:bidi="ar-SA"/>
    </w:rPr>
  </w:style>
  <w:style w:type="paragraph" w:styleId="1012" w:customStyle="1">
    <w:name w:val="Body text|1"/>
    <w:basedOn w:val="698"/>
    <w:uiPriority w:val="0"/>
    <w:qFormat/>
    <w:pPr>
      <w:spacing w:after="220"/>
    </w:pPr>
    <w:rPr>
      <w:rFonts w:ascii="宋体" w:hAnsi="宋体" w:cs="宋体"/>
      <w:sz w:val="22"/>
      <w:lang w:val="zh-TW" w:eastAsia="zh-TW" w:bidi="zh-TW"/>
    </w:rPr>
  </w:style>
  <w:style w:type="character" w:styleId="1013" w:customStyle="1">
    <w:name w:val="font21"/>
    <w:basedOn w:val="708"/>
    <w:uiPriority w:val="0"/>
    <w:qFormat/>
    <w:rPr>
      <w:rFonts w:hint="eastAsia" w:ascii="宋体" w:hAnsi="宋体" w:eastAsia="宋体" w:cs="宋体"/>
      <w:color w:val="000000"/>
      <w:sz w:val="20"/>
      <w:szCs w:val="20"/>
      <w:u w:val="none"/>
    </w:rPr>
  </w:style>
  <w:style w:type="character" w:styleId="1014" w:customStyle="1">
    <w:name w:val="font31"/>
    <w:basedOn w:val="708"/>
    <w:uiPriority w:val="0"/>
    <w:qFormat/>
    <w:rPr>
      <w:rFonts w:hint="default" w:ascii="Times New Roman" w:hAnsi="Times New Roman" w:cs="Times New Roman"/>
      <w:color w:val="000000"/>
      <w:sz w:val="20"/>
      <w:szCs w:val="20"/>
      <w:u w:val="none"/>
    </w:rPr>
  </w:style>
  <w:style w:type="paragraph" w:styleId="1015" w:customStyle="1">
    <w:name w:val="Table Text"/>
    <w:basedOn w:val="698"/>
    <w:uiPriority w:val="0"/>
    <w:semiHidden/>
    <w:qFormat/>
    <w:rPr>
      <w:rFonts w:ascii="宋体" w:hAnsi="宋体" w:eastAsia="宋体" w:cs="宋体"/>
      <w:sz w:val="23"/>
      <w:szCs w:val="23"/>
      <w:lang w:val="en-US" w:eastAsia="en-US" w:bidi="ar-SA"/>
    </w:rPr>
  </w:style>
  <w:style w:type="table" w:styleId="1016" w:customStyle="1">
    <w:name w:val="Table Normal"/>
    <w:uiPriority w:val="0"/>
    <w:semiHidden/>
    <w:unhideWhenUsed/>
    <w:qFormat/>
    <w:tblPr>
      <w:tblCellMar>
        <w:left w:w="0" w:type="dxa"/>
        <w:top w:w="0" w:type="dxa"/>
        <w:right w:w="0" w:type="dxa"/>
        <w:bottom w:w="0" w:type="dxa"/>
      </w:tblCellMar>
    </w:tbl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10</cp:revision>
  <dcterms:created xsi:type="dcterms:W3CDTF">2025-08-11T14:28:00Z</dcterms:created>
  <dcterms:modified xsi:type="dcterms:W3CDTF">2026-06-26T06:33:31Z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6DE9E06CE97C4B159561458CE3D5B669_13</vt:lpwstr>
  </property>
  <property fmtid="{D5CDD505-2E9C-101B-9397-08002B2CF9AE}" pid="4" name="KSOTemplateDocerSaveRecord">
    <vt:lpwstr>eyJoZGlkIjoiZTVkNzQ3OWEyMTdhMmNjZTE0YWI3MmE4NDZlMmFlODAiLCJ1c2VySWQiOiI0MTk2MzY1OTUifQ==</vt:lpwstr>
  </property>
</Properties>
</file>