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default" w:ascii="宋体" w:hAnsi="宋体" w:cs="宋体"/>
          <w:b/>
          <w:bCs/>
          <w:color w:val="auto"/>
          <w:sz w:val="36"/>
          <w:highlight w:val="none"/>
          <w:lang w:val="en-US"/>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JSZC-321000-YZDX-G2026-0009</w:t>
      </w:r>
      <w:r>
        <w:rPr>
          <w:rFonts w:hint="eastAsia" w:ascii="宋体" w:hAnsi="宋体" w:cs="宋体"/>
          <w:b/>
          <w:bCs/>
          <w:color w:val="auto"/>
          <w:sz w:val="36"/>
          <w:highlight w:val="none"/>
          <w:lang w:val="en-US" w:eastAsia="zh-CN"/>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pacing w:val="0"/>
          <w:sz w:val="34"/>
          <w:szCs w:val="34"/>
          <w:highlight w:val="none"/>
        </w:rPr>
      </w:pPr>
      <w:r>
        <w:rPr>
          <w:rFonts w:hint="eastAsia" w:ascii="宋体" w:hAnsi="宋体" w:cs="宋体"/>
          <w:b/>
          <w:bCs/>
          <w:color w:val="auto"/>
          <w:spacing w:val="-11"/>
          <w:sz w:val="34"/>
          <w:szCs w:val="34"/>
          <w:highlight w:val="none"/>
          <w:lang w:eastAsia="zh-CN"/>
        </w:rPr>
        <w:t xml:space="preserve">扬州高等职业技术学校学生宿舍床铺购置项目（二次）</w:t>
      </w:r>
      <w:r>
        <w:rPr>
          <w:sz w:val="34"/>
          <w:szCs w:val="34"/>
        </w:rPr>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pacing w:val="0"/>
          <w:sz w:val="34"/>
          <w:szCs w:val="34"/>
          <w:highlight w:val="none"/>
        </w:rPr>
        <w:t xml:space="preserve">公开招标文件</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-209550</wp:posOffset>
                </wp:positionH>
                <wp:positionV relativeFrom="paragraph">
                  <wp:posOffset>152400</wp:posOffset>
                </wp:positionV>
                <wp:extent cx="5803900" cy="3827780"/>
                <wp:effectExtent l="0" t="0" r="6350" b="1270"/>
                <wp:wrapTight wrapText="bothSides">
                  <wp:wrapPolygon edited="1">
                    <wp:start x="0" y="0"/>
                    <wp:lineTo x="0" y="21500"/>
                    <wp:lineTo x="21553" y="21500"/>
                    <wp:lineTo x="21553" y="0"/>
                    <wp:lineTo x="0" y="0"/>
                  </wp:wrapPolygon>
                </wp:wrapTight>
                <wp:docPr id="3" name="图片 1" descr="30fe8839dc1867ee549dd71559e1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0fe8839dc1867ee549dd71559e13195"/>
                        <pic:cNvPicPr>
                          <a:picLocks noChangeAspect="1"/>
                        </pic:cNvPicPr>
                        <pic:nvPr/>
                      </pic:nvPicPr>
                      <pic:blipFill>
                        <a:blip r:embed="rId15"/>
                        <a:stretch/>
                      </pic:blipFill>
                      <pic:spPr bwMode="auto">
                        <a:xfrm>
                          <a:off x="0" y="0"/>
                          <a:ext cx="5803900" cy="38277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6.5pt;mso-position-horizontal:absolute;mso-position-vertical-relative:text;margin-top:12.0pt;mso-position-vertical:absolute;width:457.0pt;height:301.4pt;mso-wrap-distance-left:9.0pt;mso-wrap-distance-top:0.0pt;mso-wrap-distance-right:9.0pt;mso-wrap-distance-bottom:0.0pt;" wrapcoords="0 0 0 99537 99782 99537 99782 0 0 0" stroked="false">
                <v:path textboxrect="0,0,0,0"/>
                <w10:wrap type="tight"/>
                <v:imagedata r:id="rId15"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扬州大学工程设计研究院有限公司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09"/>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87"/>
        <w:spacing w:line="360" w:lineRule="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1</w:t>
      </w:r>
      <w:r>
        <w:rPr>
          <w:color w:val="auto"/>
          <w:highlight w:val="none"/>
        </w:rPr>
        <w:fldChar w:fldCharType="end"/>
      </w:r>
      <w:r/>
    </w:p>
    <w:p>
      <w:pPr>
        <w:pStyle w:val="787"/>
        <w:spacing w:line="360" w:lineRule="auto"/>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87"/>
        <w:spacing w:line="360" w:lineRule="auto"/>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87"/>
        <w:spacing w:line="360" w:lineRule="auto"/>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87"/>
        <w:spacing w:line="360" w:lineRule="auto"/>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87"/>
        <w:spacing w:line="360" w:lineRule="auto"/>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93"/>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pStyle w:val="762"/>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highlight w:val="none"/>
        </w:rPr>
      </w:r>
      <w:r/>
    </w:p>
    <w:p>
      <w:pPr>
        <w:pStyle w:val="762"/>
        <w:rPr>
          <w:rFonts w:hint="default" w:eastAsia="宋体"/>
          <w:color w:val="auto"/>
          <w:highlight w:val="none"/>
          <w:lang w:val="en-US" w:eastAsia="zh-CN"/>
        </w:rPr>
      </w:pPr>
      <w:r>
        <w:rPr>
          <w:rFonts w:hint="eastAsia"/>
          <w:color w:val="auto"/>
          <w:highlight w:val="none"/>
        </w:rPr>
        <w:t xml:space="preserve">第一章 </w:t>
      </w:r>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扬州高等职业技术学校</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扬州大学工程设计研究院有限公司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扬州高等职业技术学校学生宿舍床铺购置项目（二次）</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扬州高等职业技术学校学生宿舍床铺购置项目（二次）JSZC-321000-YZDX-G2026-0009</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0" w:name="_Toc28359002"/>
      <w:r/>
      <w:bookmarkStart w:id="1" w:name="_Toc38985263"/>
      <w:r/>
      <w:bookmarkStart w:id="2" w:name="_Toc35393790"/>
      <w:r/>
      <w:bookmarkStart w:id="3" w:name="_Toc35393621"/>
      <w:r/>
      <w:bookmarkStart w:id="4" w:name="_Toc28359079"/>
      <w:r>
        <w:rPr>
          <w:rFonts w:hint="eastAsia" w:ascii="宋体" w:hAnsi="宋体" w:cs="宋体"/>
          <w:b/>
          <w:bCs/>
          <w:color w:val="auto"/>
          <w:sz w:val="21"/>
          <w:szCs w:val="21"/>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扬州高等职业技术学校学生宿舍床铺购置项目（二次）</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72"/>
        <w:tblW w:w="5130" w:type="pct"/>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6694"/>
      </w:tblGrid>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93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93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72"/>
        <w:tblW w:w="511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2727"/>
        <w:gridCol w:w="4323"/>
      </w:tblGrid>
      <w:tr>
        <w:trPr/>
        <w:tc>
          <w:tcPr>
            <w:tcW w:w="84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607"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54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44"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607"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254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本项目包含244间宿舍，共计488套（每套含上床下桌两组+走梯一组+椅子两把）组合床供货、安装及相关配套整理工作,详细要求详见本招标文件第四章</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w:t>
      </w:r>
      <w:r>
        <w:rPr>
          <w:rFonts w:hint="eastAsia" w:ascii="宋体" w:hAnsi="宋体" w:cs="宋体"/>
          <w:color w:val="auto"/>
          <w:sz w:val="21"/>
          <w:szCs w:val="21"/>
          <w:highlight w:val="none"/>
          <w:lang w:val="en-US" w:eastAsia="zh-CN"/>
        </w:rPr>
        <w:t xml:space="preserve">自合同签订后40个日历天内完成全部家具供货安装及配套服务、现场垃圾清运保洁、竣工报验及验收等全部工作</w:t>
      </w:r>
      <w:r>
        <w:rPr>
          <w:rFonts w:hint="eastAsia" w:ascii="宋体" w:hAnsi="宋体" w:cs="宋体"/>
          <w:color w:val="auto"/>
          <w:sz w:val="21"/>
          <w:szCs w:val="21"/>
          <w:highlight w:val="none"/>
        </w:rPr>
        <w:t xml:space="preserve">。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5" w:name="_Toc28359003"/>
      <w:r/>
      <w:bookmarkStart w:id="6" w:name="_Toc35393622"/>
      <w:r/>
      <w:bookmarkStart w:id="7" w:name="_Toc38985264"/>
      <w:r/>
      <w:bookmarkStart w:id="8" w:name="_Toc35393791"/>
      <w:r/>
      <w:bookmarkStart w:id="9" w:name="_Toc28359080"/>
      <w:r>
        <w:rPr>
          <w:rFonts w:hint="eastAsia" w:ascii="宋体" w:hAnsi="宋体" w:cs="宋体"/>
          <w:b/>
          <w:bCs/>
          <w:color w:val="auto"/>
          <w:sz w:val="21"/>
          <w:szCs w:val="21"/>
          <w:highlight w:val="none"/>
        </w:rPr>
        <w:t xml:space="preserve">二、申请人的资格要求：</w:t>
      </w:r>
      <w:bookmarkEnd w:id="5"/>
      <w:r/>
      <w:bookmarkEnd w:id="6"/>
      <w:r/>
      <w:bookmarkEnd w:id="7"/>
      <w:r/>
      <w:bookmarkEnd w:id="8"/>
      <w:r/>
      <w:bookmarkEnd w:id="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上一年度的财务状况报告（成立不满一年不需提供）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rPr>
        <w:t xml:space="preserve">企业采购。残疾人福利性单位、监狱和戒毒企业（简称监狱企业）视同小型、微型企业。</w:t>
      </w:r>
      <w:r>
        <w:rPr>
          <w:rFonts w:hint="eastAsia" w:ascii="宋体" w:hAnsi="宋体" w:cs="宋体"/>
          <w:b w:val="0"/>
          <w:bCs w:val="0"/>
          <w:i/>
          <w:iCs/>
          <w:color w:val="auto"/>
          <w:sz w:val="21"/>
          <w:szCs w:val="21"/>
          <w:highlight w:val="none"/>
          <w:u w:val="single"/>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宋体" w:hAnsi="宋体" w:cs="宋体"/>
          <w:b w:val="0"/>
          <w:bCs w:val="0"/>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3018"/>
        <w:gridCol w:w="3782"/>
      </w:tblGrid>
      <w:tr>
        <w:trPr>
          <w:jc w:val="cente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jc w:val="cente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72"/>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142"/>
      </w:tblGrid>
      <w:tr>
        <w:trPr>
          <w:jc w:val="center"/>
          <w:trHeight w:val="372"/>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7142"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jc w:val="center"/>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142"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否</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（二）本项目的特定资格要求：</w:t>
      </w:r>
      <w:r/>
    </w:p>
    <w:tbl>
      <w:tblPr>
        <w:tblStyle w:val="77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019"/>
      </w:tblGrid>
      <w:tr>
        <w:trPr>
          <w:jc w:val="center"/>
          <w:trHeight w:val="512"/>
        </w:trPr>
        <w:tc>
          <w:tcPr>
            <w:tcW w:w="7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采购包号</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特定资格要求</w:t>
            </w:r>
            <w:r/>
          </w:p>
        </w:tc>
      </w:tr>
      <w:tr>
        <w:trPr>
          <w:jc w:val="center"/>
        </w:trPr>
        <w:tc>
          <w:tcPr>
            <w:tcW w:w="763" w:type="pct"/>
            <w:vAlign w:val="center"/>
            <w:textDirection w:val="lrTb"/>
            <w:noWrap w:val="false"/>
          </w:tcPr>
          <w:p>
            <w:pPr>
              <w:ind w:firstLine="420"/>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获取“CA数字证书”--CA绑定与登录--网上报名</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下载采购文件（后缀名为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kedt”）--将后缀名为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kedt”的采购文件导入政府采购客户端工具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制作投标文件</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rPr>
          <w:rFonts w:hint="eastAsia" w:ascii="宋体" w:hAnsi="宋体" w:cs="宋体"/>
          <w:b w:val="0"/>
          <w:bCs w:val="0"/>
          <w:color w:val="auto"/>
          <w:sz w:val="21"/>
          <w:szCs w:val="21"/>
          <w:highlight w:val="none"/>
          <w:lang w:eastAsia="zh-CN"/>
        </w:rPr>
        <w:t xml:space="preserve">.</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四、提交投标文件截止时间、开标时间和地点</w:t>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w:t>
      </w:r>
      <w:r>
        <w:rPr>
          <w:rFonts w:hint="eastAsia" w:ascii="宋体" w:hAnsi="宋体" w:cs="宋体"/>
          <w:color w:val="auto"/>
          <w:sz w:val="21"/>
          <w:szCs w:val="21"/>
          <w:highlight w:val="none"/>
          <w:u w:val="single"/>
        </w:rPr>
        <w:t xml:space="preserve">午</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10" w:name="_Toc35393794"/>
      <w:r/>
      <w:bookmarkStart w:id="11" w:name="_Toc38985267"/>
      <w:r/>
      <w:bookmarkStart w:id="12" w:name="_Toc35393625"/>
      <w:r/>
      <w:bookmarkStart w:id="13" w:name="_Toc28359007"/>
      <w:r/>
      <w:bookmarkStart w:id="14" w:name="_Toc28359084"/>
      <w:r>
        <w:rPr>
          <w:rFonts w:hint="eastAsia" w:ascii="宋体" w:hAnsi="宋体" w:cs="宋体"/>
          <w:b/>
          <w:bCs/>
          <w:color w:val="auto"/>
          <w:sz w:val="21"/>
          <w:szCs w:val="21"/>
          <w:highlight w:val="none"/>
        </w:rPr>
        <w:t xml:space="preserve">五、公告期限</w:t>
      </w:r>
      <w:bookmarkEnd w:id="10"/>
      <w:r/>
      <w:bookmarkEnd w:id="11"/>
      <w:r/>
      <w:bookmarkEnd w:id="12"/>
      <w:r/>
      <w:bookmarkEnd w:id="13"/>
      <w:r/>
      <w:bookmarkEnd w:id="14"/>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1.采购人信息</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名 称：</w:t>
      </w:r>
      <w:r>
        <w:rPr>
          <w:rFonts w:hint="eastAsia" w:ascii="宋体" w:hAnsi="宋体" w:cs="宋体"/>
          <w:color w:val="auto"/>
          <w:highlight w:val="none"/>
          <w:lang w:eastAsia="zh-CN"/>
        </w:rPr>
        <w:t xml:space="preserve">扬州高等职业技术学校</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地</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址：</w:t>
      </w:r>
      <w:r>
        <w:rPr>
          <w:rFonts w:hint="eastAsia" w:ascii="宋体" w:hAnsi="宋体"/>
          <w:color w:val="auto"/>
          <w:szCs w:val="21"/>
          <w:highlight w:val="none"/>
          <w:lang w:eastAsia="zh-CN"/>
        </w:rPr>
        <w:t xml:space="preserve">扬州市万福西路106号</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联系人：</w:t>
      </w:r>
      <w:r>
        <w:rPr>
          <w:rFonts w:hint="eastAsia" w:ascii="宋体" w:hAnsi="宋体" w:eastAsia="宋体" w:cs="宋体"/>
          <w:bCs/>
          <w:color w:val="auto"/>
          <w:sz w:val="21"/>
          <w:szCs w:val="21"/>
          <w:highlight w:val="none"/>
          <w:u w:val="none"/>
          <w:lang w:val="en-US" w:eastAsia="zh-CN"/>
        </w:rPr>
        <w:t xml:space="preserve">伏老师</w:t>
      </w:r>
      <w:r/>
    </w:p>
    <w:p>
      <w:pPr>
        <w:ind w:firstLine="420"/>
        <w:spacing w:line="360" w:lineRule="auto"/>
        <w:rPr>
          <w:rFonts w:hint="eastAsia" w:ascii="宋体" w:hAnsi="宋体" w:eastAsia="宋体" w:cs="Times New Roman"/>
          <w:color w:val="auto"/>
          <w:highlight w:val="none"/>
          <w:lang w:val="en-US" w:eastAsia="zh-CN"/>
        </w:rPr>
      </w:pPr>
      <w:r>
        <w:rPr>
          <w:rFonts w:hint="eastAsia" w:ascii="宋体" w:hAnsi="宋体"/>
          <w:bCs/>
          <w:color w:val="auto"/>
          <w:highlight w:val="none"/>
          <w:lang w:val="en-US" w:eastAsia="zh-CN"/>
        </w:rPr>
        <w:t xml:space="preserve">电 话</w:t>
      </w:r>
      <w:r>
        <w:rPr>
          <w:rFonts w:hint="eastAsia" w:ascii="宋体" w:hAnsi="宋体"/>
          <w:bCs/>
          <w:color w:val="auto"/>
          <w:highlight w:val="none"/>
        </w:rPr>
        <w:t xml:space="preserve">：</w:t>
      </w:r>
      <w:r>
        <w:rPr>
          <w:rFonts w:hint="eastAsia" w:ascii="宋体" w:hAnsi="宋体" w:eastAsia="宋体" w:cs="宋体"/>
          <w:bCs/>
          <w:color w:val="auto"/>
          <w:sz w:val="21"/>
          <w:szCs w:val="21"/>
          <w:highlight w:val="none"/>
          <w:u w:val="none"/>
        </w:rPr>
        <w:t xml:space="preserve">0514-85829191</w:t>
      </w:r>
      <w:r/>
    </w:p>
    <w:p>
      <w:pPr>
        <w:ind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2.采购代理机构信息</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扬州大学工程设计研究院有限公司</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址：扬州市江阳中路131号14号楼</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eastAsia="zh-CN"/>
        </w:rPr>
        <w:t xml:space="preserve">高鑫</w:t>
      </w:r>
      <w:r/>
    </w:p>
    <w:p>
      <w:pPr>
        <w:ind w:firstLine="420"/>
        <w:pageBreakBefore w:val="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lang w:eastAsia="zh-CN"/>
        </w:rPr>
        <w:t xml:space="preserve">13348120099</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righ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扬州大学工程设计研究院有限公司</w:t>
      </w:r>
      <w:r/>
    </w:p>
    <w:p>
      <w:pPr>
        <w:pStyle w:val="796"/>
        <w:jc w:val="right"/>
        <w:rPr>
          <w:rFonts w:hint="eastAsia"/>
          <w:color w:val="auto"/>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月</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lang w:eastAsia="zh-CN"/>
        </w:rPr>
        <w:t xml:space="preserve">日</w:t>
      </w:r>
      <w:r/>
    </w:p>
    <w:p>
      <w:pPr>
        <w:pStyle w:val="762"/>
        <w:rPr>
          <w:color w:val="auto"/>
          <w:highlight w:val="none"/>
        </w:rPr>
      </w:pPr>
      <w:r/>
      <w:bookmarkStart w:id="15" w:name="_Toc10032"/>
      <w:r>
        <w:rPr>
          <w:rFonts w:hint="eastAsia"/>
          <w:color w:val="auto"/>
          <w:highlight w:val="none"/>
        </w:rPr>
        <w:t xml:space="preserve">第二章 投标人须知</w:t>
      </w:r>
      <w:bookmarkEnd w:id="15"/>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JSZC-321000-YZDX-G2026-0009</w:t>
      </w:r>
      <w:r>
        <w:rPr>
          <w:rFonts w:hint="eastAsia" w:ascii="宋体" w:hAnsi="宋体" w:cs="宋体"/>
          <w:bCs/>
          <w:color w:val="auto"/>
          <w:szCs w:val="21"/>
          <w:highlight w:val="none"/>
          <w:lang w:val="en-US" w:eastAsia="zh-CN"/>
        </w:rPr>
        <w:t xml:space="preserve">号</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4.2本次招标采购不收取标书工本费</w:t>
      </w:r>
      <w:r>
        <w:rPr>
          <w:rFonts w:hint="eastAsia" w:ascii="宋体" w:hAnsi="宋体" w:cs="宋体"/>
          <w:b w:val="0"/>
          <w:bCs w:val="0"/>
          <w:color w:val="auto"/>
          <w:szCs w:val="21"/>
          <w:highlight w:val="none"/>
          <w:lang w:eastAsia="zh-CN"/>
        </w:rPr>
        <w:t xml:space="preserve">。</w:t>
      </w:r>
      <w:r/>
    </w:p>
    <w:p>
      <w:pPr>
        <w:ind w:firstLine="422"/>
        <w:jc w:val="left"/>
        <w:spacing w:line="360" w:lineRule="auto"/>
        <w:rPr>
          <w:rFonts w:hint="eastAsia" w:ascii="Times New Roman" w:hAnsi="Times New Roman" w:eastAsia="宋体"/>
          <w:b w:val="0"/>
          <w:bCs w:val="0"/>
          <w:color w:val="auto"/>
          <w:sz w:val="21"/>
          <w:szCs w:val="21"/>
          <w:highlight w:val="none"/>
          <w:lang w:val="en-US" w:eastAsia="zh-CN"/>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本次采购项目的招标代理服务费，由采购人在项目完成后一周内，按照《招标代理服务收费管理暂行办法》（计价格〔2002〕1980号）、本项目附表所载货物类对应档次基准费率标准按50%折算计费，一次性支付至招标代理机构</w:t>
      </w:r>
      <w:r>
        <w:rPr>
          <w:rFonts w:hint="eastAsia" w:ascii="Times New Roman" w:hAnsi="Times New Roman" w:eastAsia="宋体" w:cs="Times New Roman"/>
          <w:b/>
          <w:bCs/>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基准费率表</w:t>
      </w:r>
      <w:r>
        <w:rPr>
          <w:rFonts w:hint="eastAsia" w:ascii="宋体" w:hAnsi="宋体" w:cs="宋体"/>
          <w:bCs/>
          <w:color w:val="auto"/>
          <w:szCs w:val="21"/>
          <w:highlight w:val="none"/>
          <w:lang w:val="en-US" w:eastAsia="zh-CN"/>
        </w:rPr>
        <w:t xml:space="preserve">：</w:t>
      </w:r>
      <w:r/>
    </w:p>
    <w:tbl>
      <w:tblPr>
        <w:tblStyle w:val="772"/>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工程采购</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0.7</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0.45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0.35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r>
    </w:tbl>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代理服务费开户银行：</w:t>
      </w:r>
      <w:r>
        <w:rPr>
          <w:rFonts w:hint="eastAsia" w:ascii="宋体" w:hAnsi="宋体" w:eastAsia="宋体" w:cs="宋体"/>
          <w:b/>
          <w:bCs/>
          <w:color w:val="auto"/>
          <w:szCs w:val="21"/>
          <w:highlight w:val="none"/>
        </w:rPr>
        <w:t xml:space="preserve">江苏银行扬州唐城支行</w:t>
      </w:r>
      <w:r>
        <w:rPr>
          <w:rFonts w:hint="eastAsia" w:ascii="宋体" w:hAnsi="宋体" w:eastAsia="宋体" w:cs="宋体"/>
          <w:b/>
          <w:bCs/>
          <w:color w:val="auto"/>
          <w:szCs w:val="21"/>
          <w:highlight w:val="none"/>
          <w:lang w:val="en-US" w:eastAsia="zh-CN"/>
        </w:rPr>
        <w:t xml:space="preserve">  </w:t>
      </w:r>
      <w:r/>
    </w:p>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开户名称：</w:t>
      </w:r>
      <w:r>
        <w:rPr>
          <w:rFonts w:hint="eastAsia" w:ascii="宋体" w:hAnsi="宋体" w:eastAsia="宋体" w:cs="宋体"/>
          <w:b/>
          <w:bCs/>
          <w:color w:val="auto"/>
          <w:szCs w:val="21"/>
          <w:highlight w:val="none"/>
        </w:rPr>
        <w:t xml:space="preserve"> 扬州大学工程设计研究院有限公</w:t>
      </w:r>
      <w:r>
        <w:rPr>
          <w:rFonts w:hint="eastAsia" w:ascii="宋体" w:hAnsi="宋体" w:eastAsia="宋体" w:cs="宋体"/>
          <w:b/>
          <w:bCs/>
          <w:color w:val="auto"/>
          <w:szCs w:val="21"/>
          <w:highlight w:val="none"/>
          <w:lang w:val="en-US" w:eastAsia="zh-CN"/>
        </w:rPr>
        <w:t xml:space="preserve">司  </w:t>
      </w:r>
      <w:r/>
    </w:p>
    <w:p>
      <w:pPr>
        <w:ind w:firstLine="2319"/>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bCs/>
          <w:color w:val="auto"/>
          <w:szCs w:val="21"/>
          <w:highlight w:val="none"/>
          <w:lang w:eastAsia="zh-CN"/>
        </w:rPr>
        <w:t xml:space="preserve">开户账号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pacing w:val="20"/>
          <w:szCs w:val="21"/>
          <w:highlight w:val="none"/>
        </w:rPr>
        <w:t xml:space="preserve">90160188000103894</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4.</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w:t>
      </w:r>
      <w:r>
        <w:rPr>
          <w:rFonts w:hint="eastAsia" w:ascii="宋体" w:hAnsi="宋体" w:cs="宋体"/>
          <w:b/>
          <w:color w:val="auto"/>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6" w:name="_Toc462564084"/>
      <w:r/>
      <w:bookmarkStart w:id="17" w:name="_Toc16938541"/>
      <w:r/>
      <w:bookmarkStart w:id="18" w:name="_Toc513029225"/>
      <w:r/>
      <w:bookmarkStart w:id="19" w:name="_Toc20823297"/>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16"/>
      <w:r/>
      <w:bookmarkEnd w:id="17"/>
      <w:r/>
      <w:bookmarkEnd w:id="18"/>
      <w:r/>
      <w:bookmarkEnd w:id="19"/>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w:t>
      </w:r>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bCs/>
          <w:color w:val="auto"/>
          <w:szCs w:val="21"/>
          <w:highlight w:val="none"/>
          <w:lang w:eastAsia="zh-CN"/>
        </w:rPr>
        <w:t xml:space="preserve">作无效投标</w:t>
      </w:r>
      <w:r>
        <w:rPr>
          <w:rFonts w:hint="eastAsia" w:ascii="宋体" w:hAnsi="宋体" w:cs="宋体"/>
          <w:bCs/>
          <w:color w:val="auto"/>
          <w:szCs w:val="21"/>
          <w:highlight w:val="none"/>
        </w:rPr>
        <w:t xml:space="preserve">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0" w:name="_Toc16938543"/>
      <w:r/>
      <w:bookmarkStart w:id="21" w:name="_Toc513029227"/>
      <w:r/>
      <w:bookmarkStart w:id="2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20"/>
      <w:r/>
      <w:bookmarkEnd w:id="21"/>
      <w:r/>
      <w:bookmarkEnd w:id="2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3" w:name="_Toc16938544"/>
      <w:r/>
      <w:bookmarkStart w:id="24" w:name="_Toc20823300"/>
      <w:r/>
      <w:bookmarkStart w:id="25"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23"/>
      <w:r/>
      <w:bookmarkEnd w:id="24"/>
      <w:r/>
      <w:bookmarkEnd w:id="2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w:t>
      </w:r>
      <w:r>
        <w:rPr>
          <w:rFonts w:hint="eastAsia" w:ascii="宋体" w:hAnsi="宋体" w:cs="宋体"/>
          <w:bCs/>
          <w:color w:val="auto"/>
          <w:szCs w:val="21"/>
          <w:highlight w:val="none"/>
          <w:lang w:eastAsia="zh-CN"/>
        </w:rPr>
        <w:t xml:space="preserve">涉及</w:t>
      </w:r>
      <w:r>
        <w:rPr>
          <w:rFonts w:hint="eastAsia" w:ascii="宋体" w:hAnsi="宋体" w:cs="宋体"/>
          <w:bCs/>
          <w:color w:val="auto"/>
          <w:szCs w:val="21"/>
          <w:highlight w:val="none"/>
        </w:rPr>
        <w:t xml:space="preserve">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cs="宋体"/>
          <w:bCs/>
          <w:color w:val="auto"/>
          <w:szCs w:val="21"/>
          <w:highlight w:val="none"/>
        </w:rPr>
        <w:t xml:space="preserve">，及时登录苏采云系统查阅、答复相关信息，并安排专人与代理机构及评委会联系。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26.1.10.1投标（响应）报价低于全部通过符合性审查供应商投标（响应）报价平均值50%的，即投标（响应）报价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26.1.10.2投标（响应）报价低于通过符合性审查的次低报价供应商投标（响应）报价50%的，即投标（响应）报价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26.1.10.3投标（响应）报价低于采购项目最高限价 45% 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w:t>
      </w:r>
      <w:r>
        <w:rPr>
          <w:rFonts w:hint="eastAsia" w:ascii="宋体" w:hAnsi="宋体" w:cs="宋体"/>
          <w:color w:val="auto"/>
          <w:highlight w:val="none"/>
          <w:lang w:eastAsia="zh-CN"/>
        </w:rPr>
        <w:t xml:space="preserve">国家发展改革委</w:t>
      </w:r>
      <w:r>
        <w:rPr>
          <w:rFonts w:hint="eastAsia" w:ascii="宋体" w:hAnsi="宋体" w:eastAsia="宋体" w:cs="宋体"/>
          <w:color w:val="auto"/>
          <w:highlight w:val="none"/>
        </w:rPr>
        <w:t xml:space="preserve">、生态环境部等列入“节能产品品目清单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rPr>
        <w:t xml:space="preserve">及本招标文件规定的</w:t>
      </w:r>
      <w:r>
        <w:rPr>
          <w:rFonts w:hint="eastAsia" w:ascii="宋体" w:hAnsi="宋体" w:cs="宋体"/>
          <w:color w:val="auto"/>
          <w:highlight w:val="none"/>
          <w:lang w:eastAsia="zh-CN"/>
        </w:rPr>
        <w:t xml:space="preserve">属于</w:t>
      </w:r>
      <w:r>
        <w:rPr>
          <w:rFonts w:hint="eastAsia" w:ascii="宋体" w:hAnsi="宋体" w:eastAsia="宋体" w:cs="宋体"/>
          <w:color w:val="auto"/>
          <w:highlight w:val="none"/>
        </w:rPr>
        <w:t xml:space="preserve">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color w:val="auto"/>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rPr>
        <w:t xml:space="preserve">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32.</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lang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62"/>
        <w:rPr>
          <w:color w:val="auto"/>
          <w:highlight w:val="none"/>
        </w:rPr>
      </w:pPr>
      <w:r/>
      <w:bookmarkStart w:id="26" w:name="_Toc18427"/>
      <w:r/>
      <w:bookmarkStart w:id="27" w:name="_Toc55204179"/>
      <w:r>
        <w:rPr>
          <w:rFonts w:hint="eastAsia"/>
          <w:color w:val="auto"/>
          <w:highlight w:val="none"/>
        </w:rPr>
        <w:t xml:space="preserve">第三章 合同条款及格式</w:t>
      </w:r>
      <w:bookmarkEnd w:id="26"/>
      <w:r/>
      <w:bookmarkEnd w:id="27"/>
      <w:r/>
      <w:r/>
    </w:p>
    <w:p>
      <w:pPr>
        <w:pStyle w:val="1005"/>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r/>
    </w:p>
    <w:p>
      <w:pPr>
        <w:pStyle w:val="1005"/>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r/>
    </w:p>
    <w:p>
      <w:pPr>
        <w:pStyle w:val="1005"/>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1005"/>
        <w:ind w:firstLine="420"/>
        <w:keepLines w:val="0"/>
        <w:keepNext w:val="0"/>
        <w:pageBreakBefore w:val="0"/>
        <w:spacing w:line="360" w:lineRule="auto"/>
        <w:widowControl w:val="off"/>
        <w:rPr>
          <w:rFonts w:hint="eastAsia" w:ascii="宋体" w:hAnsi="宋体" w:eastAsia="宋体" w:cs="宋体"/>
          <w:b w:val="0"/>
          <w:bCs w:val="0"/>
          <w:color w:val="auto"/>
          <w:sz w:val="21"/>
          <w:highlight w:val="none"/>
          <w:u w:val="none"/>
          <w:lang w:eastAsia="zh-CN"/>
        </w:rPr>
      </w:pPr>
      <w:r>
        <w:rPr>
          <w:rFonts w:hint="eastAsia" w:ascii="宋体" w:hAnsi="宋体" w:eastAsia="宋体" w:cs="宋体"/>
          <w:color w:val="auto"/>
          <w:sz w:val="21"/>
          <w:highlight w:val="none"/>
          <w:u w:val="none"/>
        </w:rPr>
        <w:t xml:space="preserve">项目名称：</w:t>
      </w:r>
      <w:r>
        <w:rPr>
          <w:rFonts w:hint="eastAsia" w:hAnsi="宋体" w:cs="宋体"/>
          <w:b w:val="0"/>
          <w:bCs w:val="0"/>
          <w:color w:val="auto"/>
          <w:sz w:val="21"/>
          <w:highlight w:val="none"/>
          <w:u w:val="none"/>
          <w:lang w:eastAsia="zh-CN"/>
        </w:rPr>
        <w:t xml:space="preserve">扬州高等职业技术学校学生宿舍床铺购置项目（二次）</w:t>
      </w:r>
      <w:r/>
    </w:p>
    <w:p>
      <w:pPr>
        <w:pStyle w:val="1005"/>
        <w:ind w:firstLine="420"/>
        <w:keepLines w:val="0"/>
        <w:keepNext w:val="0"/>
        <w:pageBreakBefore w:val="0"/>
        <w:spacing w:line="360" w:lineRule="auto"/>
        <w:widowControl w:val="off"/>
        <w:rPr>
          <w:rFonts w:hint="default" w:hAnsi="宋体" w:cs="宋体"/>
          <w:b w:val="0"/>
          <w:bCs w:val="0"/>
          <w:color w:val="auto"/>
          <w:sz w:val="21"/>
          <w:highlight w:val="none"/>
          <w:u w:val="none"/>
          <w:lang w:val="en-US" w:eastAsia="zh-CN"/>
        </w:rPr>
      </w:pPr>
      <w:r>
        <w:rPr>
          <w:rFonts w:hint="eastAsia" w:ascii="宋体" w:hAnsi="宋体" w:eastAsia="宋体" w:cs="宋体"/>
          <w:color w:val="auto"/>
          <w:sz w:val="21"/>
          <w:highlight w:val="none"/>
          <w:u w:val="none"/>
        </w:rPr>
        <w:t xml:space="preserve">项目编号：</w:t>
      </w:r>
      <w:r>
        <w:rPr>
          <w:rFonts w:hint="eastAsia" w:hAnsi="宋体" w:cs="宋体"/>
          <w:b w:val="0"/>
          <w:bCs w:val="0"/>
          <w:color w:val="auto"/>
          <w:sz w:val="21"/>
          <w:highlight w:val="none"/>
          <w:u w:val="none"/>
          <w:lang w:eastAsia="zh-CN"/>
        </w:rPr>
        <w:t xml:space="preserve">JSZC-321000-YZDX-G2026-0009</w:t>
      </w:r>
      <w:r>
        <w:rPr>
          <w:rFonts w:hint="eastAsia" w:hAnsi="宋体" w:cs="宋体"/>
          <w:b w:val="0"/>
          <w:bCs w:val="0"/>
          <w:color w:val="auto"/>
          <w:sz w:val="21"/>
          <w:highlight w:val="none"/>
          <w:u w:val="none"/>
          <w:lang w:val="en-US" w:eastAsia="zh-CN"/>
        </w:rPr>
        <w:t xml:space="preserve">号</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甲方：（买方）</w:t>
      </w:r>
      <w:r>
        <w:rPr>
          <w:rFonts w:hint="eastAsia" w:hAnsi="宋体" w:cs="宋体"/>
          <w:b w:val="0"/>
          <w:bCs w:val="0"/>
          <w:color w:val="auto"/>
          <w:sz w:val="21"/>
          <w:highlight w:val="none"/>
          <w:u w:val="none"/>
          <w:lang w:eastAsia="zh-CN"/>
        </w:rPr>
        <w:t xml:space="preserve">扬州高等职业技术学校</w:t>
      </w:r>
      <w:r/>
    </w:p>
    <w:p>
      <w:pPr>
        <w:pStyle w:val="1005"/>
        <w:ind w:firstLine="420"/>
        <w:keepLines w:val="0"/>
        <w:keepNext w:val="0"/>
        <w:pageBreakBefore w:val="0"/>
        <w:spacing w:line="360" w:lineRule="auto"/>
        <w:widowControl w:val="off"/>
        <w:rPr>
          <w:rFonts w:hint="default"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rPr>
        <w:t xml:space="preserve">乙方：（卖方）</w:t>
      </w:r>
      <w:r>
        <w:rPr>
          <w:rFonts w:hint="eastAsia" w:hAnsi="宋体" w:cs="宋体"/>
          <w:color w:val="auto"/>
          <w:sz w:val="21"/>
          <w:highlight w:val="none"/>
          <w:u w:val="none"/>
          <w:lang w:val="en-US" w:eastAsia="zh-CN"/>
        </w:rPr>
        <w:t xml:space="preserve">                     </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见证方：</w:t>
      </w:r>
      <w:r>
        <w:rPr>
          <w:rFonts w:hint="eastAsia" w:hAnsi="宋体" w:cs="宋体"/>
          <w:color w:val="auto"/>
          <w:sz w:val="21"/>
          <w:highlight w:val="none"/>
          <w:u w:val="none"/>
          <w:lang w:eastAsia="zh-CN"/>
        </w:rPr>
        <w:t xml:space="preserve">扬州大学工程设计研究院有限公司</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1.3 数量（单位）</w:t>
      </w:r>
      <w:r>
        <w:rPr>
          <w:rFonts w:hint="eastAsia" w:hAnsi="宋体" w:cs="宋体"/>
          <w:color w:val="auto"/>
          <w:sz w:val="21"/>
          <w:highlight w:val="none"/>
          <w:lang w:eastAsia="zh-CN"/>
        </w:rPr>
        <w:t xml:space="preserve">：</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本项目不收取履约保证金</w:t>
      </w:r>
      <w:r>
        <w:rPr>
          <w:rFonts w:hint="eastAsia" w:hAnsi="宋体" w:cs="宋体"/>
          <w:color w:val="auto"/>
          <w:sz w:val="21"/>
          <w:highlight w:val="none"/>
          <w:lang w:eastAsia="zh-CN"/>
        </w:rPr>
        <w:t xml:space="preserve">。</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hAnsi="宋体" w:cs="宋体"/>
          <w:b/>
          <w:bCs/>
          <w:color w:val="auto"/>
          <w:sz w:val="21"/>
          <w:highlight w:val="none"/>
          <w:u w:val="single"/>
          <w:lang w:val="en-US" w:eastAsia="zh-CN"/>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b/>
          <w:bCs/>
          <w:color w:val="auto"/>
          <w:sz w:val="21"/>
          <w:highlight w:val="none"/>
          <w:u w:val="single"/>
          <w:lang w:val="en-US" w:eastAsia="zh-CN"/>
        </w:rPr>
        <w:t xml:space="preserve">乙方在接到甲方进场开工通知之日起40 个日历天内，完成全部货物供货、安装、</w:t>
      </w:r>
      <w:r>
        <w:rPr>
          <w:rFonts w:hint="eastAsia" w:ascii="宋体" w:hAnsi="宋体" w:cs="宋体"/>
          <w:b/>
          <w:bCs/>
          <w:color w:val="auto"/>
          <w:sz w:val="21"/>
          <w:highlight w:val="none"/>
          <w:u w:val="single"/>
          <w:lang w:val="en-US" w:eastAsia="zh-CN"/>
        </w:rPr>
        <w:t xml:space="preserve">配套服务</w:t>
      </w:r>
      <w:r>
        <w:rPr>
          <w:rFonts w:hint="eastAsia" w:ascii="宋体" w:hAnsi="宋体" w:eastAsia="宋体" w:cs="宋体"/>
          <w:b/>
          <w:bCs/>
          <w:color w:val="auto"/>
          <w:sz w:val="21"/>
          <w:highlight w:val="none"/>
          <w:u w:val="single"/>
          <w:lang w:val="en-US" w:eastAsia="zh-CN"/>
        </w:rPr>
        <w:t xml:space="preserve">、现场保洁、竣工验收等全部工作内容</w:t>
      </w:r>
      <w:r>
        <w:rPr>
          <w:rFonts w:hint="eastAsia" w:ascii="宋体" w:hAnsi="宋体" w:eastAsia="宋体" w:cs="宋体"/>
          <w:b/>
          <w:bCs/>
          <w:color w:val="auto"/>
          <w:sz w:val="21"/>
          <w:highlight w:val="none"/>
          <w:u w:val="single"/>
        </w:rPr>
        <w:t xml:space="preserve">。</w:t>
      </w:r>
      <w:r/>
    </w:p>
    <w:p>
      <w:pPr>
        <w:pStyle w:val="1005"/>
        <w:ind w:firstLine="420"/>
        <w:keepLines w:val="0"/>
        <w:keepNext w:val="0"/>
        <w:pageBreakBefore w:val="0"/>
        <w:spacing w:line="360" w:lineRule="auto"/>
        <w:widowControl w:val="off"/>
        <w:rPr>
          <w:rFonts w:hint="eastAsia" w:ascii="宋体" w:hAnsi="宋体" w:eastAsia="宋体" w:cs="宋体"/>
          <w:b/>
          <w:bCs/>
          <w:color w:val="auto"/>
          <w:sz w:val="21"/>
          <w:szCs w:val="22"/>
          <w:highlight w:val="none"/>
          <w:u w:val="single"/>
          <w:lang w:val="en-US" w:eastAsia="zh-CN" w:bidi="ar-SA"/>
        </w:rPr>
      </w:pPr>
      <w:r>
        <w:rPr>
          <w:rFonts w:hint="eastAsia" w:ascii="宋体" w:hAnsi="宋体" w:eastAsia="宋体" w:cs="宋体"/>
          <w:color w:val="auto"/>
          <w:sz w:val="21"/>
          <w:highlight w:val="none"/>
        </w:rPr>
        <w:t xml:space="preserve">9.2 交付方式：</w:t>
      </w:r>
      <w:r>
        <w:rPr>
          <w:rFonts w:hint="eastAsia" w:ascii="宋体" w:hAnsi="宋体" w:eastAsia="宋体" w:cs="宋体"/>
          <w:b/>
          <w:bCs/>
          <w:color w:val="auto"/>
          <w:sz w:val="21"/>
          <w:szCs w:val="22"/>
          <w:highlight w:val="none"/>
          <w:u w:val="single"/>
          <w:lang w:val="en-US" w:eastAsia="zh-CN" w:bidi="ar-SA"/>
        </w:rPr>
        <w:t xml:space="preserve">由乙方负责送到甲方指定地点，运输费由乙方承担。</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b/>
          <w:bCs w:val="0"/>
          <w:color w:val="auto"/>
          <w:sz w:val="21"/>
          <w:szCs w:val="21"/>
          <w:highlight w:val="none"/>
          <w:u w:val="single"/>
          <w:lang w:val="en-US" w:eastAsia="zh-CN" w:bidi="ar-SA"/>
        </w:rPr>
        <w:t xml:space="preserve">扬州市万福西路106号，扬州高等职业技术学校</w:t>
      </w:r>
      <w:r>
        <w:rPr>
          <w:rFonts w:hint="eastAsia" w:hAnsi="宋体" w:cs="宋体"/>
          <w:b/>
          <w:bCs w:val="0"/>
          <w:color w:val="auto"/>
          <w:sz w:val="21"/>
          <w:szCs w:val="21"/>
          <w:highlight w:val="none"/>
          <w:u w:val="single"/>
          <w:lang w:val="en-US" w:eastAsia="zh-CN" w:bidi="ar-SA"/>
        </w:rPr>
        <w:t xml:space="preserve">。</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pStyle w:val="1005"/>
        <w:ind w:firstLine="420"/>
        <w:spacing w:line="360" w:lineRule="auto"/>
        <w:rPr>
          <w:rFonts w:hint="eastAsia"/>
          <w:b/>
          <w:bCs/>
          <w:color w:val="auto"/>
          <w:highlight w:val="none"/>
          <w:lang w:eastAsia="zh-CN"/>
        </w:rPr>
      </w:pPr>
      <w:r>
        <w:rPr>
          <w:rFonts w:hint="eastAsia" w:hAnsi="宋体" w:cs="宋体"/>
          <w:color w:val="auto"/>
          <w:sz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1005"/>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15.5 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十九、</w:t>
      </w:r>
      <w:r>
        <w:rPr>
          <w:rFonts w:hint="eastAsia" w:ascii="宋体" w:hAnsi="宋体" w:eastAsia="宋体" w:cs="宋体"/>
          <w:b/>
          <w:bCs/>
          <w:color w:val="auto"/>
          <w:sz w:val="21"/>
          <w:highlight w:val="none"/>
        </w:rPr>
        <w:t xml:space="preserve">货物（包含与货物相关的服务）的追加</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协商签订补充合同，但所有补充合同的采购金额不超过原合同金额10%。</w:t>
      </w:r>
      <w:r/>
    </w:p>
    <w:p>
      <w:pPr>
        <w:pStyle w:val="1005"/>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二十</w:t>
      </w:r>
      <w:r>
        <w:rPr>
          <w:rFonts w:hint="eastAsia" w:ascii="宋体" w:hAnsi="宋体" w:eastAsia="宋体" w:cs="宋体"/>
          <w:b/>
          <w:bCs/>
          <w:color w:val="auto"/>
          <w:sz w:val="21"/>
          <w:highlight w:val="none"/>
        </w:rPr>
        <w:t xml:space="preserve">、合同生效及其它</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见证盖章后生效。</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1005"/>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份，具有同等法律效力，甲方、乙方各执</w:t>
      </w:r>
      <w:r>
        <w:rPr>
          <w:rFonts w:hint="eastAsia" w:hAnsi="宋体" w:cs="宋体"/>
          <w:color w:val="auto"/>
          <w:sz w:val="21"/>
          <w:highlight w:val="none"/>
          <w:lang w:eastAsia="zh-CN"/>
        </w:rPr>
        <w:t xml:space="preserve">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772"/>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扬州高等职业技术学校</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扬州大学工程设计研究院有限公司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5"/>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pStyle w:val="762"/>
        <w:numPr>
          <w:ilvl w:val="0"/>
          <w:numId w:val="2"/>
        </w:numPr>
        <w:rPr>
          <w:color w:val="auto"/>
          <w:highlight w:val="none"/>
        </w:rPr>
      </w:pPr>
      <w:r>
        <w:rPr>
          <w:rFonts w:hint="eastAsia"/>
          <w:color w:val="auto"/>
          <w:highlight w:val="none"/>
          <w:lang w:val="en-US" w:eastAsia="zh-CN"/>
        </w:rPr>
        <w:t xml:space="preserve"> </w:t>
      </w:r>
      <w:r>
        <w:rPr>
          <w:rFonts w:hint="eastAsia"/>
          <w:color w:val="auto"/>
          <w:highlight w:val="none"/>
        </w:rPr>
        <w:t xml:space="preserve">项目需求</w:t>
      </w:r>
      <w:r/>
    </w:p>
    <w:p>
      <w:pPr>
        <w:pStyle w:val="777"/>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w:t>
      </w:r>
      <w:r>
        <w:rPr>
          <w:rFonts w:hint="eastAsia" w:ascii="宋体" w:hAnsi="宋体" w:eastAsia="宋体" w:cs="宋体"/>
          <w:b/>
          <w:bCs/>
          <w:color w:val="auto"/>
          <w:sz w:val="21"/>
          <w:szCs w:val="21"/>
          <w:highlight w:val="none"/>
          <w:lang w:val="en-US" w:eastAsia="zh-CN"/>
        </w:rPr>
        <w:t xml:space="preserve">(严格按照国家标准执行)</w:t>
      </w:r>
      <w:r>
        <w:rPr>
          <w:rFonts w:hint="eastAsia" w:ascii="宋体" w:hAnsi="宋体" w:eastAsia="宋体" w:cs="宋体"/>
          <w:b/>
          <w:bCs/>
          <w:color w:val="auto"/>
          <w:sz w:val="21"/>
          <w:szCs w:val="21"/>
          <w:highlight w:val="none"/>
        </w:rPr>
        <w:t xml:space="preserve">。如在各技术参数中仅为某一品牌或型号所有的，仅起说明作用，并没有任何限制性，投标人可以选用替代标准。</w:t>
      </w:r>
      <w:r/>
    </w:p>
    <w:p>
      <w:pPr>
        <w:pStyle w:val="777"/>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w:t>
      </w:r>
      <w:r>
        <w:rPr>
          <w:rFonts w:hint="eastAsia" w:ascii="宋体" w:hAnsi="宋体" w:cs="宋体"/>
          <w:b w:val="0"/>
          <w:bCs w:val="0"/>
          <w:color w:val="auto"/>
          <w:sz w:val="21"/>
          <w:szCs w:val="21"/>
          <w:highlight w:val="none"/>
          <w:lang w:eastAsia="zh-CN"/>
        </w:rPr>
        <w:t xml:space="preserve">国家发展改革委</w:t>
      </w:r>
      <w:r>
        <w:rPr>
          <w:rFonts w:hint="eastAsia" w:ascii="宋体" w:hAnsi="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77"/>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72"/>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0"/>
        <w:gridCol w:w="2514"/>
        <w:gridCol w:w="3531"/>
      </w:tblGrid>
      <w:tr>
        <w:trPr>
          <w:cantSplit/>
          <w:jc w:val="center"/>
          <w:trHeight w:val="607"/>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576"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学生宿舍床铺购置</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777"/>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1"/>
        <w:gridCol w:w="5835"/>
      </w:tblGrid>
      <w:tr>
        <w:trPr>
          <w:jc w:val="center"/>
        </w:trPr>
        <w:tc>
          <w:tcPr>
            <w:tcW w:w="2201"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3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jc w:val="center"/>
        </w:trPr>
        <w:tc>
          <w:tcPr>
            <w:tcW w:w="22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学生宿舍床铺购置</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5801"/>
      </w:tblGrid>
      <w:tr>
        <w:trPr>
          <w:jc w:val="center"/>
          <w:trHeight w:val="818"/>
        </w:trPr>
        <w:tc>
          <w:tcPr>
            <w:tcW w:w="224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jc w:val="center"/>
          <w:trHeight w:val="424"/>
        </w:trPr>
        <w:tc>
          <w:tcPr>
            <w:tcW w:w="224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ind w:left="0"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三、采购清单及技术参数</w:t>
      </w:r>
      <w:r/>
    </w:p>
    <w:tbl>
      <w:tblPr>
        <w:tblStyle w:val="772"/>
        <w:tblpPr w:horzAnchor="page" w:tblpXSpec="center" w:vertAnchor="text" w:tblpY="491" w:leftFromText="180" w:topFromText="0" w:rightFromText="180" w:bottomFromText="0"/>
        <w:tblW w:w="10017" w:type="dxa"/>
        <w:jc w:val="center"/>
        <w:tblLayout w:type="fixed"/>
        <w:tblCellMar>
          <w:left w:w="108" w:type="dxa"/>
          <w:top w:w="0" w:type="dxa"/>
          <w:right w:w="108" w:type="dxa"/>
          <w:bottom w:w="0" w:type="dxa"/>
        </w:tblCellMar>
        <w:tblLook w:val="04A0" w:firstRow="1" w:lastRow="0" w:firstColumn="1" w:lastColumn="0" w:noHBand="0" w:noVBand="1"/>
      </w:tblPr>
      <w:tblGrid>
        <w:gridCol w:w="706"/>
        <w:gridCol w:w="1134"/>
        <w:gridCol w:w="8177"/>
      </w:tblGrid>
      <w:tr>
        <w:trPr>
          <w:jc w:val="center"/>
          <w:trHeight w:val="382"/>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8177"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技术参数</w:t>
            </w:r>
            <w:r/>
          </w:p>
        </w:tc>
      </w:tr>
      <w:tr>
        <w:trPr>
          <w:jc w:val="center"/>
          <w:trHeight w:val="413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765"/>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两人位公寓床</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numPr>
                <w:ilvl w:val="0"/>
                <w:numId w:val="0"/>
              </w:numPr>
              <w:jc w:val="left"/>
              <w:spacing w:line="360" w:lineRule="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 xml:space="preserve">公寓组合床规格：长</w:t>
            </w:r>
            <w:r>
              <w:rPr>
                <w:rFonts w:hint="eastAsia" w:asciiTheme="minorEastAsia" w:hAnsiTheme="minorEastAsia" w:cstheme="minorEastAsia"/>
                <w:color w:val="auto"/>
                <w:sz w:val="21"/>
                <w:szCs w:val="21"/>
                <w:highlight w:val="none"/>
                <w:shd w:val="clear" w:color="auto" w:fill="auto"/>
                <w:lang w:val="en-US" w:eastAsia="zh-CN"/>
              </w:rPr>
              <w:t xml:space="preserve">45</w:t>
            </w:r>
            <w:r>
              <w:rPr>
                <w:rFonts w:hint="eastAsia" w:asciiTheme="minorEastAsia" w:hAnsiTheme="minorEastAsia" w:eastAsiaTheme="minorEastAsia" w:cstheme="minorEastAsia"/>
                <w:color w:val="auto"/>
                <w:sz w:val="21"/>
                <w:szCs w:val="21"/>
                <w:highlight w:val="none"/>
                <w:shd w:val="clear" w:color="auto" w:fill="auto"/>
              </w:rPr>
              <w:t xml:space="preserve">00mm*宽1000mm*高2</w:t>
            </w:r>
            <w:r>
              <w:rPr>
                <w:rFonts w:hint="eastAsia" w:asciiTheme="minorEastAsia" w:hAnsiTheme="minorEastAsia" w:cstheme="minorEastAsia"/>
                <w:color w:val="auto"/>
                <w:sz w:val="21"/>
                <w:szCs w:val="21"/>
                <w:highlight w:val="none"/>
                <w:shd w:val="clear" w:color="auto" w:fill="auto"/>
                <w:lang w:val="en-US" w:eastAsia="zh-CN"/>
              </w:rPr>
              <w:t xml:space="preserve">10</w:t>
            </w:r>
            <w:r>
              <w:rPr>
                <w:rFonts w:hint="eastAsia" w:asciiTheme="minorEastAsia" w:hAnsiTheme="minorEastAsia" w:eastAsiaTheme="minorEastAsia" w:cstheme="minorEastAsia"/>
                <w:color w:val="auto"/>
                <w:sz w:val="21"/>
                <w:szCs w:val="21"/>
                <w:highlight w:val="none"/>
                <w:shd w:val="clear" w:color="auto" w:fill="auto"/>
              </w:rPr>
              <w:t xml:space="preserve">0mm</w:t>
            </w:r>
            <w:r>
              <w:rPr>
                <w:rFonts w:hint="eastAsia" w:asciiTheme="minorEastAsia" w:hAnsiTheme="minorEastAsia" w:cstheme="minorEastAsia"/>
                <w:color w:val="auto"/>
                <w:sz w:val="21"/>
                <w:szCs w:val="21"/>
                <w:highlight w:val="none"/>
                <w:shd w:val="clear" w:color="auto" w:fill="auto"/>
                <w:lang w:val="en-US" w:eastAsia="zh-CN"/>
              </w:rPr>
              <w:t xml:space="preserve">/含蚊帐架总高2800mm</w:t>
            </w:r>
            <w:r>
              <w:rPr>
                <w:rFonts w:hint="eastAsia" w:asciiTheme="minorEastAsia" w:hAnsiTheme="minorEastAsia" w:eastAsiaTheme="minorEastAsia" w:cstheme="minorEastAsia"/>
                <w:color w:val="auto"/>
                <w:sz w:val="21"/>
                <w:szCs w:val="21"/>
                <w:highlight w:val="none"/>
                <w:shd w:val="clear" w:color="auto" w:fill="auto"/>
              </w:rPr>
              <w:t xml:space="preserve">，外形尺寸正负5mm，床横梁离地净空高1700mm；每套为</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人位（注：含床架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张、衣柜</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个、写字桌</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张、书架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个、床板</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块、</w:t>
            </w:r>
            <w:r>
              <w:rPr>
                <w:rFonts w:hint="eastAsia" w:asciiTheme="minorEastAsia" w:hAnsiTheme="minorEastAsia" w:cstheme="minorEastAsia"/>
                <w:color w:val="auto"/>
                <w:sz w:val="21"/>
                <w:szCs w:val="21"/>
                <w:highlight w:val="none"/>
                <w:shd w:val="clear" w:color="auto" w:fill="auto"/>
                <w:lang w:val="en-US" w:eastAsia="zh-CN"/>
              </w:rPr>
              <w:t xml:space="preserve">步梯一</w:t>
            </w:r>
            <w:r>
              <w:rPr>
                <w:rFonts w:hint="eastAsia" w:asciiTheme="minorEastAsia" w:hAnsiTheme="minorEastAsia" w:eastAsiaTheme="minorEastAsia" w:cstheme="minorEastAsia"/>
                <w:color w:val="auto"/>
                <w:sz w:val="21"/>
                <w:szCs w:val="21"/>
                <w:highlight w:val="none"/>
                <w:shd w:val="clear" w:color="auto" w:fill="auto"/>
              </w:rPr>
              <w:t xml:space="preserve">个、公寓椅</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把）。</w:t>
            </w:r>
            <w:r/>
          </w:p>
          <w:p>
            <w:pPr>
              <w:pStyle w:val="795"/>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★提供“公寓组合床”检测报告，检验检测依据：QB/T 2741-2013、GB/T 3325-2024、GB/T 2423.18-2021、GB/T 6461-2002、GB/T 35607-2024、JC/T 2039-2010、GB/T 11253-2019、GB/T 230.1-2018、GB/T 4340.1-2024、GB/T 17657-2022、GB/T 31762-2015；检测内容至少包含：①理化性</w:t>
            </w:r>
            <w:r>
              <w:rPr>
                <w:rFonts w:hint="eastAsia" w:asciiTheme="minorEastAsia" w:hAnsiTheme="minorEastAsia" w:eastAsiaTheme="minorEastAsia" w:cstheme="minorEastAsia"/>
                <w:b w:val="0"/>
                <w:bCs w:val="0"/>
                <w:color w:val="auto"/>
                <w:sz w:val="21"/>
                <w:szCs w:val="21"/>
                <w:highlight w:val="none"/>
                <w:lang w:val="en-US" w:eastAsia="zh-CN"/>
              </w:rPr>
              <w:t xml:space="preserve">能要求-木制件表面覆面材料：耐液性≥1级；耐湿热≥1级；耐干热≥1级；耐冷热温差符合要求；力学性能【桌类：键盘托（抽屉）耐久性60000次无缺陷;柜类：拉门耐久性60000次无缺陷】，安装符合要求；②硬度符合要求；冲击强度符合要求；附着力0级；耐盐浴符合要求；③交变盐雾试验【168h(试验方法3:1个循环周期7d)：10级/10级(无锈蚀,无鼓泡)】，④产品有害物质-甲醛释放量≤0.01mg/m³，苯≤0.005mg/m³、甲苯≤0.005mg/m³、二甲苯≤0.005mg/m³、总挥发性有机化合物≤0.0</w:t>
            </w:r>
            <w:r>
              <w:rPr>
                <w:rFonts w:hint="eastAsia" w:asciiTheme="minorEastAsia" w:hAnsiTheme="minorEastAsia" w:eastAsiaTheme="minorEastAsia" w:cstheme="minorEastAsia"/>
                <w:b w:val="0"/>
                <w:bCs w:val="0"/>
                <w:color w:val="auto"/>
                <w:sz w:val="21"/>
                <w:szCs w:val="21"/>
                <w:highlight w:val="none"/>
                <w:lang w:val="en-US" w:eastAsia="zh-CN"/>
              </w:rPr>
              <w:t xml:space="preserve">5mg/m³；⑤家具涂层可迁移元素-锑≤5mg/kg、砷≤5mg/kg、钡≤50mg/kg、镉≤5mg/kg、铬≤5mg/kg、铅≤5mg/kg、汞≤5mg/kg、硒≤5mg/kg】，⑥抗细菌性能-抗细菌率（金黄色葡萄球菌、大肠杆菌）≥99.9%；防霉菌性能-防霉菌等级（黑曲霉、寄生曲霉、黄曲霉）为0级；⑦力学性能-抗拉强度Rm≥350MPa、断后伸长率A80mm≥25%、下屈服强度ReL≥220MPa，⑧洛氏硬度≥60，维氏硬度≥130，⑨防静电性能≥6.0x10^11Ω；⑩苯酚释放量≤0.1mg/m³。</w:t>
            </w:r>
            <w:r/>
          </w:p>
          <w:p>
            <w:pPr>
              <w:pStyle w:val="795"/>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mc:AlternateContent>
                <mc:Choice Requires="wpg">
                  <w:drawing>
                    <wp:inline xmlns:wp="http://schemas.openxmlformats.org/drawingml/2006/wordprocessingDrawing" distT="0" distB="0" distL="0" distR="0">
                      <wp:extent cx="5047615" cy="3549015"/>
                      <wp:effectExtent l="0" t="0" r="635" b="13335"/>
                      <wp:docPr id="4" name="图片 31" descr="09d8b9d05a4c6de799c6381a61f9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09d8b9d05a4c6de799c6381a61f93456"/>
                              <pic:cNvPicPr>
                                <a:picLocks noChangeAspect="1"/>
                              </pic:cNvPicPr>
                              <pic:nvPr/>
                            </pic:nvPicPr>
                            <pic:blipFill>
                              <a:blip r:embed="rId16"/>
                              <a:stretch/>
                            </pic:blipFill>
                            <pic:spPr bwMode="auto">
                              <a:xfrm>
                                <a:off x="0" y="0"/>
                                <a:ext cx="5047615" cy="3549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4pt;height:279.4pt;mso-wrap-distance-left:0.0pt;mso-wrap-distance-top:0.0pt;mso-wrap-distance-right:0.0pt;mso-wrap-distance-bottom:0.0pt;" stroked="false">
                      <v:path textboxrect="0,0,0,0"/>
                      <v:imagedata r:id="rId16"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床立柱</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采用冷轧钢板经成型机辊压一次成型咬口闭合异型管，成型后尺寸为72mm±2mm*72mm±2mm,立柱带有四条加强筋，增加立柱强度，立柱与横梁采用卡式连接，立柱一侧带有凸出折边，可隐藏卡式连接处；立柱采用咬口连接辊压成型设计，咬口点隐藏于立柱内，整体美观大方，牢固耐用；钢板厚度≥1.2mm。</w:t>
            </w:r>
            <w:r/>
          </w:p>
          <w:p>
            <w:pPr>
              <w:pStyle w:val="795"/>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床立柱：提供“床立柱”检测报告，检验检测依据：GB/T 3325-2024、GB/T 2423.18-2021、GB/T 6461-2002、GB/T 10125-2021、GB/</w:t>
            </w:r>
            <w:r>
              <w:rPr>
                <w:rFonts w:hint="eastAsia" w:asciiTheme="minorEastAsia" w:hAnsiTheme="minorEastAsia" w:eastAsiaTheme="minorEastAsia" w:cstheme="minorEastAsia"/>
                <w:b w:val="0"/>
                <w:bCs w:val="0"/>
                <w:color w:val="auto"/>
                <w:sz w:val="21"/>
                <w:szCs w:val="21"/>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b w:val="0"/>
                <w:bCs w:val="0"/>
                <w:color w:val="auto"/>
                <w:sz w:val="21"/>
                <w:szCs w:val="21"/>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95"/>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color w:val="auto"/>
                <w:highlight w:val="none"/>
              </w:rPr>
              <mc:AlternateContent>
                <mc:Choice Requires="wpg">
                  <w:drawing>
                    <wp:inline xmlns:wp="http://schemas.openxmlformats.org/drawingml/2006/wordprocessingDrawing" distT="0" distB="0" distL="0" distR="0">
                      <wp:extent cx="2919730" cy="1424305"/>
                      <wp:effectExtent l="0" t="0" r="13970" b="4445"/>
                      <wp:docPr id="5" name="图片 11" descr="37579f404d0c3e363d150f8006adcc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37579f404d0c3e363d150f8006adcc7c"/>
                              <pic:cNvPicPr>
                                <a:picLocks noChangeAspect="1"/>
                              </pic:cNvPicPr>
                              <pic:nvPr/>
                            </pic:nvPicPr>
                            <pic:blipFill>
                              <a:blip r:embed="rId17"/>
                              <a:stretch/>
                            </pic:blipFill>
                            <pic:spPr bwMode="auto">
                              <a:xfrm>
                                <a:off x="0" y="0"/>
                                <a:ext cx="2919730" cy="1424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9.9pt;height:112.1pt;mso-wrap-distance-left:0.0pt;mso-wrap-distance-top:0.0pt;mso-wrap-distance-right:0.0pt;mso-wrap-distance-bottom:0.0pt;" stroked="false">
                      <v:path textboxrect="0,0,0,0"/>
                      <v:imagedata r:id="rId17" o:title=""/>
                    </v:shape>
                  </w:pict>
                </mc:Fallback>
              </mc:AlternateContent>
            </w:r>
            <w:r>
              <w:rPr>
                <w:rFonts w:hint="eastAsia" w:asciiTheme="minorEastAsia" w:hAnsiTheme="minorEastAsia" w:eastAsiaTheme="minorEastAsia" w:cstheme="minorEastAsia"/>
                <w:b w:val="0"/>
                <w:bCs w:val="0"/>
                <w:color w:val="auto"/>
                <w:sz w:val="21"/>
                <w:szCs w:val="21"/>
                <w:highlight w:val="none"/>
              </w:rPr>
              <w:t xml:space="preserve">         </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床长横梁</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采用冷轧钢板经成型机辊压一次成型咬口闭合异型管，成型后尺寸为95mm±2mm*50mm±2mm，横梁下端为弧型,弧型中间设有一个≥20mm*20mm的向内凹方槽，便于后续考虑使用者隐私需求，可以安装一根布帘导轨。横梁上端为平面，平面尺寸为32±2mm宽；横梁内侧设计留有高50mm±2mm*宽18mm±2mm的位置放置床板；横梁正面带有3根向内凹加强筋，增加强度；横梁采用咬口连接辊压成型设计，咬口点隐藏于横梁内，整体美观大方，牢固耐用；钢板厚度≧1.2mm。</w:t>
            </w:r>
            <w:r/>
          </w:p>
          <w:p>
            <w:pPr>
              <w:pStyle w:val="776"/>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highlight w:val="none"/>
                <w:lang w:val="en-US" w:eastAsia="zh-CN"/>
              </w:rPr>
              <w:t xml:space="preserve">提供“床横梁”检测报告，检验检测依据：GB/T 3325-2024、GB/T 2423.18-2021、GB/T 6461-2002、GB/T 10125-2021、GB/</w:t>
            </w:r>
            <w:r>
              <w:rPr>
                <w:rFonts w:hint="eastAsia" w:asciiTheme="minorEastAsia" w:hAnsiTheme="minorEastAsia" w:eastAsiaTheme="minorEastAsia" w:cstheme="minorEastAsia"/>
                <w:color w:val="auto"/>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color w:val="auto"/>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96"/>
              <w:ind w:left="0" w:right="0"/>
              <w:jc w:val="center"/>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outlineLvl w:val="0"/>
              <w:suppressLineNumbers w:val="0"/>
            </w:pPr>
            <w:r>
              <w:rPr>
                <w:color w:val="auto"/>
                <w:highlight w:val="none"/>
              </w:rPr>
              <mc:AlternateContent>
                <mc:Choice Requires="wpg">
                  <w:drawing>
                    <wp:inline xmlns:wp="http://schemas.openxmlformats.org/drawingml/2006/wordprocessingDrawing" distT="0" distB="0" distL="0" distR="0">
                      <wp:extent cx="2809240" cy="1800225"/>
                      <wp:effectExtent l="0" t="0" r="10160" b="9525"/>
                      <wp:docPr id="6" name="图片 6" descr="3e83f642610a2b950afce8694389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3e83f642610a2b950afce86943891621"/>
                              <pic:cNvPicPr>
                                <a:picLocks noChangeAspect="1"/>
                              </pic:cNvPicPr>
                              <pic:nvPr/>
                            </pic:nvPicPr>
                            <pic:blipFill>
                              <a:blip r:embed="rId18"/>
                              <a:stretch/>
                            </pic:blipFill>
                            <pic:spPr bwMode="auto">
                              <a:xfrm>
                                <a:off x="0" y="0"/>
                                <a:ext cx="280924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1.2pt;height:141.8pt;mso-wrap-distance-left:0.0pt;mso-wrap-distance-top:0.0pt;mso-wrap-distance-right:0.0pt;mso-wrap-distance-bottom:0.0pt;" stroked="false">
                      <v:path textboxrect="0,0,0,0"/>
                      <v:imagedata r:id="rId18"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卡式连接件</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3"/>
              </w:numPr>
              <w:ind w:left="0" w:firstLine="0"/>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成型后尺寸≥ 210mm*27mm*27mm，材质厚度2.0mm。采用冷轧钢板经冲床一次性冲压成半圆型，挂件有2个接触面并带有3 个挂齿，挂齿由导向段和锁紧段组成。</w:t>
            </w:r>
            <w:r/>
          </w:p>
          <w:p>
            <w:pPr>
              <w:pStyle w:val="776"/>
              <w:ind w:left="0"/>
              <w:jc w:val="left"/>
              <w:spacing w:before="0"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提供“冷轧钢板”检测报告，检验检测依据：GB/T 2423.18-2021、GB/T 6461-2002、GB/T 10125-2021、GB/T 30789.2-2014、GB/T 30789.3-2014、GB/T 30789.4-2015、GB/T 30789.5-2015、GB/T 30789.8-2015、GB/T 35607-2024、GB/T 3325-2024、GB/T 230.1-2018、GB/T 232-2024、GB/T 11253-2019、QB/T 4371-2012、GB/T </w:t>
            </w:r>
            <w:r>
              <w:rPr>
                <w:rFonts w:hint="eastAsia" w:asciiTheme="minorEastAsia" w:hAnsiTheme="minorEastAsia" w:eastAsiaTheme="minorEastAsia" w:cstheme="minorEastAsia"/>
                <w:b w:val="0"/>
                <w:bCs w:val="0"/>
                <w:color w:val="auto"/>
                <w:sz w:val="21"/>
                <w:szCs w:val="21"/>
                <w:highlight w:val="none"/>
                <w:lang w:val="en-US" w:eastAsia="zh-CN"/>
              </w:rPr>
              <w:t xml:space="preserve">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0级，开裂等级0级，剥落等级0级，腐蚀等级1级，剥离等级1级；④产品有害物质-家具涂层可迁移元素：锑（Sb）≤5mg/kg、砷（As）≤5mg/kg、钡（Ba）≤50mg/kg、镉（Cd）≤5mg/kg、铬（Cr）≤5mg/</w:t>
            </w:r>
            <w:r>
              <w:rPr>
                <w:rFonts w:hint="eastAsia" w:asciiTheme="minorEastAsia" w:hAnsiTheme="minorEastAsia" w:eastAsiaTheme="minorEastAsia" w:cstheme="minorEastAsia"/>
                <w:b w:val="0"/>
                <w:bCs w:val="0"/>
                <w:color w:val="auto"/>
                <w:sz w:val="21"/>
                <w:szCs w:val="21"/>
                <w:highlight w:val="none"/>
                <w:lang w:val="en-US" w:eastAsia="zh-CN"/>
              </w:rPr>
              <w:t xml:space="preserve">kg、铅（Pb）≤5mg/kg、汞（Hg）≤5mg/kg、硒（Se）≤5mg/kg；⑤洛氏硬度≥60；⑥弯曲试验：不使用放大辅助设备观察弯曲后的试样，弯曲外表面无目视可见裂纹；⑦抗拉强度Rm≥380MPa、断后伸长率A80mm≥25%、下屈服强度ReL≥230MPa；⑧化学成分：C≤0.05%、Si≤0.1%、Mn≤0.4%、P≤0.02%、S≤0.01%；⑨抗菌性能-抗菌率（金黄色葡萄球菌、变化考克氏菌（变异库克菌）、大肠杆菌）≥99.9%；⑩耐霉菌性-耐霉菌性等级（黑曲霉、黄曲霉、平滑正青霉）为 0级。</w:t>
            </w:r>
            <w:r/>
          </w:p>
          <w:p>
            <w:pPr>
              <w:pStyle w:val="776"/>
              <w:ind w:left="0"/>
              <w:jc w:val="center"/>
              <w:spacing w:before="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42315" cy="1583690"/>
                      <wp:effectExtent l="0" t="0" r="635" b="165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9"/>
                              <a:stretch/>
                            </pic:blipFill>
                            <pic:spPr bwMode="auto">
                              <a:xfrm>
                                <a:off x="0" y="0"/>
                                <a:ext cx="742315" cy="158369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4pt;height:124.7pt;mso-wrap-distance-left:0.0pt;mso-wrap-distance-top:0.0pt;mso-wrap-distance-right:0.0pt;mso-wrap-distance-bottom:0.0pt;" stroked="f" strokeweight="1.00pt">
                      <v:path textboxrect="0,0,0,0"/>
                      <v:imagedata r:id="rId19"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床头护栏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jc w:val="left"/>
              <w:spacing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横管采用25mm*25mm*1.0mm厚优质钢管，挡板采用18mm厚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中片护栏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65"/>
              <w:numPr>
                <w:ilvl w:val="0"/>
                <w:numId w:val="0"/>
              </w:numPr>
              <w:jc w:val="left"/>
              <w:spacing w:before="0"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Style w:val="771"/>
                <w:rFonts w:hint="eastAsia" w:asciiTheme="minorEastAsia" w:hAnsiTheme="minorEastAsia" w:eastAsiaTheme="minorEastAsia" w:cstheme="minorEastAsia"/>
                <w:b w:val="0"/>
                <w:bCs/>
                <w:color w:val="auto"/>
                <w:sz w:val="21"/>
                <w:szCs w:val="21"/>
                <w:highlight w:val="none"/>
                <w:lang w:val="en-US" w:eastAsia="zh-CN"/>
              </w:rPr>
              <w:t xml:space="preserve">横管采用整根25mm*25mm*1.0mm优质钢管弯曲成型，竖管采用20mm*20mm*0.8mm优质钢管。挡板采用18mm厚三聚氰胺多层板制作。</w:t>
            </w:r>
            <w:r/>
          </w:p>
        </w:tc>
      </w:tr>
      <w:tr>
        <w:trPr>
          <w:jc w:val="center"/>
          <w:trHeight w:val="1109"/>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床换</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床换：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采用20mm*30mm*0.8mm优质钢管制作，每个床位不低于 5 根，同时支撑管为防退设计，支撑管与横梁结合处须有防退卡扣，保证支撑管与床框结合紧密，不晃动,不脱扣,不允许使用胶水粘连。</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前护栏：</w:t>
            </w:r>
            <w:r>
              <w:rPr>
                <w:rStyle w:val="771"/>
                <w:rFonts w:hint="eastAsia" w:asciiTheme="minorEastAsia" w:hAnsiTheme="minorEastAsia" w:eastAsiaTheme="minorEastAsia" w:cstheme="minorEastAsia"/>
                <w:b w:val="0"/>
                <w:bCs/>
                <w:color w:val="auto"/>
                <w:sz w:val="21"/>
                <w:szCs w:val="21"/>
                <w:highlight w:val="none"/>
                <w:lang w:val="en-US" w:eastAsia="zh-CN"/>
              </w:rPr>
              <w:t xml:space="preserve">上横管及外侧竖管采用整根25mm*25mm*1.0mm优质钢管弯曲成型，中间挡板采用18mm厚三聚氰胺多层板制作；挡板靠床头一侧设有三个椭圆形装饰圈，规格：长2000mm±20mm*高300mm±20mm，材质采用PP塑料一次注塑成型。</w:t>
            </w:r>
            <w:r/>
          </w:p>
          <w:p>
            <w:pPr>
              <w:pStyle w:val="795"/>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★钢管：</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提供“钢管”检测报告，检验检测依据：GB/T 3325-2024、GB/T 2423.18-2021、GB/T 6461-2002、GB/T 10125-2021、GB/T 30789.2-2014、GB/T 30789.3-2014、GB/T 30789.4-2015、GB/T 30789.5-2015、GB/T 30789.8-2015、GB/T 35607-2024、GB/T 230.1-2018、GB/T 3094-2012、GB/T </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231.1-2018、QB/T 4371-2012、GB/T 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50mg/kg、镉（Cd）≤5mg/kg、铬（Cr）≤5mg/kg、铅（Pb）≤5mg/kg、汞（Hg）≤5mg/kg、硒（Se）≤5mg/kg；⑤洛氏硬度≥60；⑥力学性能：抗拉强度Rm≥400MPa，下屈服强度ReL≥250MPa，断后伸长率A80mm≥30%；⑦化学成分（质量分数）：C≤0.05%、Si≤0.1%、Mn≤0.4%、P≤0.02%、S≤0.01%；⑧布氏硬度≥190；⑨抗菌性能-抗菌率（金黄色葡萄球菌、大肠杆菌）≥99.9%；耐霉菌性-耐霉菌性等级（黑曲霉、黄曲霉、串珠镰刀菌）为 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走梯</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jc w:val="left"/>
              <w:spacing w:line="360" w:lineRule="auto"/>
              <w:rPr>
                <w:rFonts w:hint="eastAsia" w:asciiTheme="minorEastAsia" w:hAnsiTheme="minorEastAsia" w:cstheme="minorEastAsia"/>
                <w:b w:val="0"/>
                <w:bCs/>
                <w:color w:val="auto"/>
                <w:sz w:val="21"/>
                <w:szCs w:val="21"/>
                <w:highlight w:val="none"/>
                <w:shd w:val="clear" w:color="auto" w:fill="auto"/>
                <w:lang w:val="en-US" w:eastAsia="zh-CN" w:bidi="ar-SA"/>
              </w:rPr>
            </w:pPr>
            <w:r>
              <w:rPr>
                <w:rFonts w:hint="eastAsia" w:asciiTheme="minorEastAsia" w:hAnsiTheme="minorEastAsia" w:cstheme="minorEastAsia"/>
                <w:color w:val="auto"/>
                <w:sz w:val="21"/>
                <w:szCs w:val="21"/>
                <w:highlight w:val="none"/>
                <w:shd w:val="clear" w:color="auto" w:fill="auto"/>
                <w:lang w:val="en-US" w:eastAsia="zh-CN" w:bidi="ar-SA"/>
              </w:rPr>
              <w:t xml:space="preserve">框架采用25mm*25mm*1.2mm厚优质钢管，框架内镶入一块</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w:t>
            </w:r>
            <w:r>
              <w:rPr>
                <w:rFonts w:hint="eastAsia" w:asciiTheme="minorEastAsia" w:hAnsiTheme="minorEastAsia" w:cstheme="minorEastAsia"/>
                <w:color w:val="auto"/>
                <w:sz w:val="21"/>
                <w:szCs w:val="21"/>
                <w:highlight w:val="none"/>
                <w:shd w:val="clear" w:color="auto" w:fill="auto"/>
                <w:lang w:val="en-US" w:eastAsia="zh-CN" w:bidi="ar-SA"/>
              </w:rPr>
              <w:t xml:space="preserve">8m</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，背板采用≥4mm厚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制作。踏板规格为长500mm±5mm*宽235mm±5mm*厚20mm，材质采用环保PE聚乙烯塑料一次性中空吹塑成型；踏板正面嵌入两块脚印形状防滑软塑料件具有夜光功能，脚印规格180mm±2mm*100mm±2mm*2mm，材质采用PP塑料一次性注塑成型，脚印反面至少需有6个稳钉与踏板链接固定，增加美观及安全性；踏板表面带有不少于18条凸起加强筋，增加踏板的强度同时起到防滑作用。踏板正前端向下弯曲20mm长，弯曲处呈弧形状，无棱角防磕碰。</w:t>
            </w:r>
            <w:r>
              <w:rPr>
                <w:rFonts w:hint="eastAsia" w:asciiTheme="minorEastAsia" w:hAnsiTheme="minorEastAsia" w:cstheme="minorEastAsia"/>
                <w:b w:val="0"/>
                <w:bCs/>
                <w:color w:val="auto"/>
                <w:sz w:val="21"/>
                <w:szCs w:val="21"/>
                <w:highlight w:val="none"/>
                <w:shd w:val="clear" w:color="auto" w:fill="auto"/>
                <w:lang w:val="en-US" w:eastAsia="zh-CN" w:bidi="ar-SA"/>
              </w:rPr>
              <w:t xml:space="preserve">步梯两侧上下侧短横梁内嵌入一块挡板，防止上下楼梯踏空滑落，挡板材质采用18mm厚三聚氰胺双饰面多层板。</w:t>
            </w:r>
            <w:r/>
          </w:p>
          <w:p>
            <w:pPr>
              <w:pStyle w:val="795"/>
              <w:jc w:val="left"/>
              <w:spacing w:line="360" w:lineRule="auto"/>
              <w:rPr>
                <w:rFonts w:hint="eastAsia" w:asciiTheme="minorEastAsia" w:hAnsiTheme="minorEastAsia" w:eastAsiaTheme="minorEastAsia" w:cstheme="minorEastAsia"/>
                <w:color w:val="auto"/>
                <w:sz w:val="21"/>
                <w:szCs w:val="21"/>
                <w:highlight w:val="none"/>
                <w:shd w:val="clear" w:color="auto" w:fill="auto"/>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37870" cy="1451610"/>
                      <wp:effectExtent l="0" t="0" r="5080" b="152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r/>
                            </pic:nvPicPr>
                            <pic:blipFill>
                              <a:blip r:embed="rId20"/>
                              <a:stretch/>
                            </pic:blipFill>
                            <pic:spPr bwMode="auto">
                              <a:xfrm>
                                <a:off x="0" y="0"/>
                                <a:ext cx="737870"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1pt;height:114.3pt;mso-wrap-distance-left:0.0pt;mso-wrap-distance-top:0.0pt;mso-wrap-distance-right:0.0pt;mso-wrap-distance-bottom:0.0pt;" stroked="f">
                      <v:path textboxrect="0,0,0,0"/>
                      <v:imagedata r:id="rId20" o:title=""/>
                    </v:shape>
                  </w:pict>
                </mc:Fallback>
              </mc:AlternateContent>
            </w:r>
            <w:r>
              <w:rPr>
                <w:color w:val="auto"/>
                <w:highlight w:val="none"/>
              </w:rPr>
              <mc:AlternateContent>
                <mc:Choice Requires="wpg">
                  <w:drawing>
                    <wp:inline xmlns:wp="http://schemas.openxmlformats.org/drawingml/2006/wordprocessingDrawing" distT="0" distB="0" distL="0" distR="0">
                      <wp:extent cx="1516380" cy="672465"/>
                      <wp:effectExtent l="0" t="0" r="7620" b="13335"/>
                      <wp:docPr id="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8"/>
                              <pic:cNvPicPr>
                                <a:picLocks noChangeAspect="1"/>
                              </pic:cNvPicPr>
                              <pic:nvPr/>
                            </pic:nvPicPr>
                            <pic:blipFill>
                              <a:blip r:embed="rId21"/>
                              <a:srcRect l="10039" t="29466" r="9364" b="31092"/>
                              <a:stretch/>
                            </pic:blipFill>
                            <pic:spPr bwMode="auto">
                              <a:xfrm>
                                <a:off x="0" y="0"/>
                                <a:ext cx="1516380" cy="672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9.4pt;height:52.9pt;mso-wrap-distance-left:0.0pt;mso-wrap-distance-top:0.0pt;mso-wrap-distance-right:0.0pt;mso-wrap-distance-bottom:0.0pt;" stroked="f" strokeweight="0.75pt">
                      <v:path textboxrect="0,0,0,0"/>
                      <v:imagedata r:id="rId21" o:title=""/>
                    </v:shape>
                  </w:pict>
                </mc:Fallback>
              </mc:AlternateContent>
            </w:r>
            <w:r/>
          </w:p>
          <w:p>
            <w:pPr>
              <w:pStyle w:val="795"/>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蚊帐</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5"/>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采用φ19mm*0.8mm优质圆管制作,</w:t>
            </w:r>
            <w:r>
              <w:rPr>
                <w:rFonts w:hint="eastAsia" w:asciiTheme="minorEastAsia" w:hAnsiTheme="minorEastAsia" w:eastAsiaTheme="minorEastAsia" w:cstheme="minorEastAsia"/>
                <w:color w:val="auto"/>
                <w:sz w:val="21"/>
                <w:szCs w:val="21"/>
                <w:highlight w:val="none"/>
                <w:lang w:val="en-US" w:eastAsia="zh-CN"/>
              </w:rPr>
              <w:t xml:space="preserve">主材两边圆弧处焊接Φ3mm粗的钢圈</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床铺板</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床板</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采用1</w:t>
            </w:r>
            <w:r>
              <w:rPr>
                <w:rFonts w:hint="eastAsia" w:asciiTheme="minorEastAsia" w:hAnsiTheme="minorEastAsia" w:cstheme="minorEastAsia"/>
                <w:color w:val="auto"/>
                <w:sz w:val="21"/>
                <w:szCs w:val="21"/>
                <w:highlight w:val="none"/>
                <w:shd w:val="clear" w:color="auto" w:fill="auto"/>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mm厚优质杉木板，经烘干、正反双面抛光处理，拼接缝隙应小于5mm，床板背面需有3根≥20*30mm实木方料横杠加固（可根据床内空制作）</w:t>
            </w:r>
            <w:r>
              <w:rPr>
                <w:rFonts w:hint="eastAsia" w:asciiTheme="minorEastAsia" w:hAnsiTheme="minorEastAsia" w:cstheme="minorEastAsia"/>
                <w:color w:val="auto"/>
                <w:sz w:val="21"/>
                <w:szCs w:val="21"/>
                <w:highlight w:val="none"/>
                <w:shd w:val="clear" w:color="auto" w:fill="auto"/>
                <w:lang w:val="en-US" w:eastAsia="zh-CN" w:bidi="ar-SA"/>
              </w:rPr>
              <w:t xml:space="preserve">；床下带有鞋架，采用20mm*20mm的优质钢管制作。</w:t>
            </w:r>
            <w:r/>
          </w:p>
          <w:p>
            <w:pPr>
              <w:pStyle w:val="77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提供“床板”检测报告，检验检测依据：GB/T 3324-2024</w:t>
            </w:r>
            <w:r>
              <w:rPr>
                <w:rFonts w:hint="eastAsia" w:asciiTheme="minorEastAsia" w:hAnsiTheme="minorEastAsia" w:eastAsiaTheme="minorEastAsia" w:cstheme="minorEastAsia"/>
                <w:color w:val="auto"/>
                <w:highlight w:val="none"/>
                <w:lang w:val="en-US" w:eastAsia="zh-CN"/>
              </w:rPr>
              <w:t xml:space="preserve">、GB 18584-2024、GB/T 31762-2015、GB/T 38467-2020；检测内容至少包含：①外观要求-木材（贯通裂缝，虫蛀，腐朽材，树脂囊，节子，死节、孔洞、夹皮和树脂道、树胶道）符合要求；②有害物质限量-甲醛≤0.01mg/m³、苯≤0.005mg/m³、甲苯≤0.005mg/m³、二甲苯(邻、间、对二甲苯之和)≤0.005mg/m³、总挥发性有机化合物（TVOC）≤0.05mg/m³；③苯酚释放量≤0.1mg/m³；④理化性能-体积湿胀率≤5%，宽度干缩率≤3%，体积干缩率≤7%。</w:t>
            </w:r>
            <w:r/>
          </w:p>
          <w:p>
            <w:pPr>
              <w:pStyle w:val="776"/>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val="0"/>
                <w:color w:val="auto"/>
                <w:sz w:val="21"/>
                <w:szCs w:val="21"/>
                <w:highlight w:val="none"/>
              </w:rPr>
              <mc:AlternateContent>
                <mc:Choice Requires="wpg">
                  <w:drawing>
                    <wp:inline xmlns:wp="http://schemas.openxmlformats.org/drawingml/2006/wordprocessingDrawing" distT="0" distB="0" distL="0" distR="0">
                      <wp:extent cx="2468880" cy="1057910"/>
                      <wp:effectExtent l="0" t="0" r="7620" b="8890"/>
                      <wp:docPr id="10" name="图片 9"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descr="997424bceb6be67b6de023d636b4df5"/>
                              <pic:cNvPicPr>
                                <a:picLocks noChangeAspect="1"/>
                              </pic:cNvPicPr>
                              <pic:nvPr/>
                            </pic:nvPicPr>
                            <pic:blipFill>
                              <a:blip r:embed="rId22"/>
                              <a:stretch/>
                            </pic:blipFill>
                            <pic:spPr bwMode="auto">
                              <a:xfrm>
                                <a:off x="0" y="0"/>
                                <a:ext cx="2468880"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4.4pt;height:83.3pt;mso-wrap-distance-left:0.0pt;mso-wrap-distance-top:0.0pt;mso-wrap-distance-right:0.0pt;mso-wrap-distance-bottom:0.0pt;" stroked="f">
                      <v:path textboxrect="0,0,0,0"/>
                      <v:imagedata r:id="rId22"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组合学习桌</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1、床下组合柜</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：整体规格长1900mm*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最宽处800mm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*高1690mm，尺寸±5mm（含衣柜、写字桌、书架）。</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衣柜尺寸：宽700mm*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深600mm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1572895" cy="1746250"/>
                      <wp:effectExtent l="0" t="0" r="8255" b="635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r/>
                            </pic:nvPicPr>
                            <pic:blipFill>
                              <a:blip r:embed="rId23"/>
                              <a:stretch/>
                            </pic:blipFill>
                            <pic:spPr bwMode="auto">
                              <a:xfrm>
                                <a:off x="0" y="0"/>
                                <a:ext cx="1572895" cy="174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8pt;height:137.5pt;mso-wrap-distance-left:0.0pt;mso-wrap-distance-top:0.0pt;mso-wrap-distance-right:0.0pt;mso-wrap-distance-bottom:0.0pt;" stroked="f">
                      <v:path textboxrect="0,0,0,0"/>
                      <v:imagedata r:id="rId23"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衣柜采用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对开门</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设计，柜门与柜体采用阻尼铰链连接。上层空间可用于叠放被褥、棉被等；下层配备</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挂衣杆可挂放衣物</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w:t>
            </w:r>
            <w:r/>
          </w:p>
          <w:p>
            <w:pPr>
              <w:ind w:left="-13" w:hanging="94"/>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★多层板满足：</w:t>
            </w:r>
            <w:r>
              <w:rPr>
                <w:rFonts w:hint="eastAsia" w:ascii="宋体" w:hAnsi="宋体" w:eastAsia="宋体" w:cs="宋体"/>
                <w:color w:val="auto"/>
                <w:highlight w:val="none"/>
                <w:lang w:val="en-US" w:eastAsia="zh-CN"/>
              </w:rPr>
              <w:t xml:space="preserve">LY/T 1985-2011、GB/T 9846-2015、GB/T 39600-2021、GB/T 35601-2024、LY/T 2230-2013、GB/T 17657-2022；</w:t>
            </w:r>
            <w:r>
              <w:rPr>
                <w:rFonts w:hint="eastAsia" w:ascii="宋体" w:hAnsi="宋体" w:eastAsia="宋体" w:cs="宋体"/>
                <w:b w:val="0"/>
                <w:bCs w:val="0"/>
                <w:color w:val="auto"/>
                <w:sz w:val="21"/>
                <w:szCs w:val="21"/>
                <w:highlight w:val="none"/>
                <w:vertAlign w:val="baseline"/>
                <w:lang w:val="en-US" w:eastAsia="zh-CN"/>
              </w:rPr>
              <w:t xml:space="preserve">检测内容至少包含：</w:t>
            </w:r>
            <w:r>
              <w:rPr>
                <w:rFonts w:hint="eastAsia" w:ascii="宋体" w:hAnsi="宋体" w:eastAsia="宋体" w:cs="宋体"/>
                <w:color w:val="auto"/>
                <w:highlight w:val="none"/>
                <w:lang w:val="en-US" w:eastAsia="zh-CN"/>
              </w:rPr>
              <w:t xml:space="preserve">①五氯苯酚含量≤0.05mg/kg，②外观质量符合要求，③理化性能-胶合强度≥0.9MPa，合格试件数与有效试件总数之比≥100%；理化性能-浸渍剥离：每个试件同一胶层每边剥离长度累计不超过25mm，6块试件的胶层均无剥离现象；④理化性能-静曲强度（顺纹）≥30MPa，符合指标值规定的试件数占有效试件数≥100%；静曲强度（横纹）≥30MPa</w:t>
            </w:r>
            <w:r>
              <w:rPr>
                <w:rFonts w:hint="eastAsia" w:ascii="宋体" w:hAnsi="宋体" w:eastAsia="宋体" w:cs="宋体"/>
                <w:color w:val="auto"/>
                <w:highlight w:val="none"/>
                <w:lang w:val="en-US" w:eastAsia="zh-CN"/>
              </w:rPr>
              <w:t xml:space="preserve">，符合指标值规定的试件数占有效试件数≥100%；⑤理化性能-弹性模量（顺纹）≥5000MPa，符合指标值规定的试件数占有效试件数≥100%；弹性模量（横纹）≥4000MPa，符合指标值规定的试件数占有效试件数≥100%；⑥甲醛释放量（气候箱法）≤0.025mg/m³；⑦品质属性-挥发性有机化合物释放浓度(7d)：苯≤0.2μg/m³、甲苯≤0.4μg/m³、二甲苯≤0.2μg/m³、总挥发性有机化合物(TVOC)≤0.4μg/m³；⑧防霉性能-防霉质量分级（黑曲霉、黄曲霉、树脂子囊菌）为0级；⑨防静电性能≥</w:t>
            </w:r>
            <w:r>
              <w:rPr>
                <w:rFonts w:hint="eastAsia" w:ascii="宋体" w:hAnsi="宋体" w:eastAsia="宋体" w:cs="宋体"/>
                <w:color w:val="auto"/>
                <w:sz w:val="24"/>
                <w:szCs w:val="24"/>
                <w:highlight w:val="none"/>
                <w:lang w:val="en-US" w:eastAsia="zh-CN"/>
              </w:rPr>
              <w:t xml:space="preserve">6.0x10^11Ω；</w:t>
            </w:r>
            <w:r>
              <w:rPr>
                <w:rFonts w:hint="eastAsia" w:ascii="宋体" w:hAnsi="宋体" w:eastAsia="宋体" w:cs="宋体"/>
                <w:color w:val="auto"/>
                <w:highlight w:val="none"/>
                <w:lang w:val="en-US" w:eastAsia="zh-CN"/>
              </w:rPr>
              <w:t xml:space="preserve">⑩抗冲击性能：落球高度1000mm、压痕直径≥1.5mm、板面无破损。</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②材质：基材采用18mm厚三聚氰胺多层板制作，背板采用≥4mm厚三聚氰胺多层板制作。</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2、写字桌规格：长1200mm*最宽处800mm*与衣柜连接处600mm*高760mm。</w:t>
            </w:r>
            <w:r/>
          </w:p>
          <w:p>
            <w:pPr>
              <w:pStyle w:val="795"/>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①桌面：规格为长1200mm±5mm*最宽处800mm±5mm*与衣柜连接处600mm±5mm*厚25mm，材质采用多层板。桌面整体为L型，正前方靠胸位置为内凹弧形，贴合人体工程学，防止挤压胸腔，方便书写流畅；</w:t>
            </w:r>
            <w:r/>
          </w:p>
          <w:p>
            <w:pPr>
              <w:pStyle w:val="795"/>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②桌面下一侧设有一个抽屉一个储物柜，可用于存放物品。抽屉推拉采用静音三节导轨，储物柜柜门与柜体采用阻尼铰链连接。</w:t>
            </w:r>
            <w:r/>
          </w:p>
          <w:p>
            <w:pPr>
              <w:pStyle w:val="795"/>
              <w:jc w:val="left"/>
              <w:keepLines w:val="0"/>
              <w:keepNext w:val="0"/>
              <w:pageBreakBefore w:val="0"/>
              <w:spacing w:after="0" w:line="360"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③材质要求：抽屉和储物柜基材采用18mm厚多层板制作，抽屉底板、储物柜背板采用≥4mm厚多层板制作。</w:t>
            </w:r>
            <w:r/>
          </w:p>
          <w:p>
            <w:pPr>
              <w:numPr>
                <w:ilvl w:val="0"/>
                <w:numId w:val="0"/>
              </w:num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3、书架规格：宽1200mm*深240mm*高930mm。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①书架结构布局合理，置物空间充足。</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②材质要求：整体采用18mm厚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制作，背板采用≥4mm厚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三聚氰胺饰面多层板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p>
            <w:pPr>
              <w:pStyle w:val="776"/>
              <w:numPr>
                <w:ilvl w:val="0"/>
                <w:numId w:val="0"/>
              </w:numPr>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门板及抽屉面板拉手：拉手材质采用环保ABS塑料一次性注塑成型，整体分为扣手和底座两个部分；扣手规格长125mm*宽25mm，底座规格长140mm*宽32mm，扣手和底座采用插入式连接，采用优质螺丝加固，扣手与底座连接后整体厚度为25mm；拉手带有锁扣隐藏功能。</w:t>
            </w:r>
            <w:r/>
          </w:p>
          <w:p>
            <w:pPr>
              <w:pStyle w:val="783"/>
              <w:jc w:val="center"/>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491490" cy="1217930"/>
                      <wp:effectExtent l="0" t="0" r="3810" b="1270"/>
                      <wp:docPr id="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9"/>
                              <pic:cNvPicPr>
                                <a:picLocks noChangeAspect="1"/>
                              </pic:cNvPicPr>
                              <pic:nvPr/>
                            </pic:nvPicPr>
                            <pic:blipFill>
                              <a:blip r:embed="rId24"/>
                              <a:srcRect l="26959" t="23703" r="45553" b="25875"/>
                              <a:stretch/>
                            </pic:blipFill>
                            <pic:spPr bwMode="auto">
                              <a:xfrm>
                                <a:off x="0" y="0"/>
                                <a:ext cx="491490" cy="1217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7pt;height:95.9pt;mso-wrap-distance-left:0.0pt;mso-wrap-distance-top:0.0pt;mso-wrap-distance-right:0.0pt;mso-wrap-distance-bottom:0.0pt;" stroked="f" strokeweight="0.75pt">
                      <v:path textboxrect="0,0,0,0"/>
                      <v:imagedata r:id="rId24"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5、家具板材经烘干、杀菌、杀虫处理，保证材料不会变形生虫，不带有毒气体，达到国家标准。板材表面不得有缺角和破损，无明显的干湿花污斑及划痕。</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6、封边工艺：板材采用PVC封边条封边，与柜板面同色，厚度≥1.2 mm，粘接采用优质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刨花</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热熔胶高温固化，粘接牢固，无脱胶、无鼓泡、防水。</w:t>
            </w:r>
            <w:r/>
          </w:p>
          <w:p>
            <w:pPr>
              <w:pStyle w:val="795"/>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五金配件：组合柜整体采用三合一连接件固定连接。</w:t>
            </w:r>
            <w:r/>
          </w:p>
          <w:p>
            <w:pPr>
              <w:pStyle w:val="795"/>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8、衣柜和储物柜底部设有防潮脚垫，采用PP塑料一次注塑成型，规格为：长90mm±2mm*宽90mm±2mm*高90mm±2mm，厚度20mm±2mm。</w:t>
            </w:r>
            <w:r/>
          </w:p>
          <w:p>
            <w:pPr>
              <w:pStyle w:val="795"/>
              <w:jc w:val="center"/>
              <w:spacing w:line="360" w:lineRule="auto"/>
              <w:rPr>
                <w:rFonts w:hint="default" w:asciiTheme="minorEastAsia" w:hAnsiTheme="minorEastAsia" w:cstheme="minorEastAsia"/>
                <w:color w:val="auto"/>
                <w:sz w:val="21"/>
                <w:szCs w:val="21"/>
                <w:highlight w:val="none"/>
                <w:shd w:val="clear" w:color="auto" w:fill="auto"/>
                <w:vertAlign w:val="baseline"/>
                <w:lang w:val="en-US" w:eastAsia="zh-CN" w:bidi="ar-SA"/>
              </w:rPr>
            </w:pPr>
            <w:r>
              <w:rPr>
                <w:color w:val="auto"/>
                <w:highlight w:val="none"/>
              </w:rPr>
              <mc:AlternateContent>
                <mc:Choice Requires="wpg">
                  <w:drawing>
                    <wp:inline xmlns:wp="http://schemas.openxmlformats.org/drawingml/2006/wordprocessingDrawing" distT="0" distB="0" distL="0" distR="0">
                      <wp:extent cx="980440" cy="978535"/>
                      <wp:effectExtent l="0" t="0" r="10160" b="12065"/>
                      <wp:docPr id="13" name="图片 1" descr="bdcc5bb0af488007c63a2e47bda3f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bdcc5bb0af488007c63a2e47bda3f4c"/>
                              <pic:cNvPicPr>
                                <a:picLocks noChangeAspect="1"/>
                              </pic:cNvPicPr>
                              <pic:nvPr/>
                            </pic:nvPicPr>
                            <pic:blipFill>
                              <a:blip r:embed="rId25"/>
                              <a:srcRect l="12651" t="10548" r="11781" b="8114"/>
                              <a:stretch/>
                            </pic:blipFill>
                            <pic:spPr bwMode="auto">
                              <a:xfrm>
                                <a:off x="0" y="0"/>
                                <a:ext cx="980440" cy="978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2pt;height:77.0pt;mso-wrap-distance-left:0.0pt;mso-wrap-distance-top:0.0pt;mso-wrap-distance-right:0.0pt;mso-wrap-distance-bottom:0.0pt;" stroked="false">
                      <v:path textboxrect="0,0,0,0"/>
                      <v:imagedata r:id="rId25"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公寓椅</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left"/>
              <w:rPr>
                <w:rFonts w:hint="eastAsia" w:asciiTheme="minorEastAsia" w:hAnsi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lang w:val="en-US" w:eastAsia="zh-CN"/>
              </w:rPr>
              <w:t xml:space="preserve">1、公寓椅规格：宽460*深490*高850mm（尺寸允许±10mm）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w:t>
            </w:r>
            <w:r>
              <w:rPr>
                <w:rFonts w:hint="eastAsia" w:asciiTheme="minorEastAsia" w:hAnsiTheme="minorEastAsia" w:cstheme="minorEastAsia"/>
                <w:color w:val="auto"/>
                <w:sz w:val="21"/>
                <w:szCs w:val="21"/>
                <w:highlight w:val="none"/>
                <w:shd w:val="clear" w:color="auto" w:fill="auto"/>
                <w:lang w:val="en-US" w:eastAsia="zh-CN"/>
              </w:rPr>
              <w:t xml:space="preserve">连体椅座、背靠板规格：座板宽（左右直线距离）≧460mm*背靠宽度≧455mm；背靠板高度（靠背顶边到椅座最底点直线距离）≧465mm;座深（椅面最前端至靠背与椅座座面连接处最长直线距离）≧490mm；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、椅座、靠背板材质要求：采用PP塑料一体注塑成型，连体结构，靠背板有不低于34个直径4mm透气孔。</w:t>
            </w:r>
            <w:r/>
          </w:p>
          <w:p>
            <w:pPr>
              <w:numPr>
                <w:ilvl w:val="0"/>
                <w:numId w:val="0"/>
              </w:numPr>
              <w:jc w:val="left"/>
              <w:keepLines w:val="0"/>
              <w:keepNext w:val="0"/>
              <w:pageBreakBefore w:val="0"/>
              <w:spacing w:line="288" w:lineRule="auto"/>
              <w:widowControl w:val="off"/>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、安全要求：靠背与椅座连接处向呈后凸弧状，靠背板稍前倾；靠背与椅座连接后凸弧状处有≧9条外凸加强筋均衡排列，能有效加增强椅背受力后倾牢固及安全性；</w:t>
            </w:r>
            <w:r/>
          </w:p>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、安装连接要求：椅面底部须有≧4个椅架连接点，考虑牢固性，连接点应于椅子一体注塑成型，安装后椅面连接点与椅架管材包裹接触面应不低于管材周长的二分之一。</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6</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、其他功能：椅子具有逍遥功能，坐感舒适，靠背受力可前倾、后倾逍遥范围约10～15°，能缓解学生长时间学习引起的腰背疲劳。方便椅子移动，靠背处设置≧长110*高35mm提手孔；</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7、椅钢架要求；椅架腿管采用≧φ25mm*壁厚1.2mm圆管制作，座板下部采用两根≧20mm*30mm*1.2mm钢管与椅架腿管焊接加固；椅座、靠背板与加固连接管连接稳固不松动；管材露口处采用PP工程塑料内塞。</w:t>
            </w:r>
            <w:r/>
          </w:p>
          <w:p>
            <w:pPr>
              <w:ind w:left="-13" w:hanging="94"/>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8、钢材全部采用国标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pStyle w:val="776"/>
              <w:jc w:val="center"/>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1588770" cy="1967230"/>
                      <wp:effectExtent l="0" t="0" r="11430" b="13970"/>
                      <wp:docPr id="14" name="ID_4F3928E69C0045258994C200022F27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4F3928E69C0045258994C200022F27DE"/>
                              <pic:cNvPicPr>
                                <a:picLocks noChangeAspect="1"/>
                              </pic:cNvPicPr>
                              <pic:nvPr/>
                            </pic:nvPicPr>
                            <pic:blipFill>
                              <a:blip r:embed="rId26"/>
                              <a:stretch/>
                            </pic:blipFill>
                            <pic:spPr bwMode="auto">
                              <a:xfrm>
                                <a:off x="0" y="0"/>
                                <a:ext cx="1588770" cy="1967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5.1pt;height:154.9pt;mso-wrap-distance-left:0.0pt;mso-wrap-distance-top:0.0pt;mso-wrap-distance-right:0.0pt;mso-wrap-distance-bottom:0.0pt;" stroked="f" strokeweight="0.75pt">
                      <v:path textboxrect="0,0,0,0"/>
                      <v:imagedata r:id="rId26" o:title=""/>
                    </v:shape>
                  </w:pict>
                </mc:Fallback>
              </mc:AlternateContent>
            </w:r>
            <w:r/>
          </w:p>
          <w:p>
            <w:pPr>
              <w:ind w:left="-13" w:hanging="94"/>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提供“公寓椅”检测报告，检验检测依据：GB/T 3325-2024</w:t>
            </w:r>
            <w:r>
              <w:rPr>
                <w:rFonts w:hint="eastAsia" w:ascii="宋体" w:hAnsi="宋体" w:eastAsia="宋体" w:cs="宋体"/>
                <w:color w:val="auto"/>
                <w:sz w:val="21"/>
                <w:szCs w:val="21"/>
                <w:highlight w:val="none"/>
                <w:lang w:val="en-US" w:eastAsia="zh-CN"/>
              </w:rPr>
              <w:t xml:space="preserve">、GB/T 2423.18-2021、GB/T 6461-2002、GB/T 10125-2021、GB/T 30789.2-2014、GB/T 30789.3-2014、GB/T 30789.4-2015、GB/T 30789.5-2015、GB/T 30789.8-2015、GB/T 35607-2024、GB/T 230.1-2018、QB/T 4371-2012、GB/T 1741-2020；检测内容至少包含：①外观性能（金属件、木制件、塑料件）符合要求，安全性能（结构安全）符合要求；②产品表面理化</w:t>
            </w:r>
            <w:r>
              <w:rPr>
                <w:rFonts w:hint="eastAsia" w:ascii="宋体" w:hAnsi="宋体" w:eastAsia="宋体" w:cs="宋体"/>
                <w:color w:val="auto"/>
                <w:sz w:val="21"/>
                <w:szCs w:val="21"/>
                <w:highlight w:val="none"/>
                <w:lang w:val="en-US" w:eastAsia="zh-CN"/>
              </w:rPr>
              <w:t xml:space="preserve">性能-金属喷漆（塑）层：硬度符合要求，冲击强度符合要求，耐盐浴符合要求，附着力0级；木制件表面装饰层（软硬质覆面层）耐冷热循环符合要求，耐干热≥4级，耐湿热≥4级，耐污染≥4级；③力学性能-椅凳类强度和耐久性符合要求，椅凳类稳定性无倾翻；④交变盐雾试验168h(试验方法3:1个循环周期7d)：10级/10级(无锈蚀,无鼓泡)；⑤耐腐蚀试验-中性盐雾试验48h，起泡等级0级，生锈等级Ri 0级，开裂等级0级，剥落等级0级，腐蚀等级1级，剥离等级1级；⑥产品有害物质-家具涂层可迁移元素：锑（Sb）≤5mg/kg</w:t>
            </w:r>
            <w:r>
              <w:rPr>
                <w:rFonts w:hint="eastAsia" w:ascii="宋体" w:hAnsi="宋体" w:eastAsia="宋体" w:cs="宋体"/>
                <w:color w:val="auto"/>
                <w:sz w:val="21"/>
                <w:szCs w:val="21"/>
                <w:highlight w:val="none"/>
                <w:lang w:val="en-US" w:eastAsia="zh-CN"/>
              </w:rPr>
              <w:t xml:space="preserve">、砷（As）≤5mg/kg、钡（Ba）≤50mg/kg、镉（Cd）≤5mg/kg、铬（Cr）≤5mg/kg、铅（Pb）≤5mg/kg、汞（Hg）≤5mg/kg、硒（Se）≤5mg/kg；⑦甲醛释放量≤0.01mg/m³，苯≤0.005mg/m³、甲苯≤0.005mg/m³、二甲苯≤0.005mg/m³，总挥发性有机化合物≤0.05mg/m³；⑧洛氏硬度≥60，⑨抗菌性能-抑菌率（金黄色葡萄球菌、变化考克氏菌（变异库克菌）、大肠杆菌）≥99.9%；⑩耐霉菌性-耐霉菌性等级（黑曲霉、黄曲霉、平滑正青霉）为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配套服务</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需要根据上床下桌的结构，自行调整原墙面插座位置，满足使用，搬离原有床铺到甲方指定位置（校内地下仓库），并对安装前的环境进行清洁以满足使用需求，该项内容需要潜在供货商投标前到现场确认。</w:t>
            </w:r>
            <w:r/>
          </w:p>
        </w:tc>
      </w:tr>
    </w:tbl>
    <w:p>
      <w:pPr>
        <w:pStyle w:val="1030"/>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四、执行标准</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（一）国家强制环保标准</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 18580-2017《室内装饰装修材料 人造板及其制品中甲醛释放限量》</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 18583-2008《室内装饰装修材料 胶粘剂中有害物质限量》</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 18584-2024《室内装饰装修材料 木家具中有害物质限量》</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（二）家具通用技术国标</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1.GB/T 3324-2024《木家具通用技术条件》</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2.GB/T 3325-2024《金属家具通用技术条件》</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3.GB/T 3326《家具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桌》、GB/T 3327《家具 柜》、GB/T 3328《家具 床》</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4.QB/T 2741-2013《学生公寓多功能家具》</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5.T/JSJJ008-2023、T/SGHX 002-2023《学生宿舍用床》</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6.《学生宿舍用床安全栏板改造技术指南》</w:t>
      </w:r>
      <w:r/>
    </w:p>
    <w:p>
      <w:pPr>
        <w:pStyle w:val="1030"/>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7.待发布《中小学教育装备配置指南-中小学宿舍、食堂、卫生室、心理咨询室》（征求意见稿现行要求同步执行，正式发布 后按最新版本执行）</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备注：产品原材料送检、成品CMA检测、现场竣工验收全部遵照本章节所列现行标准执行，招标文件评分细则中各项CMA检测参数、验收要求均与本条标准一一对应。</w:t>
      </w:r>
      <w:r/>
    </w:p>
    <w:p>
      <w:pPr>
        <w:pStyle w:val="1030"/>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投标人提供的投标货物须满足绿色环保要求，所有主、辅材料均符合国家环保标准。若</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文件所列标准、规范发布新版本，或出台新的标准、规范，一律按最新版本执行。</w:t>
      </w:r>
      <w:r/>
    </w:p>
    <w:p>
      <w:pPr>
        <w:pStyle w:val="1030"/>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本项目所有家具产品完成生产、组装及交付后，采购人有权委托第三方检测机构开展成品整体甲醛释放量检测，检测方法遵照GB 18580-2017或GB/T 39600-2021执行，成品整体甲醛释放量≤0.050mg/m³，达到E0级环保标准。若检测结果不合格，中标人须无条件更换全部不合格产品，自行承担检测费用及项目相关全部经济损失。</w:t>
      </w:r>
      <w:r/>
    </w:p>
    <w:p>
      <w:pPr>
        <w:pStyle w:val="1030"/>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除</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技术要求明确允许偏离或有更严格规定外，所有家具产品的设计、材料、制造工艺、安全性能、环保指标、结构强度及耐久性等参数，须完全满足本章节所列全部国家标准、行业标准、团体标准的最新版本要求，多标准不一致时，以最严格标准为准。履约期间采购人依规抽检，若检测结果不合格，所有检测费、返工费、损失费由中标人承担。</w:t>
      </w:r>
      <w:r/>
    </w:p>
    <w:p>
      <w:pPr>
        <w:pStyle w:val="1030"/>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五、分项技术参数</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（一）上床下桌组合家具技术要求</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结构与安全：床架采用优质冷轧钢管型材，型材壁厚符合承重国标要求，所有尖角位置做安全圆角钝化处理，床架与桌柜整体紧固连接为一体式结构，无松动间隙。围栏洞口尺寸完整标注，严格遵循《学生宿舍用床安全栏板改造技术指南》。</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承重与工艺：产品整体静载承重≥300kg，床架钢管表面采用防锈静电喷塑工艺，做工规整，无虚焊、毛刺、脱漆、锈蚀等质量缺陷。</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配套座椅：标配自修椅结构稳固、防滑耐磨，材质环保无异味，不用时可完全推入书桌下方，椅背不突出床外立面。</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五金配件：所有抽屉滑轨、柜门铰链采用产品满足高端定制家具五金技术指标，铰链：Φ35mm 标准铰杯、钢板壁厚≥1.5mm、三维可调、内置液压阻尼，使用寿命≥10万次，盐雾≥72h；三节阻尼滑轨：45mm 轨宽、加厚冷轧钢、双排钢珠全拉出、末端液压缓冲，额定承重≥35kg，使用寿命≥5万次，配备三节静音阻尼导轨、缓冲铰链；家具拉手采用内嵌式无尖角设计，衣柜标配不锈钢承重挂衣杆，配件开合顺畅、静音耐用，爬梯踏步板采用ABS工程塑料一体成型，表面带防滑凸点，结构稳定、无毛刺裂纹。</w:t>
      </w:r>
      <w:r/>
    </w:p>
    <w:p>
      <w:pPr>
        <w:pStyle w:val="1030"/>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护栏安全尺寸：全套上下床围栏完整标注围栏洞口长宽、间隙等全部尺寸，所有参数符合《学生宿舍用床安全栏板改造技术指南》强制性安全要求，无尺寸缺失、无安全漏洞。</w:t>
      </w:r>
      <w:r/>
    </w:p>
    <w:p>
      <w:pPr>
        <w:pStyle w:val="1030"/>
        <w:ind w:firstLine="420"/>
        <w:keepLines w:val="0"/>
        <w:keepNext w:val="0"/>
        <w:pageBreakBefore w:val="0"/>
        <w:spacing w:before="0" w:after="0"/>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cs="宋体"/>
          <w:color w:val="auto"/>
          <w:sz w:val="21"/>
          <w:szCs w:val="21"/>
          <w:highlight w:val="none"/>
          <w:lang w:val="en-US" w:eastAsia="zh-CN"/>
        </w:rPr>
        <w:t xml:space="preserve">配套服务：</w:t>
      </w: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需要根据上床下桌的结构，自行调整原墙面插座位置，满足使用，并对安装前的环境进行清洁以满足使用需求，该项内容需要潜在供货商投标前到现场确认。</w:t>
      </w:r>
      <w:r/>
    </w:p>
    <w:p>
      <w:pPr>
        <w:pStyle w:val="1030"/>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六、商务要求</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要求是指取得采购标的时间、地点、财务和服务要求，包括交付（实施）的时间（期限）和地点（范围），付款条件（进度和方法），包装和运输，售后服务，保险等。其中必须满足的实质性要求加斜体下划线。</w:t>
      </w:r>
      <w:r/>
    </w:p>
    <w:p>
      <w:pPr>
        <w:pStyle w:val="1030"/>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bookmarkStart w:id="28" w:name="_Hlk229171473"/>
      <w:r>
        <w:rPr>
          <w:rFonts w:hint="eastAsia" w:ascii="宋体" w:hAnsi="宋体" w:eastAsia="宋体" w:cs="宋体"/>
          <w:b/>
          <w:bCs/>
          <w:i/>
          <w:iCs/>
          <w:color w:val="auto"/>
          <w:sz w:val="21"/>
          <w:szCs w:val="21"/>
          <w:highlight w:val="none"/>
          <w:u w:val="single"/>
          <w:lang w:val="en-US" w:eastAsia="zh-CN"/>
        </w:rPr>
        <w:t xml:space="preserve">（一）</w:t>
      </w:r>
      <w:bookmarkEnd w:id="28"/>
      <w:r>
        <w:rPr>
          <w:rFonts w:hint="eastAsia" w:ascii="宋体" w:hAnsi="宋体" w:eastAsia="宋体" w:cs="宋体"/>
          <w:b/>
          <w:bCs/>
          <w:i/>
          <w:iCs/>
          <w:color w:val="auto"/>
          <w:sz w:val="21"/>
          <w:szCs w:val="21"/>
          <w:highlight w:val="none"/>
          <w:u w:val="single"/>
          <w:lang w:val="en-US" w:eastAsia="zh-CN"/>
        </w:rPr>
        <w:t xml:space="preserve">交货期：合同签订生效后，在接到采购人进场通知后，中标人必须在40个日历天内将全部货物运抵采购人工地现场并完成安装、加固、调试、检测（</w:t>
      </w:r>
      <w:r>
        <w:rPr>
          <w:rFonts w:hint="eastAsia" w:ascii="宋体" w:hAnsi="宋体" w:cs="宋体"/>
          <w:b/>
          <w:bCs/>
          <w:i/>
          <w:iCs/>
          <w:color w:val="auto"/>
          <w:sz w:val="21"/>
          <w:szCs w:val="21"/>
          <w:highlight w:val="none"/>
          <w:u w:val="single"/>
          <w:lang w:val="en-US" w:eastAsia="zh-CN"/>
        </w:rPr>
        <w:t xml:space="preserve">中标人</w:t>
      </w:r>
      <w:r>
        <w:rPr>
          <w:rFonts w:hint="eastAsia" w:ascii="宋体" w:hAnsi="宋体" w:eastAsia="宋体" w:cs="宋体"/>
          <w:b/>
          <w:bCs/>
          <w:i/>
          <w:iCs/>
          <w:color w:val="auto"/>
          <w:sz w:val="21"/>
          <w:szCs w:val="21"/>
          <w:highlight w:val="none"/>
          <w:u w:val="single"/>
          <w:lang w:val="en-US" w:eastAsia="zh-CN"/>
        </w:rPr>
        <w:t xml:space="preserve">负责检测），直至验收合格。若未能按时交付，每延迟一日，中标人应向采购人支付合同总金额万分之五（0.05%）的违约金。迟延交付产生的违约金总额，不得超过本合同总价款的30%。（投标人须提供书面盖章承诺书，格式自拟）</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（二）报价要求：</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本项目所有设备材料均由中标人自行采购，但</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en-US" w:eastAsia="zh-CN"/>
        </w:rPr>
        <w:t xml:space="preserve">文件中列出材料设备的，要在所列范围内进行采购。投标人应在《开标一览表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投标分项报价》等标明拟提供服务和货物的规格、品牌、详细配置、单价和总价。</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（三）售后服务要求</w:t>
      </w:r>
      <w:r/>
    </w:p>
    <w:p>
      <w:pPr>
        <w:pStyle w:val="1030"/>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1.质保期：家具验收合格交付使用之日起，全套家具及所有配套配件免费质保不少于</w:t>
      </w:r>
      <w:r>
        <w:rPr>
          <w:rFonts w:hint="eastAsia" w:ascii="宋体" w:hAnsi="宋体" w:cs="宋体"/>
          <w:b/>
          <w:bCs/>
          <w:i/>
          <w:iCs/>
          <w:color w:val="auto"/>
          <w:sz w:val="21"/>
          <w:szCs w:val="21"/>
          <w:highlight w:val="none"/>
          <w:u w:val="single"/>
          <w:lang w:val="en-US" w:eastAsia="zh-CN"/>
        </w:rPr>
        <w:t xml:space="preserve">三</w:t>
      </w:r>
      <w:r>
        <w:rPr>
          <w:rFonts w:hint="eastAsia" w:ascii="宋体" w:hAnsi="宋体" w:eastAsia="宋体" w:cs="宋体"/>
          <w:b/>
          <w:bCs/>
          <w:i/>
          <w:iCs/>
          <w:color w:val="auto"/>
          <w:sz w:val="21"/>
          <w:szCs w:val="21"/>
          <w:highlight w:val="none"/>
          <w:u w:val="single"/>
          <w:lang w:val="en-US" w:eastAsia="zh-CN"/>
        </w:rPr>
        <w:t xml:space="preserve">年；质保期内非人为损坏，中标人免费上门维修、更换配件（含人工、辅材费用）；质保期内中标人每年提供不少于两次免费上门巡检回访服务。（投标人须提供书面盖章承诺书，格式自拟）</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2.投标人应结合</w:t>
      </w: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lang w:val="en-US" w:eastAsia="zh-CN"/>
        </w:rPr>
        <w:t xml:space="preserve">及</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，充分考虑效果图与实物图有差异引起的价格风险。 </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4.质保期内发生的零部件不正常的磨损，或产成品质量不符合生产工艺要求，或非人为原因而损坏、失效的零部件，</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须免费提供服务；并更换上述零部件、备品备件和易损件。</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w:t>
      </w:r>
      <w:r>
        <w:rPr>
          <w:rFonts w:hint="eastAsia" w:ascii="宋体" w:hAnsi="宋体" w:cs="宋体"/>
          <w:color w:val="auto"/>
          <w:sz w:val="21"/>
          <w:szCs w:val="21"/>
          <w:highlight w:val="none"/>
          <w:lang w:val="en-US" w:eastAsia="zh-CN"/>
        </w:rPr>
        <w:t xml:space="preserve">时内</w:t>
      </w:r>
      <w:r>
        <w:rPr>
          <w:rFonts w:hint="eastAsia" w:ascii="宋体" w:hAnsi="宋体" w:eastAsia="宋体" w:cs="宋体"/>
          <w:color w:val="auto"/>
          <w:sz w:val="21"/>
          <w:szCs w:val="21"/>
          <w:highlight w:val="none"/>
          <w:lang w:val="en-US" w:eastAsia="zh-CN"/>
        </w:rPr>
        <w:t xml:space="preserve">中标人未到现场解决，视作中标人违约1次，采购人将每次从合同尾款中扣除合同总价款的1%作为违约处罚，同时并不免除中标人的维保责任。</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6.如由于非</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val="0"/>
          <w:bCs w:val="0"/>
          <w:i w:val="0"/>
          <w:iCs w:val="0"/>
          <w:color w:val="auto"/>
          <w:sz w:val="21"/>
          <w:szCs w:val="21"/>
          <w:highlight w:val="none"/>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auto"/>
          <w:sz w:val="21"/>
          <w:szCs w:val="21"/>
          <w:highlight w:val="none"/>
          <w:lang w:val="en-US" w:eastAsia="zh-CN"/>
        </w:rPr>
        <w:t xml:space="preserve">。</w:t>
      </w:r>
      <w:r/>
    </w:p>
    <w:p>
      <w:pPr>
        <w:pStyle w:val="1030"/>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七、其他要求</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（一）中标人在签订合同前提供本次采购货物的色卡供采购人选择，经采购人确认后方可正式投入生产，否则，由此造成的后果均由中标人承担。颜色调整不再另行支付费用。本项目涉及全新宿舍</w:t>
      </w:r>
      <w:r>
        <w:rPr>
          <w:rFonts w:hint="eastAsia" w:ascii="宋体" w:hAnsi="宋体" w:cs="宋体"/>
          <w:color w:val="auto"/>
          <w:sz w:val="21"/>
          <w:szCs w:val="21"/>
          <w:highlight w:val="none"/>
          <w:lang w:val="en-US" w:eastAsia="zh-CN"/>
        </w:rPr>
        <w:t xml:space="preserve">床铺购置项目</w:t>
      </w:r>
      <w:r>
        <w:rPr>
          <w:rFonts w:hint="eastAsia" w:ascii="宋体" w:hAnsi="宋体" w:eastAsia="宋体" w:cs="宋体"/>
          <w:color w:val="auto"/>
          <w:sz w:val="21"/>
          <w:szCs w:val="21"/>
          <w:highlight w:val="none"/>
          <w:lang w:val="en-US" w:eastAsia="zh-CN"/>
        </w:rPr>
        <w:t xml:space="preserve">，请参加投标的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自行安排时间现场勘察，采购人不集中组织现场勘察。</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）产品验收要求 </w:t>
      </w:r>
      <w:r/>
    </w:p>
    <w:p>
      <w:pPr>
        <w:pStyle w:val="1030"/>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验收方法：中标人交货安装完成后，向采购人提交验收申请和各项验收资料，由采购人在3个工作日内组织验收。采购人有权随机抽取部分产品送第三方检测机构进行破坏性检测，若不合格，中标人须接受无条件退货、换货；采购人有权拒付货款并要求中标人赔偿采购人不能如期交付的经济损失。（投标人须提供书面盖章承诺书，格式自拟）。</w:t>
      </w:r>
      <w:r/>
    </w:p>
    <w:p>
      <w:pPr>
        <w:pStyle w:val="1030"/>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采购人有权随机抽取组装完成后的成套家具，按照GB 18580-2017或GB/T 39600-2021标准进行整体甲醛释放量检测，检测结果须≤0.050mg/m³（E0级），对检测不合格品的家具采购人有权拒付货款并要求中标人赔偿不能如期交付的经济损失。检测费用及更换费用由中标人承担。（投标人须提供书面盖章承诺书，格式自拟）</w:t>
      </w:r>
      <w:r>
        <w:rPr>
          <w:rFonts w:hint="eastAsia" w:ascii="宋体" w:hAnsi="宋体" w:eastAsia="宋体" w:cs="宋体"/>
          <w:color w:val="auto"/>
          <w:sz w:val="21"/>
          <w:szCs w:val="21"/>
          <w:highlight w:val="none"/>
          <w:lang w:val="en-US" w:eastAsia="zh-CN"/>
        </w:rPr>
        <w:t xml:space="preserve">。</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2.具体验收内容与标准： </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2.1供货产品需与项目需求中“技术要求”内容相符；如有不符的，由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整改或换货，造成所有的损失（包括：因此给采购人造成的损失），由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承担。</w:t>
      </w:r>
      <w:r/>
    </w:p>
    <w:p>
      <w:pPr>
        <w:pStyle w:val="1030"/>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2.2采购人有权请检测机构相关专家和采购人单位代表在生产前随时到生产现场，查看所有制作材料的型号和进货清单等书面材料及原始凭证，中标人应承担</w:t>
      </w:r>
      <w:r>
        <w:rPr>
          <w:rFonts w:hint="eastAsia" w:ascii="宋体" w:hAnsi="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lang w:val="en-US" w:eastAsia="zh-CN"/>
        </w:rPr>
        <w:t xml:space="preserve">材料检测而产生的各类费用。（投标人须提供书面盖章承诺书，格式自拟）</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2.3中标人将产品在规定的时间内配送到采购人指定的交货地点后，采购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和中标单位共同按照相关质量要求对产品进行检验。</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2.4收货做好记录，内容包括：名称、数量、生产企业、发货单位、运输单位、发运地点、启运时间、运输工具、到货时间、收货人员等。</w:t>
      </w:r>
      <w:r/>
    </w:p>
    <w:p>
      <w:pPr>
        <w:pStyle w:val="1030"/>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2.5对销后退回的产品，同一批号不得再入采购单位。</w:t>
      </w:r>
      <w:r/>
    </w:p>
    <w:p>
      <w:pPr>
        <w:pStyle w:val="1030"/>
        <w:ind w:firstLine="420"/>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auto"/>
          <w:sz w:val="21"/>
          <w:szCs w:val="21"/>
          <w:highlight w:val="none"/>
          <w:u w:val="single"/>
          <w:lang w:val="en-US" w:eastAsia="zh-CN"/>
        </w:rPr>
        <w:t xml:space="preserve">与投标文件相一致，否则不予验收。</w:t>
      </w:r>
      <w:r/>
    </w:p>
    <w:p>
      <w:pPr>
        <w:pStyle w:val="1030"/>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八、其他要求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风险管理与应对：中标人有针对采购人的应急预案和风险管理等措施，有效应对可能出现的风险，确保供货的稳定性和可靠性。</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w:t>
      </w:r>
      <w:r>
        <w:rPr>
          <w:rFonts w:hint="eastAsia" w:ascii="宋体" w:hAnsi="宋体"/>
          <w:color w:val="auto"/>
          <w:szCs w:val="21"/>
          <w:highlight w:val="none"/>
          <w:lang w:eastAsia="zh-CN"/>
        </w:rPr>
        <w:t xml:space="preserve">“三无”产品</w:t>
      </w:r>
      <w:r>
        <w:rPr>
          <w:rFonts w:hint="eastAsia" w:ascii="宋体" w:hAnsi="宋体"/>
          <w:color w:val="auto"/>
          <w:szCs w:val="21"/>
          <w:highlight w:val="none"/>
        </w:rPr>
        <w:t xml:space="preserve">，一经查实，立即终止合同，所有款项一律不付，并将来货封存，交由质量监督部门处理，并按其处罚意见，处以罚款。</w:t>
      </w:r>
      <w:r/>
    </w:p>
    <w:p>
      <w:pPr>
        <w:pStyle w:val="1067"/>
        <w:ind w:firstLine="420"/>
        <w:keepLines w:val="0"/>
        <w:keepNext w:val="0"/>
        <w:pageBreakBefore w:val="0"/>
        <w:spacing w:before="0" w:beforeAutospacing="0" w:after="0" w:afterAutospacing="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1030"/>
        <w:ind w:firstLine="420"/>
        <w:keepLines w:val="0"/>
        <w:keepNext w:val="0"/>
        <w:pageBreakBefore w:val="0"/>
        <w:spacing w:before="0" w:after="0"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报价要求：报价包含货物、安装、运输、调试验收、系统对接和售后服务、利润、保险、税金</w:t>
      </w:r>
      <w:r>
        <w:rPr>
          <w:rFonts w:hint="eastAsia" w:ascii="宋体" w:hAnsi="宋体"/>
          <w:color w:val="auto"/>
          <w:sz w:val="21"/>
          <w:szCs w:val="21"/>
          <w:highlight w:val="none"/>
          <w:lang w:eastAsia="zh-CN"/>
        </w:rPr>
        <w:t xml:space="preserve">，以及</w:t>
      </w:r>
      <w:r>
        <w:rPr>
          <w:rFonts w:hint="eastAsia" w:ascii="宋体" w:hAnsi="宋体"/>
          <w:color w:val="auto"/>
          <w:sz w:val="21"/>
          <w:szCs w:val="21"/>
          <w:highlight w:val="none"/>
        </w:rPr>
        <w:t xml:space="preserve">所包含的风险、责任等所有费用，请各投标人认真考虑其各种风险。除合同另有规定之外，伴随服务的费用均已含在合同价款中，采购人不再另行支付</w:t>
      </w:r>
      <w:r>
        <w:rPr>
          <w:rFonts w:hint="eastAsia" w:ascii="宋体" w:hAnsi="宋体"/>
          <w:color w:val="auto"/>
          <w:sz w:val="21"/>
          <w:szCs w:val="21"/>
          <w:highlight w:val="none"/>
          <w:lang w:eastAsia="zh-CN"/>
        </w:rPr>
        <w:t xml:space="preserve">。</w:t>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1030"/>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762"/>
        <w:rPr>
          <w:color w:val="auto"/>
          <w:highlight w:val="none"/>
        </w:rPr>
      </w:pPr>
      <w:r>
        <w:rPr>
          <w:rFonts w:hint="eastAsia"/>
          <w:color w:val="auto"/>
          <w:highlight w:val="none"/>
        </w:rPr>
        <w:t xml:space="preserve">第五章 评标方法及评标标准</w:t>
      </w:r>
      <w:r/>
    </w:p>
    <w:p>
      <w:pPr>
        <w:pStyle w:val="1030"/>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本项目专门面向中小微企业</w:t>
      </w:r>
      <w:r/>
    </w:p>
    <w:tbl>
      <w:tblPr>
        <w:tblStyle w:val="772"/>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0"/>
        <w:gridCol w:w="4578"/>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是</w:t>
            </w:r>
            <w:r/>
          </w:p>
        </w:tc>
      </w:tr>
    </w:tbl>
    <w:p>
      <w:pPr>
        <w:pStyle w:val="1030"/>
        <w:numPr>
          <w:ilvl w:val="0"/>
          <w:numId w:val="4"/>
        </w:numPr>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本项目为专门面向中小企业采购项目，仅限中小企业、残疾人福利性单位、监狱企业参与投标；大中型企业提交的投标文件，资格审查不予通过。</w:t>
      </w:r>
      <w:r/>
    </w:p>
    <w:p>
      <w:pPr>
        <w:pStyle w:val="1030"/>
        <w:numPr>
          <w:ilvl w:val="0"/>
          <w:numId w:val="4"/>
        </w:numPr>
        <w:ind w:left="0"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残疾人福利性单位、监狱企业视同小型、微型企业，具备本项目投标资格。投标人须按招标文件要求，分别提供《残疾人福利性单位声明函》、省级以上监狱 / 戒毒管理部门出具的监狱企业证明材料，未按要求提供的不予认可其投标资格。</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.采购本国产品的支持政策</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0"/>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以上政策要求均遵照《政府采购促进中小企业发展管理办法》（财库〔2020〕46号）、《国务院办公厅关于在政府采购中实施本国产品标准及相关政策的通知》（国办发〔2025〕34号）等文件执行。</w:t>
      </w:r>
      <w:r/>
    </w:p>
    <w:p>
      <w:pPr>
        <w:pStyle w:val="1030"/>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w:t>
      </w:r>
      <w:r>
        <w:rPr>
          <w:rFonts w:hint="eastAsia" w:ascii="宋体" w:hAnsi="宋体" w:cs="宋体"/>
          <w:b/>
          <w:color w:val="auto"/>
          <w:sz w:val="21"/>
          <w:szCs w:val="21"/>
          <w:highlight w:val="none"/>
          <w:lang w:val="en-US" w:eastAsia="zh-CN"/>
        </w:rPr>
        <w:t xml:space="preserve">审</w:t>
      </w:r>
      <w:r>
        <w:rPr>
          <w:rFonts w:hint="eastAsia" w:ascii="宋体" w:hAnsi="宋体" w:cs="宋体"/>
          <w:b/>
          <w:color w:val="auto"/>
          <w:sz w:val="21"/>
          <w:szCs w:val="21"/>
          <w:highlight w:val="none"/>
        </w:rPr>
        <w:t xml:space="preserve">标准</w:t>
      </w:r>
      <w:r/>
    </w:p>
    <w:tbl>
      <w:tblPr>
        <w:tblStyle w:val="772"/>
        <w:tblpPr w:horzAnchor="page" w:tblpXSpec="center" w:vertAnchor="text" w:tblpY="453" w:leftFromText="180" w:topFromText="0" w:rightFromText="180" w:bottomFromText="0"/>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8688"/>
      </w:tblGrid>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868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评标要点及说明</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满足招标文件要求且投标价格最低的投标报价为评标基准价，其价格分为满分。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u w:val="none"/>
                <w:lang w:val="en-US" w:eastAsia="zh-CN"/>
              </w:rPr>
              <w:t xml:space="preserve">30</w:t>
            </w:r>
            <w:r>
              <w:rPr>
                <w:rFonts w:hint="eastAsia" w:ascii="宋体" w:hAnsi="宋体" w:cs="宋体"/>
                <w:color w:val="auto"/>
                <w:sz w:val="21"/>
                <w:szCs w:val="21"/>
                <w:highlight w:val="none"/>
              </w:rPr>
              <w:t xml:space="preserve">（保留2位小数）</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技术参数响应情况</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88" w:type="dxa"/>
            <w:vAlign w:val="center"/>
            <w:textDirection w:val="lrTb"/>
            <w:noWrap w:val="false"/>
          </w:tcPr>
          <w:p>
            <w:pPr>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全部响应即满足招标文件的技术和服务等要求的得20分；标注“★”的为重要技术指标，如有负偏离，每项扣2分；其余为一般指标，如有负偏离，每项扣1分，扣完为止。</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lang w:val="en-US" w:eastAsia="zh-CN"/>
              </w:rPr>
              <w:t xml:space="preserve">注：带</w:t>
            </w:r>
            <w:r>
              <w:rPr>
                <w:rFonts w:hint="eastAsia" w:ascii="宋体" w:hAnsi="宋体" w:cs="宋体"/>
                <w:b w:val="0"/>
                <w:bCs w:val="0"/>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须提供具有CMA或CNAS资质的检测机构出具的有效检测报告扫描件并加盖公章上传，否则对应参数视为未响应。</w:t>
            </w:r>
            <w:r/>
          </w:p>
        </w:tc>
      </w:tr>
      <w:tr>
        <w:trPr>
          <w:jc w:val="center"/>
          <w:trHeight w:val="567"/>
        </w:trPr>
        <w:tc>
          <w:tcPr>
            <w:tcW w:w="118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项目实施方案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 设计方案（</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根据投标人针对本项目学生宿舍家具设计方案(包括但不限于</w:t>
            </w:r>
            <w:r>
              <w:rPr>
                <w:rFonts w:hint="eastAsia" w:ascii="宋体" w:hAnsi="宋体" w:cs="宋体"/>
                <w:color w:val="auto"/>
                <w:sz w:val="21"/>
                <w:szCs w:val="21"/>
                <w:highlight w:val="none"/>
                <w:lang w:val="en-US" w:eastAsia="zh-CN"/>
              </w:rPr>
              <w:t xml:space="preserve">床铺</w:t>
            </w:r>
            <w:r>
              <w:rPr>
                <w:rFonts w:hint="default" w:ascii="宋体" w:hAnsi="宋体" w:eastAsia="宋体" w:cs="宋体"/>
                <w:color w:val="auto"/>
                <w:sz w:val="21"/>
                <w:szCs w:val="21"/>
                <w:highlight w:val="none"/>
                <w:lang w:val="en-US" w:eastAsia="zh-CN"/>
              </w:rPr>
              <w:t xml:space="preserve">深化设计图、</w:t>
            </w:r>
            <w:r>
              <w:rPr>
                <w:rFonts w:hint="eastAsia" w:ascii="宋体" w:hAnsi="宋体" w:cs="宋体"/>
                <w:color w:val="auto"/>
                <w:sz w:val="21"/>
                <w:szCs w:val="21"/>
                <w:highlight w:val="none"/>
                <w:lang w:val="en-US" w:eastAsia="zh-CN"/>
              </w:rPr>
              <w:t xml:space="preserve">配件详图</w:t>
            </w:r>
            <w:r>
              <w:rPr>
                <w:rFonts w:hint="default" w:ascii="宋体" w:hAnsi="宋体" w:eastAsia="宋体" w:cs="宋体"/>
                <w:color w:val="auto"/>
                <w:sz w:val="21"/>
                <w:szCs w:val="21"/>
                <w:highlight w:val="none"/>
                <w:lang w:val="en-US" w:eastAsia="zh-CN"/>
              </w:rPr>
              <w:t xml:space="preserve">)进行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：图纸齐全、</w:t>
            </w:r>
            <w:r>
              <w:rPr>
                <w:rFonts w:hint="eastAsia" w:ascii="宋体" w:hAnsi="宋体" w:cs="宋体"/>
                <w:color w:val="auto"/>
                <w:sz w:val="21"/>
                <w:szCs w:val="21"/>
                <w:highlight w:val="none"/>
                <w:lang w:val="en-US" w:eastAsia="zh-CN"/>
              </w:rPr>
              <w:t xml:space="preserve">材质、</w:t>
            </w:r>
            <w:r>
              <w:rPr>
                <w:rFonts w:hint="default" w:ascii="宋体" w:hAnsi="宋体" w:eastAsia="宋体" w:cs="宋体"/>
                <w:color w:val="auto"/>
                <w:sz w:val="21"/>
                <w:szCs w:val="21"/>
                <w:highlight w:val="none"/>
                <w:lang w:val="en-US" w:eastAsia="zh-CN"/>
              </w:rPr>
              <w:t xml:space="preserve">工艺说明完整，得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分；图纸缺一项或方案内容简略，得1分；仅简易文字描述、无图纸或未提供方案不得分。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 项目整体实施方案（</w:t>
            </w:r>
            <w:r>
              <w:rPr>
                <w:rFonts w:hint="eastAsia" w:ascii="宋体" w:hAnsi="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（包括生产人员配置、原辅材料采购、加工制作、外购产品等各个环节的具体落实情况）：方案思路清晰、合理，实施生产协调措施得当得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分；方案思路较为清晰、合理，实施生产协调措施一般的得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方案思路有缺陷、不能合理指导生产的得1分；</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对本项目安装实施方案进行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包括</w:t>
            </w:r>
            <w:r>
              <w:rPr>
                <w:rFonts w:hint="default" w:ascii="宋体" w:hAnsi="宋体" w:eastAsia="宋体" w:cs="宋体"/>
                <w:color w:val="auto"/>
                <w:sz w:val="21"/>
                <w:szCs w:val="21"/>
                <w:highlight w:val="none"/>
                <w:lang w:val="en-US" w:eastAsia="zh-CN"/>
              </w:rPr>
              <w:t xml:space="preserve">安装时间、安装工序、调试工序、安装人员的落实）：方案详细明确、工序条理清晰、各环节的工作进度安排合理、人员落实配备到位的得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分；方案基本明确、工序较为清晰、各环节的工作进度安排较为合理、人员落实配备满足采购需求，不会实质影响项目建设实施的得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明确、工序</w:t>
            </w:r>
            <w:r>
              <w:rPr>
                <w:rFonts w:hint="eastAsia" w:ascii="宋体" w:hAnsi="宋体" w:cs="宋体"/>
                <w:color w:val="auto"/>
                <w:sz w:val="21"/>
                <w:szCs w:val="21"/>
                <w:highlight w:val="none"/>
                <w:lang w:val="en-US" w:eastAsia="zh-CN"/>
              </w:rPr>
              <w:t xml:space="preserve">紊乱</w:t>
            </w:r>
            <w:r>
              <w:rPr>
                <w:rFonts w:hint="default" w:ascii="宋体" w:hAnsi="宋体" w:eastAsia="宋体" w:cs="宋体"/>
                <w:color w:val="auto"/>
                <w:sz w:val="21"/>
                <w:szCs w:val="21"/>
                <w:highlight w:val="none"/>
                <w:lang w:val="en-US" w:eastAsia="zh-CN"/>
              </w:rPr>
              <w:t xml:space="preserve">、各环节的工作进度安排</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合理、人员落实配备</w:t>
            </w:r>
            <w:r>
              <w:rPr>
                <w:rFonts w:hint="eastAsia" w:ascii="宋体" w:hAnsi="宋体" w:cs="宋体"/>
                <w:color w:val="auto"/>
                <w:sz w:val="21"/>
                <w:szCs w:val="21"/>
                <w:highlight w:val="none"/>
                <w:lang w:val="en-US" w:eastAsia="zh-CN"/>
              </w:rPr>
              <w:t xml:space="preserve">不能</w:t>
            </w:r>
            <w:r>
              <w:rPr>
                <w:rFonts w:hint="default" w:ascii="宋体" w:hAnsi="宋体" w:eastAsia="宋体" w:cs="宋体"/>
                <w:color w:val="auto"/>
                <w:sz w:val="21"/>
                <w:szCs w:val="21"/>
                <w:highlight w:val="none"/>
                <w:lang w:val="en-US" w:eastAsia="zh-CN"/>
              </w:rPr>
              <w:t xml:space="preserve">满足采购需求，会实质影响项目建设实施的得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 生产能力（</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结合本项目产品需求的生产实施工艺技术要求，评标委员会根据投标人提供的产品制造工艺，包含产品钢制喷涂工艺、打磨工艺、组装工艺进行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：产品钢制喷涂工艺、打磨工艺、组装工艺处理技术先进的得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分；产品钢制喷涂工艺、打磨工艺、组装工艺处理技术良好的得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分；产品钢制喷涂工艺、打磨工艺、组装工艺处理技术落后的得1分。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 品质管理管控方案（</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对本项目品质管控实施方案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（包括对产品品质有严格的管控制度、有专职的品控管理人员、品控管理过程建立品控管理档案，生产过程中产品质量符合采购要求）：质量品控措施、自查、验收方案完整、合理的得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分；质量品控措施、自查、验收方案较完整、合理，但有欠缺的得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分；质量品控措施、自查、验收方案内容不完整的得1分；无方案不得分。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 售后服务方案（7分）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对本项目售后服务方案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情况（包括服务的响应时间、响应程度、解决问题的能力、本地化服务能力、紧急故障处理预案、备品备件、技术指导、质保内容、质保期后的维保）；方案完善合理、保修范围完全覆盖本项目内容、具有</w:t>
            </w:r>
            <w:r>
              <w:rPr>
                <w:rFonts w:hint="eastAsia" w:ascii="宋体" w:hAnsi="宋体" w:cs="宋体"/>
                <w:color w:val="auto"/>
                <w:sz w:val="21"/>
                <w:szCs w:val="21"/>
                <w:highlight w:val="none"/>
                <w:lang w:val="en-US" w:eastAsia="zh-CN"/>
              </w:rPr>
              <w:t xml:space="preserve">涉及</w:t>
            </w:r>
            <w:r>
              <w:rPr>
                <w:rFonts w:hint="default" w:ascii="宋体" w:hAnsi="宋体" w:eastAsia="宋体" w:cs="宋体"/>
                <w:color w:val="auto"/>
                <w:sz w:val="21"/>
                <w:szCs w:val="21"/>
                <w:highlight w:val="none"/>
                <w:lang w:val="en-US" w:eastAsia="zh-CN"/>
              </w:rPr>
              <w:t xml:space="preserve">本项目所采购产品的备品备件库与零配件的供应保障措施，技术人员配置齐全、专业性强且服务响应时间迅速且满足项目要求的得3分；方案内容比较完善但有部分细节欠缺、保修范围不够全面、备品备件库存不够齐备、技术人员配置略有欠缺的得2分；方案简略、保修范围及内容不够全面、技术人员配置不足、售后措施保障缺陷较多的得1分；无方案不得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在满足招标文件要求</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年的基础上，所有产品的免费质保期增加1年得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分，增加不足1年部分或只对部分产品的质保延长的不予计分。</w:t>
            </w:r>
            <w:r/>
          </w:p>
          <w:p>
            <w:pPr>
              <w:jc w:val="left"/>
              <w:spacing w:line="360" w:lineRule="auto"/>
              <w:rPr>
                <w:rFonts w:hint="default" w:ascii="宋体" w:hAnsi="宋体" w:eastAsia="宋体" w:cs="宋体"/>
                <w:color w:val="auto"/>
                <w:sz w:val="21"/>
                <w:szCs w:val="21"/>
                <w:highlight w:val="none"/>
                <w:lang w:val="en-US"/>
              </w:rPr>
            </w:pPr>
            <w:r>
              <w:rPr>
                <w:rFonts w:hint="eastAsia" w:ascii="宋体" w:hAnsi="宋体" w:cs="宋体"/>
                <w:b/>
                <w:bCs/>
                <w:color w:val="auto"/>
                <w:sz w:val="21"/>
                <w:szCs w:val="21"/>
                <w:highlight w:val="none"/>
                <w:lang w:val="en-US" w:eastAsia="zh-CN"/>
              </w:rPr>
              <w:t xml:space="preserve">注：（投标人须提供书面盖章承诺书，格式自拟）</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外观款式</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样品整体造型、色调、尺寸、款式符合招标文件要求，整体协调统一得4分；基本符合但细节一般得2分；偏差较大不得分。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制作工艺</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样品拼接牢固、结构严密、板面平整、使用舒适，得1分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否则不得分；板材纹理、配色、图案均匀协调，得1分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色差、纹理杂乱不得分；板面无透胶、鼓泡、凹陷、压痕、划伤、麻点、裂痕、崩角、锐边刃口等缺陷，得2分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存在任一瑕疵不得分。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油漆或喷涂涂饰</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产品无刺激性异味，环保无味，得2分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有异味不得分；正视面板材涂层平整光滑、色泽均匀，得1分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粗糙、不均不得分；其余部位涂层手感细腻、无颗粒、无涨边、平整干净，得1分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有明显缺陷不得分。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尺寸（3分）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根据提供样品与招标文件项目需求的要求综合评定。样品主材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尺寸全部符合要求的得3分，有1</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不符合要求得1分；有2</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不符合要求不得分。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投标人提供有效的质量管理认证体系证书得0.5分；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投标人提供有效的环境管理认证体系证书得0.5分；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投标人提供有效的职业健康安全管理认证体系证书得0.5分；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投标人提供有效的中国环境标志产品认证证书的得0.5分。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【证明材料：投标文件中提供以上认证证书的复印件（扫描件）并加盖公章，否则不予认可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注：本条项下全部证书、平台查询截图均须加盖投标人公章，未按要求加盖公章的对应证书不予得分。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投标人提供自2023年1月1日以来（以合同签订时间为准）</w:t>
            </w:r>
            <w:r>
              <w:rPr>
                <w:rFonts w:hint="eastAsia" w:ascii="宋体" w:hAnsi="宋体" w:cs="宋体"/>
                <w:color w:val="auto"/>
                <w:sz w:val="21"/>
                <w:szCs w:val="21"/>
                <w:highlight w:val="none"/>
                <w:lang w:val="en-US" w:eastAsia="zh-CN"/>
              </w:rPr>
              <w:t xml:space="preserve">类似成套家具</w:t>
            </w:r>
            <w:r>
              <w:rPr>
                <w:rFonts w:hint="eastAsia" w:ascii="宋体" w:hAnsi="宋体" w:eastAsia="宋体" w:cs="宋体"/>
                <w:color w:val="auto"/>
                <w:sz w:val="21"/>
                <w:szCs w:val="21"/>
                <w:highlight w:val="none"/>
                <w:lang w:val="en-US" w:eastAsia="zh-CN"/>
              </w:rPr>
              <w:t xml:space="preserve">业绩，每提供1个业绩合同得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注：投标文件中须附合同、中标通知书复印件并加盖投标人公章，合同需体现签约日期及对应产品清单；上传扫描件，资料要素缺失、图文模糊无法辨识或未按要求提交的，本项不予计分。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节能和环境标志产品</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ind w:left="0" w:right="0"/>
              <w:jc w:val="left"/>
              <w:keepLines w:val="0"/>
              <w:keepNext w:val="0"/>
              <w:spacing w:before="0" w:beforeAutospacing="0" w:after="0" w:afterAutospacing="0" w:line="360" w:lineRule="auto"/>
              <w:widowControl/>
              <w:rPr>
                <w:rStyle w:val="801"/>
                <w:rFonts w:hint="default" w:ascii="宋体" w:hAnsi="宋体" w:eastAsia="宋体" w:cs="宋体"/>
                <w:b w:val="0"/>
                <w:bCs w:val="0"/>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801"/>
                <w:rFonts w:hint="default" w:ascii="宋体" w:hAnsi="宋体" w:eastAsia="宋体" w:cs="宋体"/>
                <w:b w:val="0"/>
                <w:bCs w:val="0"/>
                <w:color w:val="auto"/>
                <w:sz w:val="21"/>
                <w:szCs w:val="21"/>
                <w:highlight w:val="none"/>
                <w:lang w:val="en-US" w:eastAsia="zh-CN" w:bidi="ar"/>
              </w:rPr>
              <w:t xml:space="preserve">投标家具成品（含桌、椅、柜、床等）属于《环境标志产品政府采购品目清单》（财库〔2019〕18号）范围，且具有国家确定的认证机构出具、处于有效期之内的环境标志产品认证证书的，得</w:t>
            </w:r>
            <w:r>
              <w:rPr>
                <w:rStyle w:val="801"/>
                <w:rFonts w:hint="eastAsia" w:ascii="宋体" w:hAnsi="宋体" w:cs="宋体"/>
                <w:b w:val="0"/>
                <w:bCs w:val="0"/>
                <w:color w:val="auto"/>
                <w:sz w:val="21"/>
                <w:szCs w:val="21"/>
                <w:highlight w:val="none"/>
                <w:lang w:val="en-US" w:eastAsia="zh-CN" w:bidi="ar"/>
              </w:rPr>
              <w:t xml:space="preserve">2</w:t>
            </w:r>
            <w:r>
              <w:rPr>
                <w:rStyle w:val="801"/>
                <w:rFonts w:hint="default" w:ascii="宋体" w:hAnsi="宋体" w:eastAsia="宋体" w:cs="宋体"/>
                <w:b w:val="0"/>
                <w:bCs w:val="0"/>
                <w:color w:val="auto"/>
                <w:sz w:val="21"/>
                <w:szCs w:val="21"/>
                <w:highlight w:val="none"/>
                <w:lang w:val="en-US" w:eastAsia="zh-CN" w:bidi="ar"/>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801"/>
                <w:rFonts w:hint="default" w:ascii="宋体" w:hAnsi="宋体" w:eastAsia="宋体" w:cs="宋体"/>
                <w:b/>
                <w:bCs/>
                <w:color w:val="auto"/>
                <w:sz w:val="21"/>
                <w:szCs w:val="21"/>
                <w:highlight w:val="none"/>
                <w:lang w:val="en-US" w:eastAsia="zh-CN" w:bidi="ar"/>
              </w:rPr>
              <w:t xml:space="preserve">注：上述得分项须在投标文件商务技术部分提供对应材料，缺项或资料不合规的，对应分值不予计取：（1）须提供</w:t>
            </w:r>
            <w:r>
              <w:rPr>
                <w:rStyle w:val="801"/>
                <w:rFonts w:hint="default" w:ascii="宋体" w:hAnsi="宋体" w:eastAsia="宋体" w:cs="宋体"/>
                <w:b/>
                <w:bCs/>
                <w:color w:val="auto"/>
                <w:sz w:val="21"/>
                <w:szCs w:val="21"/>
                <w:highlight w:val="none"/>
                <w:lang w:val="en-US" w:eastAsia="zh-CN" w:bidi="ar"/>
              </w:rPr>
              <w:t xml:space="preserve">《市场监管总局关于发布参与实施政府采购节能产品、环境标志产品认证机构名录的公告》名录内机构出具、处于有效期之内的环境标志产品认证证书清晰复印件，证书认证范围须对应覆盖本项目投标产品 / 所用板材，复印件加盖投标人公章（或投标人与制造商双方公章）；（2）证书过期、发证机构不在官方名录、认证范围与投标产品不符、盖章不符合要求、图片模糊无法辨识的，对应得分项均不得分；（3）本项依据《财政部 发展改革委 生态环境部 市场监管总局关于调整优化节能产品、环境标志产品政府采购执行机制的通知》（财库〔2019〕9号）执行。</w:t>
            </w:r>
            <w:r/>
          </w:p>
        </w:tc>
      </w:tr>
    </w:tbl>
    <w:p>
      <w:pPr>
        <w:pStyle w:val="1030"/>
        <w:ind w:firstLine="420"/>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四</w:t>
      </w:r>
      <w:r>
        <w:rPr>
          <w:rFonts w:ascii="宋体" w:hAnsi="宋体" w:cs="宋体"/>
          <w:b/>
          <w:bCs/>
          <w:color w:val="auto"/>
          <w:sz w:val="21"/>
          <w:szCs w:val="21"/>
          <w:highlight w:val="none"/>
        </w:rPr>
        <w:t xml:space="preserve">、样品要求</w:t>
      </w:r>
      <w:r/>
    </w:p>
    <w:p>
      <w:pPr>
        <w:pStyle w:val="1030"/>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1.样品送达时间及安装规定：样品提供</w:t>
      </w:r>
      <w:r>
        <w:rPr>
          <w:rFonts w:hint="eastAsia" w:ascii="宋体" w:hAnsi="宋体" w:cs="宋体"/>
          <w:color w:val="auto"/>
          <w:sz w:val="21"/>
          <w:szCs w:val="21"/>
          <w:highlight w:val="none"/>
          <w:lang w:val="en-US" w:eastAsia="zh-CN"/>
        </w:rPr>
        <w:t xml:space="preserve">单</w:t>
      </w:r>
      <w:r>
        <w:rPr>
          <w:rFonts w:hint="eastAsia" w:ascii="宋体" w:hAnsi="宋体" w:cs="宋体"/>
          <w:color w:val="auto"/>
          <w:sz w:val="21"/>
          <w:szCs w:val="21"/>
          <w:highlight w:val="none"/>
        </w:rPr>
        <w:t xml:space="preserve">人位公寓床1</w:t>
      </w:r>
      <w:r>
        <w:rPr>
          <w:rFonts w:hint="eastAsia" w:ascii="宋体" w:hAnsi="宋体" w:cs="宋体"/>
          <w:color w:val="auto"/>
          <w:sz w:val="21"/>
          <w:szCs w:val="21"/>
          <w:highlight w:val="none"/>
          <w:lang w:val="en-US" w:eastAsia="zh-CN"/>
        </w:rPr>
        <w:t xml:space="preserve">套</w:t>
      </w:r>
      <w:r>
        <w:rPr>
          <w:rFonts w:hint="eastAsia" w:ascii="宋体" w:hAnsi="宋体" w:cs="宋体"/>
          <w:color w:val="auto"/>
          <w:sz w:val="21"/>
          <w:szCs w:val="21"/>
          <w:highlight w:val="none"/>
        </w:rPr>
        <w:t xml:space="preserve">，公寓椅1把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样品须在</w:t>
      </w:r>
      <w:r>
        <w:rPr>
          <w:rFonts w:hint="eastAsia" w:ascii="宋体" w:hAnsi="宋体" w:cs="宋体"/>
          <w:color w:val="auto"/>
          <w:sz w:val="21"/>
          <w:szCs w:val="21"/>
          <w:highlight w:val="none"/>
          <w:lang w:val="en-US" w:eastAsia="zh-CN"/>
        </w:rPr>
        <w:t xml:space="preserve">2026年8月9日下午3：00</w:t>
      </w:r>
      <w:r>
        <w:rPr>
          <w:rFonts w:hint="eastAsia" w:ascii="宋体" w:hAnsi="宋体" w:cs="宋体"/>
          <w:color w:val="auto"/>
          <w:sz w:val="21"/>
          <w:szCs w:val="21"/>
          <w:highlight w:val="none"/>
        </w:rPr>
        <w:t xml:space="preserve">前（逾期不予接收）送至扬州市江阳中路131号（扬州大学）14号楼</w:t>
      </w:r>
      <w:r>
        <w:rPr>
          <w:rFonts w:hint="eastAsia" w:ascii="宋体" w:hAnsi="宋体" w:cs="宋体"/>
          <w:color w:val="auto"/>
          <w:sz w:val="21"/>
          <w:szCs w:val="21"/>
          <w:highlight w:val="none"/>
          <w:lang w:val="en-US" w:eastAsia="zh-CN"/>
        </w:rPr>
        <w:t xml:space="preserve">下</w:t>
      </w:r>
      <w:r>
        <w:rPr>
          <w:rFonts w:hint="eastAsia" w:ascii="宋体" w:hAnsi="宋体" w:cs="宋体"/>
          <w:color w:val="auto"/>
          <w:sz w:val="21"/>
          <w:szCs w:val="21"/>
          <w:highlight w:val="none"/>
        </w:rPr>
        <w:t xml:space="preserve">，并安装摆放整齐。样品安装结束后，开标前由代理公司工作人员及监督人员统一进行编号、封号</w:t>
      </w:r>
      <w:bookmarkStart w:id="54" w:name="_GoBack"/>
      <w:r/>
      <w:bookmarkEnd w:id="54"/>
      <w:r>
        <w:rPr>
          <w:rFonts w:hint="eastAsia" w:ascii="宋体" w:hAnsi="宋体" w:cs="宋体"/>
          <w:color w:val="auto"/>
          <w:sz w:val="21"/>
          <w:szCs w:val="21"/>
          <w:highlight w:val="none"/>
        </w:rPr>
        <w:t xml:space="preserve">，开标后投标人必须退出样品现场，直至样品打分结束。</w:t>
      </w:r>
      <w:r/>
    </w:p>
    <w:p>
      <w:pPr>
        <w:pStyle w:val="1030"/>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2.样品费用：样品的制作、运输、安装、退场等费用均由投标人承担。</w:t>
      </w:r>
      <w:r/>
    </w:p>
    <w:p>
      <w:pPr>
        <w:pStyle w:val="1030"/>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3.样品标识：所有样品都不应含有或隐去投标人单位名称、品牌、商标等能标明具体投标人的标识。</w:t>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1030"/>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62"/>
        <w:rPr>
          <w:color w:val="auto"/>
          <w:highlight w:val="none"/>
        </w:rPr>
      </w:pPr>
      <w:r>
        <w:rPr>
          <w:rFonts w:hint="eastAsia"/>
          <w:color w:val="auto"/>
          <w:highlight w:val="none"/>
        </w:rPr>
        <w:t xml:space="preserve">第六章 投标文件格式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77"/>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一、资格审查响应对照表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二、符合性审查响应对照表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三、非实质性响应对照表</w:t>
      </w:r>
      <w:r/>
    </w:p>
    <w:p>
      <w:pPr>
        <w:ind w:firstLine="480"/>
        <w:spacing w:line="360" w:lineRule="auto"/>
        <w:rPr>
          <w:rFonts w:hint="eastAsia" w:ascii="宋体" w:hAnsi="宋体" w:cs="宋体"/>
          <w:b/>
          <w:bCs/>
          <w:i w:val="0"/>
          <w:iCs/>
          <w:color w:val="auto"/>
          <w:sz w:val="21"/>
          <w:szCs w:val="21"/>
          <w:highlight w:val="none"/>
          <w:u w:val="none"/>
        </w:rPr>
      </w:pPr>
      <w:r>
        <w:rPr>
          <w:rFonts w:hint="eastAsia" w:ascii="宋体" w:hAnsi="宋体" w:cs="宋体"/>
          <w:color w:val="auto"/>
          <w:sz w:val="21"/>
          <w:szCs w:val="21"/>
          <w:highlight w:val="none"/>
        </w:rPr>
        <w:t xml:space="preserve">四</w:t>
      </w:r>
      <w:r>
        <w:rPr>
          <w:rFonts w:hint="eastAsia" w:ascii="宋体" w:hAnsi="宋体" w:cs="宋体"/>
          <w:b/>
          <w:bCs/>
          <w:color w:val="auto"/>
          <w:sz w:val="21"/>
          <w:szCs w:val="21"/>
          <w:highlight w:val="none"/>
        </w:rPr>
        <w:t xml:space="preserve">、</w:t>
      </w:r>
      <w:r>
        <w:rPr>
          <w:rFonts w:hint="eastAsia" w:ascii="宋体" w:hAnsi="宋体" w:cs="宋体"/>
          <w:i w:val="0"/>
          <w:iCs/>
          <w:color w:val="auto"/>
          <w:sz w:val="21"/>
          <w:szCs w:val="21"/>
          <w:highlight w:val="none"/>
          <w:u w:val="none"/>
        </w:rPr>
        <w:t xml:space="preserve">开标一览表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五、投标分项报价表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lang w:eastAsia="zh-CN"/>
        </w:rPr>
        <w:t xml:space="preserve">技术要求响应及偏离表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商务要求响应及偏离表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、拟投入人员一览表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94"/>
        <w:rPr>
          <w:rFonts w:hint="eastAsia" w:ascii="宋体" w:hAnsi="宋体" w:cs="宋体"/>
          <w:color w:val="auto"/>
          <w:highlight w:val="none"/>
        </w:rPr>
        <w:outlineLvl w:val="9"/>
      </w:pPr>
      <w:r>
        <w:rPr>
          <w:rFonts w:hint="eastAsia" w:ascii="宋体" w:hAnsi="宋体" w:eastAsia="宋体" w:cs="宋体"/>
          <w:color w:val="auto"/>
          <w:sz w:val="32"/>
          <w:szCs w:val="32"/>
          <w:highlight w:val="none"/>
        </w:rPr>
        <w:br w:type="page" w:clear="all"/>
      </w:r>
      <w:bookmarkStart w:id="29" w:name="_Toc7268"/>
      <w:r/>
      <w:bookmarkStart w:id="30" w:name="_Toc5792"/>
      <w:r/>
      <w:bookmarkStart w:id="31" w:name="_Toc20369"/>
      <w:r>
        <w:rPr>
          <w:rFonts w:hint="eastAsia" w:ascii="宋体" w:hAnsi="宋体" w:eastAsia="宋体" w:cs="宋体"/>
          <w:color w:val="auto"/>
          <w:sz w:val="32"/>
          <w:highlight w:val="none"/>
        </w:rPr>
        <w:t xml:space="preserve">一、</w:t>
      </w:r>
      <w:bookmarkEnd w:id="29"/>
      <w:r/>
      <w:bookmarkEnd w:id="30"/>
      <w:r/>
      <w:bookmarkEnd w:id="31"/>
      <w:r>
        <w:rPr>
          <w:rFonts w:hint="eastAsia" w:ascii="宋体" w:hAnsi="宋体" w:cs="宋体"/>
          <w:color w:val="auto"/>
          <w:sz w:val="24"/>
          <w:highlight w:val="none"/>
        </w:rPr>
        <w:t xml:space="preserve">资格审查响应对照表</w:t>
      </w:r>
      <w:r/>
    </w:p>
    <w:tbl>
      <w:tblPr>
        <w:tblStyle w:val="77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48"/>
        <w:gridCol w:w="5914"/>
        <w:gridCol w:w="38"/>
        <w:gridCol w:w="1614"/>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上一年度的财务状况报告（成立不满一年不需提供）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ind w:firstLine="42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本项目专门面向中小</w:t>
            </w:r>
            <w:r>
              <w:rPr>
                <w:rFonts w:hint="eastAsia" w:ascii="宋体" w:hAnsi="宋体" w:cs="宋体"/>
                <w:i w:val="0"/>
                <w:iCs w:val="0"/>
                <w:color w:val="auto"/>
                <w:sz w:val="21"/>
                <w:szCs w:val="21"/>
                <w:highlight w:val="none"/>
                <w:u w:val="none"/>
                <w:lang w:val="en-US" w:eastAsia="zh-CN"/>
              </w:rPr>
              <w:t xml:space="preserve">微</w:t>
            </w:r>
            <w:r>
              <w:rPr>
                <w:rFonts w:hint="eastAsia" w:ascii="宋体" w:hAnsi="宋体" w:cs="宋体"/>
                <w:i w:val="0"/>
                <w:iCs w:val="0"/>
                <w:color w:val="auto"/>
                <w:sz w:val="21"/>
                <w:szCs w:val="21"/>
                <w:highlight w:val="none"/>
                <w:u w:val="none"/>
              </w:rPr>
              <w:t xml:space="preserve">企业采购。残疾人福利性单位、监狱和戒毒企业（简称监狱企业）视同小型、微型企业。</w:t>
            </w:r>
            <w:r>
              <w:rPr>
                <w:rFonts w:hint="eastAsia" w:ascii="宋体" w:hAnsi="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val="en-US" w:eastAsia="zh-CN"/>
              </w:rPr>
              <w:t xml:space="preserve">投标人</w:t>
            </w:r>
            <w:r>
              <w:rPr>
                <w:rFonts w:hint="eastAsia" w:ascii="宋体" w:hAnsi="宋体" w:cs="宋体"/>
                <w:b w:val="0"/>
                <w:bCs w:val="0"/>
                <w:i w:val="0"/>
                <w:iCs w:val="0"/>
                <w:color w:val="auto"/>
                <w:sz w:val="21"/>
                <w:szCs w:val="21"/>
                <w:highlight w:val="none"/>
                <w:u w:val="non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无</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lang w:eastAsia="zh-CN"/>
        </w:rPr>
        <w:t xml:space="preserve">：</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lang w:eastAsia="zh-CN"/>
        </w:rPr>
        <w:t xml:space="preserve">：</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non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non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30"/>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lang w:eastAsia="zh-CN"/>
        </w:rPr>
        <w:t xml:space="preserve">扬州大学工程设计研究院有限公司</w:t>
      </w:r>
      <w:r/>
    </w:p>
    <w:p>
      <w:pPr>
        <w:pStyle w:val="103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3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3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3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3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3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3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3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cs="宋体"/>
          <w:color w:val="auto"/>
          <w:sz w:val="21"/>
          <w:szCs w:val="21"/>
          <w:highlight w:val="none"/>
        </w:rPr>
        <w:t xml:space="preserve">完成项目，交付买方验收、使用。</w:t>
      </w:r>
      <w:r/>
    </w:p>
    <w:p>
      <w:pPr>
        <w:pStyle w:val="1030"/>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3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31"/>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31"/>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31"/>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t xml:space="preserve">法定代表人身份证复印件、被授权人身份证复印件</w:t>
      </w:r>
      <w:r/>
    </w:p>
    <w:p>
      <w:pPr>
        <w:pStyle w:val="994"/>
        <w:rPr>
          <w:rFonts w:hint="eastAsia" w:ascii="宋体" w:hAnsi="宋体" w:eastAsia="宋体" w:cs="宋体"/>
          <w:color w:val="auto"/>
          <w:sz w:val="32"/>
          <w:highlight w:val="none"/>
        </w:rPr>
        <w:outlineLvl w:val="9"/>
      </w:pPr>
      <w:r/>
      <w:bookmarkStart w:id="32" w:name="_Toc16911"/>
      <w:r/>
      <w:bookmarkStart w:id="33" w:name="_Toc9345"/>
      <w:r/>
      <w:bookmarkStart w:id="34" w:name="_Toc20616"/>
      <w:r>
        <w:rPr>
          <w:rFonts w:hint="eastAsia" w:ascii="宋体" w:hAnsi="宋体" w:eastAsia="宋体" w:cs="宋体"/>
          <w:color w:val="auto"/>
          <w:sz w:val="32"/>
          <w:highlight w:val="none"/>
        </w:rPr>
        <w:t xml:space="preserve">二、符合性审查响应对照表</w:t>
      </w:r>
      <w:bookmarkEnd w:id="32"/>
      <w:r/>
      <w:bookmarkEnd w:id="33"/>
      <w:r/>
      <w:bookmarkEnd w:id="34"/>
      <w:r/>
      <w:r/>
    </w:p>
    <w:tbl>
      <w:tblPr>
        <w:tblStyle w:val="77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94"/>
        <w:rPr>
          <w:rFonts w:hint="eastAsia" w:ascii="宋体" w:hAnsi="宋体" w:eastAsia="宋体" w:cs="宋体"/>
          <w:color w:val="auto"/>
          <w:sz w:val="32"/>
          <w:highlight w:val="none"/>
        </w:rPr>
        <w:outlineLvl w:val="9"/>
      </w:pPr>
      <w:r/>
      <w:bookmarkStart w:id="35" w:name="_Toc23420"/>
      <w:r/>
      <w:bookmarkStart w:id="36" w:name="_Toc29406"/>
      <w:r/>
      <w:bookmarkStart w:id="37" w:name="_Toc23068"/>
      <w:r>
        <w:rPr>
          <w:rFonts w:hint="eastAsia" w:ascii="宋体" w:hAnsi="宋体" w:eastAsia="宋体" w:cs="宋体"/>
          <w:color w:val="auto"/>
          <w:sz w:val="32"/>
          <w:highlight w:val="none"/>
        </w:rPr>
        <w:t xml:space="preserve">三、非实质性响应对照表</w:t>
      </w:r>
      <w:bookmarkEnd w:id="35"/>
      <w:r/>
      <w:bookmarkEnd w:id="36"/>
      <w:r/>
      <w:bookmarkEnd w:id="3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7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eastAsia="宋体" w:cs="宋体"/>
          <w:color w:val="auto"/>
          <w:szCs w:val="21"/>
          <w:highlight w:val="none"/>
        </w:rPr>
        <w:t xml:space="preserve">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center"/>
        <w:rPr>
          <w:rStyle w:val="1020"/>
          <w:rFonts w:hint="eastAsia" w:ascii="宋体" w:hAnsi="宋体" w:cs="宋体"/>
          <w:color w:val="auto"/>
          <w:szCs w:val="21"/>
          <w:highlight w:val="none"/>
        </w:rPr>
      </w:pPr>
      <w:r>
        <w:rPr>
          <w:rStyle w:val="1020"/>
          <w:rFonts w:hint="eastAsia" w:ascii="宋体" w:hAnsi="宋体" w:cs="宋体"/>
          <w:color w:val="auto"/>
          <w:szCs w:val="21"/>
          <w:highlight w:val="none"/>
        </w:rPr>
        <w:t xml:space="preserve">中小微企业划型标准</w:t>
      </w:r>
      <w:r/>
    </w:p>
    <w:p>
      <w:pPr>
        <w:pStyle w:val="1015"/>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20"/>
          <w:rFonts w:hint="eastAsia" w:ascii="宋体" w:hAnsi="宋体" w:cs="宋体"/>
          <w:color w:val="auto"/>
          <w:sz w:val="21"/>
          <w:szCs w:val="21"/>
          <w:highlight w:val="none"/>
        </w:rPr>
        <w:t xml:space="preserve">中小微企业划型标准如下：</w:t>
      </w:r>
      <w:r/>
    </w:p>
    <w:tbl>
      <w:tblPr>
        <w:tblStyle w:val="772"/>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15"/>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ind w:firstLine="420"/>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5"/>
              <w:jc w:val="center"/>
              <w:spacing w:after="150" w:line="360" w:lineRule="auto"/>
              <w:widowControl/>
              <w:rPr>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X＜10</w:t>
            </w:r>
            <w:r/>
          </w:p>
        </w:tc>
      </w:tr>
    </w:tbl>
    <w:p>
      <w:pPr>
        <w:pStyle w:val="1015"/>
        <w:ind w:firstLine="810"/>
        <w:spacing w:before="300" w:after="452" w:line="360" w:lineRule="auto"/>
        <w:widowControl/>
        <w:rPr>
          <w:rStyle w:val="1020"/>
          <w:rFonts w:hint="eastAsia" w:ascii="宋体" w:hAnsi="宋体" w:cs="宋体"/>
          <w:color w:val="auto"/>
          <w:sz w:val="21"/>
          <w:szCs w:val="21"/>
          <w:highlight w:val="none"/>
        </w:rPr>
      </w:pPr>
      <w:r>
        <w:rPr>
          <w:rStyle w:val="1020"/>
          <w:rFonts w:hint="eastAsia" w:ascii="宋体" w:hAnsi="宋体" w:cs="宋体"/>
          <w:color w:val="auto"/>
          <w:sz w:val="21"/>
          <w:szCs w:val="21"/>
          <w:highlight w:val="none"/>
        </w:rPr>
        <w:t xml:space="preserve">说明：上述标准参照《关于印发中小企业划型标准规定的通知》（工信部联企业</w:t>
      </w:r>
      <w:r>
        <w:rPr>
          <w:rStyle w:val="1020"/>
          <w:rFonts w:hint="eastAsia" w:ascii="宋体" w:hAnsi="宋体" w:cs="宋体"/>
          <w:color w:val="auto"/>
          <w:sz w:val="21"/>
          <w:szCs w:val="21"/>
          <w:highlight w:val="none"/>
          <w:lang w:eastAsia="zh-CN"/>
        </w:rPr>
        <w:t xml:space="preserve">〔2011〕300号</w:t>
      </w:r>
      <w:r>
        <w:rPr>
          <w:rStyle w:val="1020"/>
          <w:rFonts w:hint="eastAsia" w:ascii="宋体" w:hAnsi="宋体" w:cs="宋体"/>
          <w:color w:val="auto"/>
          <w:sz w:val="21"/>
          <w:szCs w:val="21"/>
          <w:highlight w:val="none"/>
        </w:rPr>
        <w:t xml:space="preserve">），大型、中型和小型企业须同时满足所列指标的下限，否则下划一档；微型企业只</w:t>
      </w:r>
      <w:r>
        <w:rPr>
          <w:rStyle w:val="1020"/>
          <w:rFonts w:hint="eastAsia" w:ascii="宋体" w:hAnsi="宋体" w:cs="宋体"/>
          <w:color w:val="auto"/>
          <w:sz w:val="21"/>
          <w:szCs w:val="21"/>
          <w:highlight w:val="none"/>
          <w:lang w:eastAsia="zh-CN"/>
        </w:rPr>
        <w:t xml:space="preserve">需</w:t>
      </w:r>
      <w:r>
        <w:rPr>
          <w:rStyle w:val="1020"/>
          <w:rFonts w:hint="eastAsia" w:ascii="宋体" w:hAnsi="宋体" w:cs="宋体"/>
          <w:color w:val="auto"/>
          <w:sz w:val="21"/>
          <w:szCs w:val="21"/>
          <w:highlight w:val="none"/>
        </w:rPr>
        <w:t xml:space="preserve">满足所列指标中的一项即可。</w:t>
      </w:r>
      <w:r/>
    </w:p>
    <w:p>
      <w:pPr>
        <w:pStyle w:val="995"/>
        <w:rPr>
          <w:rFonts w:hint="eastAsia" w:ascii="宋体" w:hAnsi="宋体" w:cs="宋体"/>
          <w:color w:val="auto"/>
          <w:highlight w:val="none"/>
        </w:rPr>
        <w:outlineLvl w:val="9"/>
      </w:pPr>
      <w:r>
        <w:rPr>
          <w:rStyle w:val="1020"/>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JSZC-321000-YZDX-G2026-0009</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关于符合本国产品标准的声明函（采购包号）</w:t>
      </w:r>
      <w:r/>
    </w:p>
    <w:p>
      <w:pPr>
        <w:pStyle w:val="79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lim="0"/>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0288;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3"/>
          <w:rFonts w:hint="eastAsia" w:ascii="宋体" w:hAnsi="宋体" w:eastAsia="宋体" w:cs="宋体"/>
          <w:i w:val="0"/>
          <w:color w:val="auto"/>
          <w:sz w:val="21"/>
          <w:szCs w:val="21"/>
          <w:highlight w:val="none"/>
          <w:u w:val="single"/>
          <w:shd w:val="clear" w:color="auto" w:fill="ffffff"/>
        </w:rPr>
        <w:t xml:space="preserve">（产品名称1）</w:t>
      </w:r>
      <w:r>
        <w:rPr>
          <w:rStyle w:val="803"/>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3"/>
          <w:rFonts w:hint="eastAsia" w:ascii="宋体" w:hAnsi="宋体" w:eastAsia="宋体" w:cs="宋体"/>
          <w:i w:val="0"/>
          <w:color w:val="auto"/>
          <w:sz w:val="21"/>
          <w:szCs w:val="21"/>
          <w:highlight w:val="none"/>
          <w:u w:val="single"/>
          <w:shd w:val="clear" w:color="auto" w:fill="ffffff"/>
        </w:rPr>
        <w:t xml:space="preserve">（厂名）</w:t>
      </w:r>
      <w:r>
        <w:rPr>
          <w:rStyle w:val="803"/>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3"/>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3"/>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3"/>
          <w:rFonts w:hint="eastAsia" w:ascii="宋体" w:hAnsi="宋体" w:eastAsia="宋体" w:cs="宋体"/>
          <w:i w:val="0"/>
          <w:color w:val="auto"/>
          <w:sz w:val="21"/>
          <w:szCs w:val="21"/>
          <w:highlight w:val="none"/>
          <w:u w:val="single"/>
          <w:shd w:val="clear" w:color="auto" w:fill="ffffff"/>
        </w:rPr>
        <w:t xml:space="preserve">（规定比例）</w:t>
      </w:r>
      <w:r>
        <w:rPr>
          <w:rStyle w:val="803"/>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3"/>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3"/>
          <w:rFonts w:hint="eastAsia" w:ascii="宋体" w:hAnsi="宋体" w:eastAsia="宋体" w:cs="宋体"/>
          <w:i w:val="0"/>
          <w:color w:val="auto"/>
          <w:sz w:val="21"/>
          <w:szCs w:val="21"/>
          <w:highlight w:val="none"/>
          <w:u w:val="single"/>
          <w:shd w:val="clear" w:color="auto" w:fill="ffffff"/>
        </w:rPr>
        <w:t xml:space="preserve">（关键组件）</w:t>
      </w:r>
      <w:r>
        <w:rPr>
          <w:rStyle w:val="803"/>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3"/>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3"/>
          <w:rFonts w:hint="eastAsia" w:ascii="宋体" w:hAnsi="宋体" w:eastAsia="宋体" w:cs="宋体"/>
          <w:i w:val="0"/>
          <w:color w:val="auto"/>
          <w:sz w:val="21"/>
          <w:szCs w:val="21"/>
          <w:highlight w:val="none"/>
          <w:u w:val="single"/>
          <w:shd w:val="clear" w:color="auto" w:fill="ffffff"/>
        </w:rPr>
        <w:t xml:space="preserve">（关键工序）</w:t>
      </w:r>
      <w:r>
        <w:rPr>
          <w:rStyle w:val="803"/>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2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2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2576;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25"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26"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2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4384;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2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3360;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9"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3"/>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3"/>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3"/>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3"/>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3"/>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3"/>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3"/>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3"/>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3"/>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96"/>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96"/>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96"/>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96"/>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30"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descr="E:\xwechat_files\luoboxiaowuzei_e771\temp\RWTemp\2026-03\c9f511a4c1d072259a887ee18cc5d0ba\322a02389c0a3bd68b9fafd7fe73f7eb.png"/>
                        <pic:cNvPicPr>
                          <a:picLocks noChangeAspect="1"/>
                        </pic:cNvPicPr>
                        <pic:nvPr/>
                      </pic:nvPicPr>
                      <pic:blipFill>
                        <a:blip r:embed="rId27"/>
                        <a:stretch/>
                      </pic:blipFill>
                      <pic:spPr bwMode="auto">
                        <a:xfrm>
                          <a:off x="0" y="0"/>
                          <a:ext cx="5262245" cy="57277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3pt;height:451.0pt;mso-wrap-distance-left:0.0pt;mso-wrap-distance-top:0.0pt;mso-wrap-distance-right:0.0pt;mso-wrap-distance-bottom:0.0pt;" stroked="f" strokeweight="1.00pt">
                <v:path textboxrect="0,0,0,0"/>
                <v:imagedata r:id="rId27"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38" w:name="_Toc19910"/>
      <w:r/>
      <w:bookmarkStart w:id="39" w:name="_Toc25382"/>
      <w:r>
        <w:rPr>
          <w:rFonts w:hint="eastAsia" w:ascii="宋体" w:hAnsi="宋体" w:cs="宋体"/>
          <w:b/>
          <w:bCs/>
          <w:color w:val="auto"/>
          <w:sz w:val="32"/>
          <w:szCs w:val="44"/>
          <w:highlight w:val="none"/>
        </w:rPr>
        <w:t xml:space="preserve">四、开标一览表</w:t>
      </w:r>
      <w:bookmarkEnd w:id="38"/>
      <w:r/>
      <w:bookmarkEnd w:id="39"/>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80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w:t>
            </w:r>
            <w:r>
              <w:rPr>
                <w:rFonts w:hint="eastAsia" w:ascii="宋体" w:hAnsi="宋体" w:cs="宋体"/>
                <w:color w:val="auto"/>
                <w:sz w:val="21"/>
                <w:szCs w:val="21"/>
                <w:highlight w:val="none"/>
                <w:lang w:val="en-US" w:eastAsia="zh-CN"/>
              </w:rPr>
              <w:t xml:space="preserve">圆</w:t>
            </w:r>
            <w:r>
              <w:rPr>
                <w:rFonts w:hint="eastAsia" w:ascii="宋体" w:hAnsi="宋体" w:eastAsia="宋体" w:cs="宋体"/>
                <w:color w:val="auto"/>
                <w:sz w:val="21"/>
                <w:szCs w:val="21"/>
                <w:highlight w:val="none"/>
              </w:rPr>
              <w:t xml:space="preserve">）</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00"/>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0"/>
        <w:ind w:firstLine="640"/>
        <w:jc w:val="right"/>
        <w:rPr>
          <w:rFonts w:hint="eastAsia" w:ascii="宋体" w:hAnsi="宋体" w:eastAsia="宋体" w:cs="宋体"/>
          <w:color w:val="auto"/>
          <w:sz w:val="21"/>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1000"/>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40" w:name="_Toc20323"/>
      <w:r/>
      <w:bookmarkStart w:id="41" w:name="_Toc17891"/>
      <w:r>
        <w:rPr>
          <w:rFonts w:hint="eastAsia" w:ascii="宋体" w:hAnsi="宋体" w:cs="宋体"/>
          <w:b/>
          <w:bCs/>
          <w:color w:val="auto"/>
          <w:sz w:val="32"/>
          <w:szCs w:val="44"/>
          <w:highlight w:val="none"/>
        </w:rPr>
        <w:t xml:space="preserve">五、投标分项报价表</w:t>
      </w:r>
      <w:bookmarkEnd w:id="40"/>
      <w:r/>
      <w:bookmarkEnd w:id="41"/>
      <w:r/>
      <w:r/>
    </w:p>
    <w:tbl>
      <w:tblPr>
        <w:tblStyle w:val="77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650"/>
        <w:gridCol w:w="650"/>
        <w:gridCol w:w="838"/>
        <w:gridCol w:w="875"/>
        <w:gridCol w:w="989"/>
        <w:gridCol w:w="1238"/>
        <w:gridCol w:w="827"/>
        <w:gridCol w:w="901"/>
        <w:gridCol w:w="870"/>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96"/>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76"/>
        <w:rPr>
          <w:rFonts w:hint="eastAsia"/>
          <w:color w:val="auto"/>
          <w:highlight w:val="none"/>
        </w:rPr>
      </w:pPr>
      <w:r>
        <w:rPr>
          <w:rFonts w:hint="eastAsia"/>
          <w:color w:val="auto"/>
          <w:highlight w:val="none"/>
        </w:rPr>
      </w:r>
      <w:r/>
    </w:p>
    <w:p>
      <w:pPr>
        <w:pStyle w:val="994"/>
        <w:rPr>
          <w:rFonts w:hint="eastAsia" w:ascii="宋体" w:hAnsi="宋体" w:eastAsia="宋体" w:cs="宋体"/>
          <w:color w:val="auto"/>
          <w:sz w:val="32"/>
          <w:highlight w:val="none"/>
          <w:lang w:eastAsia="zh-CN"/>
        </w:rPr>
        <w:outlineLvl w:val="9"/>
      </w:pPr>
      <w:r/>
      <w:bookmarkStart w:id="42" w:name="_Toc9678"/>
      <w:r/>
      <w:bookmarkStart w:id="43" w:name="_Toc16517"/>
      <w:r/>
      <w:bookmarkStart w:id="44" w:name="_Toc5967"/>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w:t>
      </w:r>
      <w:bookmarkEnd w:id="42"/>
      <w:r/>
      <w:bookmarkEnd w:id="43"/>
      <w:r/>
      <w:bookmarkEnd w:id="44"/>
      <w:r>
        <w:rPr>
          <w:rFonts w:hint="eastAsia" w:ascii="宋体" w:hAnsi="宋体" w:eastAsia="宋体" w:cs="宋体"/>
          <w:color w:val="auto"/>
          <w:sz w:val="32"/>
          <w:highlight w:val="none"/>
          <w:lang w:eastAsia="zh-CN"/>
        </w:rPr>
        <w:t xml:space="preserve">技术要求响应及偏离表</w:t>
      </w:r>
      <w:r/>
    </w:p>
    <w:tbl>
      <w:tblPr>
        <w:tblStyle w:val="77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749"/>
        <w:gridCol w:w="2910"/>
        <w:gridCol w:w="1570"/>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45" w:name="_Hlt26955054"/>
      <w:r/>
      <w:bookmarkEnd w:id="45"/>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七</w:t>
      </w:r>
      <w:r>
        <w:rPr>
          <w:rFonts w:hint="eastAsia" w:ascii="宋体" w:hAnsi="宋体" w:cs="宋体"/>
          <w:b/>
          <w:bCs/>
          <w:color w:val="auto"/>
          <w:sz w:val="32"/>
          <w:szCs w:val="44"/>
          <w:highlight w:val="none"/>
        </w:rPr>
        <w:t xml:space="preserve">、</w:t>
      </w:r>
      <w:r>
        <w:rPr>
          <w:rFonts w:hint="eastAsia" w:ascii="宋体" w:hAnsi="宋体" w:cs="宋体"/>
          <w:b/>
          <w:bCs/>
          <w:color w:val="auto"/>
          <w:sz w:val="32"/>
          <w:szCs w:val="44"/>
          <w:highlight w:val="none"/>
          <w:lang w:eastAsia="zh-CN"/>
        </w:rPr>
        <w:t xml:space="preserve">商务要求响应及偏离表</w:t>
      </w:r>
      <w:r/>
    </w:p>
    <w:tbl>
      <w:tblPr>
        <w:tblStyle w:val="772"/>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46" w:name="_Hlt26955064"/>
            <w:r/>
            <w:bookmarkEnd w:id="46"/>
            <w:r/>
            <w:bookmarkStart w:id="47" w:name="_Hlt26609391"/>
            <w:r/>
            <w:bookmarkEnd w:id="47"/>
            <w:r/>
            <w:bookmarkStart w:id="48" w:name="_Hlt24879081"/>
            <w:r/>
            <w:bookmarkEnd w:id="48"/>
            <w:r/>
            <w:bookmarkStart w:id="49" w:name="_Hlt26671372"/>
            <w:r/>
            <w:bookmarkEnd w:id="49"/>
            <w:r/>
            <w:bookmarkStart w:id="50" w:name="_Hlt26782999"/>
            <w:r/>
            <w:bookmarkEnd w:id="50"/>
            <w:r/>
            <w:bookmarkStart w:id="51" w:name="_Hlt26955056"/>
            <w:r/>
            <w:bookmarkEnd w:id="51"/>
            <w:r/>
            <w:bookmarkStart w:id="52" w:name="_Hlt26671343"/>
            <w:r/>
            <w:bookmarkEnd w:id="52"/>
            <w:r/>
            <w:bookmarkStart w:id="53" w:name="_Hlt26580838"/>
            <w:r/>
            <w:bookmarkEnd w:id="53"/>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pStyle w:val="1000"/>
        <w:ind w:firstLine="480"/>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、拟投入人员一览表</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1000"/>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九、其他</w:t>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76"/>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76"/>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7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pStyle w:val="778"/>
        <w:rPr>
          <w:rFonts w:hint="eastAsia"/>
          <w:color w:val="auto"/>
          <w:highlight w:val="none"/>
        </w:rPr>
      </w:pPr>
      <w:r>
        <w:rPr>
          <w:rFonts w:hint="eastAsia"/>
          <w:color w:val="auto"/>
          <w:highlight w:val="none"/>
        </w:rPr>
      </w:r>
      <w:r/>
    </w:p>
    <w:p>
      <w:pPr>
        <w:spacing w:after="312" w:line="240" w:lineRule="auto"/>
        <w:rPr>
          <w:rFonts w:hint="eastAsia" w:ascii="宋体" w:hAnsi="宋体"/>
          <w:color w:val="auto"/>
          <w:highlight w:val="none"/>
        </w:rPr>
      </w:pPr>
      <w:r>
        <w:rPr>
          <w:rFonts w:hint="eastAsia" w:ascii="宋体" w:hAnsi="宋体"/>
          <w:color w:val="auto"/>
          <w:highlight w:val="none"/>
        </w:rPr>
        <w:t xml:space="preserve">投标人全称（加盖CA电子签章）：</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项目名称：</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项目编号：                                   </w:t>
      </w:r>
      <w:r/>
    </w:p>
    <w:tbl>
      <w:tblPr>
        <w:tblStyle w:val="77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66"/>
        <w:tblW w:w="4742"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8"/>
        <w:gridCol w:w="1000"/>
        <w:gridCol w:w="1714"/>
        <w:gridCol w:w="635"/>
        <w:gridCol w:w="862"/>
        <w:gridCol w:w="1272"/>
        <w:gridCol w:w="748"/>
        <w:gridCol w:w="1120"/>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sectPr>
      <w:head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7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hint="eastAsia" w:eastAsia="宋体"/>
        <w:lang w:eastAsia="zh-CN"/>
      </w:rPr>
    </w:pPr>
    <w:r>
      <w:rPr>
        <w:rFonts w:hint="eastAsia" w:ascii="宋体" w:hAnsi="宋体" w:cs="宋体"/>
        <w:color w:val="auto"/>
        <w:sz w:val="18"/>
        <w:szCs w:val="18"/>
        <w:lang w:eastAsia="zh-CN"/>
      </w:rPr>
      <w:t xml:space="preserve">JSZC-321000-YZDX-G2026-0009</w:t>
    </w:r>
    <w:r>
      <w:rPr>
        <w:rFonts w:hint="eastAsia" w:ascii="宋体" w:hAnsi="宋体" w:cs="宋体"/>
        <w:color w:val="auto"/>
        <w:sz w:val="18"/>
        <w:szCs w:val="18"/>
        <w:lang w:val="en-US" w:eastAsia="zh-CN"/>
      </w:rPr>
      <w:t xml:space="preserve">号</w:t>
    </w:r>
    <w:r>
      <w:rPr>
        <w:rFonts w:hint="eastAsia"/>
        <w:sz w:val="18"/>
        <w:szCs w:val="18"/>
      </w:rPr>
      <w:t xml:space="preserve"> </w:t>
    </w:r>
    <w:r>
      <w:rPr>
        <w:rFonts w:hint="eastAsia"/>
      </w:rPr>
      <w:t xml:space="preserve">                          </w:t>
    </w:r>
    <w:r>
      <w:rPr>
        <w:rFonts w:hint="eastAsia"/>
        <w:lang w:val="en-US" w:eastAsia="zh-CN"/>
      </w:rPr>
      <w:t xml:space="preserve">     </w:t>
    </w:r>
    <w:r>
      <w:rPr>
        <w:rFonts w:hint="eastAsia"/>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hint="eastAsia" w:eastAsia="宋体"/>
        <w:lang w:eastAsia="zh-CN"/>
      </w:rPr>
    </w:pPr>
    <w:r>
      <w:rPr>
        <w:rFonts w:hint="eastAsia"/>
        <w:lang w:eastAsia="zh-CN"/>
      </w:rPr>
      <w:t xml:space="preserve">JSZC-321000-</w:t>
    </w:r>
    <w:r>
      <w:rPr>
        <w:rFonts w:hint="eastAsia"/>
      </w:rPr>
      <w:t xml:space="preserve">号</w:t>
    </w:r>
    <w:r>
      <w:tab/>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nothing"/>
      <w:lvlText w:val="（%1）"/>
      <w:lvlJc w:val="left"/>
      <w:pPr>
        <w:ind w:left="0" w:firstLine="482"/>
      </w:pPr>
      <w:rPr>
        <w:rFonts w:hint="eastAsia"/>
        <w:b w:val="0"/>
        <w:bCs w:val="0"/>
        <w:i w:val="0"/>
        <w:iCs w:val="0"/>
        <w:vanish/>
        <w:spacing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2">
    <w:name w:val="Heading 1"/>
    <w:basedOn w:val="761"/>
    <w:link w:val="807"/>
    <w:uiPriority w:val="9"/>
    <w:qFormat/>
    <w:pPr>
      <w:jc w:val="center"/>
      <w:keepLines/>
      <w:keepNext/>
      <w:spacing w:line="360" w:lineRule="auto"/>
      <w:outlineLvl w:val="0"/>
    </w:pPr>
    <w:rPr>
      <w:rFonts w:ascii="Arial" w:hAnsi="Arial" w:cs="Arial"/>
      <w:b/>
      <w:sz w:val="30"/>
      <w:szCs w:val="40"/>
    </w:rPr>
  </w:style>
  <w:style w:type="paragraph" w:styleId="763">
    <w:name w:val="Heading 2"/>
    <w:basedOn w:val="761"/>
    <w:link w:val="846"/>
    <w:uiPriority w:val="9"/>
    <w:unhideWhenUsed/>
    <w:qFormat/>
    <w:pPr>
      <w:keepLines/>
      <w:keepNext/>
      <w:spacing w:before="360" w:after="200"/>
      <w:outlineLvl w:val="1"/>
    </w:pPr>
    <w:rPr>
      <w:rFonts w:ascii="Arial" w:hAnsi="Arial" w:eastAsia="Arial" w:cs="Arial"/>
      <w:sz w:val="34"/>
    </w:rPr>
  </w:style>
  <w:style w:type="paragraph" w:styleId="764">
    <w:name w:val="Heading 3"/>
    <w:basedOn w:val="761"/>
    <w:link w:val="847"/>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link w:val="848"/>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link w:val="849"/>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link w:val="850"/>
    <w:uiPriority w:val="9"/>
    <w:unhideWhenUsed/>
    <w:qFormat/>
    <w:pPr>
      <w:keepLines/>
      <w:keepNext/>
      <w:spacing w:before="320" w:after="200"/>
      <w:outlineLvl w:val="5"/>
    </w:pPr>
    <w:rPr>
      <w:rFonts w:ascii="Arial" w:hAnsi="Arial" w:eastAsia="Arial" w:cs="Arial"/>
      <w:b/>
      <w:bCs/>
      <w:sz w:val="22"/>
    </w:rPr>
  </w:style>
  <w:style w:type="paragraph" w:styleId="768">
    <w:name w:val="Heading 7"/>
    <w:basedOn w:val="761"/>
    <w:link w:val="851"/>
    <w:uiPriority w:val="9"/>
    <w:unhideWhenUsed/>
    <w:qFormat/>
    <w:pPr>
      <w:keepLines/>
      <w:keepNext/>
      <w:spacing w:before="320" w:after="200"/>
      <w:outlineLvl w:val="6"/>
    </w:pPr>
    <w:rPr>
      <w:rFonts w:ascii="Arial" w:hAnsi="Arial" w:eastAsia="Arial" w:cs="Arial"/>
      <w:b/>
      <w:bCs/>
      <w:i/>
      <w:iCs/>
      <w:sz w:val="22"/>
    </w:rPr>
  </w:style>
  <w:style w:type="paragraph" w:styleId="769">
    <w:name w:val="Heading 8"/>
    <w:basedOn w:val="761"/>
    <w:link w:val="852"/>
    <w:uiPriority w:val="9"/>
    <w:unhideWhenUsed/>
    <w:qFormat/>
    <w:pPr>
      <w:keepLines/>
      <w:keepNext/>
      <w:spacing w:before="320" w:after="200"/>
      <w:outlineLvl w:val="7"/>
    </w:pPr>
    <w:rPr>
      <w:rFonts w:ascii="Arial" w:hAnsi="Arial" w:eastAsia="Arial" w:cs="Arial"/>
      <w:i/>
      <w:iCs/>
      <w:sz w:val="22"/>
    </w:rPr>
  </w:style>
  <w:style w:type="paragraph" w:styleId="770">
    <w:name w:val="Heading 9"/>
    <w:basedOn w:val="761"/>
    <w:link w:val="853"/>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uiPriority w:val="39"/>
    <w:unhideWhenUsed/>
    <w:qFormat/>
    <w:pPr>
      <w:ind w:left="1701"/>
      <w:spacing w:after="57"/>
    </w:pPr>
  </w:style>
  <w:style w:type="paragraph" w:styleId="774">
    <w:name w:val="Caption"/>
    <w:basedOn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1"/>
    <w:link w:val="1063"/>
    <w:uiPriority w:val="99"/>
    <w:unhideWhenUsed/>
    <w:qFormat/>
    <w:pPr>
      <w:jc w:val="left"/>
    </w:pPr>
  </w:style>
  <w:style w:type="paragraph" w:styleId="776">
    <w:name w:val="Body Text"/>
    <w:basedOn w:val="761"/>
    <w:uiPriority w:val="0"/>
    <w:qFormat/>
    <w:pPr>
      <w:spacing w:after="120"/>
    </w:pPr>
    <w:rPr>
      <w:rFonts w:ascii="Times New Roman" w:hAnsi="Times New Roman"/>
    </w:rPr>
  </w:style>
  <w:style w:type="paragraph" w:styleId="777">
    <w:name w:val="Body Text Indent"/>
    <w:basedOn w:val="761"/>
    <w:uiPriority w:val="0"/>
    <w:qFormat/>
    <w:pPr>
      <w:ind w:left="420"/>
      <w:spacing w:after="120"/>
    </w:pPr>
    <w:rPr>
      <w:rFonts w:ascii="等线" w:hAnsi="等线" w:eastAsia="等线"/>
    </w:rPr>
  </w:style>
  <w:style w:type="paragraph" w:styleId="778">
    <w:name w:val="Block Text"/>
    <w:basedOn w:val="761"/>
    <w:uiPriority w:val="99"/>
    <w:unhideWhenUsed/>
    <w:qFormat/>
    <w:pPr>
      <w:ind w:left="1440" w:right="1440"/>
      <w:spacing w:after="120"/>
    </w:pPr>
  </w:style>
  <w:style w:type="paragraph" w:styleId="779">
    <w:name w:val="toc 5"/>
    <w:basedOn w:val="761"/>
    <w:uiPriority w:val="39"/>
    <w:unhideWhenUsed/>
    <w:qFormat/>
    <w:pPr>
      <w:ind w:left="1134"/>
      <w:spacing w:after="57"/>
    </w:pPr>
  </w:style>
  <w:style w:type="paragraph" w:styleId="780">
    <w:name w:val="toc 3"/>
    <w:basedOn w:val="761"/>
    <w:uiPriority w:val="39"/>
    <w:unhideWhenUsed/>
    <w:qFormat/>
    <w:pPr>
      <w:ind w:left="567"/>
      <w:spacing w:after="57"/>
    </w:pPr>
  </w:style>
  <w:style w:type="paragraph" w:styleId="781">
    <w:name w:val="Plain Text"/>
    <w:basedOn w:val="761"/>
    <w:uiPriority w:val="0"/>
    <w:qFormat/>
    <w:rPr>
      <w:rFonts w:ascii="宋体" w:hAnsi="Courier New"/>
      <w:sz w:val="20"/>
      <w:szCs w:val="21"/>
    </w:rPr>
  </w:style>
  <w:style w:type="paragraph" w:styleId="782">
    <w:name w:val="toc 8"/>
    <w:basedOn w:val="761"/>
    <w:uiPriority w:val="39"/>
    <w:unhideWhenUsed/>
    <w:qFormat/>
    <w:pPr>
      <w:ind w:left="1984"/>
      <w:spacing w:after="57"/>
    </w:pPr>
  </w:style>
  <w:style w:type="paragraph" w:styleId="783">
    <w:name w:val="Date"/>
    <w:basedOn w:val="761"/>
    <w:uiPriority w:val="0"/>
    <w:qFormat/>
    <w:rPr>
      <w:rFonts w:ascii="Arial" w:hAnsi="Arial" w:eastAsia="宋体" w:cs="Arial"/>
      <w:b/>
      <w:sz w:val="28"/>
    </w:rPr>
  </w:style>
  <w:style w:type="paragraph" w:styleId="784">
    <w:name w:val="endnote text"/>
    <w:basedOn w:val="761"/>
    <w:link w:val="991"/>
    <w:uiPriority w:val="99"/>
    <w:semiHidden/>
    <w:unhideWhenUsed/>
    <w:qFormat/>
    <w:rPr>
      <w:sz w:val="20"/>
    </w:rPr>
  </w:style>
  <w:style w:type="paragraph" w:styleId="785">
    <w:name w:val="Footer"/>
    <w:basedOn w:val="761"/>
    <w:link w:val="864"/>
    <w:uiPriority w:val="99"/>
    <w:unhideWhenUsed/>
    <w:qFormat/>
    <w:pPr>
      <w:tabs>
        <w:tab w:val="center" w:pos="7143" w:leader="none"/>
        <w:tab w:val="right" w:pos="14287" w:leader="none"/>
      </w:tabs>
    </w:pPr>
  </w:style>
  <w:style w:type="paragraph" w:styleId="786">
    <w:name w:val="Header"/>
    <w:basedOn w:val="761"/>
    <w:link w:val="862"/>
    <w:uiPriority w:val="99"/>
    <w:unhideWhenUsed/>
    <w:qFormat/>
    <w:pPr>
      <w:tabs>
        <w:tab w:val="center" w:pos="7143" w:leader="none"/>
        <w:tab w:val="right" w:pos="14287" w:leader="none"/>
      </w:tabs>
    </w:pPr>
  </w:style>
  <w:style w:type="paragraph" w:styleId="787">
    <w:name w:val="toc 1"/>
    <w:basedOn w:val="761"/>
    <w:uiPriority w:val="39"/>
    <w:unhideWhenUsed/>
    <w:qFormat/>
    <w:pPr>
      <w:spacing w:after="57"/>
    </w:pPr>
  </w:style>
  <w:style w:type="paragraph" w:styleId="788">
    <w:name w:val="toc 4"/>
    <w:basedOn w:val="761"/>
    <w:uiPriority w:val="39"/>
    <w:unhideWhenUsed/>
    <w:qFormat/>
    <w:pPr>
      <w:ind w:left="850"/>
      <w:spacing w:after="57"/>
    </w:pPr>
  </w:style>
  <w:style w:type="paragraph" w:styleId="789">
    <w:name w:val="Subtitle"/>
    <w:basedOn w:val="761"/>
    <w:link w:val="857"/>
    <w:uiPriority w:val="11"/>
    <w:qFormat/>
    <w:pPr>
      <w:spacing w:before="200" w:after="200"/>
    </w:pPr>
    <w:rPr>
      <w:sz w:val="24"/>
      <w:szCs w:val="24"/>
    </w:rPr>
  </w:style>
  <w:style w:type="paragraph" w:styleId="790">
    <w:name w:val="footnote text"/>
    <w:basedOn w:val="761"/>
    <w:link w:val="990"/>
    <w:uiPriority w:val="99"/>
    <w:semiHidden/>
    <w:unhideWhenUsed/>
    <w:qFormat/>
    <w:pPr>
      <w:spacing w:after="40"/>
    </w:pPr>
    <w:rPr>
      <w:sz w:val="18"/>
    </w:rPr>
  </w:style>
  <w:style w:type="paragraph" w:styleId="791">
    <w:name w:val="toc 6"/>
    <w:basedOn w:val="761"/>
    <w:uiPriority w:val="39"/>
    <w:unhideWhenUsed/>
    <w:qFormat/>
    <w:pPr>
      <w:ind w:left="1417"/>
      <w:spacing w:after="57"/>
    </w:pPr>
  </w:style>
  <w:style w:type="paragraph" w:styleId="792">
    <w:name w:val="table of figures"/>
    <w:basedOn w:val="761"/>
    <w:uiPriority w:val="99"/>
    <w:unhideWhenUsed/>
    <w:qFormat/>
  </w:style>
  <w:style w:type="paragraph" w:styleId="793">
    <w:name w:val="toc 2"/>
    <w:basedOn w:val="761"/>
    <w:uiPriority w:val="39"/>
    <w:unhideWhenUsed/>
    <w:qFormat/>
    <w:pPr>
      <w:ind w:left="283"/>
      <w:spacing w:after="57"/>
    </w:pPr>
  </w:style>
  <w:style w:type="paragraph" w:styleId="794">
    <w:name w:val="toc 9"/>
    <w:basedOn w:val="761"/>
    <w:uiPriority w:val="39"/>
    <w:unhideWhenUsed/>
    <w:qFormat/>
    <w:pPr>
      <w:ind w:left="2268"/>
      <w:spacing w:after="57"/>
    </w:pPr>
  </w:style>
  <w:style w:type="paragraph" w:styleId="795">
    <w:name w:val="Body Text 2"/>
    <w:basedOn w:val="761"/>
    <w:uiPriority w:val="0"/>
    <w:qFormat/>
    <w:pPr>
      <w:spacing w:after="120" w:line="480" w:lineRule="auto"/>
    </w:pPr>
  </w:style>
  <w:style w:type="paragraph" w:styleId="796">
    <w:name w:val="Normal (Web)"/>
    <w:basedOn w:val="761"/>
    <w:uiPriority w:val="99"/>
    <w:semiHidden/>
    <w:unhideWhenUsed/>
    <w:qFormat/>
    <w:pPr>
      <w:jc w:val="left"/>
      <w:spacing w:beforeAutospacing="1" w:afterAutospacing="1"/>
    </w:pPr>
    <w:rPr>
      <w:sz w:val="24"/>
    </w:rPr>
  </w:style>
  <w:style w:type="paragraph" w:styleId="797">
    <w:name w:val="Title"/>
    <w:basedOn w:val="761"/>
    <w:link w:val="856"/>
    <w:uiPriority w:val="10"/>
    <w:qFormat/>
    <w:pPr>
      <w:contextualSpacing/>
      <w:spacing w:before="300" w:after="200"/>
    </w:pPr>
    <w:rPr>
      <w:sz w:val="48"/>
      <w:szCs w:val="48"/>
    </w:rPr>
  </w:style>
  <w:style w:type="paragraph" w:styleId="798">
    <w:name w:val="annotation subject"/>
    <w:basedOn w:val="775"/>
    <w:link w:val="1064"/>
    <w:uiPriority w:val="99"/>
    <w:semiHidden/>
    <w:unhideWhenUsed/>
    <w:qFormat/>
    <w:rPr>
      <w:b/>
      <w:bCs/>
    </w:rPr>
  </w:style>
  <w:style w:type="paragraph" w:styleId="799">
    <w:name w:val="Body Text First Indent"/>
    <w:basedOn w:val="776"/>
    <w:uiPriority w:val="0"/>
    <w:unhideWhenUsed/>
    <w:qFormat/>
    <w:pPr>
      <w:ind w:firstLine="420"/>
    </w:pPr>
    <w:rPr>
      <w:szCs w:val="21"/>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1"/>
    <w:uiPriority w:val="22"/>
    <w:qFormat/>
    <w:rPr>
      <w:b/>
    </w:rPr>
  </w:style>
  <w:style w:type="character" w:styleId="802">
    <w:name w:val="endnote reference"/>
    <w:uiPriority w:val="99"/>
    <w:semiHidden/>
    <w:unhideWhenUsed/>
    <w:qFormat/>
    <w:rPr>
      <w:vertAlign w:val="superscript"/>
    </w:rPr>
  </w:style>
  <w:style w:type="character" w:styleId="803">
    <w:name w:val="Emphasis"/>
    <w:uiPriority w:val="0"/>
    <w:qFormat/>
    <w:rPr>
      <w:i/>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annotation reference"/>
    <w:basedOn w:val="771"/>
    <w:uiPriority w:val="0"/>
    <w:qFormat/>
    <w:rPr>
      <w:sz w:val="21"/>
      <w:szCs w:val="21"/>
    </w:rPr>
  </w:style>
  <w:style w:type="character" w:styleId="806">
    <w:name w:val="footnote reference"/>
    <w:uiPriority w:val="99"/>
    <w:unhideWhenUsed/>
    <w:qFormat/>
    <w:rPr>
      <w:vertAlign w:val="superscript"/>
    </w:rPr>
  </w:style>
  <w:style w:type="character" w:styleId="807" w:customStyle="1">
    <w:name w:val="标题 1 字符"/>
    <w:link w:val="762"/>
    <w:uiPriority w:val="9"/>
    <w:qFormat/>
    <w:rPr>
      <w:rFonts w:ascii="Arial" w:hAnsi="Arial" w:eastAsia="宋体" w:cs="Arial"/>
      <w:b/>
      <w:sz w:val="30"/>
      <w:szCs w:val="40"/>
    </w:rPr>
  </w:style>
  <w:style w:type="character" w:styleId="808" w:customStyle="1">
    <w:name w:val="Heading 1 Char"/>
    <w:basedOn w:val="771"/>
    <w:uiPriority w:val="9"/>
    <w:qFormat/>
    <w:rPr>
      <w:rFonts w:ascii="Arial" w:hAnsi="Arial" w:eastAsia="Arial" w:cs="Arial"/>
      <w:sz w:val="40"/>
      <w:szCs w:val="40"/>
    </w:rPr>
  </w:style>
  <w:style w:type="character" w:styleId="809" w:customStyle="1">
    <w:name w:val="Heading 2 Char"/>
    <w:basedOn w:val="771"/>
    <w:uiPriority w:val="9"/>
    <w:qFormat/>
    <w:rPr>
      <w:rFonts w:ascii="Arial" w:hAnsi="Arial" w:eastAsia="Arial" w:cs="Arial"/>
      <w:sz w:val="34"/>
    </w:rPr>
  </w:style>
  <w:style w:type="character" w:styleId="810" w:customStyle="1">
    <w:name w:val="Heading 3 Char"/>
    <w:basedOn w:val="771"/>
    <w:uiPriority w:val="9"/>
    <w:qFormat/>
    <w:rPr>
      <w:rFonts w:ascii="Arial" w:hAnsi="Arial" w:eastAsia="Arial" w:cs="Arial"/>
      <w:sz w:val="30"/>
      <w:szCs w:val="30"/>
    </w:rPr>
  </w:style>
  <w:style w:type="character" w:styleId="811" w:customStyle="1">
    <w:name w:val="Heading 4 Char"/>
    <w:basedOn w:val="771"/>
    <w:uiPriority w:val="9"/>
    <w:qFormat/>
    <w:rPr>
      <w:rFonts w:ascii="Arial" w:hAnsi="Arial" w:eastAsia="Arial" w:cs="Arial"/>
      <w:b/>
      <w:bCs/>
      <w:sz w:val="26"/>
      <w:szCs w:val="26"/>
    </w:rPr>
  </w:style>
  <w:style w:type="character" w:styleId="812" w:customStyle="1">
    <w:name w:val="Heading 5 Char"/>
    <w:basedOn w:val="771"/>
    <w:uiPriority w:val="9"/>
    <w:qFormat/>
    <w:rPr>
      <w:rFonts w:ascii="Arial" w:hAnsi="Arial" w:eastAsia="Arial" w:cs="Arial"/>
      <w:b/>
      <w:bCs/>
      <w:sz w:val="24"/>
      <w:szCs w:val="24"/>
    </w:rPr>
  </w:style>
  <w:style w:type="character" w:styleId="813" w:customStyle="1">
    <w:name w:val="Heading 6 Char"/>
    <w:basedOn w:val="771"/>
    <w:uiPriority w:val="9"/>
    <w:qFormat/>
    <w:rPr>
      <w:rFonts w:ascii="Arial" w:hAnsi="Arial" w:eastAsia="Arial" w:cs="Arial"/>
      <w:b/>
      <w:bCs/>
      <w:sz w:val="22"/>
      <w:szCs w:val="22"/>
    </w:rPr>
  </w:style>
  <w:style w:type="character" w:styleId="814" w:customStyle="1">
    <w:name w:val="Heading 7 Char"/>
    <w:basedOn w:val="771"/>
    <w:uiPriority w:val="9"/>
    <w:qFormat/>
    <w:rPr>
      <w:rFonts w:ascii="Arial" w:hAnsi="Arial" w:eastAsia="Arial" w:cs="Arial"/>
      <w:b/>
      <w:bCs/>
      <w:i/>
      <w:iCs/>
      <w:sz w:val="22"/>
      <w:szCs w:val="22"/>
    </w:rPr>
  </w:style>
  <w:style w:type="character" w:styleId="815" w:customStyle="1">
    <w:name w:val="Heading 8 Char"/>
    <w:basedOn w:val="771"/>
    <w:uiPriority w:val="9"/>
    <w:qFormat/>
    <w:rPr>
      <w:rFonts w:ascii="Arial" w:hAnsi="Arial" w:eastAsia="Arial" w:cs="Arial"/>
      <w:i/>
      <w:iCs/>
      <w:sz w:val="22"/>
      <w:szCs w:val="22"/>
    </w:rPr>
  </w:style>
  <w:style w:type="character" w:styleId="816" w:customStyle="1">
    <w:name w:val="Heading 9 Char"/>
    <w:basedOn w:val="771"/>
    <w:uiPriority w:val="9"/>
    <w:qFormat/>
    <w:rPr>
      <w:rFonts w:ascii="Arial" w:hAnsi="Arial" w:eastAsia="Arial" w:cs="Arial"/>
      <w:i/>
      <w:iCs/>
      <w:sz w:val="21"/>
      <w:szCs w:val="21"/>
    </w:rPr>
  </w:style>
  <w:style w:type="character" w:styleId="817" w:customStyle="1">
    <w:name w:val="Title Char"/>
    <w:basedOn w:val="771"/>
    <w:uiPriority w:val="10"/>
    <w:qFormat/>
    <w:rPr>
      <w:sz w:val="48"/>
      <w:szCs w:val="48"/>
    </w:rPr>
  </w:style>
  <w:style w:type="character" w:styleId="818" w:customStyle="1">
    <w:name w:val="Subtitle Char"/>
    <w:basedOn w:val="771"/>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Header Char"/>
    <w:basedOn w:val="771"/>
    <w:uiPriority w:val="99"/>
    <w:qFormat/>
  </w:style>
  <w:style w:type="character" w:styleId="822" w:customStyle="1">
    <w:name w:val="Caption Char"/>
    <w:uiPriority w:val="99"/>
    <w:qFormat/>
  </w:style>
  <w:style w:type="table" w:styleId="823"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Default"/>
    <w:uiPriority w:val="0"/>
    <w:qFormat/>
    <w:pPr>
      <w:widowControl w:val="off"/>
    </w:pPr>
    <w:rPr>
      <w:rFonts w:hint="default" w:ascii="黑体" w:hAnsi="Times New Roman" w:eastAsia="黑体" w:cs="Times New Roman"/>
      <w:lang w:val="en-US" w:eastAsia="zh-CN" w:bidi="ar-SA"/>
    </w:rPr>
  </w:style>
  <w:style w:type="character" w:styleId="846" w:customStyle="1">
    <w:name w:val="标题 2 字符"/>
    <w:link w:val="763"/>
    <w:uiPriority w:val="9"/>
    <w:qFormat/>
    <w:rPr>
      <w:rFonts w:ascii="Arial" w:hAnsi="Arial" w:eastAsia="Arial" w:cs="Arial"/>
      <w:sz w:val="34"/>
    </w:rPr>
  </w:style>
  <w:style w:type="character" w:styleId="847" w:customStyle="1">
    <w:name w:val="标题 3 字符"/>
    <w:link w:val="764"/>
    <w:uiPriority w:val="9"/>
    <w:qFormat/>
    <w:rPr>
      <w:rFonts w:ascii="Arial" w:hAnsi="Arial" w:eastAsia="Arial" w:cs="Arial"/>
      <w:sz w:val="30"/>
      <w:szCs w:val="30"/>
    </w:rPr>
  </w:style>
  <w:style w:type="character" w:styleId="848" w:customStyle="1">
    <w:name w:val="标题 4 字符"/>
    <w:link w:val="765"/>
    <w:uiPriority w:val="9"/>
    <w:qFormat/>
    <w:rPr>
      <w:rFonts w:ascii="Arial" w:hAnsi="Arial" w:eastAsia="Arial" w:cs="Arial"/>
      <w:b/>
      <w:bCs/>
      <w:sz w:val="26"/>
      <w:szCs w:val="26"/>
    </w:rPr>
  </w:style>
  <w:style w:type="character" w:styleId="849" w:customStyle="1">
    <w:name w:val="标题 5 字符"/>
    <w:link w:val="766"/>
    <w:uiPriority w:val="9"/>
    <w:qFormat/>
    <w:rPr>
      <w:rFonts w:ascii="Arial" w:hAnsi="Arial" w:eastAsia="Arial" w:cs="Arial"/>
      <w:b/>
      <w:bCs/>
      <w:sz w:val="24"/>
      <w:szCs w:val="24"/>
    </w:rPr>
  </w:style>
  <w:style w:type="character" w:styleId="850" w:customStyle="1">
    <w:name w:val="标题 6 字符"/>
    <w:link w:val="767"/>
    <w:uiPriority w:val="9"/>
    <w:qFormat/>
    <w:rPr>
      <w:rFonts w:ascii="Arial" w:hAnsi="Arial" w:eastAsia="Arial" w:cs="Arial"/>
      <w:b/>
      <w:bCs/>
      <w:sz w:val="22"/>
      <w:szCs w:val="22"/>
    </w:rPr>
  </w:style>
  <w:style w:type="character" w:styleId="851" w:customStyle="1">
    <w:name w:val="标题 7 字符"/>
    <w:link w:val="768"/>
    <w:uiPriority w:val="9"/>
    <w:qFormat/>
    <w:rPr>
      <w:rFonts w:ascii="Arial" w:hAnsi="Arial" w:eastAsia="Arial" w:cs="Arial"/>
      <w:b/>
      <w:bCs/>
      <w:i/>
      <w:iCs/>
      <w:sz w:val="22"/>
      <w:szCs w:val="22"/>
    </w:rPr>
  </w:style>
  <w:style w:type="character" w:styleId="852" w:customStyle="1">
    <w:name w:val="标题 8 字符"/>
    <w:link w:val="769"/>
    <w:uiPriority w:val="9"/>
    <w:qFormat/>
    <w:rPr>
      <w:rFonts w:ascii="Arial" w:hAnsi="Arial" w:eastAsia="Arial" w:cs="Arial"/>
      <w:i/>
      <w:iCs/>
      <w:sz w:val="22"/>
      <w:szCs w:val="22"/>
    </w:rPr>
  </w:style>
  <w:style w:type="character" w:styleId="853" w:customStyle="1">
    <w:name w:val="标题 9 字符"/>
    <w:link w:val="770"/>
    <w:uiPriority w:val="9"/>
    <w:qFormat/>
    <w:rPr>
      <w:rFonts w:ascii="Arial" w:hAnsi="Arial" w:eastAsia="Arial" w:cs="Arial"/>
      <w:i/>
      <w:iCs/>
      <w:sz w:val="21"/>
      <w:szCs w:val="21"/>
    </w:rPr>
  </w:style>
  <w:style w:type="paragraph" w:styleId="854">
    <w:name w:val="List Paragraph"/>
    <w:basedOn w:val="761"/>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97"/>
    <w:uiPriority w:val="10"/>
    <w:qFormat/>
    <w:rPr>
      <w:sz w:val="48"/>
      <w:szCs w:val="48"/>
    </w:rPr>
  </w:style>
  <w:style w:type="character" w:styleId="857" w:customStyle="1">
    <w:name w:val="副标题 字符"/>
    <w:link w:val="789"/>
    <w:uiPriority w:val="11"/>
    <w:qFormat/>
    <w:rPr>
      <w:sz w:val="24"/>
      <w:szCs w:val="24"/>
    </w:rPr>
  </w:style>
  <w:style w:type="paragraph" w:styleId="858">
    <w:name w:val="Quote"/>
    <w:basedOn w:val="761"/>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61"/>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眉 字符"/>
    <w:link w:val="786"/>
    <w:uiPriority w:val="99"/>
    <w:qFormat/>
  </w:style>
  <w:style w:type="character" w:styleId="863" w:customStyle="1">
    <w:name w:val="Footer Char"/>
    <w:uiPriority w:val="99"/>
    <w:qFormat/>
  </w:style>
  <w:style w:type="character" w:styleId="864" w:customStyle="1">
    <w:name w:val="页脚 字符"/>
    <w:link w:val="785"/>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790"/>
    <w:uiPriority w:val="99"/>
    <w:qFormat/>
    <w:rPr>
      <w:sz w:val="18"/>
    </w:rPr>
  </w:style>
  <w:style w:type="character" w:styleId="991" w:customStyle="1">
    <w:name w:val="尾注文本 字符"/>
    <w:link w:val="784"/>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61"/>
    <w:uiPriority w:val="9"/>
    <w:qFormat/>
    <w:pPr>
      <w:keepLines/>
      <w:keepNext/>
      <w:spacing w:before="340" w:after="330" w:line="578" w:lineRule="auto"/>
      <w:outlineLvl w:val="0"/>
    </w:pPr>
    <w:rPr>
      <w:b/>
      <w:bCs/>
      <w:sz w:val="44"/>
      <w:szCs w:val="44"/>
    </w:rPr>
  </w:style>
  <w:style w:type="paragraph" w:styleId="994" w:customStyle="1">
    <w:name w:val="标题 21"/>
    <w:basedOn w:val="7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5" w:customStyle="1">
    <w:name w:val="标题 31"/>
    <w:basedOn w:val="761"/>
    <w:uiPriority w:val="0"/>
    <w:qFormat/>
    <w:pPr>
      <w:keepLines/>
      <w:keepNext/>
      <w:spacing w:before="260" w:after="260" w:line="416" w:lineRule="auto"/>
      <w:outlineLvl w:val="2"/>
    </w:pPr>
    <w:rPr>
      <w:b/>
      <w:bCs/>
      <w:sz w:val="32"/>
      <w:szCs w:val="32"/>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paragraph" w:styleId="998" w:customStyle="1">
    <w:name w:val="正文文本缩进1"/>
    <w:basedOn w:val="761"/>
    <w:uiPriority w:val="0"/>
    <w:qFormat/>
    <w:pPr>
      <w:ind w:left="420"/>
      <w:spacing w:after="120"/>
    </w:pPr>
    <w:rPr>
      <w:rFonts w:ascii="等线" w:hAnsi="等线" w:eastAsia="等线"/>
    </w:rPr>
  </w:style>
  <w:style w:type="paragraph" w:styleId="999" w:customStyle="1">
    <w:name w:val="寄信人地址1"/>
    <w:basedOn w:val="761"/>
    <w:uiPriority w:val="99"/>
    <w:unhideWhenUsed/>
    <w:qFormat/>
    <w:rPr>
      <w:rFonts w:ascii="Arial" w:hAnsi="Arial"/>
    </w:rPr>
  </w:style>
  <w:style w:type="paragraph" w:styleId="1000" w:customStyle="1">
    <w:name w:val="正文缩进1"/>
    <w:basedOn w:val="761"/>
    <w:uiPriority w:val="0"/>
    <w:unhideWhenUsed/>
    <w:qFormat/>
    <w:pPr>
      <w:ind w:firstLine="420"/>
    </w:pPr>
  </w:style>
  <w:style w:type="paragraph" w:styleId="1001" w:customStyle="1">
    <w:name w:val="批注文字1"/>
    <w:basedOn w:val="761"/>
    <w:link w:val="1002"/>
    <w:uiPriority w:val="0"/>
    <w:qFormat/>
    <w:pPr>
      <w:jc w:val="left"/>
    </w:pPr>
  </w:style>
  <w:style w:type="character" w:styleId="1002" w:customStyle="1">
    <w:name w:val="批注文字 Char"/>
    <w:link w:val="1001"/>
    <w:uiPriority w:val="0"/>
    <w:qFormat/>
    <w:rPr>
      <w:rFonts w:ascii="Calibri" w:hAnsi="Calibri"/>
      <w:sz w:val="21"/>
      <w:szCs w:val="22"/>
    </w:rPr>
  </w:style>
  <w:style w:type="paragraph" w:styleId="1003" w:customStyle="1">
    <w:name w:val="正文文本11"/>
    <w:basedOn w:val="761"/>
    <w:uiPriority w:val="0"/>
    <w:qFormat/>
    <w:rPr>
      <w:rFonts w:ascii="楷体_GB2312" w:hAnsi="Arial" w:eastAsia="楷体_GB2312"/>
      <w:sz w:val="28"/>
      <w:szCs w:val="28"/>
    </w:rPr>
  </w:style>
  <w:style w:type="paragraph" w:styleId="1004" w:customStyle="1">
    <w:name w:val="标题1"/>
    <w:basedOn w:val="761"/>
    <w:uiPriority w:val="0"/>
    <w:qFormat/>
    <w:pPr>
      <w:jc w:val="center"/>
      <w:spacing w:before="240" w:after="60" w:line="360" w:lineRule="auto"/>
      <w:outlineLvl w:val="0"/>
    </w:pPr>
    <w:rPr>
      <w:rFonts w:ascii="宋体" w:hAnsi="宋体"/>
      <w:b/>
      <w:bCs/>
      <w:sz w:val="32"/>
      <w:szCs w:val="32"/>
    </w:rPr>
  </w:style>
  <w:style w:type="paragraph" w:styleId="1005" w:customStyle="1">
    <w:name w:val="纯文本1"/>
    <w:basedOn w:val="761"/>
    <w:uiPriority w:val="99"/>
    <w:qFormat/>
    <w:rPr>
      <w:rFonts w:ascii="宋体" w:hAnsi="Courier New"/>
      <w:sz w:val="20"/>
      <w:szCs w:val="21"/>
    </w:rPr>
  </w:style>
  <w:style w:type="paragraph" w:styleId="1006" w:customStyle="1">
    <w:name w:val="正文文本缩进 21"/>
    <w:basedOn w:val="761"/>
    <w:uiPriority w:val="0"/>
    <w:qFormat/>
    <w:pPr>
      <w:ind w:left="640"/>
      <w:spacing w:after="120" w:line="480" w:lineRule="auto"/>
    </w:pPr>
    <w:rPr>
      <w:rFonts w:eastAsia="仿宋_GB2312"/>
      <w:sz w:val="32"/>
      <w:szCs w:val="28"/>
    </w:rPr>
  </w:style>
  <w:style w:type="paragraph" w:styleId="1007" w:customStyle="1">
    <w:name w:val="批注框文本1"/>
    <w:basedOn w:val="761"/>
    <w:link w:val="1008"/>
    <w:uiPriority w:val="0"/>
    <w:qFormat/>
    <w:rPr>
      <w:sz w:val="18"/>
      <w:szCs w:val="18"/>
    </w:rPr>
  </w:style>
  <w:style w:type="character" w:styleId="1008" w:customStyle="1">
    <w:name w:val="批注框文本 Char"/>
    <w:link w:val="1007"/>
    <w:uiPriority w:val="0"/>
    <w:qFormat/>
    <w:rPr>
      <w:sz w:val="18"/>
      <w:szCs w:val="18"/>
    </w:rPr>
  </w:style>
  <w:style w:type="paragraph" w:styleId="1009" w:customStyle="1">
    <w:name w:val="页脚1"/>
    <w:basedOn w:val="761"/>
    <w:uiPriority w:val="99"/>
    <w:unhideWhenUsed/>
    <w:qFormat/>
    <w:pPr>
      <w:jc w:val="left"/>
      <w:tabs>
        <w:tab w:val="center" w:pos="4153" w:leader="none"/>
        <w:tab w:val="right" w:pos="8306" w:leader="none"/>
      </w:tabs>
    </w:pPr>
    <w:rPr>
      <w:sz w:val="18"/>
      <w:szCs w:val="18"/>
    </w:rPr>
  </w:style>
  <w:style w:type="paragraph" w:styleId="1010" w:customStyle="1">
    <w:name w:val="页眉1"/>
    <w:basedOn w:val="7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1" w:customStyle="1">
    <w:name w:val="目录 11"/>
    <w:basedOn w:val="761"/>
    <w:uiPriority w:val="39"/>
    <w:unhideWhenUsed/>
    <w:qFormat/>
  </w:style>
  <w:style w:type="paragraph" w:styleId="1012" w:customStyle="1">
    <w:name w:val="目录 21"/>
    <w:basedOn w:val="761"/>
    <w:uiPriority w:val="0"/>
    <w:qFormat/>
    <w:pPr>
      <w:ind w:left="420"/>
    </w:pPr>
  </w:style>
  <w:style w:type="paragraph" w:styleId="1013" w:customStyle="1">
    <w:name w:val="正文文本 21"/>
    <w:basedOn w:val="761"/>
    <w:uiPriority w:val="0"/>
    <w:qFormat/>
    <w:pPr>
      <w:spacing w:after="120" w:line="480" w:lineRule="auto"/>
    </w:pPr>
  </w:style>
  <w:style w:type="paragraph" w:styleId="1014" w:customStyle="1">
    <w:name w:val="信息标题1"/>
    <w:basedOn w:val="76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5" w:customStyle="1">
    <w:name w:val="普通(网站)1"/>
    <w:basedOn w:val="761"/>
    <w:uiPriority w:val="0"/>
    <w:qFormat/>
    <w:rPr>
      <w:rFonts w:ascii="Times New Roman" w:hAnsi="Times New Roman"/>
      <w:sz w:val="24"/>
    </w:rPr>
  </w:style>
  <w:style w:type="paragraph" w:styleId="1016" w:customStyle="1">
    <w:name w:val="批注主题1"/>
    <w:basedOn w:val="1001"/>
    <w:link w:val="1017"/>
    <w:uiPriority w:val="0"/>
    <w:qFormat/>
    <w:rPr>
      <w:b/>
      <w:bCs/>
    </w:rPr>
  </w:style>
  <w:style w:type="character" w:styleId="1017" w:customStyle="1">
    <w:name w:val="批注主题 Char"/>
    <w:link w:val="1016"/>
    <w:uiPriority w:val="0"/>
    <w:qFormat/>
    <w:rPr>
      <w:rFonts w:ascii="Calibri" w:hAnsi="Calibri"/>
      <w:b/>
      <w:bCs/>
      <w:sz w:val="21"/>
      <w:szCs w:val="22"/>
    </w:rPr>
  </w:style>
  <w:style w:type="paragraph" w:styleId="1018" w:customStyle="1">
    <w:name w:val="正文首行缩进 21"/>
    <w:basedOn w:val="998"/>
    <w:uiPriority w:val="0"/>
    <w:qFormat/>
    <w:pPr>
      <w:ind w:firstLine="420"/>
      <w:spacing w:before="100" w:beforeAutospacing="1"/>
    </w:pPr>
    <w:rPr>
      <w:rFonts w:ascii="Times New Roman" w:hAnsi="Times New Roman" w:eastAsia="宋体"/>
      <w:sz w:val="20"/>
      <w:szCs w:val="21"/>
    </w:rPr>
  </w:style>
  <w:style w:type="table" w:styleId="1019" w:customStyle="1">
    <w:name w:val="网格型1"/>
    <w:basedOn w:val="997"/>
    <w:uiPriority w:val="0"/>
    <w:qFormat/>
    <w:pPr>
      <w:jc w:val="both"/>
      <w:widowControl w:val="off"/>
    </w:pPr>
    <w:tblPr/>
  </w:style>
  <w:style w:type="character" w:styleId="1020" w:customStyle="1">
    <w:name w:val="要点1"/>
    <w:uiPriority w:val="0"/>
    <w:qFormat/>
    <w:rPr>
      <w:b/>
    </w:rPr>
  </w:style>
  <w:style w:type="character" w:styleId="1021" w:customStyle="1">
    <w:name w:val="强调1"/>
    <w:uiPriority w:val="0"/>
    <w:qFormat/>
    <w:rPr>
      <w:i/>
    </w:rPr>
  </w:style>
  <w:style w:type="character" w:styleId="1022" w:customStyle="1">
    <w:name w:val="超链接1"/>
    <w:uiPriority w:val="0"/>
    <w:qFormat/>
    <w:rPr>
      <w:color w:val="0000ff"/>
      <w:u w:val="single"/>
    </w:rPr>
  </w:style>
  <w:style w:type="character" w:styleId="1023" w:customStyle="1">
    <w:name w:val="批注引用1"/>
    <w:uiPriority w:val="0"/>
    <w:qFormat/>
    <w:rPr>
      <w:sz w:val="21"/>
      <w:szCs w:val="21"/>
    </w:rPr>
  </w:style>
  <w:style w:type="paragraph" w:styleId="1024" w:customStyle="1">
    <w:name w:val="正文（缩进）"/>
    <w:basedOn w:val="761"/>
    <w:uiPriority w:val="0"/>
    <w:qFormat/>
    <w:pPr>
      <w:ind w:firstLine="480"/>
      <w:spacing w:before="156" w:after="156"/>
    </w:pPr>
  </w:style>
  <w:style w:type="paragraph" w:styleId="1025" w:customStyle="1">
    <w:name w:val="正文1"/>
    <w:basedOn w:val="761"/>
    <w:uiPriority w:val="0"/>
    <w:qFormat/>
    <w:pPr>
      <w:jc w:val="left"/>
      <w:spacing w:line="360" w:lineRule="atLeast"/>
    </w:pPr>
    <w:rPr>
      <w:rFonts w:ascii="宋体" w:cs="Arial"/>
      <w:sz w:val="24"/>
      <w:szCs w:val="20"/>
    </w:rPr>
  </w:style>
  <w:style w:type="paragraph" w:styleId="1026" w:customStyle="1">
    <w:name w:val="正文文本1"/>
    <w:basedOn w:val="1025"/>
    <w:uiPriority w:val="0"/>
    <w:qFormat/>
    <w:pPr>
      <w:spacing w:after="120"/>
    </w:pPr>
    <w:rPr>
      <w:lang w:eastAsia="en-US"/>
    </w:rPr>
  </w:style>
  <w:style w:type="paragraph" w:styleId="1027" w:customStyle="1">
    <w:name w:val="一级条标题"/>
    <w:basedOn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9" w:customStyle="1">
    <w:name w:val="段"/>
    <w:basedOn w:val="1025"/>
    <w:uiPriority w:val="0"/>
    <w:qFormat/>
    <w:pPr>
      <w:ind w:firstLine="200"/>
      <w:widowControl/>
    </w:pPr>
    <w:rPr>
      <w:sz w:val="20"/>
    </w:rPr>
  </w:style>
  <w:style w:type="paragraph" w:styleId="1030"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31" w:customStyle="1">
    <w:name w:val="Char"/>
    <w:basedOn w:val="761"/>
    <w:uiPriority w:val="0"/>
    <w:qFormat/>
    <w:pPr>
      <w:ind w:firstLine="200"/>
      <w:tabs>
        <w:tab w:val="left" w:pos="360" w:leader="none"/>
      </w:tabs>
    </w:pPr>
    <w:rPr>
      <w:rFonts w:ascii="Times New Roman" w:hAnsi="Times New Roman"/>
      <w:sz w:val="28"/>
      <w:szCs w:val="30"/>
    </w:rPr>
  </w:style>
  <w:style w:type="paragraph" w:styleId="1032" w:customStyle="1">
    <w:name w:val="Table Paragraph"/>
    <w:basedOn w:val="761"/>
    <w:uiPriority w:val="1"/>
    <w:qFormat/>
    <w:rPr>
      <w:rFonts w:ascii="Noto Sans CJK JP Regular" w:hAnsi="Noto Sans CJK JP Regular" w:eastAsia="Noto Sans CJK JP Regular" w:cs="Noto Sans CJK JP Regular"/>
    </w:rPr>
  </w:style>
  <w:style w:type="paragraph" w:styleId="1033" w:customStyle="1">
    <w:name w:val="正文（1）"/>
    <w:basedOn w:val="761"/>
    <w:uiPriority w:val="0"/>
    <w:qFormat/>
    <w:pPr>
      <w:numPr>
        <w:ilvl w:val="0"/>
        <w:numId w:val="1"/>
      </w:numPr>
      <w:ind w:firstLine="200"/>
    </w:pPr>
    <w:rPr>
      <w:szCs w:val="24"/>
    </w:rPr>
  </w:style>
  <w:style w:type="paragraph" w:styleId="1034" w:customStyle="1">
    <w:name w:val="朱-正文"/>
    <w:basedOn w:val="761"/>
    <w:uiPriority w:val="0"/>
    <w:qFormat/>
    <w:pPr>
      <w:ind w:firstLine="200"/>
    </w:pPr>
    <w:rPr>
      <w:rFonts w:ascii="Times New Roman"/>
      <w:color w:val="000000"/>
      <w:szCs w:val="24"/>
      <w:lang w:val="en-GB"/>
    </w:rPr>
  </w:style>
  <w:style w:type="paragraph" w:styleId="1035" w:customStyle="1">
    <w:name w:val="GP正文(首行缩进)"/>
    <w:basedOn w:val="761"/>
    <w:uiPriority w:val="0"/>
    <w:qFormat/>
    <w:pPr>
      <w:ind w:firstLine="480"/>
      <w:jc w:val="left"/>
    </w:pPr>
    <w:rPr>
      <w:rFonts w:ascii="Times New Roman" w:hAnsi="宋体"/>
      <w:sz w:val="24"/>
      <w:szCs w:val="24"/>
    </w:rPr>
  </w:style>
  <w:style w:type="character" w:styleId="1036" w:customStyle="1">
    <w:name w:val="font71"/>
    <w:uiPriority w:val="0"/>
    <w:qFormat/>
    <w:rPr>
      <w:rFonts w:hint="eastAsia" w:ascii="宋体" w:hAnsi="宋体" w:eastAsia="宋体" w:cs="宋体"/>
      <w:color w:val="ff0000"/>
      <w:sz w:val="21"/>
      <w:szCs w:val="21"/>
      <w:u w:val="none"/>
    </w:rPr>
  </w:style>
  <w:style w:type="character" w:styleId="1037" w:customStyle="1">
    <w:name w:val="font41"/>
    <w:uiPriority w:val="0"/>
    <w:qFormat/>
    <w:rPr>
      <w:rFonts w:hint="eastAsia" w:ascii="宋体" w:hAnsi="宋体" w:eastAsia="宋体" w:cs="宋体"/>
      <w:color w:val="000000"/>
      <w:sz w:val="21"/>
      <w:szCs w:val="21"/>
      <w:u w:val="none"/>
    </w:rPr>
  </w:style>
  <w:style w:type="paragraph" w:styleId="1038" w:customStyle="1">
    <w:name w:val="列出段落"/>
    <w:basedOn w:val="761"/>
    <w:uiPriority w:val="0"/>
    <w:qFormat/>
    <w:pPr>
      <w:ind w:firstLine="420"/>
    </w:pPr>
  </w:style>
  <w:style w:type="paragraph" w:styleId="1039" w:customStyle="1">
    <w:name w:val="列出段落2"/>
    <w:basedOn w:val="761"/>
    <w:uiPriority w:val="34"/>
    <w:qFormat/>
    <w:pPr>
      <w:ind w:firstLine="420"/>
    </w:pPr>
    <w:rPr>
      <w:rFonts w:ascii="宋体"/>
      <w:color w:val="404040"/>
    </w:rPr>
  </w:style>
  <w:style w:type="paragraph" w:styleId="1040" w:customStyle="1">
    <w:name w:val="列表段落1"/>
    <w:basedOn w:val="761"/>
    <w:uiPriority w:val="0"/>
    <w:qFormat/>
    <w:pPr>
      <w:ind w:firstLine="200"/>
    </w:pPr>
    <w:rPr>
      <w:rFonts w:cs="宋体"/>
    </w:rPr>
  </w:style>
  <w:style w:type="character" w:styleId="1041" w:customStyle="1">
    <w:name w:val="font51"/>
    <w:uiPriority w:val="0"/>
    <w:qFormat/>
    <w:rPr>
      <w:rFonts w:hint="eastAsia" w:ascii="宋体" w:hAnsi="宋体" w:eastAsia="宋体" w:cs="宋体"/>
      <w:color w:val="000000"/>
      <w:sz w:val="24"/>
      <w:szCs w:val="24"/>
      <w:u w:val="none"/>
      <w:vertAlign w:val="subscript"/>
    </w:rPr>
  </w:style>
  <w:style w:type="character" w:styleId="1042" w:customStyle="1">
    <w:name w:val="font61"/>
    <w:uiPriority w:val="0"/>
    <w:qFormat/>
    <w:rPr>
      <w:rFonts w:hint="eastAsia" w:ascii="宋体" w:hAnsi="宋体" w:eastAsia="宋体" w:cs="宋体"/>
      <w:color w:val="000000"/>
      <w:sz w:val="24"/>
      <w:szCs w:val="24"/>
      <w:u w:val="none"/>
    </w:rPr>
  </w:style>
  <w:style w:type="character" w:styleId="1043" w:customStyle="1">
    <w:name w:val="font01"/>
    <w:uiPriority w:val="0"/>
    <w:qFormat/>
    <w:rPr>
      <w:rFonts w:hint="eastAsia" w:ascii="宋体" w:hAnsi="宋体" w:eastAsia="宋体" w:cs="宋体"/>
      <w:color w:val="000000"/>
      <w:sz w:val="24"/>
      <w:szCs w:val="24"/>
      <w:u w:val="none"/>
    </w:rPr>
  </w:style>
  <w:style w:type="character" w:styleId="1044" w:customStyle="1">
    <w:name w:val="font81"/>
    <w:uiPriority w:val="0"/>
    <w:qFormat/>
    <w:rPr>
      <w:rFonts w:ascii="微软雅黑" w:hAnsi="微软雅黑" w:eastAsia="微软雅黑" w:cs="微软雅黑"/>
      <w:color w:val="000000"/>
      <w:sz w:val="24"/>
      <w:szCs w:val="24"/>
      <w:u w:val="none"/>
    </w:rPr>
  </w:style>
  <w:style w:type="character" w:styleId="1045" w:customStyle="1">
    <w:name w:val="font91"/>
    <w:uiPriority w:val="0"/>
    <w:qFormat/>
    <w:rPr>
      <w:rFonts w:ascii="Segoe UI Symbol" w:hAnsi="Segoe UI Symbol" w:eastAsia="Segoe UI Symbol" w:cs="Segoe UI Symbol"/>
      <w:color w:val="000000"/>
      <w:sz w:val="24"/>
      <w:szCs w:val="24"/>
      <w:u w:val="none"/>
    </w:rPr>
  </w:style>
  <w:style w:type="character" w:styleId="1046" w:customStyle="1">
    <w:name w:val="font101"/>
    <w:uiPriority w:val="0"/>
    <w:qFormat/>
    <w:rPr>
      <w:rFonts w:ascii="Calibri" w:hAnsi="Calibri" w:cs="Calibri"/>
      <w:color w:val="000000"/>
      <w:sz w:val="24"/>
      <w:szCs w:val="24"/>
      <w:u w:val="none"/>
    </w:rPr>
  </w:style>
  <w:style w:type="paragraph" w:styleId="1047"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8" w:customStyle="1">
    <w:name w:val="TableEmphasis"/>
    <w:basedOn w:val="761"/>
    <w:uiPriority w:val="0"/>
    <w:qFormat/>
    <w:rPr>
      <w:rFonts w:ascii="Times New Roman" w:hAnsi="Times New Roman" w:eastAsia="Times New Roman"/>
      <w:b/>
      <w:bCs/>
      <w:color w:val="3333ff"/>
      <w:sz w:val="16"/>
      <w:szCs w:val="18"/>
    </w:rPr>
  </w:style>
  <w:style w:type="paragraph" w:styleId="1049" w:customStyle="1">
    <w:name w:val="修订1"/>
    <w:uiPriority w:val="99"/>
    <w:unhideWhenUsed/>
    <w:qFormat/>
    <w:rPr>
      <w:rFonts w:hint="default" w:ascii="Calibri" w:hAnsi="Calibri" w:eastAsia="宋体" w:cs="Times New Roman"/>
      <w:sz w:val="21"/>
      <w:szCs w:val="22"/>
      <w:lang w:val="en-US" w:eastAsia="zh-CN" w:bidi="ar-SA"/>
    </w:rPr>
  </w:style>
  <w:style w:type="paragraph" w:styleId="1050" w:customStyle="1">
    <w:name w:val="修订2"/>
    <w:uiPriority w:val="99"/>
    <w:semiHidden/>
    <w:qFormat/>
    <w:rPr>
      <w:rFonts w:hint="default" w:ascii="Calibri" w:hAnsi="Calibri" w:eastAsia="宋体" w:cs="Times New Roman"/>
      <w:sz w:val="21"/>
      <w:szCs w:val="22"/>
      <w:lang w:val="en-US" w:eastAsia="zh-CN" w:bidi="ar-SA"/>
    </w:rPr>
  </w:style>
  <w:style w:type="character" w:styleId="1051" w:customStyle="1">
    <w:name w:val="font11"/>
    <w:uiPriority w:val="0"/>
    <w:qFormat/>
    <w:rPr>
      <w:rFonts w:hint="eastAsia" w:ascii="宋体" w:hAnsi="宋体" w:eastAsia="宋体" w:cs="宋体"/>
      <w:color w:val="000000"/>
      <w:sz w:val="24"/>
      <w:szCs w:val="24"/>
      <w:u w:val="none"/>
    </w:rPr>
  </w:style>
  <w:style w:type="character" w:styleId="1052" w:customStyle="1">
    <w:name w:val="font21"/>
    <w:uiPriority w:val="0"/>
    <w:qFormat/>
    <w:rPr>
      <w:rFonts w:ascii="Segoe UI Symbol" w:hAnsi="Segoe UI Symbol" w:eastAsia="Segoe UI Symbol" w:cs="Segoe UI Symbol"/>
      <w:color w:val="000000"/>
      <w:sz w:val="24"/>
      <w:szCs w:val="24"/>
      <w:u w:val="none"/>
    </w:rPr>
  </w:style>
  <w:style w:type="character" w:styleId="1053" w:customStyle="1">
    <w:name w:val="NormalCharacter1"/>
    <w:uiPriority w:val="0"/>
    <w:semiHidden/>
    <w:qFormat/>
  </w:style>
  <w:style w:type="character" w:styleId="1054" w:customStyle="1">
    <w:name w:val="font31"/>
    <w:uiPriority w:val="0"/>
    <w:qFormat/>
    <w:rPr>
      <w:rFonts w:hint="eastAsia" w:ascii="宋体" w:hAnsi="宋体" w:eastAsia="宋体" w:cs="宋体"/>
      <w:color w:val="000000"/>
      <w:sz w:val="21"/>
      <w:szCs w:val="21"/>
      <w:u w:val="none"/>
    </w:rPr>
  </w:style>
  <w:style w:type="paragraph" w:styleId="1055" w:customStyle="1">
    <w:name w:val="无间隔1"/>
    <w:uiPriority w:val="1"/>
    <w:qFormat/>
    <w:rPr>
      <w:rFonts w:hint="default" w:ascii="Times New Roman" w:hAnsi="Times New Roman" w:eastAsia="宋体" w:cs="Times New Roman"/>
      <w:lang w:val="en-US" w:eastAsia="zh-CN" w:bidi="ar-SA"/>
    </w:rPr>
  </w:style>
  <w:style w:type="paragraph" w:styleId="1056" w:customStyle="1">
    <w:name w:val="索引 41"/>
    <w:basedOn w:val="761"/>
    <w:uiPriority w:val="99"/>
    <w:unhideWhenUsed/>
    <w:qFormat/>
    <w:pPr>
      <w:ind w:left="600"/>
    </w:pPr>
    <w:rPr>
      <w:rFonts w:ascii="Verdana" w:hAnsi="Verdana" w:eastAsia="微软雅黑"/>
      <w:szCs w:val="20"/>
    </w:rPr>
  </w:style>
  <w:style w:type="paragraph" w:styleId="1057" w:customStyle="1">
    <w:name w:val="首行缩进"/>
    <w:basedOn w:val="761"/>
    <w:uiPriority w:val="0"/>
    <w:qFormat/>
    <w:pPr>
      <w:ind w:firstLine="420"/>
      <w:spacing w:line="360" w:lineRule="auto"/>
    </w:pPr>
  </w:style>
  <w:style w:type="paragraph" w:styleId="1058" w:customStyle="1">
    <w:name w:val="表格文字"/>
    <w:basedOn w:val="761"/>
    <w:uiPriority w:val="0"/>
    <w:qFormat/>
    <w:rPr>
      <w:rFonts w:cs="宋体"/>
      <w:spacing w:val="2"/>
      <w:szCs w:val="21"/>
      <w:lang w:eastAsia="en-US"/>
    </w:rPr>
  </w:style>
  <w:style w:type="paragraph" w:styleId="1059" w:customStyle="1">
    <w:name w:val="修订3"/>
    <w:uiPriority w:val="99"/>
    <w:unhideWhenUsed/>
    <w:qFormat/>
    <w:rPr>
      <w:rFonts w:hint="default" w:ascii="Calibri" w:hAnsi="Calibri" w:eastAsia="宋体" w:cs="Times New Roman"/>
      <w:sz w:val="21"/>
      <w:szCs w:val="22"/>
      <w:lang w:val="en-US" w:eastAsia="zh-CN" w:bidi="ar-SA"/>
    </w:rPr>
  </w:style>
  <w:style w:type="paragraph" w:styleId="1060" w:customStyle="1">
    <w:name w:val="修订4"/>
    <w:uiPriority w:val="99"/>
    <w:unhideWhenUsed/>
    <w:qFormat/>
    <w:rPr>
      <w:rFonts w:hint="default" w:ascii="Calibri" w:hAnsi="Calibri" w:eastAsia="宋体" w:cs="Times New Roman"/>
      <w:sz w:val="21"/>
      <w:szCs w:val="22"/>
      <w:lang w:val="en-US" w:eastAsia="zh-CN" w:bidi="ar-SA"/>
    </w:rPr>
  </w:style>
  <w:style w:type="paragraph" w:styleId="1061" w:customStyle="1">
    <w:name w:val="修订5"/>
    <w:uiPriority w:val="99"/>
    <w:unhideWhenUsed/>
    <w:qFormat/>
    <w:rPr>
      <w:rFonts w:hint="default" w:ascii="Calibri" w:hAnsi="Calibri" w:eastAsia="宋体" w:cs="Times New Roman"/>
      <w:sz w:val="21"/>
      <w:szCs w:val="22"/>
      <w:lang w:val="en-US" w:eastAsia="zh-CN" w:bidi="ar-SA"/>
    </w:rPr>
  </w:style>
  <w:style w:type="paragraph" w:styleId="1062" w:customStyle="1">
    <w:name w:val="修订6"/>
    <w:uiPriority w:val="99"/>
    <w:unhideWhenUsed/>
    <w:qFormat/>
    <w:rPr>
      <w:rFonts w:hint="default" w:ascii="Calibri" w:hAnsi="Calibri" w:eastAsia="宋体" w:cs="Times New Roman"/>
      <w:sz w:val="21"/>
      <w:szCs w:val="22"/>
      <w:lang w:val="en-US" w:eastAsia="zh-CN" w:bidi="ar-SA"/>
    </w:rPr>
  </w:style>
  <w:style w:type="character" w:styleId="1063" w:customStyle="1">
    <w:name w:val="批注文字 字符"/>
    <w:basedOn w:val="771"/>
    <w:link w:val="775"/>
    <w:uiPriority w:val="99"/>
    <w:qFormat/>
    <w:rPr>
      <w:rFonts w:ascii="Calibri" w:hAnsi="Calibri"/>
      <w:sz w:val="21"/>
      <w:szCs w:val="22"/>
    </w:rPr>
  </w:style>
  <w:style w:type="character" w:styleId="1064" w:customStyle="1">
    <w:name w:val="批注主题 字符"/>
    <w:basedOn w:val="1063"/>
    <w:link w:val="798"/>
    <w:uiPriority w:val="99"/>
    <w:semiHidden/>
    <w:qFormat/>
    <w:rPr>
      <w:rFonts w:ascii="Calibri" w:hAnsi="Calibri"/>
      <w:b/>
      <w:bCs/>
      <w:sz w:val="21"/>
      <w:szCs w:val="22"/>
    </w:rPr>
  </w:style>
  <w:style w:type="paragraph" w:styleId="1065" w:customStyle="1">
    <w:name w:val="Revision"/>
    <w:uiPriority w:val="99"/>
    <w:unhideWhenUsed/>
    <w:qFormat/>
    <w:rPr>
      <w:rFonts w:hint="default" w:ascii="Calibri" w:hAnsi="Calibri" w:eastAsia="宋体" w:cs="Times New Roman"/>
      <w:sz w:val="21"/>
      <w:szCs w:val="22"/>
      <w:lang w:val="en-US" w:eastAsia="zh-CN" w:bidi="ar-SA"/>
    </w:rPr>
  </w:style>
  <w:style w:type="table" w:styleId="1066" w:customStyle="1">
    <w:name w:val="table"/>
    <w:basedOn w:val="772"/>
    <w:uiPriority w:val="0"/>
    <w:qFormat/>
    <w:rPr>
      <w:rFonts w:eastAsiaTheme="minorEastAsia"/>
    </w:rPr>
    <w:tblPr/>
  </w:style>
  <w:style w:type="paragraph" w:styleId="1067" w:customStyle="1">
    <w:name w:val="p0"/>
    <w:basedOn w:val="761"/>
    <w:uiPriority w:val="0"/>
    <w:qFormat/>
    <w:pPr>
      <w:jc w:val="left"/>
      <w:spacing w:before="100" w:beforeAutospacing="1" w:after="100" w:afterAutospacing="1"/>
      <w:widowControl/>
    </w:pPr>
    <w:rPr>
      <w:rFonts w:ascii="Cambria" w:hAnsi="Cambria" w:cs="Cambria"/>
      <w:sz w:val="24"/>
      <w:szCs w:val="24"/>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高鑫</cp:lastModifiedBy>
  <cp:revision>85</cp:revision>
  <dcterms:created xsi:type="dcterms:W3CDTF">2024-11-07T06:15:00Z</dcterms:created>
  <dcterms:modified xsi:type="dcterms:W3CDTF">2026-07-20T09:23:04Z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B52CE5E20AF44EE8B1C616B5A5B2956F_13</vt:lpwstr>
  </property>
  <property fmtid="{D5CDD505-2E9C-101B-9397-08002B2CF9AE}" pid="4" name="KSOTemplateDocerSaveRecord">
    <vt:lpwstr>eyJoZGlkIjoiMmJmNmUwMWRlYzUxZWIxOTI5ODY2YzlhMmU2NWUwZjgiLCJ1c2VySWQiOiIxMTUyNzM0NzQxIn0=</vt:lpwstr>
  </property>
</Properties>
</file>