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2"/>
        <w:ind w:firstLine="0"/>
        <w:spacing w:line="240" w:lineRule="auto"/>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r>
      <w:r/>
    </w:p>
    <w:p>
      <w:pPr>
        <w:pStyle w:val="1202"/>
        <w:ind w:firstLine="0"/>
        <w:jc w:val="center"/>
        <w:spacing w:line="240" w:lineRule="auto"/>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t xml:space="preserve">招　标　文　件</w:t>
      </w:r>
      <w:r/>
    </w:p>
    <w:p>
      <w:pPr>
        <w:rPr>
          <w:rFonts w:hint="eastAsia"/>
          <w:color w:val="auto"/>
          <w:highlight w:val="none"/>
        </w:rPr>
      </w:pPr>
      <w:r/>
      <w:bookmarkStart w:id="0" w:name="_Toc30713"/>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w:t>
      </w:r>
      <w:bookmarkEnd w:id="0"/>
      <w:r/>
      <w:bookmarkStart w:id="80" w:name="_GoBack"/>
      <w:r>
        <w:rPr>
          <w:rFonts w:hint="eastAsia" w:ascii="宋体" w:hAnsi="宋体" w:eastAsia="宋体" w:cs="宋体"/>
          <w:b/>
          <w:bCs/>
          <w:color w:val="auto"/>
          <w:sz w:val="32"/>
          <w:szCs w:val="32"/>
          <w:highlight w:val="none"/>
          <w:lang w:val="en-US" w:eastAsia="zh-CN"/>
        </w:rPr>
        <w:t xml:space="preserve">2026年广陵区道路公园绿化养护项目</w:t>
      </w:r>
      <w:bookmarkEnd w:id="80"/>
      <w:r/>
      <w:r/>
    </w:p>
    <w:p>
      <w:pPr>
        <w:jc w:val="center"/>
        <w:rPr>
          <w:rFonts w:hint="eastAsia" w:ascii="宋体" w:hAnsi="宋体" w:eastAsia="宋体" w:cs="宋体"/>
          <w:b/>
          <w:color w:val="auto"/>
          <w:szCs w:val="30"/>
          <w:highlight w:val="none"/>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JSZC-321002-JSYR-G2026-0004</w:t>
      </w:r>
      <w:r/>
    </w:p>
    <w:p>
      <w:pPr>
        <w:pStyle w:val="1202"/>
        <w:ind w:firstLine="0"/>
        <w:jc w:val="center"/>
        <w:spacing w:line="240" w:lineRule="auto"/>
        <w:rPr>
          <w:rFonts w:hint="eastAsia" w:ascii="宋体" w:hAnsi="宋体" w:eastAsia="宋体" w:cs="宋体"/>
          <w:b/>
          <w:bCs/>
          <w:color w:val="auto"/>
          <w:sz w:val="8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INCLUDEPICTURE \d "https://img1.baidu.com/it/u=148384798,2381039081&amp;fm=253&amp;fmt=auto&amp;app=120&amp;f=JPEG?w=690&amp;h=460" \* MERGEFORMATINET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487035" cy="3850640"/>
                <wp:effectExtent l="0" t="0" r="14604" b="5080"/>
                <wp:docPr id="8"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23"/>
                        <a:stretch/>
                      </pic:blipFill>
                      <pic:spPr bwMode="auto">
                        <a:xfrm>
                          <a:off x="0" y="0"/>
                          <a:ext cx="5487619" cy="3851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32.0pt;height:303.2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sz w:val="24"/>
          <w:szCs w:val="24"/>
          <w:highlight w:val="none"/>
        </w:rPr>
        <w:fldChar w:fldCharType="end"/>
      </w:r>
      <w:r/>
    </w:p>
    <w:p>
      <w:pPr>
        <w:pStyle w:val="1202"/>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2"/>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 </w:t>
      </w:r>
      <w:bookmarkStart w:id="1" w:name="_Toc21911"/>
      <w:r>
        <w:rPr>
          <w:rFonts w:hint="eastAsia" w:ascii="宋体" w:hAnsi="宋体" w:eastAsia="宋体" w:cs="宋体"/>
          <w:b/>
          <w:bCs/>
          <w:color w:val="auto"/>
          <w:sz w:val="32"/>
          <w:szCs w:val="32"/>
          <w:highlight w:val="none"/>
          <w:lang w:val="en-US" w:eastAsia="zh-CN"/>
        </w:rPr>
        <w:t xml:space="preserve">江苏远锐工程管理咨询有限公司</w:t>
      </w:r>
      <w:bookmarkEnd w:id="1"/>
      <w:r/>
      <w:r/>
    </w:p>
    <w:p>
      <w:pPr>
        <w:jc w:val="center"/>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2026年</w:t>
      </w:r>
      <w:r>
        <w:rPr>
          <w:rFonts w:hint="eastAsia" w:ascii="宋体" w:hAnsi="宋体" w:cs="宋体"/>
          <w:b/>
          <w:bCs/>
          <w:color w:val="auto"/>
          <w:sz w:val="32"/>
          <w:szCs w:val="32"/>
          <w:highlight w:val="none"/>
          <w:lang w:val="en-US" w:eastAsia="zh-CN"/>
        </w:rPr>
        <w:t xml:space="preserve">7</w:t>
      </w:r>
      <w:r>
        <w:rPr>
          <w:rFonts w:hint="eastAsia" w:ascii="宋体" w:hAnsi="宋体" w:eastAsia="宋体" w:cs="宋体"/>
          <w:b/>
          <w:bCs/>
          <w:color w:val="auto"/>
          <w:sz w:val="32"/>
          <w:szCs w:val="32"/>
          <w:highlight w:val="none"/>
          <w:lang w:val="en-US" w:eastAsia="zh-CN"/>
        </w:rPr>
        <w:t xml:space="preserve">月</w:t>
      </w:r>
      <w:r>
        <w:rPr>
          <w:rFonts w:hint="eastAsia" w:ascii="宋体" w:hAnsi="宋体" w:cs="宋体"/>
          <w:b/>
          <w:bCs/>
          <w:color w:val="auto"/>
          <w:sz w:val="32"/>
          <w:szCs w:val="32"/>
          <w:highlight w:val="none"/>
          <w:lang w:val="en-US" w:eastAsia="zh-CN"/>
        </w:rPr>
        <w:t xml:space="preserve">1日</w:t>
      </w:r>
      <w:r/>
    </w:p>
    <w:p>
      <w:pPr>
        <w:pStyle w:val="1202"/>
        <w:ind w:firstLine="0"/>
        <w:spacing w:line="24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p>
    <w:p>
      <w:pPr>
        <w:jc w:val="center"/>
        <w:spacing w:line="240" w:lineRule="auto"/>
        <w:rPr>
          <w:rFonts w:hint="eastAsia" w:ascii="宋体" w:hAnsi="宋体" w:eastAsia="宋体" w:cs="宋体"/>
          <w:color w:val="auto"/>
          <w:highlight w:val="none"/>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440" w:right="1797" w:bottom="1440" w:left="1797" w:header="851" w:footer="907" w:gutter="0"/>
          <w:cols w:num="1" w:sep="0" w:space="1701" w:equalWidth="1"/>
          <w:docGrid w:linePitch="360"/>
        </w:sectPr>
        <w:outlineLvl w:val="0"/>
      </w:pPr>
      <w:r>
        <w:rPr>
          <w:rFonts w:hint="eastAsia" w:ascii="宋体" w:hAnsi="宋体" w:eastAsia="宋体" w:cs="宋体"/>
          <w:color w:val="auto"/>
          <w:highlight w:val="none"/>
        </w:rPr>
      </w:r>
      <w:r/>
    </w:p>
    <w:p>
      <w:pPr>
        <w:jc w:val="center"/>
        <w:rPr>
          <w:rFonts w:hint="eastAsia" w:ascii="宋体" w:hAnsi="宋体" w:eastAsia="宋体" w:cs="宋体"/>
          <w:color w:val="auto"/>
          <w:sz w:val="28"/>
          <w:szCs w:val="28"/>
          <w:highlight w:val="none"/>
        </w:rPr>
      </w:pPr>
      <w:r/>
      <w:bookmarkStart w:id="2" w:name="_Toc18651"/>
      <w:r>
        <w:rPr>
          <w:rFonts w:hint="eastAsia" w:ascii="宋体" w:hAnsi="宋体" w:eastAsia="宋体" w:cs="宋体"/>
          <w:b/>
          <w:bCs/>
          <w:color w:val="auto"/>
          <w:sz w:val="28"/>
          <w:szCs w:val="28"/>
          <w:highlight w:val="none"/>
        </w:rPr>
        <w:t xml:space="preserve"> 目  录</w:t>
      </w:r>
      <w:bookmarkEnd w:id="2"/>
      <w:r/>
      <w:r/>
    </w:p>
    <w:p>
      <w:pPr>
        <w:ind w:left="0" w:right="0"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7"/>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"1-3"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_Toc5248 </w:instrText>
      </w:r>
      <w:r>
        <w:rPr>
          <w:rFonts w:hint="eastAsia" w:ascii="宋体" w:hAnsi="宋体" w:eastAsia="宋体" w:cs="宋体"/>
          <w:color w:val="auto"/>
          <w:highlight w:val="none"/>
        </w:rPr>
        <w:fldChar w:fldCharType="separate"/>
      </w:r>
      <w:r>
        <w:rPr>
          <w:rFonts w:hint="eastAsia"/>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_Toc5248 \h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ascii="宋体" w:hAnsi="宋体" w:eastAsia="宋体" w:cs="宋体"/>
          <w:color w:val="auto"/>
          <w:highlight w:val="none"/>
        </w:rPr>
        <w:fldChar w:fldCharType="end"/>
      </w:r>
      <w:r/>
    </w:p>
    <w:p>
      <w:pPr>
        <w:pStyle w:val="1197"/>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_Toc2254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第二章  </w:t>
      </w: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须知</w:t>
      </w:r>
      <w:r>
        <w:rPr>
          <w:color w:val="auto"/>
          <w:highlight w:val="none"/>
        </w:rPr>
        <w:tab/>
      </w:r>
      <w:r>
        <w:rPr>
          <w:color w:val="auto"/>
          <w:highlight w:val="none"/>
        </w:rPr>
        <w:fldChar w:fldCharType="begin"/>
      </w:r>
      <w:r>
        <w:rPr>
          <w:color w:val="auto"/>
          <w:highlight w:val="none"/>
        </w:rPr>
        <w:instrText xml:space="preserve"> PAGEREF _Toc2254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eastAsia="宋体" w:cs="宋体"/>
          <w:color w:val="auto"/>
          <w:highlight w:val="none"/>
        </w:rPr>
        <w:fldChar w:fldCharType="end"/>
      </w:r>
      <w:r/>
    </w:p>
    <w:p>
      <w:pPr>
        <w:pStyle w:val="1197"/>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_Toc2200 </w:instrText>
      </w:r>
      <w:r>
        <w:rPr>
          <w:rFonts w:hint="eastAsia" w:ascii="宋体" w:hAnsi="宋体" w:eastAsia="宋体" w:cs="宋体"/>
          <w:color w:val="auto"/>
          <w:highlight w:val="none"/>
        </w:rPr>
        <w:fldChar w:fldCharType="separate"/>
      </w:r>
      <w:r>
        <w:rPr>
          <w:rFonts w:hint="eastAsia"/>
          <w:color w:val="auto"/>
          <w:highlight w:val="none"/>
        </w:rPr>
        <w:t xml:space="preserve">第三章</w:t>
      </w:r>
      <w:r>
        <w:rPr>
          <w:rFonts w:hint="eastAsia"/>
          <w:color w:val="auto"/>
          <w:highlight w:val="none"/>
          <w:lang w:val="en-US" w:eastAsia="zh-CN"/>
        </w:rPr>
        <w:t xml:space="preserve">  </w:t>
      </w:r>
      <w:r>
        <w:rPr>
          <w:color w:val="auto"/>
          <w:highlight w:val="none"/>
        </w:rPr>
        <w:t xml:space="preserve">合同文本</w:t>
      </w:r>
      <w:r>
        <w:rPr>
          <w:color w:val="auto"/>
          <w:highlight w:val="none"/>
        </w:rPr>
        <w:tab/>
      </w:r>
      <w:r>
        <w:rPr>
          <w:color w:val="auto"/>
          <w:highlight w:val="none"/>
        </w:rPr>
        <w:fldChar w:fldCharType="begin"/>
      </w:r>
      <w:r>
        <w:rPr>
          <w:color w:val="auto"/>
          <w:highlight w:val="none"/>
        </w:rPr>
        <w:instrText xml:space="preserve"> PAGEREF _Toc2200 \h </w:instrText>
      </w:r>
      <w:r>
        <w:rPr>
          <w:color w:val="auto"/>
          <w:highlight w:val="none"/>
        </w:rPr>
        <w:fldChar w:fldCharType="separate"/>
      </w:r>
      <w:r>
        <w:rPr>
          <w:color w:val="auto"/>
          <w:highlight w:val="none"/>
        </w:rPr>
        <w:t xml:space="preserve">15</w:t>
      </w:r>
      <w:r>
        <w:rPr>
          <w:color w:val="auto"/>
          <w:highlight w:val="none"/>
        </w:rPr>
        <w:fldChar w:fldCharType="end"/>
      </w:r>
      <w:r>
        <w:rPr>
          <w:rFonts w:hint="eastAsia" w:ascii="宋体" w:hAnsi="宋体" w:eastAsia="宋体" w:cs="宋体"/>
          <w:color w:val="auto"/>
          <w:highlight w:val="none"/>
        </w:rPr>
        <w:fldChar w:fldCharType="end"/>
      </w:r>
      <w:r/>
    </w:p>
    <w:p>
      <w:pPr>
        <w:pStyle w:val="1197"/>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_Toc461 </w:instrText>
      </w:r>
      <w:r>
        <w:rPr>
          <w:rFonts w:hint="eastAsia" w:ascii="宋体" w:hAnsi="宋体" w:eastAsia="宋体" w:cs="宋体"/>
          <w:color w:val="auto"/>
          <w:highlight w:val="none"/>
        </w:rPr>
        <w:fldChar w:fldCharType="separate"/>
      </w:r>
      <w:r>
        <w:rPr>
          <w:rFonts w:hint="eastAsia"/>
          <w:color w:val="auto"/>
          <w:highlight w:val="none"/>
        </w:rPr>
        <w:t xml:space="preserve">第四章 </w:t>
      </w:r>
      <w:r>
        <w:rPr>
          <w:rFonts w:hint="eastAsia"/>
          <w:color w:val="auto"/>
          <w:highlight w:val="none"/>
          <w:lang w:val="en-US" w:eastAsia="zh-CN"/>
        </w:rPr>
        <w:t xml:space="preserve"> </w:t>
      </w:r>
      <w:r>
        <w:rPr>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_Toc461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宋体" w:hAnsi="宋体" w:eastAsia="宋体" w:cs="宋体"/>
          <w:color w:val="auto"/>
          <w:highlight w:val="none"/>
        </w:rPr>
        <w:fldChar w:fldCharType="end"/>
      </w:r>
      <w:r/>
    </w:p>
    <w:p>
      <w:pPr>
        <w:pStyle w:val="1197"/>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_Toc16480 </w:instrText>
      </w:r>
      <w:r>
        <w:rPr>
          <w:rFonts w:hint="eastAsia" w:ascii="宋体" w:hAnsi="宋体" w:eastAsia="宋体" w:cs="宋体"/>
          <w:color w:val="auto"/>
          <w:highlight w:val="none"/>
        </w:rPr>
        <w:fldChar w:fldCharType="separate"/>
      </w:r>
      <w:r>
        <w:rPr>
          <w:rFonts w:hint="eastAsia"/>
          <w:color w:val="auto"/>
          <w:highlight w:val="none"/>
        </w:rPr>
        <w:t xml:space="preserve">第五章</w:t>
      </w:r>
      <w:r>
        <w:rPr>
          <w:rFonts w:hint="eastAsia"/>
          <w:color w:val="auto"/>
          <w:highlight w:val="none"/>
          <w:lang w:val="en-US" w:eastAsia="zh-CN"/>
        </w:rPr>
        <w:t xml:space="preserve">  </w:t>
      </w:r>
      <w:r>
        <w:rPr>
          <w:rFonts w:hint="eastAsia"/>
          <w:color w:val="auto"/>
          <w:highlight w:val="none"/>
        </w:rPr>
        <w:t xml:space="preserve">评标方法与评标标准</w:t>
      </w:r>
      <w:r>
        <w:rPr>
          <w:color w:val="auto"/>
          <w:highlight w:val="none"/>
        </w:rPr>
        <w:tab/>
      </w:r>
      <w:r>
        <w:rPr>
          <w:color w:val="auto"/>
          <w:highlight w:val="none"/>
        </w:rPr>
        <w:fldChar w:fldCharType="begin"/>
      </w:r>
      <w:r>
        <w:rPr>
          <w:color w:val="auto"/>
          <w:highlight w:val="none"/>
        </w:rPr>
        <w:instrText xml:space="preserve"> PAGEREF _Toc16480 \h </w:instrText>
      </w:r>
      <w:r>
        <w:rPr>
          <w:color w:val="auto"/>
          <w:highlight w:val="none"/>
        </w:rPr>
        <w:fldChar w:fldCharType="separate"/>
      </w:r>
      <w:r>
        <w:rPr>
          <w:color w:val="auto"/>
          <w:highlight w:val="none"/>
        </w:rPr>
        <w:t xml:space="preserve">27</w:t>
      </w:r>
      <w:r>
        <w:rPr>
          <w:color w:val="auto"/>
          <w:highlight w:val="none"/>
        </w:rPr>
        <w:fldChar w:fldCharType="end"/>
      </w:r>
      <w:r>
        <w:rPr>
          <w:rFonts w:hint="eastAsia" w:ascii="宋体" w:hAnsi="宋体" w:eastAsia="宋体" w:cs="宋体"/>
          <w:color w:val="auto"/>
          <w:highlight w:val="none"/>
        </w:rPr>
        <w:fldChar w:fldCharType="end"/>
      </w:r>
      <w:r/>
    </w:p>
    <w:p>
      <w:pPr>
        <w:pStyle w:val="1197"/>
        <w:tabs>
          <w:tab w:val="right" w:pos="8953"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_Toc2622 </w:instrText>
      </w:r>
      <w:r>
        <w:rPr>
          <w:rFonts w:hint="eastAsia" w:ascii="宋体" w:hAnsi="宋体" w:eastAsia="宋体" w:cs="宋体"/>
          <w:color w:val="auto"/>
          <w:highlight w:val="none"/>
        </w:rPr>
        <w:fldChar w:fldCharType="separate"/>
      </w:r>
      <w:r>
        <w:rPr>
          <w:rFonts w:hint="eastAsia"/>
          <w:color w:val="auto"/>
          <w:highlight w:val="none"/>
        </w:rPr>
        <w:t xml:space="preserve">第六章 </w:t>
      </w:r>
      <w:r>
        <w:rPr>
          <w:rFonts w:hint="eastAsia"/>
          <w:color w:val="auto"/>
          <w:highlight w:val="none"/>
          <w:lang w:val="en-US" w:eastAsia="zh-CN"/>
        </w:rPr>
        <w:t xml:space="preserve"> </w:t>
      </w:r>
      <w:r>
        <w:rPr>
          <w:rFonts w:hint="eastAsia"/>
          <w:color w:val="auto"/>
          <w:highlight w:val="none"/>
        </w:rPr>
        <w:t xml:space="preserve">投标文件格式</w:t>
      </w:r>
      <w:r>
        <w:rPr>
          <w:color w:val="auto"/>
          <w:highlight w:val="none"/>
        </w:rPr>
        <w:tab/>
      </w:r>
      <w:r>
        <w:rPr>
          <w:color w:val="auto"/>
          <w:highlight w:val="none"/>
        </w:rPr>
        <w:fldChar w:fldCharType="begin"/>
      </w:r>
      <w:r>
        <w:rPr>
          <w:color w:val="auto"/>
          <w:highlight w:val="none"/>
        </w:rPr>
        <w:instrText xml:space="preserve"> PAGEREF _Toc2622 \h </w:instrText>
      </w:r>
      <w:r>
        <w:rPr>
          <w:color w:val="auto"/>
          <w:highlight w:val="none"/>
        </w:rPr>
        <w:fldChar w:fldCharType="separate"/>
      </w:r>
      <w:r>
        <w:rPr>
          <w:color w:val="auto"/>
          <w:highlight w:val="none"/>
        </w:rPr>
        <w:t xml:space="preserve">32</w:t>
      </w:r>
      <w:r>
        <w:rPr>
          <w:color w:val="auto"/>
          <w:highlight w:val="none"/>
        </w:rPr>
        <w:fldChar w:fldCharType="end"/>
      </w:r>
      <w:r>
        <w:rPr>
          <w:rFonts w:hint="eastAsia" w:ascii="宋体" w:hAnsi="宋体" w:eastAsia="宋体" w:cs="宋体"/>
          <w:color w:val="auto"/>
          <w:highlight w:val="none"/>
        </w:rPr>
        <w:fldChar w:fldCharType="end"/>
      </w:r>
      <w:r/>
    </w:p>
    <w:p>
      <w:pP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rPr>
        <w:fldChar w:fldCharType="end"/>
      </w:r>
      <w:r/>
    </w:p>
    <w:p>
      <w:pPr>
        <w:rPr>
          <w:rFonts w:hint="eastAsia"/>
          <w:color w:val="auto"/>
          <w:highlight w:val="none"/>
        </w:rPr>
      </w:pPr>
      <w:r>
        <w:rPr>
          <w:rFonts w:hint="eastAsia"/>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bookmarkStart w:id="3" w:name="_Toc13437"/>
      <w:r>
        <w:rPr>
          <w:rFonts w:hint="eastAsia" w:ascii="宋体" w:hAnsi="宋体" w:eastAsia="宋体" w:cs="宋体"/>
          <w:color w:val="auto"/>
          <w:highlight w:val="none"/>
        </w:rPr>
        <w:br w:type="page" w:clear="all"/>
      </w:r>
      <w:r/>
    </w:p>
    <w:p>
      <w:pPr>
        <w:pStyle w:val="1190"/>
        <w:rPr>
          <w:rFonts w:hint="eastAsia"/>
          <w:color w:val="auto"/>
          <w:highlight w:val="none"/>
        </w:rPr>
      </w:pPr>
      <w:r/>
      <w:bookmarkStart w:id="4" w:name="_Toc5248"/>
      <w:r>
        <w:rPr>
          <w:rFonts w:hint="eastAsia"/>
          <w:color w:val="auto"/>
          <w:highlight w:val="none"/>
        </w:rPr>
        <w:t xml:space="preserve">第一章  投标邀请</w:t>
      </w:r>
      <w:bookmarkEnd w:id="3"/>
      <w:r/>
      <w:bookmarkEnd w:id="4"/>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eastAsia="zh-CN"/>
        </w:rPr>
        <w:t xml:space="preserve">2026年广陵区道路公园绿化养护项目</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 招标项目的潜在</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可在</w:t>
      </w:r>
      <w:r>
        <w:rPr>
          <w:rFonts w:hint="eastAsia" w:ascii="宋体" w:hAnsi="宋体" w:cs="宋体"/>
          <w:color w:val="auto"/>
          <w:sz w:val="21"/>
          <w:szCs w:val="21"/>
          <w:highlight w:val="none"/>
          <w:u w:val="single"/>
          <w:lang w:eastAsia="zh-CN"/>
        </w:rPr>
        <w:t xml:space="preserve">“江苏政府采购网”、“扬州市政府采购网”、“扬州市广陵区政府采购网”</w:t>
      </w:r>
      <w:r>
        <w:rPr>
          <w:rFonts w:hint="eastAsia" w:ascii="宋体" w:hAnsi="宋体" w:eastAsia="宋体" w:cs="宋体"/>
          <w:color w:val="auto"/>
          <w:sz w:val="21"/>
          <w:szCs w:val="21"/>
          <w:highlight w:val="none"/>
          <w:u w:val="none"/>
        </w:rPr>
        <w:t xml:space="preserve">自行免费下载招标文件，</w:t>
      </w:r>
      <w:r>
        <w:rPr>
          <w:rFonts w:hint="eastAsia" w:ascii="宋体" w:hAnsi="宋体" w:eastAsia="宋体" w:cs="宋体"/>
          <w:color w:val="auto"/>
          <w:sz w:val="21"/>
          <w:szCs w:val="21"/>
          <w:highlight w:val="none"/>
        </w:rPr>
        <w:t xml:space="preserve">并于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2026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7</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22</w:t>
      </w:r>
      <w:r>
        <w:rPr>
          <w:rFonts w:hint="eastAsia" w:ascii="宋体" w:hAnsi="宋体" w:eastAsia="宋体" w:cs="宋体"/>
          <w:bCs/>
          <w:color w:val="auto"/>
          <w:sz w:val="21"/>
          <w:szCs w:val="21"/>
          <w:highlight w:val="none"/>
          <w:u w:val="single"/>
        </w:rPr>
        <w:t xml:space="preserve">日</w:t>
      </w:r>
      <w:r>
        <w:rPr>
          <w:rFonts w:hint="eastAsia" w:ascii="宋体" w:hAnsi="宋体" w:eastAsia="宋体" w:cs="宋体"/>
          <w:bCs/>
          <w:color w:val="auto"/>
          <w:sz w:val="21"/>
          <w:szCs w:val="21"/>
          <w:highlight w:val="none"/>
          <w:u w:val="single"/>
          <w:lang w:val="en-US" w:eastAsia="zh-CN"/>
        </w:rPr>
        <w:t xml:space="preserve">09</w:t>
      </w:r>
      <w:r>
        <w:rPr>
          <w:rFonts w:hint="eastAsia" w:ascii="宋体" w:hAnsi="宋体" w:eastAsia="宋体" w:cs="宋体"/>
          <w:bCs/>
          <w:color w:val="auto"/>
          <w:sz w:val="21"/>
          <w:szCs w:val="21"/>
          <w:highlight w:val="none"/>
          <w:u w:val="single"/>
        </w:rPr>
        <w:t xml:space="preserve">点</w:t>
      </w:r>
      <w:r>
        <w:rPr>
          <w:rFonts w:hint="eastAsia" w:ascii="宋体" w:hAnsi="宋体" w:eastAsia="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rPr>
        <w:t xml:space="preserve">分（</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5" w:name="_Toc28359079"/>
      <w:r/>
      <w:bookmarkStart w:id="6" w:name="_Toc35393790"/>
      <w:r/>
      <w:bookmarkStart w:id="7" w:name="_Toc35393621"/>
      <w:r/>
      <w:bookmarkStart w:id="8" w:name="_Toc28359002"/>
      <w:r/>
      <w:bookmarkStart w:id="9" w:name="_Toc38985263"/>
      <w:r/>
      <w:bookmarkStart w:id="10" w:name="_Hlk24379207"/>
      <w:r>
        <w:rPr>
          <w:rFonts w:hint="eastAsia" w:ascii="宋体" w:hAnsi="宋体" w:eastAsia="宋体" w:cs="宋体"/>
          <w:b/>
          <w:bCs/>
          <w:color w:val="auto"/>
          <w:highlight w:val="none"/>
        </w:rPr>
        <w:t xml:space="preserve">一、项目基本情况</w:t>
      </w:r>
      <w:bookmarkEnd w:id="5"/>
      <w:r/>
      <w:bookmarkEnd w:id="6"/>
      <w:r/>
      <w:bookmarkEnd w:id="7"/>
      <w:r/>
      <w:bookmarkEnd w:id="8"/>
      <w:r/>
      <w:bookmarkEnd w:id="9"/>
      <w:r/>
      <w:r/>
    </w:p>
    <w:p>
      <w:pPr>
        <w:ind w:firstLine="420"/>
        <w:keepLines w:val="0"/>
        <w:keepNext w:val="0"/>
        <w:pageBreakBefore w:val="0"/>
        <w:spacing w:before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JSZC-321002-JSYR-G2026-0004</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bookmarkEnd w:id="10"/>
      <w:r>
        <w:rPr>
          <w:rFonts w:hint="eastAsia" w:ascii="宋体" w:hAnsi="宋体" w:eastAsia="宋体" w:cs="宋体"/>
          <w:color w:val="auto"/>
          <w:sz w:val="21"/>
          <w:szCs w:val="21"/>
          <w:highlight w:val="none"/>
          <w:lang w:eastAsia="zh-CN"/>
        </w:rPr>
        <w:t xml:space="preserve">2026年广陵区道路公园绿化养护项目</w:t>
      </w:r>
      <w:r/>
    </w:p>
    <w:p>
      <w:p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3.预算金额：</w:t>
      </w:r>
      <w:r>
        <w:rPr>
          <w:rFonts w:hint="eastAsia" w:ascii="宋体" w:hAnsi="宋体" w:cs="宋体"/>
          <w:color w:val="auto"/>
          <w:sz w:val="21"/>
          <w:szCs w:val="21"/>
          <w:highlight w:val="none"/>
          <w:lang w:val="en-US" w:eastAsia="zh-CN"/>
        </w:rPr>
        <w:t xml:space="preserve">987万元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本项目设置最高限价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858.05万元，</w:t>
      </w:r>
      <w:r>
        <w:rPr>
          <w:rFonts w:hint="eastAsia" w:ascii="宋体" w:hAnsi="宋体" w:eastAsia="宋体" w:cs="宋体"/>
          <w:color w:val="auto"/>
          <w:sz w:val="21"/>
          <w:szCs w:val="21"/>
          <w:highlight w:val="none"/>
        </w:rPr>
        <w:t xml:space="preserve">本项目设定最高限价，报价超过最高限价的为无效报价，按照无效响应处理</w:t>
      </w:r>
      <w:r/>
    </w:p>
    <w:p>
      <w:pPr>
        <w:ind w:firstLine="420"/>
        <w:keepLines w:val="0"/>
        <w:keepNext w:val="0"/>
        <w:pageBreakBefore w:val="0"/>
        <w:spacing w:afterAutospacing="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b w:val="0"/>
          <w:bCs w:val="0"/>
          <w:color w:val="auto"/>
          <w:sz w:val="21"/>
          <w:szCs w:val="21"/>
          <w:highlight w:val="none"/>
          <w:lang w:val="en-US" w:eastAsia="zh-CN" w:bidi="ar-SA"/>
        </w:rPr>
        <w:t xml:space="preserve">采购需求：广陵区道路行道树及道路退让带绿化日常养护、公园绿化日常养护，总养护面积约</w:t>
      </w:r>
      <w:r>
        <w:rPr>
          <w:rFonts w:hint="eastAsia" w:ascii="宋体" w:hAnsi="宋体" w:cs="宋体"/>
          <w:b w:val="0"/>
          <w:bCs w:val="0"/>
          <w:color w:val="auto"/>
          <w:sz w:val="21"/>
          <w:szCs w:val="21"/>
          <w:highlight w:val="none"/>
          <w:lang w:val="en-US" w:eastAsia="zh-CN" w:bidi="ar-SA"/>
        </w:rPr>
        <w:t xml:space="preserve">270</w:t>
      </w:r>
      <w:r>
        <w:rPr>
          <w:rFonts w:hint="eastAsia" w:ascii="宋体" w:hAnsi="宋体" w:eastAsia="宋体" w:cs="宋体"/>
          <w:b w:val="0"/>
          <w:bCs w:val="0"/>
          <w:color w:val="auto"/>
          <w:sz w:val="21"/>
          <w:szCs w:val="21"/>
          <w:highlight w:val="none"/>
          <w:lang w:val="en-US" w:eastAsia="zh-CN" w:bidi="ar-SA"/>
        </w:rPr>
        <w:t xml:space="preserve">万平方</w:t>
      </w:r>
      <w:r>
        <w:rPr>
          <w:rFonts w:ascii="宋体" w:hAnsi="宋体" w:eastAsia="宋体" w:cs="宋体"/>
          <w:color w:val="auto"/>
          <w:sz w:val="21"/>
          <w:szCs w:val="21"/>
          <w:highlight w:val="none"/>
        </w:rPr>
        <w:t xml:space="preserve">（详细内容见本招标文件第四章）</w:t>
      </w:r>
      <w:r>
        <w:rPr>
          <w:rFonts w:hint="eastAsia" w:ascii="宋体" w:hAnsi="宋体" w:eastAsia="宋体" w:cs="宋体"/>
          <w:b w:val="0"/>
          <w:bCs w:val="0"/>
          <w:color w:val="auto"/>
          <w:sz w:val="21"/>
          <w:szCs w:val="21"/>
          <w:highlight w:val="none"/>
          <w:lang w:val="en-US" w:eastAsia="zh-CN" w:bidi="ar-SA"/>
        </w:rPr>
        <w:t xml:space="preserve">。</w:t>
      </w:r>
      <w:r/>
    </w:p>
    <w:p>
      <w:pPr>
        <w:ind w:firstLine="420"/>
        <w:keepLines w:val="0"/>
        <w:keepNext w:val="0"/>
        <w:pageBreakBefore w:val="0"/>
        <w:spacing w:afterAutospacing="0" w:line="360" w:lineRule="auto"/>
        <w:widowControl w:val="off"/>
        <w:rPr>
          <w:rFonts w:hint="eastAsia" w:ascii="宋体" w:hAnsi="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6.合同履行期限：</w:t>
      </w:r>
      <w:bookmarkStart w:id="11" w:name="_Toc35393791"/>
      <w:r/>
      <w:bookmarkStart w:id="12" w:name="_Toc35393622"/>
      <w:r/>
      <w:bookmarkStart w:id="13" w:name="_Toc28359003"/>
      <w:r/>
      <w:bookmarkStart w:id="14" w:name="_Toc38985264"/>
      <w:r/>
      <w:bookmarkStart w:id="15" w:name="_Toc28359080"/>
      <w:r>
        <w:rPr>
          <w:rFonts w:hint="eastAsia" w:ascii="宋体" w:hAnsi="宋体" w:eastAsia="宋体" w:cs="宋体"/>
          <w:b w:val="0"/>
          <w:bCs w:val="0"/>
          <w:color w:val="auto"/>
          <w:sz w:val="21"/>
          <w:szCs w:val="21"/>
          <w:highlight w:val="none"/>
          <w:lang w:val="en-US" w:eastAsia="zh-CN" w:bidi="ar-SA"/>
        </w:rPr>
        <w:t xml:space="preserve">本项目服务期限为</w:t>
      </w:r>
      <w:r>
        <w:rPr>
          <w:rFonts w:hint="eastAsia" w:ascii="宋体" w:hAnsi="宋体" w:cs="宋体"/>
          <w:b w:val="0"/>
          <w:bCs w:val="0"/>
          <w:color w:val="auto"/>
          <w:sz w:val="21"/>
          <w:szCs w:val="21"/>
          <w:highlight w:val="none"/>
          <w:lang w:val="en-US" w:eastAsia="zh-CN" w:bidi="ar-SA"/>
        </w:rPr>
        <w:t xml:space="preserve">一</w:t>
      </w:r>
      <w:r>
        <w:rPr>
          <w:rFonts w:hint="eastAsia" w:ascii="宋体" w:hAnsi="宋体" w:eastAsia="宋体" w:cs="宋体"/>
          <w:b w:val="0"/>
          <w:bCs w:val="0"/>
          <w:color w:val="auto"/>
          <w:sz w:val="21"/>
          <w:szCs w:val="21"/>
          <w:highlight w:val="none"/>
          <w:lang w:val="en-US" w:eastAsia="zh-CN" w:bidi="ar-SA"/>
        </w:rPr>
        <w:t xml:space="preserve">年，起始日期以合同约定为准</w:t>
      </w:r>
      <w:r>
        <w:rPr>
          <w:rFonts w:hint="eastAsia" w:ascii="宋体" w:hAnsi="宋体" w:cs="宋体"/>
          <w:b w:val="0"/>
          <w:bCs w:val="0"/>
          <w:color w:val="auto"/>
          <w:sz w:val="21"/>
          <w:szCs w:val="21"/>
          <w:highlight w:val="none"/>
          <w:lang w:val="en-US" w:eastAsia="zh-CN" w:bidi="ar-SA"/>
        </w:rPr>
        <w:t xml:space="preserve">。</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本项目</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不</w:t>
      </w:r>
      <w:r>
        <w:rPr>
          <w:rFonts w:hint="eastAsia" w:ascii="宋体" w:hAnsi="宋体"/>
          <w:color w:val="auto"/>
          <w:szCs w:val="21"/>
          <w:highlight w:val="none"/>
          <w:u w:val="single"/>
        </w:rPr>
        <w:t xml:space="preserve">接受 </w:t>
      </w:r>
      <w:r>
        <w:rPr>
          <w:rFonts w:hint="eastAsia" w:ascii="宋体" w:hAnsi="宋体"/>
          <w:color w:val="auto"/>
          <w:szCs w:val="21"/>
          <w:highlight w:val="none"/>
        </w:rPr>
        <w:t xml:space="preserve">联合体</w:t>
      </w:r>
      <w:r>
        <w:rPr>
          <w:rFonts w:hint="eastAsia" w:ascii="宋体" w:hAnsi="宋体"/>
          <w:color w:val="auto"/>
          <w:szCs w:val="21"/>
          <w:highlight w:val="none"/>
          <w:lang w:eastAsia="zh-CN"/>
        </w:rPr>
        <w:t xml:space="preserve">投标</w:t>
      </w:r>
      <w:r>
        <w:rPr>
          <w:rFonts w:hint="eastAsia" w:ascii="宋体" w:hAnsi="宋体" w:cs="宋体"/>
          <w:color w:val="auto"/>
          <w:highlight w:val="none"/>
        </w:rPr>
        <w:t xml:space="preserve">。</w:t>
      </w:r>
      <w:r/>
    </w:p>
    <w:p>
      <w:pPr>
        <w:ind w:firstLine="420"/>
        <w:rPr>
          <w:rFonts w:hint="eastAsia" w:ascii="宋体" w:hAnsi="宋体" w:eastAsia="宋体" w:cs="宋体"/>
          <w:color w:val="auto"/>
          <w:highlight w:val="none"/>
          <w:lang w:val="en-US" w:eastAsia="zh-CN"/>
        </w:rPr>
      </w:pPr>
      <w:r/>
      <w:bookmarkStart w:id="16" w:name="_Toc11111"/>
      <w:r/>
      <w:bookmarkStart w:id="17" w:name="_Toc94"/>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w:t>
      </w:r>
      <w:r>
        <w:rPr>
          <w:rFonts w:hint="eastAsia" w:ascii="宋体" w:hAnsi="宋体" w:eastAsia="宋体" w:cs="宋体"/>
          <w:color w:val="auto"/>
          <w:highlight w:val="none"/>
          <w:u w:val="single"/>
        </w:rPr>
        <w:t xml:space="preserve"> 不接受 </w:t>
      </w:r>
      <w:r>
        <w:rPr>
          <w:rFonts w:hint="eastAsia" w:ascii="宋体" w:hAnsi="宋体" w:eastAsia="宋体" w:cs="宋体"/>
          <w:color w:val="auto"/>
          <w:highlight w:val="none"/>
        </w:rPr>
        <w:t xml:space="preserve">进口产品参加</w:t>
      </w:r>
      <w:r>
        <w:rPr>
          <w:rFonts w:hint="eastAsia" w:ascii="宋体" w:hAnsi="宋体" w:eastAsia="宋体" w:cs="宋体"/>
          <w:color w:val="auto"/>
          <w:highlight w:val="none"/>
          <w:lang w:eastAsia="zh-CN"/>
        </w:rPr>
        <w:t xml:space="preserve">投标</w:t>
      </w:r>
      <w:r>
        <w:rPr>
          <w:rFonts w:hint="eastAsia" w:ascii="宋体" w:hAnsi="宋体" w:eastAsia="宋体" w:cs="宋体"/>
          <w:color w:val="auto"/>
          <w:highlight w:val="none"/>
        </w:rPr>
        <w:t xml:space="preserve">。</w:t>
      </w:r>
      <w:bookmarkEnd w:id="16"/>
      <w:r/>
      <w:bookmarkEnd w:id="17"/>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二、申请人的资格要求：</w:t>
      </w:r>
      <w:bookmarkEnd w:id="11"/>
      <w:r/>
      <w:bookmarkEnd w:id="12"/>
      <w:r/>
      <w:bookmarkEnd w:id="13"/>
      <w:r/>
      <w:bookmarkEnd w:id="14"/>
      <w:r/>
      <w:bookmarkEnd w:id="15"/>
      <w:r/>
      <w:r/>
    </w:p>
    <w:p>
      <w:pPr>
        <w:ind w:firstLine="420"/>
        <w:keepLines w:val="0"/>
        <w:keepNext w:val="0"/>
        <w:pageBreakBefore w:val="0"/>
        <w:spacing w:beforeAutospacing="0" w:line="360" w:lineRule="auto"/>
        <w:widowControl w:val="off"/>
        <w:rPr>
          <w:rFonts w:hint="eastAsia" w:ascii="宋体" w:hAnsi="宋体" w:eastAsia="宋体" w:cs="宋体"/>
          <w:color w:val="auto"/>
          <w:sz w:val="21"/>
          <w:szCs w:val="21"/>
          <w:highlight w:val="none"/>
        </w:rPr>
      </w:pPr>
      <w:r/>
      <w:bookmarkStart w:id="18" w:name="_Toc35393623"/>
      <w:r/>
      <w:bookmarkStart w:id="19" w:name="_Toc28359081"/>
      <w:r/>
      <w:bookmarkStart w:id="20" w:name="_Toc35393792"/>
      <w:r/>
      <w:bookmarkStart w:id="21" w:name="_Toc28359004"/>
      <w:r/>
      <w:bookmarkStart w:id="22" w:name="_Toc38985265"/>
      <w:r>
        <w:rPr>
          <w:rFonts w:hint="eastAsia" w:ascii="宋体" w:hAnsi="宋体" w:eastAsia="宋体" w:cs="宋体"/>
          <w:color w:val="auto"/>
          <w:sz w:val="21"/>
          <w:szCs w:val="21"/>
          <w:highlight w:val="none"/>
        </w:rPr>
        <w:t xml:space="preserve">（一）通用资格要求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1.满足《中华人民共和国政府采购法》第二十二条规定，并提供下列材料：</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 法人或者其他组织的营业执照等证明文件，自然人的身份证明；</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w:t>
      </w:r>
      <w:r>
        <w:rPr>
          <w:rFonts w:hint="eastAsia" w:ascii="宋体" w:hAnsi="宋体" w:eastAsia="宋体" w:cs="宋体"/>
          <w:i/>
          <w:iCs/>
          <w:color w:val="auto"/>
          <w:sz w:val="21"/>
          <w:szCs w:val="21"/>
          <w:highlight w:val="none"/>
          <w:u w:val="single"/>
          <w:lang w:val="en-US" w:eastAsia="zh-CN"/>
        </w:rPr>
        <w:t xml:space="preserve"> </w:t>
      </w:r>
      <w:r>
        <w:rPr>
          <w:rFonts w:hint="eastAsia" w:ascii="宋体" w:hAnsi="宋体" w:cs="宋体"/>
          <w:i/>
          <w:iCs/>
          <w:color w:val="auto"/>
          <w:sz w:val="21"/>
          <w:szCs w:val="21"/>
          <w:highlight w:val="none"/>
          <w:u w:val="single"/>
          <w:lang w:val="en-US" w:eastAsia="zh-CN"/>
        </w:rPr>
        <w:t xml:space="preserve">上一年度</w:t>
      </w:r>
      <w:r>
        <w:rPr>
          <w:rFonts w:hint="eastAsia" w:ascii="宋体" w:hAnsi="宋体" w:eastAsia="宋体" w:cs="宋体"/>
          <w:i/>
          <w:iCs/>
          <w:color w:val="auto"/>
          <w:sz w:val="21"/>
          <w:szCs w:val="21"/>
          <w:highlight w:val="none"/>
          <w:u w:val="single"/>
        </w:rPr>
        <w:t xml:space="preserve">财务报告情况（成立不满一年无需提供）；</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1.3依法缴纳税收和社会保障资金的相关材料（提供提交投标文件截止时间前一年内至少一个月依法缴纳税收及缴纳社会保障资金的证明材料。</w:t>
      </w:r>
      <w:r>
        <w:rPr>
          <w:rFonts w:hint="eastAsia" w:ascii="宋体" w:hAnsi="宋体" w:cs="宋体"/>
          <w:i/>
          <w:iCs/>
          <w:color w:val="auto"/>
          <w:sz w:val="21"/>
          <w:szCs w:val="21"/>
          <w:highlight w:val="none"/>
          <w:u w:val="single"/>
          <w:lang w:eastAsia="zh-CN"/>
        </w:rPr>
        <w:t xml:space="preserve">供应商</w:t>
      </w:r>
      <w:r>
        <w:rPr>
          <w:rFonts w:hint="eastAsia" w:ascii="宋体" w:hAnsi="宋体" w:eastAsia="宋体" w:cs="宋体"/>
          <w:i/>
          <w:iCs/>
          <w:color w:val="auto"/>
          <w:sz w:val="21"/>
          <w:szCs w:val="21"/>
          <w:highlight w:val="none"/>
          <w:u w:val="single"/>
        </w:rPr>
        <w:t xml:space="preserve">依法享受缓缴、免缴税收、社会保障资金的提供证明材料）；</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1.4具备履行合同所必需的设备和专业技术能力的书面声明；</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1.5参加政府采购活动前3年内在经营活动中没有重大违法记录的书面声明。</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keepLines w:val="0"/>
        <w:keepNext w:val="0"/>
        <w:pageBreakBefore w:val="0"/>
        <w:spacing w:line="360" w:lineRule="auto"/>
        <w:widowControl w:val="off"/>
        <w:rPr>
          <w:rFonts w:hint="default"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1.6</w:t>
      </w:r>
      <w:r>
        <w:rPr>
          <w:rFonts w:hint="eastAsia" w:ascii="宋体" w:hAnsi="宋体" w:eastAsia="宋体" w:cs="宋体"/>
          <w:i/>
          <w:iCs/>
          <w:color w:val="auto"/>
          <w:sz w:val="21"/>
          <w:szCs w:val="21"/>
          <w:highlight w:val="none"/>
          <w:u w:val="single"/>
        </w:rPr>
        <w:t xml:space="preserve">供应商信用承诺函</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原件扫描上传）</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cs="宋体"/>
          <w:i/>
          <w:iCs/>
          <w:color w:val="auto"/>
          <w:sz w:val="21"/>
          <w:szCs w:val="21"/>
          <w:highlight w:val="none"/>
          <w:u w:val="single"/>
          <w:lang w:val="en-US" w:eastAsia="zh-CN"/>
        </w:rPr>
        <w:t xml:space="preserve">1.7</w:t>
      </w:r>
      <w:r>
        <w:rPr>
          <w:rFonts w:hint="eastAsia" w:ascii="宋体" w:hAnsi="宋体" w:eastAsia="宋体" w:cs="宋体"/>
          <w:i/>
          <w:iCs/>
          <w:color w:val="auto"/>
          <w:sz w:val="21"/>
          <w:szCs w:val="21"/>
          <w:highlight w:val="none"/>
          <w:u w:val="singl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i/>
          <w:iCs/>
          <w:color w:val="auto"/>
          <w:sz w:val="21"/>
          <w:szCs w:val="21"/>
          <w:highlight w:val="none"/>
          <w:u w:val="single"/>
          <w:lang w:eastAsia="zh-CN"/>
        </w:rPr>
        <w:t xml:space="preserve">。</w:t>
      </w:r>
      <w:r/>
    </w:p>
    <w:p>
      <w:pPr>
        <w:numPr>
          <w:ilvl w:val="0"/>
          <w:numId w:val="2"/>
        </w:numPr>
        <w:ind w:right="0" w:firstLine="420"/>
        <w:jc w:val="both"/>
        <w:keepLines w:val="0"/>
        <w:keepNext w:val="0"/>
        <w:pageBreakBefore w:val="0"/>
        <w:spacing w:before="0" w:after="0" w:line="360" w:lineRule="auto"/>
        <w:widowControl w:val="off"/>
        <w:rPr>
          <w:rFonts w:hint="eastAsia" w:ascii="宋体" w:hAnsi="宋体" w:eastAsia="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rPr>
        <w:t xml:space="preserve">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hint="eastAsia" w:ascii="宋体" w:hAnsi="宋体" w:eastAsia="宋体" w:cs="宋体"/>
          <w:i/>
          <w:iCs/>
          <w:color w:val="auto"/>
          <w:sz w:val="21"/>
          <w:szCs w:val="21"/>
          <w:highlight w:val="none"/>
          <w:u w:val="single"/>
          <w:lang w:eastAsia="zh-CN"/>
        </w:rPr>
        <w:t xml:space="preserve">原件扫描上传</w:t>
      </w:r>
      <w:r>
        <w:rPr>
          <w:rFonts w:hint="eastAsia" w:ascii="宋体" w:hAnsi="宋体" w:eastAsia="宋体" w:cs="宋体"/>
          <w:i/>
          <w:iCs/>
          <w:color w:val="auto"/>
          <w:sz w:val="21"/>
          <w:szCs w:val="21"/>
          <w:highlight w:val="none"/>
          <w:u w:val="single"/>
        </w:rPr>
        <w:t xml:space="preserve">）</w:t>
      </w:r>
      <w:r/>
    </w:p>
    <w:p>
      <w:pPr>
        <w:ind w:firstLine="420"/>
        <w:spacing w:line="360" w:lineRule="auto"/>
        <w:rPr>
          <w:rFonts w:hint="eastAsia" w:ascii="宋体" w:hAnsi="宋体" w:cs="宋体"/>
          <w:color w:val="auto"/>
          <w:sz w:val="21"/>
          <w:szCs w:val="21"/>
          <w:highlight w:val="none"/>
          <w:lang w:eastAsia="zh-CN"/>
        </w:rPr>
      </w:pPr>
      <w:r>
        <w:rPr>
          <w:rFonts w:hint="eastAsia" w:ascii="宋体" w:hAnsi="宋体" w:cs="宋体"/>
          <w:bCs/>
          <w:i/>
          <w:iCs/>
          <w:color w:val="auto"/>
          <w:szCs w:val="21"/>
          <w:highlight w:val="none"/>
          <w:u w:val="single"/>
        </w:rPr>
        <w:t xml:space="preserve">本项目采购标的按中小企业划分标准所属行业区分为：</w:t>
      </w:r>
      <w:r>
        <w:rPr>
          <w:rFonts w:hint="eastAsia" w:ascii="宋体" w:hAnsi="宋体" w:cs="宋体"/>
          <w:b/>
          <w:bCs w:val="0"/>
          <w:i/>
          <w:iCs/>
          <w:color w:val="auto"/>
          <w:szCs w:val="21"/>
          <w:highlight w:val="none"/>
          <w:u w:val="single"/>
          <w:lang w:val="en-US" w:eastAsia="zh-CN"/>
        </w:rPr>
        <w:t xml:space="preserve">其他未列明行业</w:t>
      </w:r>
      <w:r>
        <w:rPr>
          <w:rFonts w:hint="eastAsia" w:ascii="宋体" w:hAnsi="宋体" w:cs="宋体"/>
          <w:bCs/>
          <w:i/>
          <w:iCs/>
          <w:color w:val="auto"/>
          <w:szCs w:val="21"/>
          <w:highlight w:val="none"/>
          <w:u w:val="single"/>
        </w:rPr>
        <w:t xml:space="preserve">（中小微企业划型标准网</w:t>
      </w:r>
      <w:r>
        <w:rPr>
          <w:color w:val="auto"/>
          <w:highlight w:val="none"/>
        </w:rPr>
        <w:fldChar w:fldCharType="begin"/>
      </w:r>
      <w:r>
        <w:rPr>
          <w:color w:val="auto"/>
          <w:highlight w:val="none"/>
        </w:rPr>
        <w:instrText xml:space="preserve"> HYPERLINK "http://www.ccgp.gov.cn/zcfg/mof/201310/t20131029_3587674.htm" </w:instrText>
      </w:r>
      <w:r>
        <w:rPr>
          <w:color w:val="auto"/>
          <w:highlight w:val="none"/>
        </w:rPr>
        <w:fldChar w:fldCharType="separate"/>
      </w:r>
      <w:r>
        <w:rPr>
          <w:rStyle w:val="1201"/>
          <w:rFonts w:hint="eastAsia" w:ascii="宋体" w:hAnsi="宋体" w:cs="宋体"/>
          <w:bCs/>
          <w:i/>
          <w:iCs/>
          <w:color w:val="auto"/>
          <w:szCs w:val="21"/>
          <w:highlight w:val="none"/>
        </w:rPr>
        <w:t xml:space="preserve">http://www.ccgp.gov.cn/zcfg/mof/201310/t20131029_3587674.htm</w:t>
      </w:r>
      <w:r>
        <w:rPr>
          <w:rStyle w:val="1201"/>
          <w:rFonts w:hint="eastAsia" w:ascii="宋体" w:hAnsi="宋体" w:cs="宋体"/>
          <w:bCs/>
          <w:i/>
          <w:iCs/>
          <w:color w:val="auto"/>
          <w:szCs w:val="21"/>
          <w:highlight w:val="none"/>
        </w:rPr>
        <w:fldChar w:fldCharType="end"/>
      </w:r>
      <w:r>
        <w:rPr>
          <w:rFonts w:hint="eastAsia" w:ascii="宋体" w:hAnsi="宋体" w:cs="宋体"/>
          <w:bCs/>
          <w:i/>
          <w:iCs/>
          <w:color w:val="auto"/>
          <w:szCs w:val="21"/>
          <w:highlight w:val="none"/>
          <w:u w:val="single"/>
        </w:rPr>
        <w:t xml:space="preserve">）。</w:t>
      </w:r>
      <w:r/>
    </w:p>
    <w:p>
      <w:pPr>
        <w:numPr>
          <w:ilvl w:val="0"/>
          <w:numId w:val="2"/>
        </w:numPr>
        <w:ind w:left="0" w:firstLine="420"/>
        <w:keepLines w:val="0"/>
        <w:keepNext w:val="0"/>
        <w:pageBreakBefore w:val="0"/>
        <w:spacing w:line="360" w:lineRule="auto"/>
        <w:widowControl w:val="off"/>
        <w:rPr>
          <w:rFonts w:hint="eastAsia" w:ascii="宋体" w:hAnsi="宋体" w:cs="宋体"/>
          <w:i/>
          <w:iCs/>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本项目的特定资格要求</w:t>
      </w:r>
      <w:r>
        <w:rPr>
          <w:rFonts w:hint="eastAsia" w:ascii="宋体" w:hAnsi="宋体" w:eastAsia="宋体" w:cs="宋体"/>
          <w:color w:val="auto"/>
          <w:sz w:val="21"/>
          <w:szCs w:val="21"/>
          <w:highlight w:val="none"/>
          <w:lang w:eastAsia="zh-CN"/>
        </w:rPr>
        <w:t xml:space="preserve">：</w:t>
      </w:r>
      <w:r>
        <w:rPr>
          <w:rFonts w:hint="eastAsia" w:ascii="宋体" w:hAnsi="宋体" w:cs="宋体"/>
          <w:i/>
          <w:iCs/>
          <w:color w:val="auto"/>
          <w:sz w:val="21"/>
          <w:szCs w:val="21"/>
          <w:highlight w:val="none"/>
          <w:u w:val="single"/>
          <w:lang w:val="en-US" w:eastAsia="zh-CN"/>
        </w:rPr>
        <w:t xml:space="preserve">无</w:t>
      </w:r>
      <w:r/>
    </w:p>
    <w:p>
      <w:pPr>
        <w:ind w:firstLine="420"/>
        <w:spacing w:line="360" w:lineRule="auto"/>
        <w:rPr>
          <w:rFonts w:hint="eastAsia" w:ascii="宋体" w:hAnsi="宋体" w:eastAsia="宋体" w:cs="宋体"/>
          <w:color w:val="auto"/>
          <w:szCs w:val="24"/>
          <w:highlight w:val="none"/>
        </w:rPr>
      </w:pPr>
      <w:r>
        <w:rPr>
          <w:rFonts w:hint="eastAsia" w:ascii="宋体" w:hAnsi="宋体"/>
          <w:color w:val="auto"/>
          <w:highlight w:val="none"/>
          <w:lang w:val="en-US" w:eastAsia="zh-CN"/>
        </w:rPr>
        <w:t xml:space="preserve">（四）</w:t>
      </w:r>
      <w:r>
        <w:rPr>
          <w:rFonts w:hint="eastAsia" w:ascii="宋体" w:hAnsi="宋体" w:eastAsia="宋体" w:cs="宋体"/>
          <w:color w:val="auto"/>
          <w:szCs w:val="24"/>
          <w:highlight w:val="none"/>
        </w:rPr>
        <w:t xml:space="preserve">其它资格条件：</w:t>
      </w:r>
      <w:r/>
    </w:p>
    <w:p>
      <w:pPr>
        <w:ind w:firstLine="420"/>
        <w:spacing w:line="360" w:lineRule="auto"/>
        <w:rPr>
          <w:rFonts w:ascii="宋体" w:hAnsi="宋体" w:cs="宋体"/>
          <w:bCs/>
          <w:color w:val="auto"/>
          <w:szCs w:val="21"/>
          <w:highlight w:val="none"/>
        </w:rPr>
      </w:pPr>
      <w:r/>
      <w:bookmarkStart w:id="23" w:name="OLE_LINK39"/>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投标人未被列入失信被执行人、重大税收违法案件当事人名单、政府采购严重失信行为记录名单；</w:t>
      </w:r>
      <w:bookmarkEnd w:id="23"/>
      <w:r/>
      <w:r/>
    </w:p>
    <w:p>
      <w:pPr>
        <w:ind w:firstLine="420"/>
        <w:spacing w:line="360" w:lineRule="auto"/>
        <w:rPr>
          <w:rFonts w:ascii="宋体" w:hAnsi="宋体" w:cs="宋体"/>
          <w:bCs/>
          <w:color w:val="auto"/>
          <w:szCs w:val="21"/>
          <w:highlight w:val="none"/>
        </w:rPr>
      </w:pPr>
      <w:r/>
      <w:bookmarkStart w:id="24" w:name="OLE_LINK41"/>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投标人单位负责人为同一人或者存在直接控股、管理关系的不同投标人（包含法定代表人为同一个人的两个及两个以上法人，母公司、全资子公司及其控股公司），不得参加同一合同项下的政府采购活动。</w:t>
      </w:r>
      <w:bookmarkEnd w:id="24"/>
      <w:r/>
      <w:r/>
    </w:p>
    <w:p>
      <w:pPr>
        <w:ind w:firstLine="420"/>
        <w:spacing w:line="360" w:lineRule="auto"/>
        <w:rPr>
          <w:rFonts w:hint="default" w:ascii="宋体" w:hAnsi="宋体" w:cs="宋体"/>
          <w:i/>
          <w:iCs/>
          <w:color w:val="auto"/>
          <w:sz w:val="21"/>
          <w:szCs w:val="21"/>
          <w:highlight w:val="none"/>
          <w:u w:val="single"/>
          <w:lang w:val="en-US" w:eastAsia="zh-CN"/>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为采购项目提供整体设计、规范编制或者项目管理、监理、检测等服务的投标人，不得再参加该采购项目的其他采购活动</w:t>
      </w:r>
      <w:r>
        <w:rPr>
          <w:rFonts w:hint="eastAsia" w:ascii="宋体" w:hAnsi="宋体" w:eastAsia="宋体" w:cs="宋体"/>
          <w:color w:val="auto"/>
          <w:szCs w:val="24"/>
          <w:highlight w:val="none"/>
          <w:lang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sz w:val="21"/>
          <w:szCs w:val="21"/>
          <w:highlight w:val="none"/>
          <w:lang w:val="en-US" w:eastAsia="zh-CN" w:bidi="ar-SA"/>
        </w:rPr>
        <w:t xml:space="preserve">三、</w:t>
      </w:r>
      <w:r>
        <w:rPr>
          <w:rFonts w:hint="eastAsia" w:ascii="宋体" w:hAnsi="宋体" w:eastAsia="宋体" w:cs="宋体"/>
          <w:b/>
          <w:bCs/>
          <w:color w:val="auto"/>
          <w:highlight w:val="none"/>
        </w:rPr>
        <w:t xml:space="preserve">获取招标文件</w:t>
      </w:r>
      <w:bookmarkEnd w:id="18"/>
      <w:r/>
      <w:bookmarkEnd w:id="19"/>
      <w:r/>
      <w:bookmarkEnd w:id="20"/>
      <w:r/>
      <w:bookmarkEnd w:id="21"/>
      <w:r/>
      <w:bookmarkEnd w:id="22"/>
      <w:r/>
      <w:r/>
    </w:p>
    <w:p>
      <w:pPr>
        <w:ind w:firstLine="54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25" w:name="_Toc28359008"/>
      <w:r/>
      <w:bookmarkStart w:id="26" w:name="_Toc28359085"/>
      <w:r/>
      <w:bookmarkStart w:id="27" w:name="_Toc35393627"/>
      <w:r/>
      <w:bookmarkStart w:id="28" w:name="_Toc38985269"/>
      <w:r/>
      <w:bookmarkStart w:id="29" w:name="_Toc35393796"/>
      <w:r>
        <w:rPr>
          <w:rFonts w:hint="eastAsia" w:ascii="宋体" w:hAnsi="宋体" w:eastAsia="宋体" w:cs="宋体"/>
          <w:color w:val="auto"/>
          <w:sz w:val="21"/>
          <w:szCs w:val="21"/>
          <w:highlight w:val="none"/>
        </w:rPr>
        <w:t xml:space="preserve">1.时间：自</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公告发布之日起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个工作日后仍可下载</w:t>
      </w:r>
      <w:r>
        <w:rPr>
          <w:rFonts w:hint="eastAsia" w:ascii="宋体" w:hAnsi="宋体" w:eastAsia="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，但不作为供应商权益受到损害的证明材料和依据。</w:t>
      </w:r>
      <w:r/>
    </w:p>
    <w:p>
      <w:pPr>
        <w:ind w:firstLine="54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2.获取方式：本项目采用网上注册登记方式。</w:t>
      </w:r>
      <w:r/>
    </w:p>
    <w:p>
      <w:pPr>
        <w:ind w:firstLine="54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3.潜在供应商访问政府采购管理交易系统（苏采云）的网络地址和方法：</w:t>
      </w:r>
      <w:r/>
    </w:p>
    <w:p>
      <w:pPr>
        <w:ind w:firstLine="54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（1）潜在供应商访问政府采购管理交易系统（苏采云）的方法：“苏采云”系统用户注册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获取“CA数字证书”--CA绑定与登录--网上报名</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下载</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（后缀名为“.kedt”）--将后缀名为“.kedt”的</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导入政府采购客户端工具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制作</w:t>
      </w:r>
      <w:r>
        <w:rPr>
          <w:rFonts w:hint="eastAsia" w:ascii="宋体" w:hAnsi="宋体" w:eastAsia="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导出加密的</w:t>
      </w:r>
      <w:r>
        <w:rPr>
          <w:rFonts w:hint="eastAsia" w:ascii="宋体" w:hAnsi="宋体" w:eastAsia="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（后缀名为zip）--通过“苏采云”系统上传</w:t>
      </w:r>
      <w:r>
        <w:rPr>
          <w:rFonts w:hint="eastAsia" w:ascii="宋体" w:hAnsi="宋体" w:eastAsia="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w:t>
      </w:r>
      <w:r/>
    </w:p>
    <w:p>
      <w:pPr>
        <w:ind w:firstLine="54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54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（3）“CA数字证书”的办理材料以及供应商操作手册详见：</w:t>
      </w:r>
      <w:r/>
    </w:p>
    <w:p>
      <w:pPr>
        <w:ind w:firstLine="54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http//zfcg.yangzhou.gov.cn/xzzx/art/2023/art_4d7de1f7865f4a2894fc22bc452f94d8.html。</w:t>
      </w:r>
      <w:r/>
    </w:p>
    <w:p>
      <w:pPr>
        <w:ind w:firstLine="54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（4）潜在供应商访问“苏采云”系统的网络地址和方法：“苏采云”系统的网址：http：//jszfcg.jsczt.cn/。</w:t>
      </w:r>
      <w:r/>
    </w:p>
    <w:p>
      <w:pPr>
        <w:ind w:firstLine="54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（后缀名为“.kedt”）、供应商操作手册及政府采购客户端工具也可通过“苏采云”系统</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已报名项目</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报名详情页面内相应链接进行下载。</w:t>
      </w:r>
      <w:r/>
    </w:p>
    <w:p>
      <w:pPr>
        <w:ind w:firstLine="54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（6）招标代理机构（采购代理机构）将数据电文形式的</w:t>
      </w:r>
      <w:r>
        <w:rPr>
          <w:rFonts w:hint="eastAsia" w:ascii="宋体" w:hAnsi="宋体" w:eastAsia="宋体" w:cs="宋体"/>
          <w:b/>
          <w:bCs/>
          <w:color w:val="auto"/>
          <w:sz w:val="21"/>
          <w:szCs w:val="21"/>
          <w:highlight w:val="none"/>
          <w:lang w:eastAsia="zh-CN"/>
        </w:rPr>
        <w:t xml:space="preserve">招标文件</w:t>
      </w:r>
      <w:r>
        <w:rPr>
          <w:rFonts w:hint="eastAsia" w:ascii="宋体" w:hAnsi="宋体" w:eastAsia="宋体" w:cs="宋体"/>
          <w:b/>
          <w:bCs/>
          <w:color w:val="auto"/>
          <w:sz w:val="21"/>
          <w:szCs w:val="21"/>
          <w:highlight w:val="none"/>
        </w:rPr>
        <w:t xml:space="preserve">加载至“苏采云”系统，供潜在供应商下载或者查阅。</w:t>
      </w:r>
      <w:r/>
    </w:p>
    <w:p>
      <w:pPr>
        <w:ind w:firstLine="54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（7）苏采云系统使用谷歌浏览器参与不见面开标。</w:t>
      </w:r>
      <w:r/>
    </w:p>
    <w:p>
      <w:pPr>
        <w:numPr>
          <w:ilvl w:val="0"/>
          <w:numId w:val="0"/>
        </w:numPr>
        <w:ind w:right="0"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sz w:val="21"/>
          <w:szCs w:val="21"/>
          <w:highlight w:val="none"/>
          <w:lang w:val="en-US" w:eastAsia="zh-CN" w:bidi="ar-SA"/>
        </w:rPr>
        <w:t xml:space="preserve">四、</w:t>
      </w:r>
      <w:r>
        <w:rPr>
          <w:rFonts w:hint="eastAsia" w:ascii="宋体" w:hAnsi="宋体" w:eastAsia="宋体" w:cs="宋体"/>
          <w:b/>
          <w:bCs/>
          <w:color w:val="auto"/>
          <w:highlight w:val="none"/>
        </w:rPr>
        <w:t xml:space="preserve">提交投标文件截止时间、开标时间和地点</w:t>
      </w:r>
      <w:r/>
    </w:p>
    <w:p>
      <w:pPr>
        <w:numPr>
          <w:ilvl w:val="0"/>
          <w:numId w:val="0"/>
        </w:num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2026年</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lang w:val="en-US" w:eastAsia="zh-CN"/>
        </w:rPr>
        <w:t xml:space="preserve">日</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9点30分（北京时间）</w:t>
      </w:r>
      <w:r/>
    </w:p>
    <w:p>
      <w:pPr>
        <w:numPr>
          <w:ilvl w:val="0"/>
          <w:numId w:val="0"/>
        </w:num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2.地点：“苏采云”政府采购交易系统。</w:t>
      </w:r>
      <w:r/>
    </w:p>
    <w:p>
      <w:pPr>
        <w:numPr>
          <w:ilvl w:val="0"/>
          <w:numId w:val="0"/>
        </w:numPr>
        <w:ind w:right="0"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五、公告期限</w:t>
      </w:r>
      <w:r/>
    </w:p>
    <w:p>
      <w:pPr>
        <w:numPr>
          <w:ilvl w:val="0"/>
          <w:numId w:val="0"/>
        </w:num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numPr>
          <w:ilvl w:val="0"/>
          <w:numId w:val="0"/>
        </w:numPr>
        <w:ind w:right="0"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六、其他补充事宜</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宋体" w:hAnsi="宋体" w:cs="宋体"/>
          <w:b/>
          <w:bCs/>
          <w:color w:val="auto"/>
          <w:szCs w:val="21"/>
          <w:highlight w:val="none"/>
        </w:rPr>
      </w:pPr>
      <w:r>
        <w:rPr>
          <w:rFonts w:hint="eastAsia" w:ascii="宋体" w:hAnsi="宋体" w:cs="宋体"/>
          <w:b/>
          <w:bCs/>
          <w:color w:val="auto"/>
          <w:highlight w:val="none"/>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w:t>
      </w:r>
      <w:r>
        <w:rPr>
          <w:rFonts w:hint="eastAsia" w:ascii="宋体" w:hAnsi="宋体" w:cs="宋体"/>
          <w:color w:val="auto"/>
          <w:highlight w:val="none"/>
        </w:rPr>
        <w:t xml:space="preserve">投标保证</w:t>
      </w:r>
      <w:r>
        <w:rPr>
          <w:rFonts w:hint="eastAsia" w:ascii="宋体" w:hAnsi="宋体" w:cs="宋体"/>
          <w:bCs/>
          <w:color w:val="auto"/>
          <w:highlight w:val="none"/>
        </w:rPr>
        <w:t xml:space="preserve">金。</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4.有关本次招标的事项若存在变动或修改，敬请及时关注</w:t>
      </w:r>
      <w:r>
        <w:rPr>
          <w:rFonts w:hint="eastAsia" w:ascii="宋体" w:hAnsi="宋体" w:cs="宋体"/>
          <w:bCs/>
          <w:color w:val="auto"/>
          <w:highlight w:val="none"/>
          <w:lang w:eastAsia="zh-CN"/>
        </w:rPr>
        <w:t xml:space="preserve">“江苏政府采购网”、“扬州市政府采购网”、“扬州市广陵区政府采购网”</w:t>
      </w:r>
      <w:r>
        <w:rPr>
          <w:rFonts w:hint="eastAsia" w:ascii="宋体" w:hAnsi="宋体" w:cs="宋体"/>
          <w:bCs/>
          <w:color w:val="auto"/>
          <w:highlight w:val="none"/>
        </w:rPr>
        <w:t xml:space="preserve">发布的信息。</w:t>
      </w:r>
      <w:r/>
    </w:p>
    <w:p>
      <w:pPr>
        <w:ind w:firstLine="422"/>
        <w:spacing w:line="360" w:lineRule="auto"/>
        <w:tabs>
          <w:tab w:val="left" w:pos="266" w:leader="none"/>
        </w:tabs>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8.本项目严格执行政府采购关于支持节能产品</w:t>
      </w:r>
      <w:r>
        <w:rPr>
          <w:rFonts w:hint="eastAsia" w:ascii="宋体" w:hAnsi="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投标采购要求。其他条件相同情况下，本项目优先采购节能产品、环境标志产品。</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9.供应商对于所投产品的包装应按照“财办库〔2020〕123号《关于印发《商品包装政府采购需求标准（试行）》、《快递包装政府采购需求标准（试行）》的通知》”执行。</w:t>
      </w:r>
      <w:r/>
    </w:p>
    <w:p>
      <w:pPr>
        <w:numPr>
          <w:ilvl w:val="0"/>
          <w:numId w:val="0"/>
        </w:numPr>
        <w:ind w:right="0"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七、本次招标联系方式</w:t>
      </w:r>
      <w:bookmarkEnd w:id="25"/>
      <w:r/>
      <w:bookmarkEnd w:id="26"/>
      <w:r/>
      <w:bookmarkEnd w:id="27"/>
      <w:r/>
      <w:bookmarkEnd w:id="28"/>
      <w:r/>
      <w:bookmarkEnd w:id="29"/>
      <w:r/>
      <w:r/>
    </w:p>
    <w:p>
      <w:pPr>
        <w:ind w:right="0" w:firstLine="420"/>
        <w:keepLines w:val="0"/>
        <w:keepNext w:val="0"/>
        <w:pageBreakBefore w:val="0"/>
        <w:spacing w:line="360" w:lineRule="auto"/>
        <w:widowControl w:val="off"/>
        <w:rPr>
          <w:rFonts w:hint="eastAsia" w:ascii="宋体" w:hAnsi="宋体" w:eastAsia="宋体" w:cs="宋体"/>
          <w:color w:val="auto"/>
          <w:highlight w:val="none"/>
        </w:rPr>
      </w:pPr>
      <w:r/>
      <w:bookmarkStart w:id="30" w:name="_Toc28359086"/>
      <w:r/>
      <w:bookmarkStart w:id="31" w:name="_Toc28359009"/>
      <w:r>
        <w:rPr>
          <w:rFonts w:hint="eastAsia" w:ascii="宋体" w:hAnsi="宋体" w:eastAsia="宋体" w:cs="宋体"/>
          <w:color w:val="auto"/>
          <w:highlight w:val="none"/>
        </w:rPr>
        <w:t xml:space="preserve">1.采购人信息</w:t>
      </w:r>
      <w:r/>
    </w:p>
    <w:p>
      <w:pPr>
        <w:ind w:right="0"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lang w:eastAsia="zh-CN"/>
        </w:rPr>
        <w:t xml:space="preserve">扬州市广陵区住房和城乡建设局</w:t>
      </w:r>
      <w:r/>
    </w:p>
    <w:p>
      <w:pPr>
        <w:ind w:right="0" w:firstLine="420"/>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地 址：江苏省扬州市广陵区文昌东路12号泰达Y-MSD12栋15层</w:t>
      </w:r>
      <w:r/>
    </w:p>
    <w:p>
      <w:pPr>
        <w:ind w:right="0" w:firstLine="420"/>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联系人：顾</w:t>
      </w:r>
      <w:r>
        <w:rPr>
          <w:rFonts w:hint="eastAsia" w:ascii="宋体" w:hAnsi="宋体" w:cs="宋体"/>
          <w:color w:val="auto"/>
          <w:highlight w:val="none"/>
          <w:lang w:val="en-US" w:eastAsia="zh-CN"/>
        </w:rPr>
        <w:t xml:space="preserve">菁菁</w:t>
      </w:r>
      <w:r/>
    </w:p>
    <w:p>
      <w:pPr>
        <w:ind w:right="0"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联系方式：</w:t>
      </w:r>
      <w:r>
        <w:rPr>
          <w:rFonts w:hint="eastAsia" w:ascii="宋体" w:hAnsi="宋体" w:eastAsia="宋体" w:cs="宋体"/>
          <w:color w:val="auto"/>
          <w:highlight w:val="none"/>
          <w:lang w:val="en-US" w:eastAsia="zh-CN"/>
        </w:rPr>
        <w:t xml:space="preserve">17712353363</w:t>
      </w:r>
      <w:r/>
    </w:p>
    <w:p>
      <w:pPr>
        <w:ind w:right="0"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bookmarkEnd w:id="30"/>
      <w:r/>
      <w:bookmarkEnd w:id="31"/>
      <w:r>
        <w:rPr>
          <w:rFonts w:hint="eastAsia" w:ascii="宋体" w:hAnsi="宋体" w:eastAsia="宋体" w:cs="宋体"/>
          <w:color w:val="auto"/>
          <w:highlight w:val="none"/>
          <w:lang w:val="en-US" w:eastAsia="zh-CN"/>
        </w:rPr>
        <w:t xml:space="preserve">代理公司信息</w:t>
      </w:r>
      <w:r/>
    </w:p>
    <w:p>
      <w:pPr>
        <w:ind w:right="0"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名    称：江苏远锐工程管理咨询有限公司</w:t>
      </w:r>
      <w:r/>
    </w:p>
    <w:p>
      <w:pPr>
        <w:ind w:right="0"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地　　址：扬州市邗江北路中石化南侧邗文化博物馆1号院</w:t>
      </w:r>
      <w:r/>
    </w:p>
    <w:p>
      <w:pPr>
        <w:ind w:right="0"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 系 人：</w:t>
      </w:r>
      <w:r>
        <w:rPr>
          <w:rFonts w:hint="eastAsia" w:ascii="宋体" w:hAnsi="宋体" w:cs="宋体"/>
          <w:color w:val="auto"/>
          <w:highlight w:val="none"/>
          <w:lang w:val="en-US" w:eastAsia="zh-CN"/>
        </w:rPr>
        <w:t xml:space="preserve">钱玲</w:t>
      </w:r>
      <w:r>
        <w:rPr>
          <w:rFonts w:hint="eastAsia" w:ascii="宋体" w:hAnsi="宋体" w:eastAsia="宋体" w:cs="宋体"/>
          <w:color w:val="auto"/>
          <w:highlight w:val="none"/>
          <w:lang w:val="en-US" w:eastAsia="zh-CN"/>
        </w:rPr>
        <w:t xml:space="preserve">           </w:t>
      </w:r>
      <w:r/>
    </w:p>
    <w:p>
      <w:pPr>
        <w:ind w:right="0" w:firstLine="420"/>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联系电话：</w:t>
      </w:r>
      <w:r>
        <w:rPr>
          <w:rFonts w:hint="eastAsia" w:ascii="宋体" w:hAnsi="宋体" w:cs="宋体"/>
          <w:color w:val="auto"/>
          <w:highlight w:val="none"/>
          <w:lang w:val="en-US" w:eastAsia="zh-CN"/>
        </w:rPr>
        <w:t xml:space="preserve">13585235015</w:t>
      </w:r>
      <w:r/>
    </w:p>
    <w:p>
      <w:pPr>
        <w:rPr>
          <w:rFonts w:hint="eastAsia" w:ascii="宋体" w:hAnsi="宋体" w:eastAsia="宋体" w:cs="宋体"/>
          <w:color w:val="auto"/>
          <w:highlight w:val="none"/>
        </w:rPr>
      </w:pPr>
      <w:r/>
      <w:bookmarkStart w:id="32" w:name="_Toc120614211"/>
      <w:r/>
      <w:bookmarkStart w:id="33" w:name="_Toc7352"/>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190"/>
        <w:rPr>
          <w:rFonts w:hint="eastAsia" w:ascii="宋体" w:hAnsi="宋体" w:eastAsia="宋体" w:cs="宋体"/>
          <w:color w:val="auto"/>
          <w:highlight w:val="none"/>
        </w:rPr>
      </w:pPr>
      <w:r/>
      <w:bookmarkStart w:id="34" w:name="_Toc2254"/>
      <w:r>
        <w:rPr>
          <w:rFonts w:hint="eastAsia" w:ascii="宋体" w:hAnsi="宋体" w:eastAsia="宋体" w:cs="宋体"/>
          <w:color w:val="auto"/>
          <w:highlight w:val="none"/>
        </w:rPr>
        <w:t xml:space="preserve">第二章  </w:t>
      </w:r>
      <w:bookmarkEnd w:id="32"/>
      <w:r/>
      <w:bookmarkStart w:id="35" w:name="_Toc20823274"/>
      <w:r/>
      <w:bookmarkStart w:id="36" w:name="_Toc16938518"/>
      <w:r/>
      <w:bookmarkStart w:id="37" w:name="_Toc513029202"/>
      <w:r/>
      <w:bookmarkStart w:id="38" w:name="_Toc120614213"/>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须知</w:t>
      </w:r>
      <w:bookmarkEnd w:id="33"/>
      <w:r/>
      <w:bookmarkEnd w:id="34"/>
      <w:r/>
      <w:bookmarkEnd w:id="35"/>
      <w:r/>
      <w:bookmarkEnd w:id="36"/>
      <w:r/>
      <w:bookmarkEnd w:id="37"/>
      <w:r/>
      <w:bookmarkEnd w:id="38"/>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39" w:name="_Toc20823314"/>
      <w:r/>
      <w:bookmarkStart w:id="40" w:name="_Toc120614221"/>
      <w:r/>
      <w:bookmarkStart w:id="41" w:name="_Toc479757207"/>
      <w:r/>
      <w:bookmarkStart w:id="42" w:name="_Toc16938558"/>
      <w:r/>
      <w:bookmarkStart w:id="43" w:name="_Toc513029242"/>
      <w:r>
        <w:rPr>
          <w:rFonts w:hint="eastAsia" w:ascii="宋体" w:hAnsi="宋体" w:eastAsia="宋体" w:cs="宋体"/>
          <w:b/>
          <w:color w:val="auto"/>
          <w:sz w:val="21"/>
          <w:szCs w:val="21"/>
          <w:highlight w:val="none"/>
        </w:rPr>
        <w:t xml:space="preserve">一、总则</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1、招标方式</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1.1本次招标采取公开招标方式，本招标文件仅适用于招标公告中所述项目。</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2、合格的</w:t>
      </w:r>
      <w:r>
        <w:rPr>
          <w:rFonts w:hint="eastAsia" w:ascii="宋体" w:hAnsi="宋体" w:cs="宋体"/>
          <w:b/>
          <w:color w:val="auto"/>
          <w:sz w:val="21"/>
          <w:szCs w:val="21"/>
          <w:highlight w:val="none"/>
          <w:lang w:eastAsia="zh-CN"/>
        </w:rPr>
        <w:t xml:space="preserve">供应商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.满足招标公告中供应商的资格要求的规定。</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rPr>
        <w:t xml:space="preserve">满足本文件实质性条款的规定。</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3、适用法律</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3.1本次招标及由此产生的合同受中华人民共和国有关的法律法规制约和保护。</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4、投标费用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应自行承担所有与参加投标有关的费用，无论投标过程中的做法和结果如何，代理机构在任何情况下均无义务和责任承担这些费用。</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4.3本次采购由</w:t>
      </w:r>
      <w:r>
        <w:rPr>
          <w:rFonts w:hint="eastAsia" w:ascii="宋体" w:hAnsi="宋体" w:eastAsia="宋体" w:cs="宋体"/>
          <w:b w:val="0"/>
          <w:bCs w:val="0"/>
          <w:color w:val="auto"/>
          <w:sz w:val="21"/>
          <w:szCs w:val="21"/>
          <w:highlight w:val="none"/>
          <w:lang w:val="en-US" w:eastAsia="zh-CN"/>
        </w:rPr>
        <w:t xml:space="preserve">中标人</w:t>
      </w:r>
      <w:r>
        <w:rPr>
          <w:rFonts w:hint="eastAsia" w:ascii="宋体" w:hAnsi="宋体" w:cs="宋体"/>
          <w:b w:val="0"/>
          <w:bCs w:val="0"/>
          <w:color w:val="auto"/>
          <w:sz w:val="21"/>
          <w:szCs w:val="21"/>
          <w:highlight w:val="none"/>
          <w:lang w:val="en-US" w:eastAsia="zh-CN"/>
        </w:rPr>
        <w:t xml:space="preserve">参</w:t>
      </w:r>
      <w:r>
        <w:rPr>
          <w:rFonts w:hint="eastAsia" w:ascii="宋体" w:hAnsi="宋体" w:eastAsia="宋体" w:cs="宋体"/>
          <w:b w:val="0"/>
          <w:bCs w:val="0"/>
          <w:color w:val="auto"/>
          <w:sz w:val="21"/>
          <w:szCs w:val="21"/>
          <w:highlight w:val="none"/>
        </w:rPr>
        <w:t xml:space="preserve">照国家计委印发的《招标代理服务收费管理暂行办法》（计价格〔2002〕1980号文）服务类标准一次性支付给招标代理机构代理服务费。</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（1）代理服务费以人民币支付；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（2）代理服务费支付方式：一次性以电汇或转账等形式支付。</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（3）代理服务费不在报价中单列，已在预算中考虑</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包含在总价中，由</w:t>
      </w:r>
      <w:r>
        <w:rPr>
          <w:rFonts w:hint="eastAsia" w:ascii="宋体" w:hAnsi="宋体" w:cs="宋体"/>
          <w:b w:val="0"/>
          <w:bCs w:val="0"/>
          <w:color w:val="auto"/>
          <w:sz w:val="21"/>
          <w:szCs w:val="21"/>
          <w:highlight w:val="none"/>
          <w:lang w:eastAsia="zh-CN"/>
        </w:rPr>
        <w:t xml:space="preserve">中标人</w:t>
      </w:r>
      <w:r>
        <w:rPr>
          <w:rFonts w:hint="eastAsia" w:ascii="宋体" w:hAnsi="宋体" w:eastAsia="宋体" w:cs="宋体"/>
          <w:b w:val="0"/>
          <w:bCs w:val="0"/>
          <w:color w:val="auto"/>
          <w:sz w:val="21"/>
          <w:szCs w:val="21"/>
          <w:highlight w:val="none"/>
        </w:rPr>
        <w:t xml:space="preserve">支付给代理机构。</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4.4专家评审费按《扬州市财政局关于进一步规范扬州市政府采购专家评审费标准的通知》（扬财购〔2020〕40号）执行，由采购人支付。</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5、招标文件的约束力</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二、招标文件</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6、招标文件构成</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6.1招标文件由以下部分组成：</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（1）投标邀请</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须知</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（3）合同文本</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（4）采购需求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自行承担。</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.1在投标截止时间前，代理机构可以对招标文件进行修改。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.3招标文件的修改将在</w:t>
      </w:r>
      <w:r>
        <w:rPr>
          <w:rFonts w:hint="eastAsia" w:ascii="宋体" w:hAnsi="宋体" w:eastAsia="宋体" w:cs="宋体"/>
          <w:color w:val="auto"/>
          <w:sz w:val="21"/>
          <w:szCs w:val="21"/>
          <w:highlight w:val="none"/>
          <w:u w:val="none"/>
        </w:rPr>
        <w:t xml:space="preserve">“江苏政府采购网、扬州市政府采购网</w:t>
      </w:r>
      <w:r>
        <w:rPr>
          <w:rFonts w:hint="eastAsia" w:ascii="宋体" w:hAnsi="宋体" w:eastAsia="宋体" w:cs="宋体"/>
          <w:color w:val="auto"/>
          <w:sz w:val="21"/>
          <w:szCs w:val="21"/>
          <w:highlight w:val="none"/>
          <w:u w:val="none"/>
          <w:lang w:eastAsia="zh-CN"/>
        </w:rPr>
        <w:t xml:space="preserve">、</w:t>
      </w:r>
      <w:r>
        <w:rPr>
          <w:rFonts w:hint="eastAsia" w:ascii="宋体" w:hAnsi="宋体" w:cs="宋体"/>
          <w:color w:val="auto"/>
          <w:sz w:val="21"/>
          <w:szCs w:val="21"/>
          <w:highlight w:val="none"/>
          <w:u w:val="none"/>
          <w:lang w:eastAsia="zh-CN"/>
        </w:rPr>
        <w:t xml:space="preserve">扬州市广陵区政府采购网”</w:t>
      </w:r>
      <w:r>
        <w:rPr>
          <w:rFonts w:hint="eastAsia" w:ascii="宋体" w:hAnsi="宋体" w:eastAsia="宋体" w:cs="宋体"/>
          <w:bCs/>
          <w:color w:val="auto"/>
          <w:sz w:val="21"/>
          <w:szCs w:val="21"/>
          <w:highlight w:val="none"/>
        </w:rPr>
        <w:t xml:space="preserve">公布，补充文件将作为招标文件的组成部分，并对</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具有约束力。</w:t>
      </w:r>
      <w:r/>
    </w:p>
    <w:p>
      <w:pPr>
        <w:ind w:firstLine="422"/>
        <w:keepLines w:val="0"/>
        <w:keepNext w:val="0"/>
        <w:pageBreakBefore w:val="0"/>
        <w:spacing w:line="360" w:lineRule="auto"/>
        <w:widowControl w:val="off"/>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三、投标文件的编制</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、投标文件的语言、度量衡单位</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提交的投标文件以及</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.2除技术性能另有规定外，投标文件所使用的度量衡单位，均须采用国家法定计量单位。</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rPr>
        <w:t xml:space="preserve">、投标文件构成</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编写的投标文件应包括基本目录、资格审查内容、符合性审查内容、价格扣除证明文件等部分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.2 如标书制作工具中格式和内容与“江苏政府采购网、扬州市政府采购网</w:t>
      </w:r>
      <w:r>
        <w:rPr>
          <w:rFonts w:hint="eastAsia" w:ascii="宋体" w:hAnsi="宋体" w:eastAsia="宋体" w:cs="宋体"/>
          <w:bCs/>
          <w:color w:val="auto"/>
          <w:sz w:val="21"/>
          <w:szCs w:val="21"/>
          <w:highlight w:val="none"/>
          <w:lang w:eastAsia="zh-CN"/>
        </w:rPr>
        <w:t xml:space="preserve">、</w:t>
      </w:r>
      <w:r>
        <w:rPr>
          <w:rFonts w:hint="eastAsia" w:ascii="宋体" w:hAnsi="宋体" w:cs="宋体"/>
          <w:color w:val="auto"/>
          <w:sz w:val="21"/>
          <w:szCs w:val="21"/>
          <w:highlight w:val="none"/>
          <w:u w:val="none"/>
          <w:lang w:eastAsia="zh-CN"/>
        </w:rPr>
        <w:t xml:space="preserve">扬州市广陵区政府采购网</w:t>
      </w:r>
      <w:r>
        <w:rPr>
          <w:rFonts w:hint="eastAsia" w:ascii="宋体" w:hAnsi="宋体" w:eastAsia="宋体" w:cs="宋体"/>
          <w:bCs/>
          <w:color w:val="auto"/>
          <w:sz w:val="21"/>
          <w:szCs w:val="21"/>
          <w:highlight w:val="none"/>
        </w:rPr>
        <w:t xml:space="preserve">”发布的招标文件不一致，请以“江苏政府采购网、扬州市政府采购网</w:t>
      </w:r>
      <w:r>
        <w:rPr>
          <w:rFonts w:hint="eastAsia" w:ascii="宋体" w:hAnsi="宋体" w:eastAsia="宋体" w:cs="宋体"/>
          <w:bCs/>
          <w:color w:val="auto"/>
          <w:sz w:val="21"/>
          <w:szCs w:val="21"/>
          <w:highlight w:val="none"/>
          <w:lang w:eastAsia="zh-CN"/>
        </w:rPr>
        <w:t xml:space="preserve">、扬州市广陵区政府采购网</w:t>
      </w:r>
      <w:r>
        <w:rPr>
          <w:rFonts w:hint="eastAsia" w:ascii="宋体" w:hAnsi="宋体" w:eastAsia="宋体" w:cs="宋体"/>
          <w:bCs/>
          <w:color w:val="auto"/>
          <w:sz w:val="21"/>
          <w:szCs w:val="21"/>
          <w:highlight w:val="none"/>
        </w:rPr>
        <w:t xml:space="preserve">”发布的招标文件为准。</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、证明</w:t>
      </w:r>
      <w:r>
        <w:rPr>
          <w:rFonts w:hint="eastAsia" w:ascii="宋体" w:hAnsi="宋体" w:cs="宋体"/>
          <w:b/>
          <w:color w:val="auto"/>
          <w:sz w:val="21"/>
          <w:szCs w:val="21"/>
          <w:highlight w:val="none"/>
          <w:lang w:eastAsia="zh-CN"/>
        </w:rPr>
        <w:t xml:space="preserve">供应商</w:t>
      </w:r>
      <w:r>
        <w:rPr>
          <w:rFonts w:hint="eastAsia" w:ascii="宋体" w:hAnsi="宋体" w:eastAsia="宋体" w:cs="宋体"/>
          <w:b/>
          <w:color w:val="auto"/>
          <w:sz w:val="21"/>
          <w:szCs w:val="21"/>
          <w:highlight w:val="none"/>
        </w:rPr>
        <w:t xml:space="preserve">及投标标的符合招标文件规定的文件</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.1 </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应按照招标文件要求提交证明文件，证明其投标标的符合招标文件规定。</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.2招标文件对证明文件无明确形式要求的，证明文件可以以文字资料、图纸和数据等形式提交。</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按照招标文件规定格式填报投标分项报价表。</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.2投标货币。投标文件中的单价和总价无特殊规定的采用人民币报价，以元为单位标注。招标文件中另有规定的按规定执行。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、技术要求响应及偏离表、商务要求响应及偏离表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需对招标文件中的技术要求与商务要求逐项作出响应或偏离，并说明原因。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.2 </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需按照招标文件要求，在投标文件中提供与技术要求和商务要求相关的证明材料。</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13</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13</w:t>
      </w:r>
      <w:r>
        <w:rPr>
          <w:rFonts w:hint="eastAsia" w:ascii="宋体" w:hAnsi="宋体" w:eastAsia="宋体" w:cs="宋体"/>
          <w:bCs/>
          <w:color w:val="auto"/>
          <w:sz w:val="21"/>
          <w:szCs w:val="21"/>
          <w:highlight w:val="none"/>
        </w:rPr>
        <w:t xml:space="preserve">.2</w:t>
      </w:r>
      <w:r>
        <w:rPr>
          <w:rFonts w:hint="eastAsia" w:ascii="宋体" w:hAnsi="宋体" w:eastAsia="宋体" w:cs="宋体"/>
          <w:bCs/>
          <w:i/>
          <w:iCs/>
          <w:color w:val="auto"/>
          <w:sz w:val="21"/>
          <w:szCs w:val="21"/>
          <w:highlight w:val="none"/>
          <w:u w:val="single"/>
        </w:rPr>
        <w:t xml:space="preserve">对于采用货币报价的项目，开标一览表中的投标总报价应与投标分项报价表中的投标总报价一致，如不一致，不作为无效投标处理，但评标时按开标一览表中价格为准。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、投标有效期</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.1投标有效期为规定的开标之日后</w:t>
      </w:r>
      <w:r>
        <w:rPr>
          <w:rFonts w:hint="eastAsia" w:ascii="宋体" w:hAnsi="宋体" w:eastAsia="宋体" w:cs="宋体"/>
          <w:b/>
          <w:bCs w:val="0"/>
          <w:color w:val="auto"/>
          <w:sz w:val="21"/>
          <w:szCs w:val="21"/>
          <w:highlight w:val="none"/>
        </w:rPr>
        <w:t xml:space="preserve">六十（60）</w:t>
      </w:r>
      <w:r>
        <w:rPr>
          <w:rFonts w:hint="eastAsia" w:ascii="宋体" w:hAnsi="宋体" w:eastAsia="宋体" w:cs="宋体"/>
          <w:bCs/>
          <w:color w:val="auto"/>
          <w:sz w:val="21"/>
          <w:szCs w:val="21"/>
          <w:highlight w:val="none"/>
        </w:rPr>
        <w:t xml:space="preserve">天。投标有效期比规定短的将被视为未实质性响应招标文件而予以拒绝。</w:t>
      </w:r>
      <w:r/>
    </w:p>
    <w:p>
      <w:pPr>
        <w:ind w:firstLine="422"/>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、投标有效期的延长</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在特殊情况下，代理机构于原投标有效期满之前，可向</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提出延长投标有效期的要求。这种要求与答复均应采用书面形式。</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可以拒绝代理机构的这一要求而放弃投标；同意延长投标有效期的</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44" w:name="_Toc462564084"/>
      <w:r/>
      <w:bookmarkStart w:id="45" w:name="_Toc16938541"/>
      <w:r/>
      <w:bookmarkStart w:id="46" w:name="_Toc20823297"/>
      <w:r/>
      <w:bookmarkStart w:id="47" w:name="_Toc513029225"/>
      <w:r>
        <w:rPr>
          <w:rFonts w:hint="eastAsia" w:ascii="宋体" w:hAnsi="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、投标文件的递交</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、投标文件</w:t>
      </w:r>
      <w:bookmarkEnd w:id="44"/>
      <w:r/>
      <w:bookmarkEnd w:id="45"/>
      <w:r/>
      <w:bookmarkEnd w:id="46"/>
      <w:r/>
      <w:bookmarkEnd w:id="47"/>
      <w:r>
        <w:rPr>
          <w:rFonts w:hint="eastAsia" w:ascii="宋体" w:hAnsi="宋体" w:eastAsia="宋体" w:cs="宋体"/>
          <w:b/>
          <w:color w:val="auto"/>
          <w:sz w:val="21"/>
          <w:szCs w:val="21"/>
          <w:highlight w:val="none"/>
        </w:rPr>
        <w:t xml:space="preserve">的递交</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48" w:name="_Toc20823298"/>
      <w:r/>
      <w:bookmarkStart w:id="49" w:name="_Toc16938542"/>
      <w:r/>
      <w:bookmarkStart w:id="50" w:name="_Toc513029226"/>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应当按照《操作手册》规定，在投标截止时间前制作并上传电子投标文件。</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、投标截止日期</w:t>
      </w:r>
      <w:bookmarkEnd w:id="48"/>
      <w:r/>
      <w:bookmarkEnd w:id="49"/>
      <w:r/>
      <w:bookmarkEnd w:id="50"/>
      <w:r/>
      <w:r/>
    </w:p>
    <w:p>
      <w:pPr>
        <w:ind w:firstLine="420"/>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1</w:t>
      </w:r>
      <w:r>
        <w:rPr>
          <w:rFonts w:hint="eastAsia" w:ascii="宋体" w:hAnsi="宋体" w:cs="宋体"/>
          <w:bCs/>
          <w:i/>
          <w:iCs/>
          <w:color w:val="auto"/>
          <w:sz w:val="21"/>
          <w:szCs w:val="21"/>
          <w:highlight w:val="none"/>
          <w:u w:val="single"/>
          <w:lang w:val="en-US" w:eastAsia="zh-CN"/>
        </w:rPr>
        <w:t xml:space="preserve">7</w:t>
      </w:r>
      <w:r>
        <w:rPr>
          <w:rFonts w:hint="eastAsia" w:ascii="宋体" w:hAnsi="宋体" w:eastAsia="宋体" w:cs="宋体"/>
          <w:bCs/>
          <w:i/>
          <w:iCs/>
          <w:color w:val="auto"/>
          <w:sz w:val="21"/>
          <w:szCs w:val="21"/>
          <w:highlight w:val="none"/>
          <w:u w:val="single"/>
        </w:rPr>
        <w:t xml:space="preserve">.1</w:t>
      </w:r>
      <w:r>
        <w:rPr>
          <w:rFonts w:hint="eastAsia" w:ascii="宋体" w:hAnsi="宋体" w:cs="宋体"/>
          <w:bCs/>
          <w:i/>
          <w:iCs/>
          <w:color w:val="auto"/>
          <w:sz w:val="21"/>
          <w:szCs w:val="21"/>
          <w:highlight w:val="none"/>
          <w:u w:val="single"/>
          <w:lang w:eastAsia="zh-CN"/>
        </w:rPr>
        <w:t xml:space="preserve">供应商</w:t>
      </w:r>
      <w:r>
        <w:rPr>
          <w:rFonts w:hint="eastAsia" w:ascii="宋体" w:hAnsi="宋体" w:eastAsia="宋体" w:cs="宋体"/>
          <w:bCs/>
          <w:i/>
          <w:iCs/>
          <w:color w:val="auto"/>
          <w:sz w:val="21"/>
          <w:szCs w:val="21"/>
          <w:highlight w:val="none"/>
          <w:u w:val="single"/>
        </w:rPr>
        <w:t xml:space="preserve">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应充分考虑到网络环境、网络带宽等风险因素，如因</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自身原因造成的电子投标文件上传不成功由</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自行承担全部责任。</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.2代理机构可以按照规定，通过修改招标文件延长投标截止日期，在此情况下，</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的所有权利和义务以及</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受制的截止日期均应以延长后新的截止日期为准。</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51" w:name="_Toc20823299"/>
      <w:r/>
      <w:bookmarkStart w:id="52" w:name="_Toc513029227"/>
      <w:r/>
      <w:bookmarkStart w:id="53" w:name="_Toc16938543"/>
      <w:r>
        <w:rPr>
          <w:rFonts w:hint="eastAsia" w:ascii="宋体" w:hAnsi="宋体" w:cs="宋体"/>
          <w:b/>
          <w:color w:val="auto"/>
          <w:sz w:val="21"/>
          <w:szCs w:val="21"/>
          <w:highlight w:val="none"/>
          <w:lang w:val="en-US" w:eastAsia="zh-CN"/>
        </w:rPr>
        <w:t xml:space="preserve">18</w:t>
      </w:r>
      <w:r>
        <w:rPr>
          <w:rFonts w:hint="eastAsia" w:ascii="宋体" w:hAnsi="宋体" w:eastAsia="宋体" w:cs="宋体"/>
          <w:b/>
          <w:color w:val="auto"/>
          <w:sz w:val="21"/>
          <w:szCs w:val="21"/>
          <w:highlight w:val="none"/>
        </w:rPr>
        <w:t xml:space="preserve">、投标文件</w:t>
      </w:r>
      <w:bookmarkEnd w:id="51"/>
      <w:r/>
      <w:bookmarkEnd w:id="52"/>
      <w:r/>
      <w:bookmarkEnd w:id="53"/>
      <w:r>
        <w:rPr>
          <w:rFonts w:hint="eastAsia" w:ascii="宋体" w:hAnsi="宋体" w:eastAsia="宋体" w:cs="宋体"/>
          <w:b/>
          <w:color w:val="auto"/>
          <w:sz w:val="21"/>
          <w:szCs w:val="21"/>
          <w:highlight w:val="none"/>
        </w:rPr>
        <w:t xml:space="preserve">的拒收</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54" w:name="_Toc16938544"/>
      <w:r/>
      <w:bookmarkStart w:id="55" w:name="_Toc20823300"/>
      <w:r/>
      <w:bookmarkStart w:id="56" w:name="_Toc513029228"/>
      <w:r>
        <w:rPr>
          <w:rFonts w:hint="eastAsia" w:ascii="宋体" w:hAnsi="宋体" w:cs="宋体"/>
          <w:b/>
          <w:color w:val="auto"/>
          <w:sz w:val="21"/>
          <w:szCs w:val="21"/>
          <w:highlight w:val="none"/>
          <w:lang w:val="en-US" w:eastAsia="zh-CN"/>
        </w:rPr>
        <w:t xml:space="preserve">19</w:t>
      </w:r>
      <w:r>
        <w:rPr>
          <w:rFonts w:hint="eastAsia" w:ascii="宋体" w:hAnsi="宋体" w:eastAsia="宋体" w:cs="宋体"/>
          <w:b/>
          <w:color w:val="auto"/>
          <w:sz w:val="21"/>
          <w:szCs w:val="21"/>
          <w:highlight w:val="none"/>
        </w:rPr>
        <w:t xml:space="preserve">、投标文件的撤回和修改</w:t>
      </w:r>
      <w:bookmarkEnd w:id="54"/>
      <w:r/>
      <w:bookmarkEnd w:id="55"/>
      <w:r/>
      <w:bookmarkEnd w:id="56"/>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.1 投标文件的撤回</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.1.1 电子投标文件的撤回</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.1.2 </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撤回电子投标文件，则认为其不再参与本项目投标活动。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.2 投标文件的修改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.2.1</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.2.2在投标截止时间之后，</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不得对其电子投标文件作任何修改。</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val="en-US" w:eastAsia="zh-CN"/>
        </w:rPr>
        <w:t xml:space="preserve">19</w:t>
      </w:r>
      <w:r>
        <w:rPr>
          <w:rFonts w:hint="eastAsia" w:ascii="宋体" w:hAnsi="宋体" w:eastAsia="宋体" w:cs="宋体"/>
          <w:bCs/>
          <w:color w:val="auto"/>
          <w:sz w:val="21"/>
          <w:szCs w:val="21"/>
          <w:highlight w:val="none"/>
        </w:rPr>
        <w:t xml:space="preserve">.3在投标截止时间至招标文件中规定的投标有效期满之间的这段时间内，</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不得撤回其投标。</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、开标与评标</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cs="宋体"/>
          <w:b/>
          <w:color w:val="auto"/>
          <w:sz w:val="21"/>
          <w:szCs w:val="21"/>
          <w:highlight w:val="none"/>
          <w:lang w:val="en-US" w:eastAsia="zh-CN"/>
        </w:rPr>
        <w:t xml:space="preserve">0</w:t>
      </w:r>
      <w:r>
        <w:rPr>
          <w:rFonts w:hint="eastAsia" w:ascii="宋体" w:hAnsi="宋体" w:eastAsia="宋体" w:cs="宋体"/>
          <w:b/>
          <w:color w:val="auto"/>
          <w:sz w:val="21"/>
          <w:szCs w:val="21"/>
          <w:highlight w:val="none"/>
        </w:rPr>
        <w:t xml:space="preserve">、开标</w:t>
      </w:r>
      <w:r/>
    </w:p>
    <w:p>
      <w:pPr>
        <w:ind w:left="0" w:right="0" w:firstLine="420"/>
        <w:jc w:val="both"/>
        <w:keepLines w:val="0"/>
        <w:keepNext w:val="0"/>
        <w:pageBreakBefore w:val="0"/>
        <w:spacing w:before="0" w:after="0" w:line="360" w:lineRule="auto"/>
        <w:widowControl w:val="off"/>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.1代理机构将在招标公告中规定的时间和地点组织公开开标。</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应当按照《操作手册》规定，参加开标活动和在苏采云系统规定的时间内对投标文件进行解密。</w:t>
      </w:r>
      <w:r/>
    </w:p>
    <w:p>
      <w:pPr>
        <w:ind w:left="0" w:right="0" w:firstLine="422"/>
        <w:jc w:val="both"/>
        <w:keepLines w:val="0"/>
        <w:keepNext w:val="0"/>
        <w:pageBreakBefore w:val="0"/>
        <w:spacing w:before="0" w:after="0" w:line="360" w:lineRule="auto"/>
        <w:widowControl w:val="off"/>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.2开标仪式由代理机构组织。苏采云系统将自动对项目进行开标，并展示各</w:t>
      </w:r>
      <w:r>
        <w:rPr>
          <w:rFonts w:hint="eastAsia" w:ascii="宋体" w:hAnsi="宋体" w:cs="宋体"/>
          <w:b/>
          <w:color w:val="auto"/>
          <w:sz w:val="21"/>
          <w:szCs w:val="21"/>
          <w:highlight w:val="none"/>
          <w:lang w:eastAsia="zh-CN"/>
        </w:rPr>
        <w:t xml:space="preserve">供应商</w:t>
      </w:r>
      <w:r>
        <w:rPr>
          <w:rFonts w:hint="eastAsia" w:ascii="宋体" w:hAnsi="宋体" w:eastAsia="宋体" w:cs="宋体"/>
          <w:b/>
          <w:color w:val="auto"/>
          <w:sz w:val="21"/>
          <w:szCs w:val="21"/>
          <w:highlight w:val="none"/>
        </w:rPr>
        <w:t xml:space="preserve">名称和投标价格。</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20</w:t>
      </w:r>
      <w:r>
        <w:rPr>
          <w:rFonts w:hint="eastAsia" w:ascii="宋体" w:hAnsi="宋体" w:eastAsia="宋体" w:cs="宋体"/>
          <w:bCs/>
          <w:color w:val="auto"/>
          <w:sz w:val="21"/>
          <w:szCs w:val="21"/>
          <w:highlight w:val="none"/>
        </w:rPr>
        <w:t xml:space="preserve">.3</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20</w:t>
      </w:r>
      <w:r>
        <w:rPr>
          <w:rFonts w:hint="eastAsia" w:ascii="宋体" w:hAnsi="宋体" w:eastAsia="宋体" w:cs="宋体"/>
          <w:bCs/>
          <w:color w:val="auto"/>
          <w:sz w:val="21"/>
          <w:szCs w:val="21"/>
          <w:highlight w:val="none"/>
        </w:rPr>
        <w:t xml:space="preserve">.4</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21</w:t>
      </w:r>
      <w:r>
        <w:rPr>
          <w:rFonts w:hint="eastAsia" w:ascii="宋体" w:hAnsi="宋体" w:eastAsia="宋体" w:cs="宋体"/>
          <w:b/>
          <w:color w:val="auto"/>
          <w:sz w:val="21"/>
          <w:szCs w:val="21"/>
          <w:highlight w:val="none"/>
        </w:rPr>
        <w:t xml:space="preserve">、评标委员会</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.1开标后，代理机构将立即组织评标委员会（以下简称评委会）进行评标。</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.2评委会由采购人代表和有关技术、经济等方面的专家组成，且人员构成符合政府采购有关规定。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.3评委会独立工作，负责评审所有投标文件并确定中标候选人。</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.1凡是与审查、澄清、评价和比较投标的有关资料以及授标建议等，采购人、评委、</w:t>
      </w:r>
      <w:r>
        <w:rPr>
          <w:rFonts w:hint="eastAsia" w:ascii="宋体" w:hAnsi="宋体" w:eastAsia="宋体" w:cs="宋体"/>
          <w:bCs/>
          <w:color w:val="auto"/>
          <w:sz w:val="21"/>
          <w:szCs w:val="21"/>
          <w:highlight w:val="none"/>
          <w:lang w:val="en-US" w:eastAsia="zh-CN"/>
        </w:rPr>
        <w:t xml:space="preserve">代理机构</w:t>
      </w:r>
      <w:r>
        <w:rPr>
          <w:rFonts w:hint="eastAsia" w:ascii="宋体" w:hAnsi="宋体" w:eastAsia="宋体" w:cs="宋体"/>
          <w:bCs/>
          <w:color w:val="auto"/>
          <w:sz w:val="21"/>
          <w:szCs w:val="21"/>
          <w:highlight w:val="none"/>
        </w:rPr>
        <w:t xml:space="preserve">均不得向</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或与评标无关的其他人员透露。</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.2在评标过程中，</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.3在评标期间，代理机构将设专门工作人员与</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联系。</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.4代理机构和评委会不向未中标的</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解释未中标原因，也不公布评标过程中的相关细节。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.5采用综合评分法的项目，未中标的</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可于中标结果公告期限届满之日起通过“政府采购管理交易系统（苏采云）”查看自己的评审得分及排序情况。</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、投标文件的澄清</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23</w:t>
      </w:r>
      <w:r>
        <w:rPr>
          <w:rFonts w:hint="eastAsia" w:ascii="宋体" w:hAnsi="宋体" w:eastAsia="宋体" w:cs="宋体"/>
          <w:bCs/>
          <w:color w:val="auto"/>
          <w:sz w:val="21"/>
          <w:szCs w:val="21"/>
          <w:highlight w:val="none"/>
        </w:rPr>
        <w:t xml:space="preserve">.1评标期间，评委会对投标文件中含义不明确、同类问题表述不一致或者有明显文字和计算错误的内容，有权要求</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作出必要的澄清、说明或者补正。</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评委会并非对每个</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都做澄清要求。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23.2需要供应商进行澄清、说明和补正的，评委会将通过苏采云系统向供应商发出“澄清要求函”，接到“澄清要求函”的</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23.3接到评委会澄清、说明和补正要求的</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如未按规定做出澄清、说明和补正，其风险由</w:t>
      </w:r>
      <w:r>
        <w:rPr>
          <w:rFonts w:hint="eastAsia" w:ascii="宋体" w:hAnsi="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自行承担。</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24</w:t>
      </w:r>
      <w:r>
        <w:rPr>
          <w:rFonts w:hint="eastAsia" w:ascii="宋体" w:hAnsi="宋体" w:eastAsia="宋体" w:cs="宋体"/>
          <w:b/>
          <w:color w:val="auto"/>
          <w:sz w:val="21"/>
          <w:szCs w:val="21"/>
          <w:highlight w:val="none"/>
        </w:rPr>
        <w:t xml:space="preserve">、对投标文件的初审</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24.1投标文件初审分为资格审查和符合性审查。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24.1.1 资格审查：依据法律法规和招标文件的规定，由采购人对投标文件中的资格证明文件进行审查。资格审查的结论，采购人以书面形式向评委会进行反馈。</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采购人在进行资格性审查的同时，将在“信用中国”网站（www.creditchina.gov.cn）和“中国政府采购网"(www.ccgp.gov.cn)查询</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的信用记录，以确定</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是否具备投标资格,查询结果留存并归档。</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24.1.2 符合性审查：依据招标文件的规定，由评委会从投标文件的有效性、完整性和对招标文件的响应程度进行审查，以确定是否对招标文件的实质性要求作出响应。</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24.1.3 未通过资格审查或符合性审查的</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将在苏采云系统中告知未通过资格审查或符合性审查的原因，评审结束后，</w:t>
      </w:r>
      <w:r>
        <w:rPr>
          <w:rFonts w:hint="eastAsia" w:ascii="宋体" w:hAnsi="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将不再告知未通过资格审查或符合性审查的原因。</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所谓重大偏离或保留是指与招标文件规定的实质性要求存在负偏离，或者在实质上与招标文件不一致，而且限制了合同中买方（采购人）的权利或</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的义务，纠正这些偏离或保留将会对其他实质性响应要求的</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的竞争地位产生不公正的影响。是否属于重大偏离由评委会按照少数服从多数的原则作出结论。评委决定投标文件的响应性只根据投标文件本身的内容，而不寻求外部的证据。</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24.3如果投标文件实质上没有响应招标文件的要求，评委会将予以拒绝，</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不得通过修改或撤销不合要求的偏离或保留而使其投标成为实质性响应的投标。</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24.4评委会将对确定为实质性响应的投标进行进一步审核，是否有计算上或累加上的算术错误，修正错误的原则如下：</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（2）大写金额和小写金额不一致的，以大写金额为准。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同时出现两种以上错误的，按照前款规定的顺序修正。</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24.5评委会将按上述修正错误的方法调整投标文件中的投标报价，并通过苏采云系统告知</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，调整后的价格应对</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具有约束力。如果</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不接受修正后的价格，则其投标将被拒绝。</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24.6</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在开、评标全过程中应保持通讯畅通，及时登录苏采云系统查阅、答复相关信息，并安排专人与</w:t>
      </w:r>
      <w:r>
        <w:rPr>
          <w:rFonts w:hint="eastAsia" w:ascii="宋体" w:hAnsi="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及评委会联系。</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25、无效投标条款和废标条款</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25.1无效投标条款</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 </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在苏采云系统规定的时间内未成功解密电子投标文件的。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25.1.2 </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未按照招标文件要求上传电子投标文件的。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25.1.3 </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同一采购包提交两个（含两个）以上不同的投标报价的。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25.1.4</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不具备招标文件中规定资格要求的。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25.1.5</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的报价超过了采购预算或最高限价的。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25.1.6未通过符合性审查的。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25.1.7不符合招标文件中规定的实质性要求的（本招标文件中斜体且有下划线部分为实质性要求）</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25.1.8 </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被 “信用中国”网站（www.creditchina.gov.cn）列入失信被执行人或重大税收违法案件当事人名单或政府采购严重失信行为记录名单，“中国政府采购网"(www.ccgp.gov.cn)列入政府采购严重失信行为记录名单，或查询“信用中国”网站后发现</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存在其他不符合《中华人民共和国政府采购法》第二十二条规定条件的信用记录。</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25.1.9 投标文件含有采购人不能接受的附加条件的。</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 异常低价投标（响应）</w:t>
      </w:r>
      <w:r/>
    </w:p>
    <w:p>
      <w:pPr>
        <w:ind w:left="0" w:right="0" w:firstLine="422"/>
        <w:jc w:val="both"/>
        <w:keepLines w:val="0"/>
        <w:keepNext w:val="0"/>
        <w:pageBreakBefore w:val="0"/>
        <w:spacing w:line="360" w:lineRule="auto"/>
        <w:shd w:val="clear" w:color="ffffff" w:fill="ffffff"/>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25.1.10.1投标（响应）报价低于全部通过符合性审查供应商投标（响应）报价平均值</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%的，即投标（响应）报价&lt;全部通过符合性审查供应商投标（响应）报价平均值×</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w:t>
      </w:r>
      <w:r/>
    </w:p>
    <w:p>
      <w:pPr>
        <w:ind w:left="0" w:right="0" w:firstLine="422"/>
        <w:jc w:val="both"/>
        <w:keepLines w:val="0"/>
        <w:keepNext w:val="0"/>
        <w:pageBreakBefore w:val="0"/>
        <w:spacing w:line="360" w:lineRule="auto"/>
        <w:shd w:val="clear" w:color="ffffff" w:fill="ffffff"/>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25.1.10.2投标（响应）报价低于通过符合性审查的次低报价供应商投标（响应）报价</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%的，即投标（响应）报价&lt;通过符合性审查的次低报价供应商投标（响应）报价×</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25.1.10.3投标（响应）报价低于采购项目最高限价 </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 的，即投标（响应）报价&lt;采购项目最高限价×</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 ；</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25.1.10.4评审委员会认定的供应商报价过低、有可能影响产品质量或者不能诚信履约的其他情形。</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25.1.11 投标文件未按照招标文件要求加盖CA电子公章的。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25.1.12其他法律、法规及本招标文件规定的属无效投标的情形。</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25.2废标条款</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25.2.1符合专业条件的供应商或者对招标文件作实质响应的供应商不足三家的。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25.2.2出现影响采购公正的违法、违规行为的。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25.2.3因重大变故，采购任务取消的。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25.2.4评委会认定招标文件存在歧义、重大缺陷导致评审工作无法进行。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25.2.5 因苏采云系统系统故障原因造成开标不成功的。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25.3 投标截止时间结束后参加投标的供应商不足三家的处理：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25.3.1如出现投标截止时间结束后参加投标的供应商或者在评标期间对招标文件做出实质响应的供应商不足三家情况，按政府采购相关规定执行。</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、定标</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26、确定中标单位</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26.1中标候选人的选取原则和数量见招标文件第五章规定。 </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26.2 采购人应根据评委会推荐的中标候选人确定</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26.3 </w:t>
      </w:r>
      <w:r>
        <w:rPr>
          <w:rFonts w:hint="eastAsia" w:ascii="Times New Roman" w:hAnsi="Times New Roman" w:eastAsia="宋体"/>
          <w:bCs/>
          <w:color w:val="auto"/>
          <w:szCs w:val="21"/>
          <w:highlight w:val="none"/>
        </w:rPr>
        <w:t xml:space="preserve">代理机构</w:t>
      </w:r>
      <w:r>
        <w:rPr>
          <w:rFonts w:hint="eastAsia" w:ascii="宋体" w:hAnsi="宋体" w:eastAsia="宋体" w:cs="宋体"/>
          <w:color w:val="auto"/>
          <w:sz w:val="21"/>
          <w:szCs w:val="21"/>
          <w:highlight w:val="none"/>
        </w:rPr>
        <w:t xml:space="preserve">将在</w:t>
      </w:r>
      <w:r>
        <w:rPr>
          <w:rFonts w:hint="eastAsia" w:ascii="宋体" w:hAnsi="宋体" w:eastAsia="宋体" w:cs="宋体"/>
          <w:color w:val="auto"/>
          <w:sz w:val="21"/>
          <w:szCs w:val="21"/>
          <w:highlight w:val="none"/>
          <w:u w:val="none"/>
        </w:rPr>
        <w:t xml:space="preserve">“江苏政府采购网、扬州市政府采购网</w:t>
      </w:r>
      <w:r>
        <w:rPr>
          <w:rFonts w:hint="eastAsia" w:ascii="宋体" w:hAnsi="宋体" w:eastAsia="宋体" w:cs="宋体"/>
          <w:color w:val="auto"/>
          <w:sz w:val="21"/>
          <w:szCs w:val="21"/>
          <w:highlight w:val="none"/>
          <w:u w:val="none"/>
          <w:lang w:eastAsia="zh-CN"/>
        </w:rPr>
        <w:t xml:space="preserve">、</w:t>
      </w:r>
      <w:r>
        <w:rPr>
          <w:rFonts w:hint="eastAsia" w:ascii="宋体" w:hAnsi="宋体" w:cs="宋体"/>
          <w:color w:val="auto"/>
          <w:sz w:val="21"/>
          <w:szCs w:val="21"/>
          <w:highlight w:val="none"/>
          <w:u w:val="none"/>
          <w:lang w:eastAsia="zh-CN"/>
        </w:rPr>
        <w:t xml:space="preserve">扬州市广陵区政府采购网”</w:t>
      </w:r>
      <w:r>
        <w:rPr>
          <w:rFonts w:hint="eastAsia" w:ascii="宋体" w:hAnsi="宋体" w:eastAsia="宋体" w:cs="宋体"/>
          <w:color w:val="auto"/>
          <w:sz w:val="21"/>
          <w:szCs w:val="21"/>
          <w:highlight w:val="none"/>
        </w:rPr>
        <w:t xml:space="preserve">发布中标公告，公告期限为1个工作日。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 若有充分证据证明，</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出现下列情况之一的，一经查实，将被取消中标资格：</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26.4.1提供虚假材料谋取中标的。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26.4.2向采购人、</w:t>
      </w:r>
      <w:r>
        <w:rPr>
          <w:rFonts w:hint="eastAsia" w:ascii="Times New Roman" w:hAnsi="Times New Roman" w:eastAsia="宋体"/>
          <w:bCs/>
          <w:color w:val="auto"/>
          <w:szCs w:val="21"/>
          <w:highlight w:val="none"/>
        </w:rPr>
        <w:t xml:space="preserve">代理机构</w:t>
      </w:r>
      <w:r>
        <w:rPr>
          <w:rFonts w:hint="eastAsia" w:ascii="宋体" w:hAnsi="宋体" w:eastAsia="宋体" w:cs="宋体"/>
          <w:color w:val="auto"/>
          <w:sz w:val="21"/>
          <w:szCs w:val="21"/>
          <w:highlight w:val="none"/>
        </w:rPr>
        <w:t xml:space="preserve">行贿或者提供其他不正当利益的。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26.4.3属于本文件规定的无效条件，但在评标过程中又未被评委会发现的。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26.4.4与采购人或者其他供应商恶意串通的。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26.4.5采取不正当手段诋毁、排挤其他供应商的。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 有下列情形之一的，视为</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串通投标，投标无效：</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26.5.1不同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的投标文件由同一单位或者个人编制。</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经查实，不同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的电子投标文件出自同一台电脑的：不同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的标书制作工具客户端标识码存在一致的；不同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从同一互联网协议地址上传投标文件的。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26.5.2不同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委托同一单位或者个人办理投标事宜。</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26.5.3 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的投标文件载明的项目管理成员或者联系人员为同一人。</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26.5.4不同</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的投标文件异常一致或者投标报价呈规律性差异。</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27、质疑处理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27.1 提出质疑的供应商应当是参与所质疑项目采购活动的供应商。潜在供应商依法获取其可质疑的采购文件的，可以对采购文件提出质疑。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27.2供应商认为采购文件、采购过程和采购结果使自己的权益受到损害的，可以在知道或应知其权益受到损害之日起七个工作日内，以书面形式根据下述条款的规定向</w:t>
      </w:r>
      <w:r>
        <w:rPr>
          <w:rFonts w:hint="eastAsia" w:ascii="Times New Roman" w:hAnsi="Times New Roman" w:eastAsia="宋体"/>
          <w:bCs/>
          <w:color w:val="auto"/>
          <w:szCs w:val="21"/>
          <w:highlight w:val="none"/>
        </w:rPr>
        <w:t xml:space="preserve">代理机构</w:t>
      </w:r>
      <w:r>
        <w:rPr>
          <w:rFonts w:hint="eastAsia" w:ascii="宋体" w:hAnsi="宋体" w:eastAsia="宋体" w:cs="宋体"/>
          <w:color w:val="auto"/>
          <w:sz w:val="21"/>
          <w:szCs w:val="21"/>
          <w:highlight w:val="none"/>
        </w:rPr>
        <w:t xml:space="preserve">或采购人提出质疑。上述应知其权益受到损害之日，是指：</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27.2.1对可以质疑的采购文件提出质疑的，为收到采购文件之日或者采购文件公告期限届满之日；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27.2.2对采购过程提出质疑的，为各采购程序环节结束之日；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27.2.3对中标或者成交结果提出质疑的，为中标或者成交结果公告期限届满之日。</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、采购人将只对供应商第一次质疑作出答复。</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提出，由</w:t>
      </w:r>
      <w:r>
        <w:rPr>
          <w:rFonts w:hint="eastAsia" w:ascii="宋体" w:hAnsi="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负责答复。</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采购人及</w:t>
      </w:r>
      <w:r>
        <w:rPr>
          <w:rFonts w:hint="eastAsia" w:ascii="宋体" w:hAnsi="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只接收以纸质原件形式送达的质疑,建议供应商尽量通过邮寄方式提交质疑（采购人和</w:t>
      </w:r>
      <w:r>
        <w:rPr>
          <w:rFonts w:hint="eastAsia" w:ascii="宋体" w:hAnsi="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不接受无快递运单号的快递）。</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质疑接收人及联系方式见招标文件第一章。</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 以下情形的质疑不予受理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27.5.1 内容不符合《政府采购质疑和投诉办法》第十二条规定的质疑。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27.5.2 超出政府采购法定期限的质疑。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27.5.3 以传真、电子邮件等方式递交的非原件形式的质疑。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27.5.4未参加投标活动的供应商或在投标活动中自身权益未受到损害的供应商所提出的质疑。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27.5.5供应商组成联合体参加投标，联合体中任何一方或多方未按要求签字、盖章、加盖公章的质疑。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27.6供应商提出书面质疑必须有理、有据，不得捏造事实、提供虚假材料进行恶意质疑。否则，一经查实，</w:t>
      </w:r>
      <w:r>
        <w:rPr>
          <w:rFonts w:hint="eastAsia" w:ascii="宋体" w:hAnsi="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有权依据政府采购的有关规定，报请政府采购监管部门对该供应商进行相应的行政处罚和记录该供应商的失信信息。</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28、中标通知书</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28.l中标结果确定后，</w:t>
      </w:r>
      <w:r>
        <w:rPr>
          <w:rFonts w:hint="eastAsia" w:ascii="宋体" w:hAnsi="宋体" w:cs="宋体"/>
          <w:color w:val="auto"/>
          <w:sz w:val="21"/>
          <w:szCs w:val="21"/>
          <w:highlight w:val="none"/>
          <w:lang w:val="en-US" w:eastAsia="zh-CN"/>
        </w:rPr>
        <w:t xml:space="preserve">代理机构</w:t>
      </w:r>
      <w:r>
        <w:rPr>
          <w:rFonts w:hint="eastAsia" w:ascii="宋体" w:hAnsi="宋体" w:eastAsia="宋体" w:cs="宋体"/>
          <w:color w:val="auto"/>
          <w:sz w:val="21"/>
          <w:szCs w:val="21"/>
          <w:highlight w:val="none"/>
        </w:rPr>
        <w:t xml:space="preserve">将向</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发出中标通知书。请</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自行承担。</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28.2中标通知书将是合同的一个组成部分。对采购人和</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均具有法律效力。中标通知书发出后，采购人改变中标结果的，或者</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放弃中标项目的，应当依法承担法律责任。</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、授予合同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29、签订合同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29.l</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应当在中标通知书发出之日起三十日内，按照招标文件确定的事项与采购人签订政府采购合同。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29.2招标文件、</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的投标文件及招标过程中有关澄清、承诺文件均应作为合同附件。</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29.3 签订合同后，</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不得将合同标的进行转包。未经采购人同意，</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也不得采用分包的形式履行合同，否则采购人有权终止合同。转包或分包造成采购人损失的，</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应承担相应赔偿责任。</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30、政府采购履约资金扶持政策</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可凭政府采购合同办理融资贷款，详情请见江苏政府采购网“政采贷”专栏。</w:t>
      </w:r>
      <w:r/>
    </w:p>
    <w:p>
      <w:pPr>
        <w:ind w:left="0" w:right="0" w:firstLine="0"/>
        <w:jc w:val="both"/>
        <w:spacing w:before="240" w:after="240"/>
        <w:rPr>
          <w:rFonts w:ascii="黑体" w:hAnsi="黑体" w:eastAsia="黑体" w:cs="黑体"/>
          <w:b/>
          <w:color w:val="auto"/>
          <w:sz w:val="44"/>
          <w:highlight w:val="none"/>
        </w:rPr>
        <w:pBdr>
          <w:top w:val="none" w:color="000000" w:sz="0" w:space="0"/>
          <w:left w:val="none" w:color="000000" w:sz="0" w:space="0"/>
          <w:bottom w:val="none" w:color="000000" w:sz="0" w:space="0"/>
          <w:right w:val="none" w:color="000000" w:sz="0" w:space="0"/>
        </w:pBdr>
        <w:sectPr>
          <w:footerReference w:type="default" r:id="rId17"/>
          <w:footerReference w:type="first" r:id="rId18"/>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hAnsi="黑体" w:eastAsia="黑体" w:cs="黑体"/>
          <w:b/>
          <w:color w:val="auto"/>
          <w:sz w:val="44"/>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0"/>
        <w:rPr>
          <w:rFonts w:hint="eastAsia"/>
          <w:color w:val="auto"/>
          <w:highlight w:val="none"/>
        </w:rPr>
      </w:pPr>
      <w:r/>
      <w:bookmarkStart w:id="57" w:name="_Toc27038"/>
      <w:r/>
      <w:bookmarkStart w:id="58" w:name="_Toc2200"/>
      <w:r>
        <w:rPr>
          <w:rFonts w:hint="eastAsia"/>
          <w:color w:val="auto"/>
          <w:highlight w:val="none"/>
        </w:rPr>
        <w:t xml:space="preserve">第三章</w:t>
      </w:r>
      <w:bookmarkEnd w:id="39"/>
      <w:r/>
      <w:bookmarkEnd w:id="40"/>
      <w:r/>
      <w:bookmarkEnd w:id="41"/>
      <w:r/>
      <w:bookmarkEnd w:id="42"/>
      <w:r/>
      <w:bookmarkEnd w:id="43"/>
      <w:r/>
      <w:bookmarkEnd w:id="57"/>
      <w:r>
        <w:rPr>
          <w:rFonts w:hint="eastAsia"/>
          <w:color w:val="auto"/>
          <w:highlight w:val="none"/>
          <w:lang w:val="en-US" w:eastAsia="zh-CN"/>
        </w:rPr>
        <w:t xml:space="preserve">  </w:t>
      </w:r>
      <w:r>
        <w:rPr>
          <w:color w:val="auto"/>
          <w:highlight w:val="none"/>
        </w:rPr>
        <w:t xml:space="preserve">合同文本</w:t>
      </w:r>
      <w:bookmarkEnd w:id="58"/>
      <w:r/>
      <w:r/>
    </w:p>
    <w:p>
      <w:pPr>
        <w:ind w:left="0" w:right="0" w:firstLine="0"/>
        <w:jc w:val="center"/>
        <w:keepLines w:val="0"/>
        <w:keepNext w:val="0"/>
        <w:pageBreakBefore w:val="0"/>
        <w:widowControl w:val="off"/>
        <w:rPr>
          <w:color w:val="auto"/>
          <w:highlight w:val="none"/>
        </w:rPr>
        <w:pBdr>
          <w:top w:val="none" w:color="000000" w:sz="0" w:space="0"/>
          <w:left w:val="none" w:color="000000" w:sz="0" w:space="0"/>
          <w:bottom w:val="none" w:color="000000" w:sz="0" w:space="0"/>
          <w:right w:val="none" w:color="000000" w:sz="0" w:space="0"/>
        </w:pBdr>
      </w:pPr>
      <w:r/>
      <w:bookmarkStart w:id="59" w:name="_Toc16938559"/>
      <w:r/>
      <w:bookmarkStart w:id="60" w:name="_Toc20823315"/>
      <w:r/>
      <w:bookmarkStart w:id="61" w:name="_Toc513029243"/>
      <w:r>
        <w:rPr>
          <w:rFonts w:ascii="宋体" w:hAnsi="宋体" w:eastAsia="宋体" w:cs="宋体"/>
          <w:b/>
          <w:color w:val="auto"/>
          <w:sz w:val="30"/>
          <w:highlight w:val="none"/>
        </w:rPr>
        <w:t xml:space="preserve">江苏省政府采购合同（服务）（合同编号）</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项目名称：*****                   </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项目编号：*****             </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甲方：（买方/采购人）_________</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乙方：（卖方/</w:t>
      </w:r>
      <w:r>
        <w:rPr>
          <w:rFonts w:hint="eastAsia" w:ascii="宋体" w:hAnsi="宋体" w:cs="宋体"/>
          <w:color w:val="auto"/>
          <w:sz w:val="21"/>
          <w:szCs w:val="21"/>
          <w:highlight w:val="none"/>
          <w:lang w:val="en-US" w:eastAsia="zh-CN"/>
        </w:rPr>
        <w:t xml:space="preserve">供应商</w:t>
      </w:r>
      <w:r>
        <w:rPr>
          <w:rFonts w:ascii="宋体" w:hAnsi="宋体" w:eastAsia="宋体" w:cs="宋体"/>
          <w:color w:val="auto"/>
          <w:sz w:val="21"/>
          <w:szCs w:val="21"/>
          <w:highlight w:val="none"/>
        </w:rPr>
        <w:t xml:space="preserve">）_________</w:t>
      </w:r>
      <w:r/>
    </w:p>
    <w:p>
      <w:pPr>
        <w:ind w:left="0" w:right="0" w:firstLine="42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 </w:t>
      </w:r>
      <w:r>
        <w:rPr>
          <w:rFonts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val="en-US" w:eastAsia="zh-CN"/>
        </w:rPr>
        <w:t xml:space="preserve">江苏远锐工程管理咨询有限公司</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项目公开招标的结果，签署本合同。</w:t>
      </w:r>
      <w:r/>
    </w:p>
    <w:p>
      <w:pPr>
        <w:ind w:left="0" w:right="0" w:firstLine="42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一、合同内容</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1.1 标的名称：</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1.2标的质量：</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1.3 标的数量（规模）：</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1.4 履行时间（期限）：</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1.5 履行地点：</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1.6履行方式：</w:t>
      </w:r>
      <w:r/>
    </w:p>
    <w:p>
      <w:pPr>
        <w:ind w:left="0" w:right="0" w:firstLine="42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二、合同金额</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2.1 本合同金额为（大写）：</w:t>
      </w:r>
      <w:r>
        <w:rPr>
          <w:rFonts w:hint="eastAsia" w:ascii="宋体" w:hAnsi="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rPr>
        <w:t xml:space="preserve">圆（</w:t>
      </w:r>
      <w:r>
        <w:rPr>
          <w:rFonts w:hint="eastAsia" w:ascii="宋体" w:hAnsi="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rPr>
        <w:t xml:space="preserve">元）人民币或其他币种。</w:t>
      </w:r>
      <w:r/>
    </w:p>
    <w:p>
      <w:pPr>
        <w:ind w:left="0" w:right="0" w:firstLine="42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三、技术资料</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3.1乙方应按招标文件规定的时间向甲方提供服务（包含与服务相关的货物）的有关技术资料。</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四、知识产权</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2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五、产权担保</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5.1 乙方保证所交付的服务（包含与服务相关的货物）的所有权完全属于乙方且无任何抵押、查封等产权瑕疵。</w:t>
      </w:r>
      <w:r/>
    </w:p>
    <w:p>
      <w:pPr>
        <w:ind w:left="0" w:right="0" w:firstLine="42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六、履约保证金</w:t>
      </w:r>
      <w:r/>
    </w:p>
    <w:p>
      <w:pPr>
        <w:ind w:left="0" w:right="0" w:firstLine="420"/>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6.1 乙方交纳人民币</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 xml:space="preserve">零</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rPr>
        <w:t xml:space="preserve">元作为本合同的履约保证金。（不得超过合同金额的10%）</w:t>
      </w:r>
      <w:r/>
    </w:p>
    <w:p>
      <w:pPr>
        <w:ind w:left="0" w:right="0" w:firstLine="420"/>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6.2合同履行结束后，甲方应及时退还交纳的履约保证金。</w:t>
      </w:r>
      <w:r/>
    </w:p>
    <w:p>
      <w:pPr>
        <w:ind w:left="0" w:right="0" w:firstLine="420"/>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6.2.1履约保证金退还方式：无</w:t>
      </w:r>
      <w:r/>
    </w:p>
    <w:p>
      <w:pPr>
        <w:ind w:left="0" w:right="0" w:firstLine="420"/>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6.2.2履约保证金退还时间：无</w:t>
      </w:r>
      <w:r/>
    </w:p>
    <w:p>
      <w:pPr>
        <w:ind w:left="0" w:right="0" w:firstLine="420"/>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6.2.3履约保证金退还条件：无</w:t>
      </w:r>
      <w:r/>
    </w:p>
    <w:p>
      <w:pPr>
        <w:ind w:left="0" w:right="0" w:firstLine="420"/>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6.2.4履约保证金不予退还的情形：无</w:t>
      </w:r>
      <w:r/>
    </w:p>
    <w:p>
      <w:pPr>
        <w:ind w:left="0" w:right="0" w:firstLine="420"/>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6.2.5履约保证金逾期退还的违约责任：无</w:t>
      </w:r>
      <w:r/>
    </w:p>
    <w:p>
      <w:pPr>
        <w:ind w:left="0" w:right="0" w:firstLine="42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七、合同转包或分包</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7.1乙方不得将合同标的转包给他人履行。</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7.2乙方不得将合同标的分包给他人履行。</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7.3乙方如有转包或未经甲方同意的分包行为，甲方有权解除合同。</w:t>
      </w:r>
      <w:r/>
    </w:p>
    <w:p>
      <w:pPr>
        <w:ind w:left="0" w:right="0" w:firstLine="42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八、合同款项支付</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8.1合同款项的支付方式及进度安排</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甲方每季度依据考核结果支付一次服务费，支付时间为每季度末。</w:t>
      </w:r>
      <w:r/>
    </w:p>
    <w:p>
      <w:pPr>
        <w:ind w:left="0" w:right="0" w:firstLine="42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九、税费</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9.1本合同执行中相关的一切税费均由乙方负担。</w:t>
      </w:r>
      <w:r/>
    </w:p>
    <w:p>
      <w:pPr>
        <w:ind w:left="0" w:right="0" w:firstLine="42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十、项目验收</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10.1甲方依法组织履约验收工作。</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10.3对于实际使用人和甲方分离的项目，甲方邀请实际使用人参与验收。</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10.4如有必要，甲方邀请参加本项目的其他供应商或第三方专业机构及专家参与验收，相关意见将作为验收书的参考资料。</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2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十一、违约责任</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11.1甲方无正当理由拒绝接受乙方提供服务的，甲方向乙方偿付拒绝接受服务合同价款总值</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的违约金。</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11.2甲方无故逾期验收和办理合同款项支付手续的,甲方应按逾期付款总额</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每日向乙方支付违约金。</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的违约金，如造成甲方损失超过违约金的，超出部分由乙方继续承担赔偿责任。 </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11.4 乙方所提供服务的标准不符合合同规定及招标文件规定标准的，甲方有权拒绝接受服务，并可单方面解除合同。</w:t>
      </w:r>
      <w:r/>
    </w:p>
    <w:p>
      <w:pPr>
        <w:ind w:left="0" w:right="0" w:firstLine="42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十二、不可抗力事件处理</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12.1在合同有效期内，任何一方因不可抗力事件导致不能履行合同，则合同履行期可延长，其延长期与不可抗力影响期相同。</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12.2不可抗力事件发生后，应立即通知对方，并寄送有关权威机构出具的证明。</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12.3不可抗力事件延续120天以上，双方应通过友好协商，确定是否继续履行合同。</w:t>
      </w:r>
      <w:r/>
    </w:p>
    <w:p>
      <w:pPr>
        <w:ind w:left="0" w:right="0" w:firstLine="42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十三、解决争议的方法</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13.1双方在签订、履行合同中所发生的一切争议，应通过友好协商解决。如协商不成，由甲方住所地人民法院管辖。</w:t>
      </w:r>
      <w:r/>
    </w:p>
    <w:p>
      <w:pPr>
        <w:ind w:left="0" w:right="0" w:firstLine="422"/>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十四、合同生效及其它</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14.1合同经双方法定代表人或授权委托代表人签字并加盖单位公章后生效。</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14.2本合同未尽事宜，遵照中华人民共和国现行法律法规有关条文执行。</w:t>
      </w:r>
      <w:r/>
    </w:p>
    <w:p>
      <w:pPr>
        <w:ind w:left="0" w:right="0" w:firstLine="420"/>
        <w:jc w:val="both"/>
        <w:keepLines w:val="0"/>
        <w:keepNext w:val="0"/>
        <w:pageBreakBefore w:val="0"/>
        <w:spacing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14.3本合同一式</w:t>
      </w:r>
      <w:r>
        <w:rPr>
          <w:rFonts w:hint="eastAsia" w:ascii="宋体" w:hAnsi="宋体" w:cs="宋体"/>
          <w:color w:val="auto"/>
          <w:sz w:val="21"/>
          <w:szCs w:val="21"/>
          <w:highlight w:val="none"/>
          <w:lang w:val="en-US" w:eastAsia="zh-CN"/>
        </w:rPr>
        <w:t xml:space="preserve">肆</w:t>
      </w:r>
      <w:r>
        <w:rPr>
          <w:rFonts w:ascii="宋体" w:hAnsi="宋体" w:eastAsia="宋体" w:cs="宋体"/>
          <w:color w:val="auto"/>
          <w:sz w:val="21"/>
          <w:szCs w:val="21"/>
          <w:highlight w:val="none"/>
        </w:rPr>
        <w:t xml:space="preserve">份，具有同等法律效力，甲方、乙方各执</w:t>
      </w:r>
      <w:r>
        <w:rPr>
          <w:rFonts w:hint="eastAsia" w:ascii="宋体" w:hAnsi="宋体" w:cs="宋体"/>
          <w:color w:val="auto"/>
          <w:sz w:val="21"/>
          <w:szCs w:val="21"/>
          <w:highlight w:val="none"/>
          <w:lang w:val="en-US" w:eastAsia="zh-CN"/>
        </w:rPr>
        <w:t xml:space="preserve">贰</w:t>
      </w:r>
      <w:r>
        <w:rPr>
          <w:rFonts w:ascii="宋体" w:hAnsi="宋体" w:eastAsia="宋体" w:cs="宋体"/>
          <w:color w:val="auto"/>
          <w:sz w:val="21"/>
          <w:szCs w:val="21"/>
          <w:highlight w:val="none"/>
        </w:rPr>
        <w:t xml:space="preserve">份。</w:t>
      </w:r>
      <w:r/>
    </w:p>
    <w:p>
      <w:pPr>
        <w:ind w:left="0" w:right="0" w:firstLine="420"/>
        <w:jc w:val="both"/>
        <w:keepLines w:val="0"/>
        <w:keepNext w:val="0"/>
        <w:pageBreakBefore w:val="0"/>
        <w:spacing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r>
      <w:r/>
    </w:p>
    <w:tbl>
      <w:tblPr>
        <w:tblStyle w:val="12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left="0" w:firstLine="420"/>
              <w:jc w:val="left"/>
              <w:keepLines w:val="0"/>
              <w:keepNext w:val="0"/>
              <w:pageBreakBefore w:val="0"/>
              <w:spacing w:after="0"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联系电话：</w:t>
            </w:r>
            <w:r/>
          </w:p>
        </w:tc>
      </w:tr>
    </w:tbl>
    <w:p>
      <w:pPr>
        <w:ind w:left="0" w:right="0" w:firstLine="420"/>
        <w:jc w:val="center"/>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p>
      <w:pPr>
        <w:ind w:left="0" w:firstLine="420"/>
        <w:jc w:val="righ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ascii="宋体" w:hAnsi="宋体" w:eastAsia="宋体" w:cs="宋体"/>
          <w:color w:val="auto"/>
          <w:sz w:val="21"/>
          <w:szCs w:val="21"/>
          <w:highlight w:val="none"/>
        </w:rPr>
        <w:t xml:space="preserve">                                     签订日期：</w:t>
      </w:r>
      <w:r>
        <w:rPr>
          <w:rFonts w:hint="eastAsia" w:ascii="宋体" w:hAnsi="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年  月 日</w:t>
      </w:r>
      <w:bookmarkEnd w:id="59"/>
      <w:r/>
      <w:bookmarkEnd w:id="60"/>
      <w:r/>
      <w:bookmarkEnd w:id="61"/>
      <w:r/>
      <w:r/>
    </w:p>
    <w:p>
      <w:pPr>
        <w:pStyle w:val="1190"/>
        <w:rPr>
          <w:rFonts w:hint="eastAsia"/>
          <w:color w:val="auto"/>
          <w:highlight w:val="none"/>
        </w:rPr>
      </w:pPr>
      <w:r/>
      <w:bookmarkStart w:id="62" w:name="_Hlt16619350"/>
      <w:r/>
      <w:bookmarkStart w:id="63" w:name="_Toc120614244"/>
      <w:r/>
      <w:bookmarkStart w:id="64" w:name="_Toc20823346"/>
      <w:r/>
      <w:bookmarkStart w:id="65" w:name="_Toc16938590"/>
      <w:r/>
      <w:bookmarkStart w:id="66" w:name="_Toc462564139"/>
      <w:r/>
      <w:bookmarkStart w:id="67" w:name="_Toc479757211"/>
      <w:r>
        <w:rPr>
          <w:rFonts w:hint="eastAsia" w:ascii="宋体" w:hAnsi="宋体" w:eastAsia="宋体" w:cs="宋体"/>
          <w:bCs/>
          <w:color w:val="auto"/>
          <w:highlight w:val="none"/>
        </w:rPr>
        <w:br w:type="page" w:clear="all"/>
      </w:r>
      <w:bookmarkStart w:id="68" w:name="_Toc461"/>
      <w:r/>
      <w:bookmarkStart w:id="69" w:name="_Toc25422"/>
      <w:r>
        <w:rPr>
          <w:rFonts w:hint="eastAsia"/>
          <w:color w:val="auto"/>
          <w:highlight w:val="none"/>
        </w:rPr>
        <w:t xml:space="preserve">第</w:t>
      </w:r>
      <w:bookmarkEnd w:id="62"/>
      <w:r>
        <w:rPr>
          <w:rFonts w:hint="eastAsia"/>
          <w:color w:val="auto"/>
          <w:highlight w:val="none"/>
        </w:rPr>
        <w:t xml:space="preserve">四章 </w:t>
      </w:r>
      <w:r>
        <w:rPr>
          <w:rFonts w:hint="eastAsia"/>
          <w:color w:val="auto"/>
          <w:highlight w:val="none"/>
          <w:lang w:val="en-US" w:eastAsia="zh-CN"/>
        </w:rPr>
        <w:t xml:space="preserve"> </w:t>
      </w:r>
      <w:r>
        <w:rPr>
          <w:rFonts w:hint="eastAsia"/>
          <w:color w:val="auto"/>
          <w:highlight w:val="none"/>
        </w:rPr>
        <w:t xml:space="preserve">采购需求</w:t>
      </w:r>
      <w:bookmarkEnd w:id="63"/>
      <w:r/>
      <w:bookmarkEnd w:id="64"/>
      <w:r/>
      <w:bookmarkEnd w:id="65"/>
      <w:r/>
      <w:bookmarkEnd w:id="68"/>
      <w:r/>
      <w:bookmarkEnd w:id="69"/>
      <w:r/>
      <w:r/>
    </w:p>
    <w:p>
      <w:pPr>
        <w:ind w:left="0" w:right="0" w:firstLine="482"/>
        <w:jc w:val="both"/>
        <w:keepLines w:val="0"/>
        <w:keepNext w:val="0"/>
        <w:pageBreakBefore w:val="0"/>
        <w:spacing w:before="0" w:after="0" w:line="36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bookmarkStart w:id="70" w:name="_Toc120614281"/>
      <w:r/>
      <w:bookmarkStart w:id="71" w:name="_Toc49090575"/>
      <w:r/>
      <w:bookmarkStart w:id="72" w:name="_Toc26554093"/>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项目属性</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rPr>
        <w:t xml:space="preserve">类项目</w:t>
      </w:r>
      <w:r/>
    </w:p>
    <w:p>
      <w:pPr>
        <w:ind w:left="0" w:right="0" w:firstLine="480"/>
        <w:jc w:val="both"/>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right="0" w:firstLine="480"/>
        <w:jc w:val="both"/>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2.供应商对于投标产品的包装应按照“财办库〔2020〕123号《关于印发《商品包装政府采购需求标准（试行）》、《快递包装政府采购需求标准（试行）》的通知》”执行。</w:t>
      </w:r>
      <w:r/>
    </w:p>
    <w:p>
      <w:pPr>
        <w:ind w:left="0" w:right="0" w:firstLine="480"/>
        <w:jc w:val="both"/>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3.采购标的清单</w:t>
      </w:r>
      <w:r/>
    </w:p>
    <w:tbl>
      <w:tblPr>
        <w:tblStyle w:val="12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9"/>
        <w:gridCol w:w="3810"/>
        <w:gridCol w:w="354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right="0"/>
              <w:jc w:val="both"/>
              <w:spacing w:before="0" w:after="0"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ind w:right="0"/>
              <w:jc w:val="center"/>
              <w:spacing w:before="0" w:after="0" w:line="240" w:lineRule="auto"/>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right="0"/>
              <w:jc w:val="center"/>
              <w:spacing w:before="0" w:after="0" w:line="240" w:lineRule="auto"/>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ind w:left="0" w:right="0" w:firstLine="480"/>
              <w:jc w:val="both"/>
              <w:spacing w:before="0" w:after="0" w:line="240" w:lineRule="auto"/>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keepLines w:val="0"/>
              <w:keepNext w:val="0"/>
              <w:pageBreakBefore w:val="0"/>
              <w:spacing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2026年广陵区道路公园绿化养护项目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vAlign w:val="center"/>
            <w:textDirection w:val="lrTb"/>
            <w:noWrap w:val="false"/>
          </w:tcPr>
          <w:p>
            <w:pPr>
              <w:ind w:left="0" w:right="0" w:firstLine="480"/>
              <w:jc w:val="center"/>
              <w:spacing w:before="0" w:after="0" w:line="24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其他未列明行业</w:t>
            </w:r>
            <w:r/>
          </w:p>
        </w:tc>
      </w:tr>
    </w:tbl>
    <w:p>
      <w:pPr>
        <w:ind w:left="0" w:right="0" w:firstLine="482"/>
        <w:jc w:val="both"/>
        <w:keepLines w:val="0"/>
        <w:keepNext w:val="0"/>
        <w:pageBreakBefore w:val="0"/>
        <w:spacing w:before="0" w:after="0" w:line="360" w:lineRule="auto"/>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二、商务要求</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项目名称：2026年广陵区道路公园绿化养护项目</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预算金额：</w:t>
      </w:r>
      <w:r>
        <w:rPr>
          <w:rFonts w:hint="eastAsia" w:ascii="宋体" w:hAnsi="宋体" w:cs="宋体"/>
          <w:color w:val="auto"/>
          <w:szCs w:val="21"/>
          <w:highlight w:val="none"/>
          <w:lang w:val="en-US" w:eastAsia="zh-CN"/>
        </w:rPr>
        <w:t xml:space="preserve">987</w:t>
      </w:r>
      <w:r>
        <w:rPr>
          <w:rFonts w:hint="eastAsia" w:ascii="宋体" w:hAnsi="宋体" w:eastAsia="宋体" w:cs="宋体"/>
          <w:color w:val="auto"/>
          <w:szCs w:val="21"/>
          <w:highlight w:val="none"/>
          <w:lang w:val="en-US" w:eastAsia="zh-CN"/>
        </w:rPr>
        <w:t xml:space="preserve">万元</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最高限价：</w:t>
      </w:r>
      <w:r>
        <w:rPr>
          <w:rFonts w:hint="eastAsia" w:ascii="宋体" w:hAnsi="宋体" w:cs="宋体"/>
          <w:b w:val="0"/>
          <w:bCs w:val="0"/>
          <w:color w:val="auto"/>
          <w:szCs w:val="21"/>
          <w:highlight w:val="none"/>
          <w:lang w:val="en-US" w:eastAsia="zh-CN"/>
        </w:rPr>
        <w:t xml:space="preserve">858.05</w:t>
      </w:r>
      <w:r>
        <w:rPr>
          <w:rFonts w:hint="eastAsia" w:ascii="宋体" w:hAnsi="宋体" w:eastAsia="宋体" w:cs="宋体"/>
          <w:b w:val="0"/>
          <w:bCs w:val="0"/>
          <w:color w:val="auto"/>
          <w:szCs w:val="21"/>
          <w:highlight w:val="none"/>
          <w:lang w:val="en-US" w:eastAsia="zh-CN"/>
        </w:rPr>
        <w:t xml:space="preserve">万元，报价超过最高限价的为无效报价，按照无效响应处理。</w:t>
      </w:r>
      <w:r/>
    </w:p>
    <w:p>
      <w:pPr>
        <w:ind w:firstLine="420"/>
        <w:keepLines w:val="0"/>
        <w:keepNext w:val="0"/>
        <w:pageBreakBefore w:val="0"/>
        <w:spacing w:afterAutospacing="0" w:line="360" w:lineRule="auto"/>
        <w:widowControl w:val="off"/>
        <w:rPr>
          <w:rFonts w:hint="eastAsia" w:ascii="宋体" w:hAnsi="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合同履行期限：本项目服务期限为</w:t>
      </w:r>
      <w:r>
        <w:rPr>
          <w:rFonts w:hint="eastAsia" w:ascii="宋体" w:hAnsi="宋体" w:cs="宋体"/>
          <w:b w:val="0"/>
          <w:bCs w:val="0"/>
          <w:color w:val="auto"/>
          <w:sz w:val="21"/>
          <w:szCs w:val="21"/>
          <w:highlight w:val="none"/>
          <w:lang w:val="en-US" w:eastAsia="zh-CN" w:bidi="ar-SA"/>
        </w:rPr>
        <w:t xml:space="preserve">一</w:t>
      </w:r>
      <w:r>
        <w:rPr>
          <w:rFonts w:hint="eastAsia" w:ascii="宋体" w:hAnsi="宋体" w:eastAsia="宋体" w:cs="宋体"/>
          <w:b w:val="0"/>
          <w:bCs w:val="0"/>
          <w:color w:val="auto"/>
          <w:sz w:val="21"/>
          <w:szCs w:val="21"/>
          <w:highlight w:val="none"/>
          <w:lang w:val="en-US" w:eastAsia="zh-CN" w:bidi="ar-SA"/>
        </w:rPr>
        <w:t xml:space="preserve">年，起始日期以合同约定为准</w:t>
      </w:r>
      <w:r>
        <w:rPr>
          <w:rFonts w:hint="eastAsia" w:ascii="宋体" w:hAnsi="宋体" w:cs="宋体"/>
          <w:b w:val="0"/>
          <w:bCs w:val="0"/>
          <w:color w:val="auto"/>
          <w:sz w:val="21"/>
          <w:szCs w:val="21"/>
          <w:highlight w:val="none"/>
          <w:lang w:val="en-US" w:eastAsia="zh-CN" w:bidi="ar-SA"/>
        </w:rPr>
        <w:t xml:space="preserve">。</w:t>
      </w:r>
      <w:r/>
    </w:p>
    <w:p>
      <w:pPr>
        <w:ind w:left="0" w:right="0" w:firstLine="420"/>
        <w:jc w:val="both"/>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rPr>
        <w:t xml:space="preserve">付款方式：</w:t>
      </w:r>
      <w:r>
        <w:rPr>
          <w:rFonts w:hint="eastAsia" w:ascii="宋体" w:hAnsi="宋体" w:eastAsia="宋体" w:cs="宋体"/>
          <w:b w:val="0"/>
          <w:bCs w:val="0"/>
          <w:color w:val="auto"/>
          <w:sz w:val="21"/>
          <w:szCs w:val="21"/>
          <w:highlight w:val="none"/>
        </w:rPr>
        <w:t xml:space="preserve">甲方每季度依据考核结果支付一次服务费，支付时间为每季度末。</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服务内容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广陵区道路行道树及道路退让带绿化日常养护、公园绿化日常养护，总养护面积约</w:t>
      </w:r>
      <w:r>
        <w:rPr>
          <w:rFonts w:hint="eastAsia" w:ascii="宋体" w:hAnsi="宋体" w:cs="宋体"/>
          <w:color w:val="auto"/>
          <w:szCs w:val="21"/>
          <w:highlight w:val="none"/>
          <w:lang w:val="en-US" w:eastAsia="zh-CN"/>
        </w:rPr>
        <w:t xml:space="preserve">270</w:t>
      </w:r>
      <w:r>
        <w:rPr>
          <w:rFonts w:hint="eastAsia" w:ascii="宋体" w:hAnsi="宋体" w:eastAsia="宋体" w:cs="宋体"/>
          <w:color w:val="auto"/>
          <w:szCs w:val="21"/>
          <w:highlight w:val="none"/>
        </w:rPr>
        <w:t xml:space="preserve">万平方。</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广陵区公园绿化养护分别为：国防主题公园（起止点：七里河北路～运河南路）</w:t>
      </w:r>
      <w:r>
        <w:rPr>
          <w:rFonts w:hint="eastAsia" w:ascii="宋体" w:hAnsi="宋体" w:eastAsia="宋体" w:cs="宋体"/>
          <w:color w:val="auto"/>
          <w:szCs w:val="21"/>
          <w:highlight w:val="none"/>
          <w:lang w:eastAsia="zh-CN"/>
        </w:rPr>
        <w:t xml:space="preserve">、跃进河公园一期（起止点：渡江南路～大学南路）、跃进河公园二期（东至渡江路，西至大学南路，沿跃进河两侧，328国道北侧）、</w:t>
      </w:r>
      <w:r>
        <w:rPr>
          <w:rFonts w:hint="eastAsia" w:ascii="宋体" w:hAnsi="宋体" w:eastAsia="宋体" w:cs="宋体"/>
          <w:color w:val="auto"/>
          <w:szCs w:val="21"/>
          <w:highlight w:val="none"/>
          <w:lang w:val="en-US" w:eastAsia="zh-CN"/>
        </w:rPr>
        <w:t xml:space="preserve">广</w:t>
      </w:r>
      <w:r>
        <w:rPr>
          <w:rFonts w:hint="eastAsia" w:ascii="宋体" w:hAnsi="宋体" w:eastAsia="宋体" w:cs="宋体"/>
          <w:color w:val="auto"/>
          <w:szCs w:val="21"/>
          <w:highlight w:val="none"/>
          <w:lang w:eastAsia="zh-CN"/>
        </w:rPr>
        <w:t xml:space="preserve">陵湾公园（起止点：太平路～高桥路）、通扬桥西北角口袋公园（通扬桥北侧）、通扬桥西南角口袋公园（通扬桥西南侧）、大水湾公园、七里河公园、文峰寺公园、万福锦园、二里桥公园、施井路公园、小运河公园、文峰小学公园、同心河公园、曲江公园、万福西路加油站两侧公园、万福西路高职校南侧公园、影园春公园、江都路口袋公园、江都路法治公园、联发君悦首府东侧口袋公园、广陵区东岳巷口袋公园、沙施河口袋公园等48个口袋公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广陵区道路绿化养护，本次道路绿化养护分别为： 四望亭路（起止点：汶河路～二道河）、树人苑肯特园（起止点：汇东路～石塔桥）</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绿杨城郭绿地（起止点：新北门桥西南～来鹤桥）</w:t>
      </w:r>
      <w:r>
        <w:rPr>
          <w:rFonts w:hint="eastAsia" w:ascii="宋体" w:hAnsi="宋体" w:eastAsia="宋体" w:cs="宋体"/>
          <w:color w:val="auto"/>
          <w:szCs w:val="21"/>
          <w:highlight w:val="none"/>
          <w:lang w:eastAsia="zh-CN"/>
        </w:rPr>
        <w:t xml:space="preserve">、淮海路（起止点：苏北医院南门～盐阜路）、汶河南北路（起止点：南通西路～盐阜路）、荷花池路（起止点：江阳路～南通西路）、徐凝门大街(广陵路-徐凝门桥)（起止点：南通东路与徐凝门大街交叉口东北角）、徐凝门路(徐凝门桥-江阳东路)（起止点：江阳东路～徐凝门桥）、紫藤路（起止点：淮海路～树人苑肯特园）、通泗街（起止点：通泗街9～22号对面、通泗西街）、毓贤街（起止点：毓贤街15幢对面绿地）、南门街（起止点：甘泉路～南通西路）、</w:t>
      </w:r>
      <w:r>
        <w:rPr>
          <w:rFonts w:hint="eastAsia" w:ascii="宋体" w:hAnsi="宋体" w:eastAsia="宋体" w:cs="宋体"/>
          <w:color w:val="auto"/>
          <w:szCs w:val="21"/>
          <w:highlight w:val="none"/>
          <w:lang w:eastAsia="zh-CN"/>
        </w:rPr>
        <w:t xml:space="preserve">甘泉路（起止点：国庆路～淮海路）、国庆路（含萃园路）（起止点：甘泉路～盐阜路）、盐阜西路（起止点：淮海路～国庆路）、南通东西路（含圣心广场）（起止点：广陵路～苏北医院南门）、泰州路（起止点：广陵路-盐阜东路）、广陵路（起止点：泰州路～国庆路、广陵路10号-1门前）、万寿街沿线（起止点：万寿街沿线）、保安巷 （保安巷36-2号、14号门前）、皮市街（起止点：广陵路～文昌中路）、安康路（起止点：运河北路～便益门桥）、前进路 （起止点：观潮路-纵三路）、太平路（起止点：万福路～运河北路）、颐和路 （起止点：观潮路</w:t>
      </w:r>
      <w:r>
        <w:rPr>
          <w:rFonts w:hint="eastAsia" w:ascii="宋体" w:hAnsi="宋体" w:eastAsia="宋体" w:cs="宋体"/>
          <w:color w:val="auto"/>
          <w:szCs w:val="21"/>
          <w:highlight w:val="none"/>
          <w:lang w:eastAsia="zh-CN"/>
        </w:rPr>
        <w:t xml:space="preserve">-扬州闸）、五里庙路（起止点：安康路～万福路）、五里庙路（起止点：安康路～二里桥路）、佳园路（起止点：观潮路～运河北路）、紫园路 （起止点：江都北路-众恒紫园）、运河佳园北侧、观潮路（起止点：颐和路～二里桥路）、观潮路（起止点：二里桥路～运河西路）、盐阜东路（起止点：国庆路～泰州路）、江都路（起止点：万福路～二里桥路）、江都北路（起止点：万福路～江都大桥中段）、江都路（起止点：二里桥路～运河西路）、江都南路（起止点：运河西路～开发路）、万福西路节点五台山大桥东侧、万福路东天桥南侧节点、万福西路节点小波饭店南</w:t>
      </w:r>
      <w:r>
        <w:rPr>
          <w:rFonts w:hint="eastAsia" w:ascii="宋体" w:hAnsi="宋体" w:eastAsia="宋体" w:cs="宋体"/>
          <w:color w:val="auto"/>
          <w:szCs w:val="21"/>
          <w:highlight w:val="none"/>
          <w:lang w:val="en-US" w:eastAsia="zh-CN"/>
        </w:rPr>
        <w:t xml:space="preserve">侧、 万福西路节点（金辉优步北侧围墙外）、古运新苑围墙外绿地、运河名城锦园围墙外绿地、群发小区围墙外绿地、运河水榭围墙外绿地、运河宝龙官邸围墙外北侧、万福西路：扬州市航道管理处-技师学院交叉口节点（起止点：扬州市航道管理处北侧；扬州技师学院东校区西南2门）、</w:t>
      </w:r>
      <w:r>
        <w:rPr>
          <w:rFonts w:hint="eastAsia" w:ascii="宋体" w:hAnsi="宋体" w:eastAsia="宋体" w:cs="宋体"/>
          <w:color w:val="auto"/>
          <w:szCs w:val="21"/>
          <w:highlight w:val="none"/>
          <w:lang w:val="en-US" w:eastAsia="zh-CN"/>
        </w:rPr>
        <w:t xml:space="preserve">江扬大桥西北角绿地、江阳路两侧绿化（起止点：通扬桥-渡江路两侧）、江阳东路-徐凝门路交叉口东北角、万福大桥西北角绿地、解放北路(起止点：文昌中路～江都路)、解放南路(起止点：文昌中路～运河西路)、解放桥东格林豪泰门口、二里桥路(起止点：江都路～运河北路)、东花园路(起止点：江阳东路～汤汪中学)、东花园东路(起止点：施井路～七里河边)、施井路-好友烧烤节点(起止点：东花园东路～江阳东路交叉口)、立新路(起止点：江都路～解放南路)、花园路(运河一品南侧)、渡江南路-宝塔东路节点(七里河公园西北侧，马路西侧)、渡</w:t>
      </w:r>
      <w:r>
        <w:rPr>
          <w:rFonts w:hint="eastAsia" w:ascii="宋体" w:hAnsi="宋体" w:eastAsia="宋体" w:cs="宋体"/>
          <w:color w:val="auto"/>
          <w:szCs w:val="21"/>
          <w:highlight w:val="none"/>
          <w:lang w:val="en-US" w:eastAsia="zh-CN"/>
        </w:rPr>
        <w:t xml:space="preserve">江南路-开发东路（起止点：汉庭～开发路）、渡江南路、连运路（起止点：大学南路～运河南路）、滨河路(起止点：运河东路～扬霍路)、联谊路(起止点：江阳东路～连运路)、联谊南路(起止点：连运路～同心河)、开发路(起止点：渡江南路～三湾大桥，杉湾路-杉湾大桥)、杉湾路(起止点：开发东路～连运路)、九龙路(起止点：开发东路～九龙花园南)、文峰路(起止点：江阳路～宝塔路)、文峰路（起止点：宝塔东路-开发路）、文峰路（朱自清中学-扬农化工厂门口、尚文路(起止点：文峰河路～渡江南路)、尚文路(起止点：文苑路～连运苑)、文峰</w:t>
      </w:r>
      <w:r>
        <w:rPr>
          <w:rFonts w:hint="eastAsia" w:ascii="宋体" w:hAnsi="宋体" w:eastAsia="宋体" w:cs="宋体"/>
          <w:color w:val="auto"/>
          <w:szCs w:val="21"/>
          <w:highlight w:val="none"/>
          <w:lang w:val="en-US" w:eastAsia="zh-CN"/>
        </w:rPr>
        <w:t xml:space="preserve">河路(起止点：开发东路～连运西路)、文峰河路(连运路-跃进河路)、文峰河路（开发东路-连运路）、横九路（文峰北路-文峰河路）、也今东南-纵一路、新328国道两侧绿化(起止点：328国道南侧古运河～临江路)、新328国道两侧绿化(起止点：328国道北侧绿化、临江路～运河南路)、古运河东岸杉湾公园南侧绿地(起止点：古运河大桥东南侧)、金鱼塘路(起止点：开发东路-江阳路)、金鱼塘路(起止点：开发东路-宝塔路)、文峰小学场外绿化(文峰小学外围)、运河南路与328节点绿地、渡江路节点（天瑞府西侧）、运河南路（起止点：</w:t>
      </w:r>
      <w:r>
        <w:rPr>
          <w:rFonts w:hint="eastAsia" w:ascii="宋体" w:hAnsi="宋体" w:eastAsia="宋体" w:cs="宋体"/>
          <w:color w:val="auto"/>
          <w:szCs w:val="21"/>
          <w:highlight w:val="none"/>
          <w:lang w:val="en-US" w:eastAsia="zh-CN"/>
        </w:rPr>
        <w:t xml:space="preserve">交通一队～通运闸）、运河南路（起止点：通运闸-运河西路）、开发东路两侧（起止点：渡江南路～运河南路）、荷花池路南三角绿岛、杉湾花园围墙外围绿地（起止点：开发东路）、大水湾公园对面（江阳路广陵区东花园大水湾公园东50米）、文昌路与观潮路交叉口西节点（文昌路与观潮路交叉口西侧鸿泰家园支河北侧）、文昌路与观潮路交叉口东节点（文昌路与观潮路交叉口东侧鸿泰家园支河南侧)、汤汪高速出口两边绿地（运河南路西侧)、运河东路（和昌运河东郡侧围)、运河东路（和昌运河东郡东北三角绿地）、运河东路（星雨华府侧围，临湾路东侧）、万福</w:t>
      </w:r>
      <w:r>
        <w:rPr>
          <w:rFonts w:hint="eastAsia" w:ascii="宋体" w:hAnsi="宋体" w:eastAsia="宋体" w:cs="宋体"/>
          <w:color w:val="auto"/>
          <w:szCs w:val="21"/>
          <w:highlight w:val="none"/>
          <w:lang w:val="en-US" w:eastAsia="zh-CN"/>
        </w:rPr>
        <w:t xml:space="preserve">路（京杭路-临湾路 路南侧围、临湾路-沙湾北路 路南侧围）、运河路北侧退让带、北护城河（起止点：便益门一盆景园(河道以南绿地)）、小秦淮河（起止点：北水关桥一龙头关）、文昌路两侧边线以外绿地（起止点：文昌大桥-二道河）、文汇路（起止点：淮海路-放鹤桥）、古运河（五台山医院一扬农化工集团(河道以东、以南)、大王庙一嘉荷苑(河道以西、以北)）、运河东西路（运河东西路(沙湾路一跃进桥)）、江阳东路（起止点：运河西路-渡江路）、运河南路延伸段（鼎兴路以北 330 米一横沟河）、运河快速路侧围（起止点：七里河路-江广</w:t>
      </w:r>
      <w:r>
        <w:rPr>
          <w:rFonts w:hint="eastAsia" w:ascii="宋体" w:hAnsi="宋体" w:eastAsia="宋体" w:cs="宋体"/>
          <w:color w:val="auto"/>
          <w:szCs w:val="21"/>
          <w:highlight w:val="none"/>
          <w:lang w:val="en-US" w:eastAsia="zh-CN"/>
        </w:rPr>
        <w:t xml:space="preserve">互通）、运河快速路侧围（起止点：江广互通-水榭路）、运河快速路侧围（起止点：水榭路-京杭运河西侧）、江广路侧围（起止点：外滩路-临湾路南侧)、江广路侧围(起止点：外滩路-临湾路北侧)、江广路侧围(起止点：临湾路-滨水路)、1号地块（汤汪高速出口南侧）、2号地块（汤汪高速出口南侧）、328匝道出入口（汤汪高速出口南侧）、汤汪收费站北侧高架下、横二路（扬州市商贸物流园横二路）、渡江南路（起止点：连运路-开发东路段）、施井路（起止点：江阳路-运河南路）、328国道与江都路交叉口西北角节点、大学南路（运河三湾风景区</w:t>
      </w:r>
      <w:r>
        <w:rPr>
          <w:rFonts w:hint="eastAsia" w:ascii="宋体" w:hAnsi="宋体" w:eastAsia="宋体" w:cs="宋体"/>
          <w:color w:val="auto"/>
          <w:szCs w:val="21"/>
          <w:highlight w:val="none"/>
          <w:lang w:val="en-US" w:eastAsia="zh-CN"/>
        </w:rPr>
        <w:t xml:space="preserve">周边区域）、渡江路（起止点：南通西路～甘泉路）、渡江路（起止点：南通西路-江阳路）、观潮路南延、江都南路（起止点：开发路-328国道）、中心路（起止点：团结路-七里河北路）、香居路（起止点：施井路-七里河北路）、新村路（起止点：开发东路-通运路）、团结路东延(起止点：曲江南路-运河南路)、勤学路（起止点：东花园东路-东花园路）、勤学路（起止点：东花园路-小运河路）、小运河路（起止点：勤学路-开发路）、小运河路（起止点：开发路-文苑路）、小运河路（起止点：文苑路-连运苑）、九境融园小区周边（融园路、江涛路）、</w:t>
      </w:r>
      <w:r>
        <w:rPr>
          <w:rFonts w:hint="eastAsia" w:ascii="宋体" w:hAnsi="宋体" w:cs="宋体"/>
          <w:color w:val="auto"/>
          <w:szCs w:val="21"/>
          <w:highlight w:val="none"/>
          <w:lang w:val="en-US" w:eastAsia="zh-CN"/>
        </w:rPr>
        <w:t xml:space="preserve">西庄路、</w:t>
      </w:r>
      <w:r>
        <w:rPr>
          <w:rFonts w:hint="eastAsia" w:ascii="宋体" w:hAnsi="宋体" w:eastAsia="宋体" w:cs="宋体"/>
          <w:color w:val="auto"/>
          <w:szCs w:val="21"/>
          <w:highlight w:val="none"/>
          <w:lang w:val="en-US" w:eastAsia="zh-CN"/>
        </w:rPr>
        <w:t xml:space="preserve">颐和路与观潮路交叉口绿地、大学南路（起止点：开发东路至文峰大桥中段）、蓝湾学府路。</w:t>
      </w:r>
      <w:r/>
    </w:p>
    <w:p>
      <w:pPr>
        <w:ind w:left="0" w:righ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三、技术要求（</w:t>
      </w:r>
      <w:r>
        <w:rPr>
          <w:rFonts w:hint="eastAsia" w:ascii="宋体" w:hAnsi="宋体" w:eastAsia="宋体" w:cs="宋体"/>
          <w:b/>
          <w:bCs/>
          <w:i/>
          <w:iCs/>
          <w:color w:val="auto"/>
          <w:sz w:val="24"/>
          <w:szCs w:val="24"/>
          <w:highlight w:val="none"/>
          <w:u w:val="single"/>
        </w:rPr>
        <w:t xml:space="preserve">斜体且有下划线部分</w:t>
      </w:r>
      <w:r>
        <w:rPr>
          <w:rFonts w:hint="eastAsia" w:ascii="宋体" w:hAnsi="宋体" w:eastAsia="宋体" w:cs="宋体"/>
          <w:b/>
          <w:bCs/>
          <w:color w:val="auto"/>
          <w:sz w:val="24"/>
          <w:szCs w:val="24"/>
          <w:highlight w:val="none"/>
        </w:rPr>
        <w:t xml:space="preserve">为实质性要求</w:t>
      </w:r>
      <w:r>
        <w:rPr>
          <w:rFonts w:hint="eastAsia" w:ascii="宋体" w:hAnsi="宋体" w:cs="宋体"/>
          <w:b/>
          <w:color w:val="auto"/>
          <w:sz w:val="24"/>
          <w:szCs w:val="24"/>
          <w:highlight w:val="none"/>
          <w:lang w:val="en-US" w:eastAsia="zh-CN"/>
        </w:rPr>
        <w:t xml:space="preserve">）</w:t>
      </w:r>
      <w:r/>
    </w:p>
    <w:p>
      <w:pPr>
        <w:numPr>
          <w:ilvl w:val="0"/>
          <w:numId w:val="0"/>
        </w:num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一</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绿化养护管理制度与档案管理要求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1、绿化养护标准参照养护管理质量标准。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进场后，要与</w:t>
      </w:r>
      <w:r>
        <w:rPr>
          <w:rFonts w:hint="eastAsia" w:ascii="宋体" w:hAnsi="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对接绿化工程量，核实乔灌木、草皮数量，对养护场地进行环境清理。如误差率＜10%，中标价保持不变；误差率≥10%，按实核增（减）养护经费。</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lang w:val="en-US" w:eastAsia="zh-CN"/>
        </w:rPr>
        <w:t xml:space="preserve">、每次例会，</w:t>
      </w:r>
      <w:r>
        <w:rPr>
          <w:rFonts w:hint="eastAsia" w:ascii="宋体" w:hAnsi="宋体" w:cs="宋体"/>
          <w:b w:val="0"/>
          <w:bCs w:val="0"/>
          <w:color w:val="auto"/>
          <w:szCs w:val="21"/>
          <w:highlight w:val="none"/>
          <w:lang w:val="en-US" w:eastAsia="zh-CN"/>
        </w:rPr>
        <w:t xml:space="preserve">供应商</w:t>
      </w:r>
      <w:r>
        <w:rPr>
          <w:rFonts w:hint="eastAsia" w:ascii="宋体" w:hAnsi="宋体" w:eastAsia="宋体" w:cs="宋体"/>
          <w:b w:val="0"/>
          <w:bCs w:val="0"/>
          <w:color w:val="auto"/>
          <w:szCs w:val="21"/>
          <w:highlight w:val="none"/>
          <w:lang w:val="en-US" w:eastAsia="zh-CN"/>
        </w:rPr>
        <w:t xml:space="preserve">须将绿化管理台账交</w:t>
      </w:r>
      <w:r>
        <w:rPr>
          <w:rFonts w:hint="eastAsia" w:ascii="宋体" w:hAnsi="宋体" w:cs="宋体"/>
          <w:b w:val="0"/>
          <w:bCs w:val="0"/>
          <w:color w:val="auto"/>
          <w:szCs w:val="21"/>
          <w:highlight w:val="none"/>
          <w:lang w:val="en-US" w:eastAsia="zh-CN"/>
        </w:rPr>
        <w:t xml:space="preserve">采购人</w:t>
      </w:r>
      <w:r>
        <w:rPr>
          <w:rFonts w:hint="eastAsia" w:ascii="宋体" w:hAnsi="宋体" w:eastAsia="宋体" w:cs="宋体"/>
          <w:b w:val="0"/>
          <w:bCs w:val="0"/>
          <w:color w:val="auto"/>
          <w:szCs w:val="21"/>
          <w:highlight w:val="none"/>
          <w:lang w:val="en-US" w:eastAsia="zh-CN"/>
        </w:rPr>
        <w:t xml:space="preserve">检查，每季度</w:t>
      </w:r>
      <w:r>
        <w:rPr>
          <w:rFonts w:hint="eastAsia" w:ascii="宋体" w:hAnsi="宋体" w:cs="宋体"/>
          <w:b w:val="0"/>
          <w:bCs w:val="0"/>
          <w:color w:val="auto"/>
          <w:szCs w:val="21"/>
          <w:highlight w:val="none"/>
          <w:lang w:val="en-US" w:eastAsia="zh-CN"/>
        </w:rPr>
        <w:t xml:space="preserve">供应商</w:t>
      </w:r>
      <w:r>
        <w:rPr>
          <w:rFonts w:hint="eastAsia" w:ascii="宋体" w:hAnsi="宋体" w:eastAsia="宋体" w:cs="宋体"/>
          <w:b w:val="0"/>
          <w:bCs w:val="0"/>
          <w:color w:val="auto"/>
          <w:szCs w:val="21"/>
          <w:highlight w:val="none"/>
          <w:lang w:val="en-US" w:eastAsia="zh-CN"/>
        </w:rPr>
        <w:t xml:space="preserve">像</w:t>
      </w:r>
      <w:r>
        <w:rPr>
          <w:rFonts w:hint="eastAsia" w:ascii="宋体" w:hAnsi="宋体" w:cs="宋体"/>
          <w:b w:val="0"/>
          <w:bCs w:val="0"/>
          <w:color w:val="auto"/>
          <w:szCs w:val="21"/>
          <w:highlight w:val="none"/>
          <w:lang w:val="en-US" w:eastAsia="zh-CN"/>
        </w:rPr>
        <w:t xml:space="preserve">采购人</w:t>
      </w:r>
      <w:r>
        <w:rPr>
          <w:rFonts w:hint="eastAsia" w:ascii="宋体" w:hAnsi="宋体" w:eastAsia="宋体" w:cs="宋体"/>
          <w:b w:val="0"/>
          <w:bCs w:val="0"/>
          <w:color w:val="auto"/>
          <w:szCs w:val="21"/>
          <w:highlight w:val="none"/>
          <w:lang w:val="en-US" w:eastAsia="zh-CN"/>
        </w:rPr>
        <w:t xml:space="preserve">递交一次完整的季度台账。台账遗漏或未在规定内交付的，按规定扣除相关养护费。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、每月及时上报养护月报、检查记录等台账资料。养护月报内容含文字说明，图片显示等。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、在养护期间接受</w:t>
      </w:r>
      <w:r>
        <w:rPr>
          <w:rFonts w:hint="eastAsia" w:ascii="宋体" w:hAnsi="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检查，检查中发现的问题</w:t>
      </w:r>
      <w:r>
        <w:rPr>
          <w:rFonts w:hint="eastAsia" w:ascii="宋体" w:hAnsi="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以书面形式下发整改通知书，督促</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进行整改，在规定时间内</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未完成整改任务，按规定扣除相应分值。</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rPr>
        <w:t xml:space="preserve">、对</w:t>
      </w:r>
      <w:r>
        <w:rPr>
          <w:rFonts w:hint="eastAsia" w:ascii="宋体" w:hAnsi="宋体" w:cs="宋体"/>
          <w:color w:val="auto"/>
          <w:szCs w:val="21"/>
          <w:highlight w:val="none"/>
          <w:lang w:val="en-US" w:eastAsia="zh-CN"/>
        </w:rPr>
        <w:t xml:space="preserve">供应商</w:t>
      </w:r>
      <w:r>
        <w:rPr>
          <w:rFonts w:hint="eastAsia" w:ascii="宋体" w:hAnsi="宋体" w:eastAsia="宋体" w:cs="宋体"/>
          <w:b w:val="0"/>
          <w:bCs w:val="0"/>
          <w:color w:val="auto"/>
          <w:szCs w:val="21"/>
          <w:highlight w:val="none"/>
        </w:rPr>
        <w:t xml:space="preserve">养护期间由于养护工作不能及时完成，考核评分不合格或造成较大影响的，</w:t>
      </w:r>
      <w:r>
        <w:rPr>
          <w:rFonts w:hint="eastAsia" w:ascii="宋体" w:hAnsi="宋体" w:cs="宋体"/>
          <w:color w:val="auto"/>
          <w:szCs w:val="21"/>
          <w:highlight w:val="none"/>
          <w:lang w:val="en-US" w:eastAsia="zh-CN"/>
        </w:rPr>
        <w:t xml:space="preserve">采购人</w:t>
      </w:r>
      <w:r>
        <w:rPr>
          <w:rFonts w:hint="eastAsia" w:ascii="宋体" w:hAnsi="宋体" w:eastAsia="宋体" w:cs="宋体"/>
          <w:b w:val="0"/>
          <w:bCs w:val="0"/>
          <w:color w:val="auto"/>
          <w:szCs w:val="21"/>
          <w:highlight w:val="none"/>
        </w:rPr>
        <w:t xml:space="preserve">有权安排第三方进行养护，所发生的费用从</w:t>
      </w:r>
      <w:r>
        <w:rPr>
          <w:rFonts w:hint="eastAsia" w:ascii="宋体" w:hAnsi="宋体" w:cs="宋体"/>
          <w:color w:val="auto"/>
          <w:szCs w:val="21"/>
          <w:highlight w:val="none"/>
          <w:lang w:val="en-US" w:eastAsia="zh-CN"/>
        </w:rPr>
        <w:t xml:space="preserve">供应商</w:t>
      </w:r>
      <w:r>
        <w:rPr>
          <w:rFonts w:hint="eastAsia" w:ascii="宋体" w:hAnsi="宋体" w:eastAsia="宋体" w:cs="宋体"/>
          <w:b w:val="0"/>
          <w:bCs w:val="0"/>
          <w:color w:val="auto"/>
          <w:szCs w:val="21"/>
          <w:highlight w:val="none"/>
        </w:rPr>
        <w:t xml:space="preserve">季度养护费中扣除。</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rPr>
        <w:t xml:space="preserve">、养护人员日常操作</w:t>
      </w:r>
      <w:r>
        <w:rPr>
          <w:rFonts w:hint="eastAsia" w:ascii="宋体" w:hAnsi="宋体" w:eastAsia="宋体" w:cs="宋体"/>
          <w:b w:val="0"/>
          <w:bCs w:val="0"/>
          <w:color w:val="auto"/>
          <w:szCs w:val="21"/>
          <w:highlight w:val="none"/>
          <w:lang w:val="en-US" w:eastAsia="zh-CN"/>
        </w:rPr>
        <w:t xml:space="preserve">或</w:t>
      </w:r>
      <w:r>
        <w:rPr>
          <w:rFonts w:hint="eastAsia" w:ascii="宋体" w:hAnsi="宋体" w:eastAsia="宋体" w:cs="宋体"/>
          <w:b w:val="0"/>
          <w:bCs w:val="0"/>
          <w:color w:val="auto"/>
          <w:szCs w:val="21"/>
          <w:highlight w:val="none"/>
        </w:rPr>
        <w:t xml:space="preserve">言语存在不当行为，初次以劝导教育为主，拒不整改或造成较大不良影响的，酌情扣除养护费 1000 元</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产生民事矛盾优先协调沟通，积极主动妥善处理化解纠纷，未积极配合处置且矛盾扩大的，扣除养护费 3000 元</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应急、突击任务遇客观不可抗力因素除外，因临时突发情况人员调配困难未按时完成，不予处罚；主观消极怠工、人员保障不到位延误工期，每日酌情扣除 5000 元</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非</w:t>
      </w:r>
      <w:r>
        <w:rPr>
          <w:rFonts w:hint="eastAsia" w:ascii="宋体" w:hAnsi="宋体" w:cs="宋体"/>
          <w:b w:val="0"/>
          <w:bCs w:val="0"/>
          <w:color w:val="auto"/>
          <w:szCs w:val="21"/>
          <w:highlight w:val="none"/>
          <w:lang w:val="en-US" w:eastAsia="zh-CN"/>
        </w:rPr>
        <w:t xml:space="preserve">供应商</w:t>
      </w:r>
      <w:r>
        <w:rPr>
          <w:rFonts w:hint="eastAsia" w:ascii="宋体" w:hAnsi="宋体" w:eastAsia="宋体" w:cs="宋体"/>
          <w:b w:val="0"/>
          <w:bCs w:val="0"/>
          <w:color w:val="auto"/>
          <w:szCs w:val="21"/>
          <w:highlight w:val="none"/>
        </w:rPr>
        <w:t xml:space="preserve">主观失职、非自身履职问题引发媒体负面曝光，不解除合作、不扣除保证金；因严重失职履职不力造成恶劣社会影响，双方协商后终止养护合作，依规合理处置保证金。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、绿化养护及配套设施维护所使用的水电费用，由</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负责。施肥、病虫害防治所用的肥料、农药，均由</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负责。员工吃饭、住宿问题，由</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自行解决。</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进场后，在绿化养护期间，人员招聘、录用不得与现有堤防绿化养护、河道保洁人员发生关联，以免产生矛盾，影响现有河道养护正常工作的开展。</w:t>
      </w:r>
      <w:r/>
    </w:p>
    <w:p>
      <w:pPr>
        <w:numPr>
          <w:ilvl w:val="0"/>
          <w:numId w:val="0"/>
        </w:numPr>
        <w:ind w:firstLine="422"/>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季节养护及病虫害防治</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飞絮治理</w:t>
      </w:r>
      <w:r>
        <w:rPr>
          <w:rFonts w:hint="eastAsia" w:ascii="宋体" w:hAnsi="宋体" w:eastAsia="宋体" w:cs="宋体"/>
          <w:b/>
          <w:bCs/>
          <w:color w:val="auto"/>
          <w:szCs w:val="21"/>
          <w:highlight w:val="none"/>
        </w:rPr>
        <w:t xml:space="preserve">工作要求</w:t>
      </w:r>
      <w:r/>
    </w:p>
    <w:p>
      <w:pPr>
        <w:pStyle w:val="1194"/>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1、3月-5月苗木生长复苏期间，每月对道路、节点、公园绿化全域浇水不低于2次；6月-8月苗木抗旱时期，每月对道路、节点、公园绿化全域浇水不低于</w:t>
      </w:r>
      <w:r>
        <w:rPr>
          <w:rFonts w:hint="eastAsia" w:ascii="宋体" w:hAnsi="宋体" w:eastAsia="宋体" w:cs="宋体"/>
          <w:b w:val="0"/>
          <w:bCs w:val="0"/>
          <w:color w:val="auto"/>
          <w:sz w:val="21"/>
          <w:szCs w:val="21"/>
          <w:highlight w:val="none"/>
          <w:lang w:val="en-US" w:eastAsia="zh-CN" w:bidi="ar-SA"/>
        </w:rPr>
        <w:t xml:space="preserve">10次</w:t>
      </w:r>
      <w:r>
        <w:rPr>
          <w:rFonts w:hint="eastAsia" w:ascii="宋体" w:hAnsi="宋体" w:eastAsia="宋体" w:cs="宋体"/>
          <w:color w:val="auto"/>
          <w:sz w:val="21"/>
          <w:szCs w:val="21"/>
          <w:highlight w:val="none"/>
          <w:lang w:val="en-US" w:eastAsia="zh-CN" w:bidi="ar-SA"/>
        </w:rPr>
        <w:t xml:space="preserve">；9月-11月休眠期前夕，每月对道路、节点、公园绿化全域浇水不低于2次；12月-2月上冻休眠期，每月对道路、节点、公园绿化全域浇水不低于1次；供应商浇水后，向采购人递交浇水确认单，采购人签字确认，纳入肥水管理档案。</w:t>
      </w:r>
      <w:r/>
    </w:p>
    <w:p>
      <w:pPr>
        <w:ind w:firstLine="315"/>
        <w:spacing w:line="360" w:lineRule="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、及时做好植物病虫害防治工作，</w:t>
      </w:r>
      <w:r>
        <w:rPr>
          <w:rFonts w:hint="eastAsia" w:ascii="宋体" w:hAnsi="宋体" w:eastAsia="宋体" w:cs="宋体"/>
          <w:b w:val="0"/>
          <w:bCs w:val="0"/>
          <w:color w:val="auto"/>
          <w:szCs w:val="21"/>
          <w:highlight w:val="none"/>
          <w:lang w:val="en-US" w:eastAsia="zh-CN"/>
        </w:rPr>
        <w:t xml:space="preserve">治虫前，</w:t>
      </w:r>
      <w:r>
        <w:rPr>
          <w:rFonts w:hint="eastAsia" w:ascii="宋体" w:hAnsi="宋体" w:cs="宋体"/>
          <w:b w:val="0"/>
          <w:bCs w:val="0"/>
          <w:color w:val="auto"/>
          <w:szCs w:val="21"/>
          <w:highlight w:val="none"/>
          <w:lang w:val="en-US" w:eastAsia="zh-CN"/>
        </w:rPr>
        <w:t xml:space="preserve">供应商</w:t>
      </w:r>
      <w:r>
        <w:rPr>
          <w:rFonts w:hint="eastAsia" w:ascii="宋体" w:hAnsi="宋体" w:eastAsia="宋体" w:cs="宋体"/>
          <w:b w:val="0"/>
          <w:bCs w:val="0"/>
          <w:color w:val="auto"/>
          <w:szCs w:val="21"/>
          <w:highlight w:val="none"/>
          <w:lang w:val="en-US" w:eastAsia="zh-CN"/>
        </w:rPr>
        <w:t xml:space="preserve">须提前一天向</w:t>
      </w:r>
      <w:r>
        <w:rPr>
          <w:rFonts w:hint="eastAsia" w:ascii="宋体" w:hAnsi="宋体" w:cs="宋体"/>
          <w:b w:val="0"/>
          <w:bCs w:val="0"/>
          <w:color w:val="auto"/>
          <w:szCs w:val="21"/>
          <w:highlight w:val="none"/>
          <w:lang w:val="en-US" w:eastAsia="zh-CN"/>
        </w:rPr>
        <w:t xml:space="preserve">采购人</w:t>
      </w:r>
      <w:r>
        <w:rPr>
          <w:rFonts w:hint="eastAsia" w:ascii="宋体" w:hAnsi="宋体" w:eastAsia="宋体" w:cs="宋体"/>
          <w:b w:val="0"/>
          <w:bCs w:val="0"/>
          <w:color w:val="auto"/>
          <w:szCs w:val="21"/>
          <w:highlight w:val="none"/>
          <w:lang w:val="en-US" w:eastAsia="zh-CN"/>
        </w:rPr>
        <w:t xml:space="preserve">递交治虫审批单，说明治理病虫害区域，和</w:t>
      </w:r>
      <w:r>
        <w:rPr>
          <w:rFonts w:hint="eastAsia" w:ascii="宋体" w:hAnsi="宋体" w:eastAsia="宋体" w:cs="宋体"/>
          <w:b w:val="0"/>
          <w:bCs w:val="0"/>
          <w:color w:val="auto"/>
          <w:szCs w:val="21"/>
          <w:highlight w:val="none"/>
        </w:rPr>
        <w:t xml:space="preserve">使用高效、低毒农药进行防治，加强现场管理，不得发生药害，发生意外事故由</w:t>
      </w:r>
      <w:r>
        <w:rPr>
          <w:rFonts w:hint="eastAsia" w:ascii="宋体" w:hAnsi="宋体" w:cs="宋体"/>
          <w:color w:val="auto"/>
          <w:szCs w:val="21"/>
          <w:highlight w:val="none"/>
          <w:lang w:val="en-US" w:eastAsia="zh-CN"/>
        </w:rPr>
        <w:t xml:space="preserve">供应商</w:t>
      </w:r>
      <w:r>
        <w:rPr>
          <w:rFonts w:hint="eastAsia" w:ascii="宋体" w:hAnsi="宋体" w:eastAsia="宋体" w:cs="宋体"/>
          <w:b w:val="0"/>
          <w:bCs w:val="0"/>
          <w:color w:val="auto"/>
          <w:szCs w:val="21"/>
          <w:highlight w:val="none"/>
        </w:rPr>
        <w:t xml:space="preserve">自行承担。</w:t>
      </w:r>
      <w:r>
        <w:rPr>
          <w:rFonts w:hint="eastAsia" w:ascii="宋体" w:hAnsi="宋体" w:eastAsia="宋体" w:cs="宋体"/>
          <w:b w:val="0"/>
          <w:bCs w:val="0"/>
          <w:color w:val="auto"/>
          <w:szCs w:val="21"/>
          <w:highlight w:val="none"/>
          <w:lang w:val="en-US" w:eastAsia="zh-CN"/>
        </w:rPr>
        <w:t xml:space="preserve">道路、节点、公园绿化全域每年治虫不低于3次，具体治虫情况依据现场病虫害情况而定。治虫审批单和现场影像纳入病虫害管理档案。</w:t>
      </w:r>
      <w:r/>
    </w:p>
    <w:p>
      <w:pPr>
        <w:ind w:firstLine="315"/>
        <w:spacing w:line="360" w:lineRule="auto"/>
        <w:rPr>
          <w:rFonts w:hint="eastAsia" w:ascii="宋体" w:hAnsi="宋体" w:eastAsia="宋体" w:cs="宋体"/>
          <w:color w:val="auto"/>
          <w:szCs w:val="21"/>
          <w:highlight w:val="none"/>
          <w:lang w:val="en-US" w:eastAsia="zh-CN"/>
        </w:rPr>
      </w:pPr>
      <w:r>
        <w:rPr>
          <w:rFonts w:hint="eastAsia" w:ascii="宋体" w:hAnsi="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、肥料实施前，</w:t>
      </w:r>
      <w:r>
        <w:rPr>
          <w:rFonts w:hint="eastAsia" w:ascii="宋体" w:hAnsi="宋体" w:cs="宋体"/>
          <w:color w:val="auto"/>
          <w:szCs w:val="21"/>
          <w:highlight w:val="none"/>
          <w:lang w:val="en-US" w:eastAsia="zh-CN"/>
        </w:rPr>
        <w:t xml:space="preserve">供应商</w:t>
      </w:r>
      <w:r>
        <w:rPr>
          <w:rFonts w:hint="eastAsia" w:ascii="宋体" w:hAnsi="宋体" w:eastAsia="宋体" w:cs="宋体"/>
          <w:b w:val="0"/>
          <w:bCs w:val="0"/>
          <w:color w:val="auto"/>
          <w:szCs w:val="21"/>
          <w:highlight w:val="none"/>
        </w:rPr>
        <w:t xml:space="preserve">须提前一天向</w:t>
      </w:r>
      <w:r>
        <w:rPr>
          <w:rFonts w:hint="eastAsia" w:ascii="宋体" w:hAnsi="宋体" w:cs="宋体"/>
          <w:b w:val="0"/>
          <w:bCs w:val="0"/>
          <w:color w:val="auto"/>
          <w:szCs w:val="21"/>
          <w:highlight w:val="none"/>
          <w:lang w:val="en-US" w:eastAsia="zh-CN"/>
        </w:rPr>
        <w:t xml:space="preserve">采购人</w:t>
      </w:r>
      <w:r>
        <w:rPr>
          <w:rFonts w:hint="eastAsia" w:ascii="宋体" w:hAnsi="宋体" w:eastAsia="宋体" w:cs="宋体"/>
          <w:b w:val="0"/>
          <w:bCs w:val="0"/>
          <w:color w:val="auto"/>
          <w:szCs w:val="21"/>
          <w:highlight w:val="none"/>
        </w:rPr>
        <w:t xml:space="preserve">递交</w:t>
      </w:r>
      <w:r>
        <w:rPr>
          <w:rFonts w:hint="eastAsia" w:ascii="宋体" w:hAnsi="宋体" w:eastAsia="宋体" w:cs="宋体"/>
          <w:b w:val="0"/>
          <w:bCs w:val="0"/>
          <w:color w:val="auto"/>
          <w:szCs w:val="21"/>
          <w:highlight w:val="none"/>
          <w:lang w:val="en-US" w:eastAsia="zh-CN"/>
        </w:rPr>
        <w:t xml:space="preserve">施肥审批单</w:t>
      </w:r>
      <w:r>
        <w:rPr>
          <w:rFonts w:hint="eastAsia" w:ascii="宋体" w:hAnsi="宋体" w:eastAsia="宋体" w:cs="宋体"/>
          <w:b w:val="0"/>
          <w:bCs w:val="0"/>
          <w:color w:val="auto"/>
          <w:szCs w:val="21"/>
          <w:highlight w:val="none"/>
        </w:rPr>
        <w:t xml:space="preserve">，说明使用肥料数量、</w:t>
      </w:r>
      <w:r>
        <w:rPr>
          <w:rFonts w:hint="eastAsia" w:ascii="宋体" w:hAnsi="宋体" w:eastAsia="宋体" w:cs="宋体"/>
          <w:color w:val="auto"/>
          <w:szCs w:val="21"/>
          <w:highlight w:val="none"/>
        </w:rPr>
        <w:t xml:space="preserve">品名和实施区域。施肥过程中，</w:t>
      </w:r>
      <w:r>
        <w:rPr>
          <w:rFonts w:hint="eastAsia" w:ascii="宋体" w:hAnsi="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负责对施肥质量进行全过程跟踪管理，施肥结束后，签证单须经</w:t>
      </w:r>
      <w:r>
        <w:rPr>
          <w:rFonts w:hint="eastAsia" w:ascii="宋体" w:hAnsi="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签字认可。</w:t>
      </w:r>
      <w:r>
        <w:rPr>
          <w:rFonts w:hint="eastAsia" w:ascii="宋体" w:hAnsi="宋体" w:eastAsia="宋体" w:cs="宋体"/>
          <w:color w:val="auto"/>
          <w:szCs w:val="21"/>
          <w:highlight w:val="none"/>
          <w:lang w:val="en-US" w:eastAsia="zh-CN"/>
        </w:rPr>
        <w:t xml:space="preserve">道路、节点、公园绿化全域每年施肥不低于4次，</w:t>
      </w:r>
      <w:r>
        <w:rPr>
          <w:rFonts w:hint="eastAsia" w:ascii="宋体" w:hAnsi="宋体" w:eastAsia="宋体" w:cs="宋体"/>
          <w:color w:val="auto"/>
          <w:szCs w:val="21"/>
          <w:highlight w:val="none"/>
        </w:rPr>
        <w:t xml:space="preserve">作为今后</w:t>
      </w:r>
      <w:r>
        <w:rPr>
          <w:rFonts w:hint="eastAsia" w:ascii="宋体" w:hAnsi="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对</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检查考核的依据。</w:t>
      </w:r>
      <w:r>
        <w:rPr>
          <w:rFonts w:hint="eastAsia" w:ascii="宋体" w:hAnsi="宋体" w:eastAsia="宋体" w:cs="宋体"/>
          <w:color w:val="auto"/>
          <w:szCs w:val="21"/>
          <w:highlight w:val="none"/>
          <w:lang w:val="en-US" w:eastAsia="zh-CN"/>
        </w:rPr>
        <w:t xml:space="preserve">施肥审批单和现场影像纳入肥水管理档案。</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cs="宋体"/>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全域统筹管控：对所有养护管辖路段杨柳飞絮雌株全面排查建档，做到无遗漏、全覆盖，精准统计需药剂治理树木数量，落实一树一策管控。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cs="宋体"/>
          <w:color w:val="auto"/>
          <w:szCs w:val="21"/>
          <w:highlight w:val="none"/>
          <w:lang w:val="en-US" w:eastAsia="zh-CN"/>
        </w:rPr>
        <w:t xml:space="preserve">、</w:t>
      </w:r>
      <w:r>
        <w:rPr>
          <w:rFonts w:hint="default" w:ascii="宋体" w:hAnsi="宋体" w:eastAsia="宋体" w:cs="宋体"/>
          <w:color w:val="auto"/>
          <w:szCs w:val="21"/>
          <w:highlight w:val="none"/>
          <w:lang w:val="en-US" w:eastAsia="zh-CN"/>
        </w:rPr>
        <w:t xml:space="preserve">药剂标准化施用：严格执行单株树木统一施用5支专用抑花药水的作业标准，规范树干钻孔、注药、封孔全套流程，药量精准、操作规范，杜绝少注、漏注、多注，保障抑絮效果。</w:t>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养护质量标准</w:t>
      </w:r>
      <w:r/>
    </w:p>
    <w:tbl>
      <w:tblPr>
        <w:tblStyle w:val="1192"/>
        <w:tblW w:w="8547" w:type="dxa"/>
        <w:jc w:val="center"/>
        <w:tblLayout w:type="fixed"/>
        <w:tblCellMar>
          <w:left w:w="108" w:type="dxa"/>
          <w:top w:w="0" w:type="dxa"/>
          <w:right w:w="108" w:type="dxa"/>
          <w:bottom w:w="0" w:type="dxa"/>
        </w:tblCellMar>
        <w:tblLook w:val="04A0" w:firstRow="1" w:lastRow="0" w:firstColumn="1" w:lastColumn="0" w:noHBand="0" w:noVBand="1"/>
      </w:tblPr>
      <w:tblGrid>
        <w:gridCol w:w="566"/>
        <w:gridCol w:w="1141"/>
        <w:gridCol w:w="6840"/>
      </w:tblGrid>
      <w:tr>
        <w:trPr>
          <w:jc w:val="center"/>
          <w:trHeight w:val="545"/>
        </w:trPr>
        <w:tc>
          <w:tcPr>
            <w:gridSpan w:val="2"/>
            <w:tcBorders>
              <w:top w:val="single" w:color="auto" w:sz="4" w:space="0"/>
              <w:left w:val="single" w:color="auto" w:sz="4" w:space="0"/>
              <w:bottom w:val="single" w:color="auto" w:sz="4" w:space="0"/>
              <w:right w:val="single" w:color="auto" w:sz="4" w:space="0"/>
            </w:tcBorders>
            <w:tcW w:w="1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绿化养护质量标准</w:t>
            </w:r>
            <w:r/>
          </w:p>
        </w:tc>
      </w:tr>
      <w:tr>
        <w:trPr>
          <w:cantSplit/>
          <w:jc w:val="center"/>
          <w:trHeight w:val="809"/>
        </w:trPr>
        <w:tc>
          <w:tcPr>
            <w:tcBorders>
              <w:top w:val="none" w:color="000000" w:sz="4" w:space="0"/>
              <w:left w:val="single" w:color="auto" w:sz="4" w:space="0"/>
              <w:bottom w:val="single" w:color="auto" w:sz="4" w:space="0"/>
              <w:right w:val="single" w:color="auto" w:sz="4" w:space="0"/>
            </w:tcBorders>
            <w:tcW w:w="566"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园林植物</w:t>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树冠生长正常，无枯枝死杈、残叶、树挂，分枝点合适，枝条粗壮，树穴裸露土地不明显。</w:t>
            </w:r>
            <w:r/>
          </w:p>
        </w:tc>
      </w:tr>
      <w:tr>
        <w:trPr>
          <w:cantSplit/>
          <w:jc w:val="center"/>
          <w:trHeight w:val="712"/>
        </w:trPr>
        <w:tc>
          <w:tcPr>
            <w:tcBorders>
              <w:top w:val="none" w:color="000000" w:sz="4" w:space="0"/>
              <w:left w:val="single" w:color="auto" w:sz="4" w:space="0"/>
              <w:bottom w:val="single" w:color="auto" w:sz="4" w:space="0"/>
              <w:right w:val="single" w:color="auto" w:sz="4" w:space="0"/>
            </w:tcBorders>
            <w:tcW w:w="566" w:type="dxa"/>
            <w:vAlign w:val="center"/>
            <w:vMerge w:val="continue"/>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花灌木</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灌木和花卉长势良好，枝多叶茂，无枯枝残叶，花卉适时开花，绿篱、色块枝叶正常，无断层。</w:t>
            </w:r>
            <w:r/>
          </w:p>
        </w:tc>
      </w:tr>
      <w:tr>
        <w:trPr>
          <w:cantSplit/>
          <w:jc w:val="center"/>
          <w:trHeight w:val="614"/>
        </w:trPr>
        <w:tc>
          <w:tcPr>
            <w:tcBorders>
              <w:top w:val="none" w:color="000000" w:sz="4" w:space="0"/>
              <w:left w:val="single" w:color="auto" w:sz="4" w:space="0"/>
              <w:bottom w:val="single" w:color="auto" w:sz="4" w:space="0"/>
              <w:right w:val="single" w:color="auto" w:sz="4" w:space="0"/>
            </w:tcBorders>
            <w:tcW w:w="566" w:type="dxa"/>
            <w:vAlign w:val="center"/>
            <w:vMerge w:val="continue"/>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草坪长势旺盛，地被植物外观整齐、雅观，覆盖率达95%以上，无裸露地，无较大或成片枯黄，杂草率100㎡控制5%以下，草皮适时剪割，高度控制在10厘米左右，边缘整齐。</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566" w:type="dxa"/>
            <w:vAlign w:val="center"/>
            <w:vMerge w:val="continue"/>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病虫害</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防治</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病虫害防治以预防为主，根据苗木生长特性定期进行药物喷洒防治。防虫药物则应根据虫情发生情况及时喷洒，达到治早、治小、治了的养护要求，灌木枝叶、楼前广场、道路等处内眼看不见病虫爬行。</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566"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乔灌木修剪</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灌木修剪及时，修剪做到整齐美观又能适时开花，花谢后及时将残花残枝剪去，整形效果与周边环境协调，美化效果好。</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乔木适时修剪，修剪时按操作规程进行，尽量减少伤口，截口平滑不得劈裂，留桩长度不得超过2厘米，荫枝、下垂枝、下缘线的萌蘖枝及干枯枝叶及时剪除。</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566" w:type="dxa"/>
            <w:vAlign w:val="center"/>
            <w:vMerge w:val="continue"/>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施肥</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乔灌木施肥一般安排在冬季进行，春、秋季做好追肥工作，冬季施肥1次，春秋季追肥1次，施肥量根据树木的种类生长情况而定，一般选用有机肥或复合肥，施肥的方法有根施法和根外施法，保证苗木旺盛生长。</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566" w:type="dxa"/>
            <w:vAlign w:val="center"/>
            <w:vMerge w:val="continue"/>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除杂草</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杂草清除主要采用人工拔除法，草坪杂草率100㎡控制5%以下；灌木花卉外观周围看不到明显杂草，内无缠绕性、攀爬性杂草生长；芦苇、蒲公英等高杆杂草，要及时拔除或药物治理，所拔除杂草及时清理外运。树木每年春夏之间要及时松土。</w:t>
            </w:r>
            <w:r/>
          </w:p>
        </w:tc>
      </w:tr>
      <w:tr>
        <w:trPr>
          <w:cantSplit/>
          <w:jc w:val="center"/>
          <w:trHeight w:val="1132"/>
        </w:trPr>
        <w:tc>
          <w:tcPr>
            <w:tcBorders>
              <w:top w:val="none" w:color="000000" w:sz="4" w:space="0"/>
              <w:left w:val="single" w:color="auto" w:sz="4" w:space="0"/>
              <w:bottom w:val="single" w:color="auto" w:sz="4" w:space="0"/>
              <w:right w:val="single" w:color="auto" w:sz="4" w:space="0"/>
            </w:tcBorders>
            <w:tcW w:w="566" w:type="dxa"/>
            <w:vAlign w:val="center"/>
            <w:vMerge w:val="continue"/>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刷白</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刷白时间从每年入冬11月份开始，到12月底结束。用100斤水加入20到40斤</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"http://www.baidu.com/s?wd=%E7%94%9F%E7%9F%B3%E7%81%B0&amp;hl_tag=textlink&amp;tn=SE_hldp01350_v6v6zkg6" </w:instrText>
            </w:r>
            <w:r>
              <w:rPr>
                <w:rFonts w:hint="eastAsia" w:ascii="宋体" w:hAnsi="宋体" w:eastAsia="宋体" w:cs="宋体"/>
                <w:color w:val="auto"/>
                <w:highlight w:val="none"/>
              </w:rPr>
              <w:fldChar w:fldCharType="separate"/>
            </w:r>
            <w:r>
              <w:rPr>
                <w:rStyle w:val="1201"/>
                <w:rFonts w:hint="eastAsia" w:ascii="宋体" w:hAnsi="宋体" w:eastAsia="宋体" w:cs="宋体"/>
                <w:color w:val="auto"/>
                <w:szCs w:val="21"/>
                <w:highlight w:val="none"/>
              </w:rPr>
              <w:t xml:space="preserve">生石灰</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（或加入硫磺）调成的</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"http://www.baidu.com/s?wd=%E7%9F%B3%E7%81%B0%E6%B0%B4&amp;hl_tag=textlink&amp;tn=SE_hldp01350_v6v6zkg6" </w:instrText>
            </w:r>
            <w:r>
              <w:rPr>
                <w:rFonts w:hint="eastAsia" w:ascii="宋体" w:hAnsi="宋体" w:eastAsia="宋体" w:cs="宋体"/>
                <w:color w:val="auto"/>
                <w:highlight w:val="none"/>
              </w:rPr>
              <w:fldChar w:fldCharType="separate"/>
            </w:r>
            <w:r>
              <w:rPr>
                <w:rStyle w:val="1201"/>
                <w:rFonts w:hint="eastAsia" w:ascii="宋体" w:hAnsi="宋体" w:eastAsia="宋体" w:cs="宋体"/>
                <w:color w:val="auto"/>
                <w:szCs w:val="21"/>
                <w:highlight w:val="none"/>
              </w:rPr>
              <w:t xml:space="preserve">石灰水</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，对树木进行刷白，一般涂刷至距地面1米左右的高度，起到预防病虫害和保暖防冻作用。</w:t>
            </w:r>
            <w:r/>
          </w:p>
        </w:tc>
      </w:tr>
      <w:tr>
        <w:trPr>
          <w:cantSplit/>
          <w:jc w:val="center"/>
          <w:trHeight w:val="1132"/>
        </w:trPr>
        <w:tc>
          <w:tcPr>
            <w:tcBorders>
              <w:top w:val="none" w:color="000000" w:sz="4" w:space="0"/>
              <w:left w:val="single" w:color="auto" w:sz="4" w:space="0"/>
              <w:bottom w:val="single" w:color="auto" w:sz="4" w:space="0"/>
              <w:right w:val="single" w:color="auto" w:sz="4" w:space="0"/>
            </w:tcBorders>
            <w:tcW w:w="566" w:type="dxa"/>
            <w:vAlign w:val="center"/>
            <w:vMerge w:val="continue"/>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浇水、排涝</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植物生长要求，适量地进行浇水。在干旱少雨季节，及时组织人工、机械对草皮、乔灌木、花卉进行浇水，满足草皮、乔灌木生长所需的水份，保持植物正常生长。在雨季，及时组织人工、机械对绿地和树池排涝，防止植物因涝而死。</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566" w:type="dxa"/>
            <w:vAlign w:val="center"/>
            <w:vMerge w:val="continue"/>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防台风及意外处理</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在台风来临前，加固需要防御的乔木，并合理修剪，以增强抵御台风的能力。台风过后及时扶正树木、补好残缺，处理断枝、落叶和垃圾，恢复绿化景观。遇雷电风雨危害而使树木歪斜或倒枝断枝，要立即处理。</w:t>
            </w:r>
            <w:r/>
          </w:p>
        </w:tc>
      </w:tr>
      <w:tr>
        <w:trPr>
          <w:cantSplit/>
          <w:jc w:val="center"/>
          <w:trHeight w:val="422"/>
        </w:trPr>
        <w:tc>
          <w:tcPr>
            <w:tcBorders>
              <w:top w:val="none" w:color="000000" w:sz="4" w:space="0"/>
              <w:left w:val="single" w:color="auto" w:sz="4" w:space="0"/>
              <w:bottom w:val="single" w:color="auto" w:sz="4" w:space="0"/>
              <w:right w:val="single" w:color="auto" w:sz="4" w:space="0"/>
            </w:tcBorders>
            <w:tcW w:w="566" w:type="dxa"/>
            <w:vAlign w:val="center"/>
            <w:vMerge w:val="continue"/>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绿地卫生</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草皮剪割后的杂草和修剪后的枯枝树枝叶等，应及时清理，外运处理。</w:t>
            </w:r>
            <w:r/>
          </w:p>
        </w:tc>
      </w:tr>
      <w:tr>
        <w:trPr>
          <w:cantSplit/>
          <w:jc w:val="center"/>
          <w:trHeight w:val="1007"/>
        </w:trPr>
        <w:tc>
          <w:tcPr>
            <w:tcBorders>
              <w:top w:val="none" w:color="000000" w:sz="4" w:space="0"/>
              <w:left w:val="single" w:color="auto" w:sz="4" w:space="0"/>
              <w:bottom w:val="single" w:color="auto" w:sz="4" w:space="0"/>
              <w:right w:val="single" w:color="auto" w:sz="4" w:space="0"/>
            </w:tcBorders>
            <w:tcW w:w="566" w:type="dxa"/>
            <w:vAlign w:val="center"/>
            <w:vMerge w:val="continue"/>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21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补种植</w:t>
            </w:r>
            <w:r/>
          </w:p>
        </w:tc>
        <w:tc>
          <w:tcPr>
            <w:tcBorders>
              <w:top w:val="single" w:color="auto" w:sz="4" w:space="0"/>
              <w:left w:val="none" w:color="000000" w:sz="4" w:space="0"/>
              <w:bottom w:val="single" w:color="auto" w:sz="4" w:space="0"/>
              <w:right w:val="single" w:color="auto" w:sz="4" w:space="0"/>
            </w:tcBorders>
            <w:tcW w:w="6840" w:type="dxa"/>
            <w:vAlign w:val="center"/>
            <w:textDirection w:val="lrTb"/>
            <w:noWrap w:val="false"/>
          </w:tcPr>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养护合同期内，各类树木死亡，应及时清除，按季节有计划补种，补种苗木应与原栽植树木品种一致，规格</w:t>
            </w:r>
            <w:r>
              <w:rPr>
                <w:rFonts w:hint="eastAsia" w:ascii="宋体" w:hAnsi="宋体" w:eastAsia="宋体" w:cs="宋体"/>
                <w:b/>
                <w:bCs/>
                <w:color w:val="auto"/>
                <w:szCs w:val="21"/>
                <w:highlight w:val="none"/>
                <w:lang w:val="en-US" w:eastAsia="zh-CN"/>
              </w:rPr>
              <w:t xml:space="preserve">不小于</w:t>
            </w:r>
            <w:r>
              <w:rPr>
                <w:rFonts w:hint="eastAsia" w:ascii="宋体" w:hAnsi="宋体" w:eastAsia="宋体" w:cs="宋体"/>
                <w:b/>
                <w:bCs/>
                <w:color w:val="auto"/>
                <w:szCs w:val="21"/>
                <w:highlight w:val="none"/>
              </w:rPr>
              <w:t xml:space="preserve">原苗木，成活保存率达100%。</w:t>
            </w:r>
            <w:r/>
          </w:p>
        </w:tc>
      </w:tr>
    </w:tbl>
    <w:p>
      <w:pPr>
        <w:ind w:firstLine="422"/>
        <w:keepLines w:val="0"/>
        <w:keepNext w:val="0"/>
        <w:pageBreakBefore w:val="0"/>
        <w:spacing w:line="360" w:lineRule="auto"/>
        <w:widowControl w:val="off"/>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人员组织管理及专业工种配置要求</w:t>
      </w:r>
      <w:r/>
    </w:p>
    <w:p>
      <w:pPr>
        <w:ind w:left="0" w:firstLine="420"/>
        <w:keepLines w:val="0"/>
        <w:keepNext w:val="0"/>
        <w:pageBreakBefore w:val="0"/>
        <w:widowControl w:val="off"/>
        <w:rPr>
          <w:rFonts w:hint="eastAsia" w:ascii="宋体" w:hAnsi="宋体" w:eastAsia="宋体" w:cs="宋体"/>
          <w:i/>
          <w:iCs/>
          <w:strike w:val="0"/>
          <w:color w:val="auto"/>
          <w:sz w:val="21"/>
          <w:szCs w:val="21"/>
          <w:highlight w:val="none"/>
          <w:u w:val="single"/>
        </w:rPr>
      </w:pPr>
      <w:r>
        <w:rPr>
          <w:rFonts w:hint="eastAsia" w:ascii="宋体" w:hAnsi="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iCs/>
          <w:color w:val="auto"/>
          <w:sz w:val="21"/>
          <w:szCs w:val="21"/>
          <w:highlight w:val="none"/>
          <w:u w:val="single"/>
        </w:rPr>
        <w:t xml:space="preserve">为确保养护质量，</w:t>
      </w:r>
      <w:r>
        <w:rPr>
          <w:rFonts w:hint="eastAsia" w:ascii="宋体" w:hAnsi="宋体" w:cs="宋体"/>
          <w:i/>
          <w:iCs/>
          <w:color w:val="auto"/>
          <w:sz w:val="21"/>
          <w:szCs w:val="21"/>
          <w:highlight w:val="none"/>
          <w:u w:val="single"/>
          <w:lang w:val="en-US" w:eastAsia="zh-CN"/>
        </w:rPr>
        <w:t xml:space="preserve">供应商</w:t>
      </w:r>
      <w:r>
        <w:rPr>
          <w:rFonts w:hint="eastAsia" w:ascii="宋体" w:hAnsi="宋体" w:eastAsia="宋体" w:cs="宋体"/>
          <w:i/>
          <w:iCs/>
          <w:color w:val="auto"/>
          <w:sz w:val="21"/>
          <w:szCs w:val="21"/>
          <w:highlight w:val="none"/>
          <w:u w:val="single"/>
        </w:rPr>
        <w:t xml:space="preserve">需对中标后的绿地落实专人进行动态养护管理，统一着装上岗，绿化养护人员需要有相应的养护管理经验等，在集中完成养护任务情况下，</w:t>
      </w:r>
      <w:r>
        <w:rPr>
          <w:rFonts w:hint="eastAsia" w:ascii="宋体" w:hAnsi="宋体" w:eastAsia="宋体" w:cs="宋体"/>
          <w:i/>
          <w:iCs/>
          <w:strike w:val="0"/>
          <w:color w:val="auto"/>
          <w:sz w:val="21"/>
          <w:szCs w:val="21"/>
          <w:highlight w:val="none"/>
          <w:u w:val="single"/>
        </w:rPr>
        <w:t xml:space="preserve">日常养护</w:t>
      </w:r>
      <w:r>
        <w:rPr>
          <w:rFonts w:hint="eastAsia" w:ascii="宋体" w:hAnsi="宋体" w:eastAsia="宋体" w:cs="宋体"/>
          <w:i/>
          <w:iCs/>
          <w:strike w:val="0"/>
          <w:color w:val="auto"/>
          <w:sz w:val="21"/>
          <w:szCs w:val="21"/>
          <w:highlight w:val="none"/>
          <w:u w:val="single"/>
          <w:lang w:val="en-US" w:eastAsia="zh-CN"/>
        </w:rPr>
        <w:t xml:space="preserve">人员不低于60人</w:t>
      </w:r>
      <w:r>
        <w:rPr>
          <w:rFonts w:hint="eastAsia" w:ascii="宋体" w:hAnsi="宋体" w:cs="宋体"/>
          <w:i/>
          <w:iCs/>
          <w:strike w:val="0"/>
          <w:color w:val="auto"/>
          <w:sz w:val="21"/>
          <w:szCs w:val="21"/>
          <w:highlight w:val="none"/>
          <w:u w:val="single"/>
          <w:lang w:val="en-US" w:eastAsia="zh-CN"/>
        </w:rPr>
        <w:t xml:space="preserve">（提供承诺函）</w:t>
      </w:r>
      <w:r>
        <w:rPr>
          <w:rFonts w:hint="eastAsia" w:ascii="宋体" w:hAnsi="宋体" w:eastAsia="宋体" w:cs="宋体"/>
          <w:i/>
          <w:iCs/>
          <w:strike w:val="0"/>
          <w:color w:val="auto"/>
          <w:sz w:val="21"/>
          <w:szCs w:val="21"/>
          <w:highlight w:val="none"/>
          <w:u w:val="single"/>
          <w:lang w:val="en-US" w:eastAsia="zh-CN"/>
        </w:rPr>
        <w:t xml:space="preserve">。</w:t>
      </w: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i/>
          <w:iCs/>
          <w:color w:val="auto"/>
          <w:sz w:val="21"/>
          <w:szCs w:val="21"/>
          <w:highlight w:val="none"/>
          <w:u w:val="single"/>
        </w:rPr>
        <w:t xml:space="preserve">养护器械设备需求</w:t>
      </w:r>
      <w:r>
        <w:rPr>
          <w:rFonts w:hint="eastAsia" w:ascii="宋体" w:hAnsi="宋体" w:cs="宋体"/>
          <w:i/>
          <w:iCs/>
          <w:color w:val="auto"/>
          <w:sz w:val="21"/>
          <w:szCs w:val="21"/>
          <w:highlight w:val="none"/>
          <w:u w:val="single"/>
          <w:lang w:val="en-US" w:eastAsia="zh-CN"/>
        </w:rPr>
        <w:t xml:space="preserve">包括但不限于</w:t>
      </w:r>
      <w:r>
        <w:rPr>
          <w:rFonts w:hint="eastAsia" w:ascii="宋体" w:hAnsi="宋体" w:eastAsia="宋体" w:cs="宋体"/>
          <w:i/>
          <w:iCs/>
          <w:color w:val="auto"/>
          <w:sz w:val="21"/>
          <w:szCs w:val="21"/>
          <w:highlight w:val="none"/>
          <w:u w:val="single"/>
          <w:lang w:val="zh-CN"/>
        </w:rPr>
        <w:t xml:space="preserve">割灌机</w:t>
      </w:r>
      <w:r>
        <w:rPr>
          <w:rFonts w:hint="eastAsia" w:ascii="宋体" w:hAnsi="宋体" w:cs="宋体"/>
          <w:i/>
          <w:iCs/>
          <w:color w:val="auto"/>
          <w:sz w:val="21"/>
          <w:szCs w:val="21"/>
          <w:highlight w:val="none"/>
          <w:u w:val="single"/>
          <w:lang w:val="zh-CN"/>
        </w:rPr>
        <w:t xml:space="preserve">、</w:t>
      </w:r>
      <w:r>
        <w:rPr>
          <w:rFonts w:hint="eastAsia" w:ascii="宋体" w:hAnsi="宋体" w:eastAsia="宋体" w:cs="宋体"/>
          <w:i/>
          <w:iCs/>
          <w:color w:val="auto"/>
          <w:sz w:val="21"/>
          <w:szCs w:val="21"/>
          <w:highlight w:val="none"/>
          <w:u w:val="single"/>
        </w:rPr>
        <w:t xml:space="preserve">绿篱机</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洒水车</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洒水车应为原装，不得</w:t>
      </w:r>
      <w:r>
        <w:rPr>
          <w:rFonts w:hint="eastAsia" w:ascii="宋体" w:hAnsi="宋体" w:eastAsia="宋体" w:cs="宋体"/>
          <w:i/>
          <w:iCs/>
          <w:color w:val="auto"/>
          <w:sz w:val="21"/>
          <w:szCs w:val="21"/>
          <w:highlight w:val="none"/>
          <w:u w:val="single"/>
          <w:lang w:val="en-US" w:eastAsia="zh-CN"/>
        </w:rPr>
        <w:t xml:space="preserve">非法</w:t>
      </w:r>
      <w:r>
        <w:rPr>
          <w:rFonts w:hint="eastAsia" w:ascii="宋体" w:hAnsi="宋体" w:eastAsia="宋体" w:cs="宋体"/>
          <w:i/>
          <w:iCs/>
          <w:color w:val="auto"/>
          <w:sz w:val="21"/>
          <w:szCs w:val="21"/>
          <w:highlight w:val="none"/>
          <w:u w:val="single"/>
        </w:rPr>
        <w:t xml:space="preserve">改装，总质量不低于3000㎏</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货车</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药水机或治虫车</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油锯或高枝油锯</w:t>
      </w:r>
      <w:r>
        <w:rPr>
          <w:rFonts w:hint="eastAsia" w:ascii="宋体" w:hAnsi="宋体" w:cs="宋体"/>
          <w:i/>
          <w:iCs/>
          <w:color w:val="auto"/>
          <w:sz w:val="21"/>
          <w:szCs w:val="21"/>
          <w:highlight w:val="none"/>
          <w:u w:val="single"/>
          <w:lang w:val="en-US" w:eastAsia="zh-CN"/>
        </w:rPr>
        <w:t xml:space="preserve">等</w:t>
      </w:r>
      <w:r>
        <w:rPr>
          <w:rFonts w:hint="eastAsia" w:ascii="宋体" w:hAnsi="宋体" w:cs="宋体"/>
          <w:i/>
          <w:iCs/>
          <w:strike w:val="0"/>
          <w:color w:val="auto"/>
          <w:sz w:val="21"/>
          <w:szCs w:val="21"/>
          <w:highlight w:val="none"/>
          <w:u w:val="single"/>
          <w:lang w:val="en-US" w:eastAsia="zh-CN"/>
        </w:rPr>
        <w:t xml:space="preserve">（提供承诺函）</w:t>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四</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各类突发事件应急工作要求</w:t>
      </w:r>
      <w:r/>
    </w:p>
    <w:p>
      <w:pPr>
        <w:ind w:lef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因不可抗拒因素（如由于台风、暴雨、大雪等自然灾害引起树木突然倒塌，碰线、碰屋、非养护原因造成的树枝伤人、伤物），</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lang w:val="en-US" w:eastAsia="zh-CN"/>
        </w:rPr>
        <w:t xml:space="preserve">应提前</w:t>
      </w:r>
      <w:r>
        <w:rPr>
          <w:rFonts w:hint="eastAsia" w:ascii="宋体" w:hAnsi="宋体" w:eastAsia="宋体" w:cs="宋体"/>
          <w:b w:val="0"/>
          <w:bCs w:val="0"/>
          <w:color w:val="auto"/>
          <w:sz w:val="21"/>
          <w:szCs w:val="21"/>
          <w:highlight w:val="none"/>
        </w:rPr>
        <w:t xml:space="preserve">组织</w:t>
      </w:r>
      <w:r>
        <w:rPr>
          <w:rFonts w:hint="eastAsia" w:ascii="宋体" w:hAnsi="宋体" w:eastAsia="宋体" w:cs="宋体"/>
          <w:b w:val="0"/>
          <w:bCs w:val="0"/>
          <w:color w:val="auto"/>
          <w:sz w:val="21"/>
          <w:szCs w:val="21"/>
          <w:highlight w:val="none"/>
          <w:lang w:val="en-US" w:eastAsia="zh-CN"/>
        </w:rPr>
        <w:t xml:space="preserve">应急</w:t>
      </w:r>
      <w:r>
        <w:rPr>
          <w:rFonts w:hint="eastAsia" w:ascii="宋体" w:hAnsi="宋体" w:eastAsia="宋体" w:cs="宋体"/>
          <w:b w:val="0"/>
          <w:bCs w:val="0"/>
          <w:color w:val="auto"/>
          <w:sz w:val="21"/>
          <w:szCs w:val="21"/>
          <w:highlight w:val="none"/>
        </w:rPr>
        <w:t xml:space="preserve">力量，</w:t>
      </w:r>
      <w:r>
        <w:rPr>
          <w:rFonts w:hint="eastAsia" w:ascii="宋体" w:hAnsi="宋体" w:eastAsia="宋体" w:cs="宋体"/>
          <w:b w:val="0"/>
          <w:bCs w:val="0"/>
          <w:color w:val="auto"/>
          <w:sz w:val="21"/>
          <w:szCs w:val="21"/>
          <w:highlight w:val="none"/>
          <w:lang w:val="en-US" w:eastAsia="zh-CN"/>
        </w:rPr>
        <w:t xml:space="preserve">应急人员不少于20人</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机械设备卡车，不少于4台。</w:t>
      </w:r>
      <w:r>
        <w:rPr>
          <w:rFonts w:hint="eastAsia" w:ascii="宋体" w:hAnsi="宋体" w:cs="宋体"/>
          <w:b w:val="0"/>
          <w:bCs w:val="0"/>
          <w:color w:val="auto"/>
          <w:sz w:val="21"/>
          <w:szCs w:val="21"/>
          <w:highlight w:val="none"/>
          <w:lang w:val="en-US" w:eastAsia="zh-CN"/>
        </w:rPr>
        <w:t xml:space="preserve">及时</w:t>
      </w:r>
      <w:r>
        <w:rPr>
          <w:rFonts w:hint="eastAsia" w:ascii="宋体" w:hAnsi="宋体" w:eastAsia="宋体" w:cs="宋体"/>
          <w:b w:val="0"/>
          <w:bCs w:val="0"/>
          <w:color w:val="auto"/>
          <w:sz w:val="21"/>
          <w:szCs w:val="21"/>
          <w:highlight w:val="none"/>
        </w:rPr>
        <w:t xml:space="preserve">到达现场并处理。因不可抗拒因素导致树木损害的修复、清运等发生的处理费用均包含在投标报价中。</w:t>
      </w:r>
      <w:r/>
    </w:p>
    <w:p>
      <w:pPr>
        <w:ind w:firstLine="422"/>
        <w:keepLines w:val="0"/>
        <w:keepNext w:val="0"/>
        <w:pageBreakBefore w:val="0"/>
        <w:spacing w:line="360" w:lineRule="auto"/>
        <w:widowControl w:val="off"/>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绿化养护优化管理建议要求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需对乔灌木及草皮进行绿化提升时，</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需积极配合</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进行实施，并负责后期绿化养护，保证其成活率。</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优化现场人员定岗、分区包干管护模式，实行片区专人负责制，责任到人、路段到岗</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完善早晚错峰作业排班，避开行人高峰时段，减少对市民通行干扰。</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优化作业工具、机械定点存放管理，做到摆放规范、保养及时、定期检修。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推行预防为主、绿色防控优化模式，优先采用低毒、高效、环保农药，减少化学药剂滥用</w:t>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六</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现场作业安全管理保障要求</w:t>
      </w:r>
      <w:r/>
    </w:p>
    <w:p>
      <w:pPr>
        <w:ind w:lef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、养护过程中，</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rPr>
        <w:t xml:space="preserve">必须采取周密的安全措施，以避免对人身和财产的损害。如因</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rPr>
        <w:t xml:space="preserve">操作不当、养护不当（如</w:t>
      </w:r>
      <w:r>
        <w:rPr>
          <w:rFonts w:hint="eastAsia" w:ascii="宋体" w:hAnsi="宋体" w:eastAsia="宋体" w:cs="宋体"/>
          <w:b w:val="0"/>
          <w:bCs w:val="0"/>
          <w:color w:val="auto"/>
          <w:sz w:val="21"/>
          <w:szCs w:val="21"/>
          <w:highlight w:val="none"/>
          <w:lang w:val="en-US" w:eastAsia="zh-CN"/>
        </w:rPr>
        <w:t xml:space="preserve">养护作业时不规范操作</w:t>
      </w:r>
      <w:r>
        <w:rPr>
          <w:rFonts w:hint="eastAsia" w:ascii="宋体" w:hAnsi="宋体" w:eastAsia="宋体" w:cs="宋体"/>
          <w:b w:val="0"/>
          <w:bCs w:val="0"/>
          <w:color w:val="auto"/>
          <w:sz w:val="21"/>
          <w:szCs w:val="21"/>
          <w:highlight w:val="none"/>
        </w:rPr>
        <w:t xml:space="preserve">引起枝条砸落）或管理不善而造成人身伤害或财产损失的，由</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rPr>
        <w:t xml:space="preserve">自行承担。</w:t>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苗木巡查管护及成活率保障要求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rPr>
        <w:t xml:space="preserve">绿化养护期间乔灌木、花草死亡，必须及时将死亡苗木的品种和规格，以书面形式递交给</w:t>
      </w:r>
      <w:r>
        <w:rPr>
          <w:rFonts w:hint="eastAsia" w:ascii="宋体" w:hAnsi="宋体" w:cs="宋体"/>
          <w:b w:val="0"/>
          <w:bCs w:val="0"/>
          <w:color w:val="auto"/>
          <w:sz w:val="21"/>
          <w:szCs w:val="21"/>
          <w:highlight w:val="none"/>
          <w:lang w:val="en-US" w:eastAsia="zh-CN"/>
        </w:rPr>
        <w:t xml:space="preserve">采购人</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由</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lang w:val="en-US" w:eastAsia="zh-CN"/>
        </w:rPr>
        <w:t xml:space="preserve">承担并</w:t>
      </w:r>
      <w:r>
        <w:rPr>
          <w:rFonts w:hint="eastAsia" w:ascii="宋体" w:hAnsi="宋体" w:eastAsia="宋体" w:cs="宋体"/>
          <w:b w:val="0"/>
          <w:bCs w:val="0"/>
          <w:color w:val="auto"/>
          <w:sz w:val="21"/>
          <w:szCs w:val="21"/>
          <w:highlight w:val="none"/>
        </w:rPr>
        <w:t xml:space="preserve">及时组织补种植，补种植的品种与原苗木相同，</w:t>
      </w:r>
      <w:r>
        <w:rPr>
          <w:rFonts w:hint="eastAsia" w:ascii="宋体" w:hAnsi="宋体" w:eastAsia="宋体" w:cs="宋体"/>
          <w:b w:val="0"/>
          <w:bCs w:val="0"/>
          <w:color w:val="auto"/>
          <w:sz w:val="21"/>
          <w:szCs w:val="21"/>
          <w:highlight w:val="none"/>
          <w:lang w:val="en-US" w:eastAsia="zh-CN"/>
        </w:rPr>
        <w:t xml:space="preserve">补种植</w:t>
      </w:r>
      <w:r>
        <w:rPr>
          <w:rFonts w:hint="eastAsia" w:ascii="宋体" w:hAnsi="宋体" w:eastAsia="宋体" w:cs="宋体"/>
          <w:b w:val="0"/>
          <w:bCs w:val="0"/>
          <w:color w:val="auto"/>
          <w:sz w:val="21"/>
          <w:szCs w:val="21"/>
          <w:highlight w:val="none"/>
        </w:rPr>
        <w:t xml:space="preserve">规格应</w:t>
      </w:r>
      <w:r>
        <w:rPr>
          <w:rFonts w:hint="eastAsia" w:ascii="宋体" w:hAnsi="宋体" w:eastAsia="宋体" w:cs="宋体"/>
          <w:b w:val="0"/>
          <w:bCs w:val="0"/>
          <w:color w:val="auto"/>
          <w:sz w:val="21"/>
          <w:szCs w:val="21"/>
          <w:highlight w:val="none"/>
          <w:lang w:val="en-US" w:eastAsia="zh-CN"/>
        </w:rPr>
        <w:t xml:space="preserve">不小于</w:t>
      </w:r>
      <w:r>
        <w:rPr>
          <w:rFonts w:hint="eastAsia" w:ascii="宋体" w:hAnsi="宋体" w:eastAsia="宋体" w:cs="宋体"/>
          <w:b w:val="0"/>
          <w:bCs w:val="0"/>
          <w:color w:val="auto"/>
          <w:sz w:val="21"/>
          <w:szCs w:val="21"/>
          <w:highlight w:val="none"/>
        </w:rPr>
        <w:t xml:space="preserve">原苗木</w:t>
      </w:r>
      <w:r>
        <w:rPr>
          <w:rFonts w:hint="eastAsia" w:ascii="宋体" w:hAnsi="宋体" w:eastAsia="宋体" w:cs="宋体"/>
          <w:b w:val="0"/>
          <w:bCs w:val="0"/>
          <w:color w:val="auto"/>
          <w:sz w:val="21"/>
          <w:szCs w:val="21"/>
          <w:highlight w:val="none"/>
          <w:lang w:val="en-US" w:eastAsia="zh-CN"/>
        </w:rPr>
        <w:t xml:space="preserve">规格</w:t>
      </w:r>
      <w:r>
        <w:rPr>
          <w:rFonts w:hint="eastAsia" w:ascii="宋体" w:hAnsi="宋体" w:eastAsia="宋体" w:cs="宋体"/>
          <w:b w:val="0"/>
          <w:bCs w:val="0"/>
          <w:color w:val="auto"/>
          <w:sz w:val="21"/>
          <w:szCs w:val="21"/>
          <w:highlight w:val="none"/>
        </w:rPr>
        <w:t xml:space="preserve">，同时要确保成活。</w:t>
      </w:r>
      <w:r/>
    </w:p>
    <w:p>
      <w:pPr>
        <w:ind w:left="0" w:right="0" w:firstLine="482"/>
        <w:jc w:val="both"/>
        <w:keepLines w:val="0"/>
        <w:keepNext w:val="0"/>
        <w:pageBreakBefore w:val="0"/>
        <w:spacing w:before="0" w:after="0" w:line="360" w:lineRule="auto"/>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三、其他</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双方责任及权利和义务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（一）、双方责任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rPr>
        <w:t xml:space="preserve">责任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color w:val="auto"/>
          <w:highlight w:val="none"/>
        </w:rPr>
        <w:t xml:space="preserve">进场后，向</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color w:val="auto"/>
          <w:highlight w:val="none"/>
        </w:rPr>
        <w:t xml:space="preserve">提供并经</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color w:val="auto"/>
          <w:highlight w:val="none"/>
        </w:rPr>
        <w:t xml:space="preserve">现场察看确认的地域范围，现场景物、设施并说明使用注意事项。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（2）指派</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为</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rPr>
        <w:t xml:space="preserve">代表，具体负责合同的履行，协调、处理在施工管理工作中出现的问题。</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（3）定期组织</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color w:val="auto"/>
          <w:highlight w:val="none"/>
        </w:rPr>
        <w:t xml:space="preserve">进行绿化养护管理检查、考核，制定检查、奖惩实施细则。</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 </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color w:val="auto"/>
          <w:highlight w:val="none"/>
        </w:rPr>
        <w:t xml:space="preserve">责任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（1）根据</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rPr>
        <w:t xml:space="preserve">提供的相关资料及现场交底对所承包的区域制定科学、合理、可行的施工方案，交</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rPr>
        <w:t xml:space="preserve">审定,并定期把当月工作总结和下月工作计划交</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rPr>
        <w:t xml:space="preserve">审定。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（2）植物死亡应照价赔偿，或补种植规格大于原苗木相同的品种。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（3）指派</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为</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color w:val="auto"/>
          <w:highlight w:val="none"/>
        </w:rPr>
        <w:t xml:space="preserve">代表（即项目</w:t>
      </w:r>
      <w:r>
        <w:rPr>
          <w:rFonts w:hint="eastAsia" w:ascii="宋体" w:hAnsi="宋体" w:cs="宋体"/>
          <w:color w:val="auto"/>
          <w:highlight w:val="none"/>
          <w:lang w:val="en-US" w:eastAsia="zh-CN"/>
        </w:rPr>
        <w:t xml:space="preserve">负责人</w:t>
      </w:r>
      <w:r>
        <w:rPr>
          <w:rFonts w:hint="eastAsia" w:ascii="宋体" w:hAnsi="宋体" w:eastAsia="宋体" w:cs="宋体"/>
          <w:color w:val="auto"/>
          <w:highlight w:val="none"/>
        </w:rPr>
        <w:t xml:space="preserve">），负责合同履行。按承诺的养护方案组织施工，保质、保量、按期完成各阶段的养护任务，解决、协调由</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color w:val="auto"/>
          <w:highlight w:val="none"/>
        </w:rPr>
        <w:t xml:space="preserve">负责的各项事宜。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（4）严格执行绿化养护管理工作规范、安全操作规程、防火安全规定。建立健全各项管养原始台帐记录和各项质量检查记录。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供应商双</w:t>
      </w:r>
      <w:r>
        <w:rPr>
          <w:rFonts w:hint="eastAsia" w:ascii="宋体" w:hAnsi="宋体" w:eastAsia="宋体" w:cs="宋体"/>
          <w:color w:val="auto"/>
          <w:highlight w:val="none"/>
        </w:rPr>
        <w:t xml:space="preserve">方权利和义务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rPr>
        <w:t xml:space="preserve">权利和义务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（1）根据</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rPr>
        <w:t xml:space="preserve">绿化养护要求，对</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color w:val="auto"/>
          <w:highlight w:val="none"/>
        </w:rPr>
        <w:t xml:space="preserve">提供的服务及履行本合同情况实行检查考核。</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（2）因突发事件及重大活动，</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rPr>
        <w:t xml:space="preserve">需调用</w:t>
      </w:r>
      <w:r>
        <w:rPr>
          <w:rFonts w:hint="eastAsia" w:ascii="宋体" w:hAnsi="宋体" w:cs="宋体"/>
          <w:color w:val="auto"/>
          <w:highlight w:val="none"/>
          <w:lang w:val="en-US" w:eastAsia="zh-CN"/>
        </w:rPr>
        <w:t xml:space="preserve">供应商</w:t>
      </w:r>
      <w:r>
        <w:rPr>
          <w:rFonts w:hint="eastAsia" w:ascii="宋体" w:hAnsi="宋体" w:eastAsia="宋体" w:cs="宋体"/>
          <w:color w:val="auto"/>
          <w:highlight w:val="none"/>
        </w:rPr>
        <w:t xml:space="preserve">人员、设备时，</w:t>
      </w:r>
      <w:r>
        <w:rPr>
          <w:rFonts w:hint="eastAsia" w:ascii="宋体" w:hAnsi="宋体" w:cs="宋体"/>
          <w:color w:val="auto"/>
          <w:highlight w:val="none"/>
          <w:lang w:val="en-US" w:eastAsia="zh-CN"/>
        </w:rPr>
        <w:t xml:space="preserve">供应商</w:t>
      </w:r>
      <w:r>
        <w:rPr>
          <w:rFonts w:hint="eastAsia" w:ascii="宋体" w:hAnsi="宋体" w:eastAsia="宋体" w:cs="宋体"/>
          <w:color w:val="auto"/>
          <w:highlight w:val="none"/>
        </w:rPr>
        <w:t xml:space="preserve">应服从安排予以配合。</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（3）每季度对</w:t>
      </w:r>
      <w:r>
        <w:rPr>
          <w:rFonts w:hint="eastAsia" w:ascii="宋体" w:hAnsi="宋体" w:cs="宋体"/>
          <w:color w:val="auto"/>
          <w:highlight w:val="none"/>
          <w:lang w:val="en-US" w:eastAsia="zh-CN"/>
        </w:rPr>
        <w:t xml:space="preserve">供应商</w:t>
      </w:r>
      <w:r>
        <w:rPr>
          <w:rFonts w:hint="eastAsia" w:ascii="宋体" w:hAnsi="宋体" w:eastAsia="宋体" w:cs="宋体"/>
          <w:color w:val="auto"/>
          <w:highlight w:val="none"/>
        </w:rPr>
        <w:t xml:space="preserve">绿化养护质量进行综合考核评分，</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rPr>
        <w:t xml:space="preserve">根据考核结果支付季度养护费用。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供应商</w:t>
      </w:r>
      <w:r>
        <w:rPr>
          <w:rFonts w:hint="eastAsia" w:ascii="宋体" w:hAnsi="宋体" w:eastAsia="宋体" w:cs="宋体"/>
          <w:color w:val="auto"/>
          <w:highlight w:val="none"/>
        </w:rPr>
        <w:t xml:space="preserve">权利和义务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供应商</w:t>
      </w:r>
      <w:r>
        <w:rPr>
          <w:rFonts w:hint="eastAsia" w:ascii="宋体" w:hAnsi="宋体" w:eastAsia="宋体" w:cs="宋体"/>
          <w:color w:val="auto"/>
          <w:highlight w:val="none"/>
        </w:rPr>
        <w:t xml:space="preserve">根据《</w:t>
      </w:r>
      <w:r>
        <w:rPr>
          <w:rFonts w:hint="eastAsia" w:ascii="宋体" w:hAnsi="宋体" w:eastAsia="宋体" w:cs="宋体"/>
          <w:color w:val="auto"/>
          <w:highlight w:val="none"/>
          <w:lang w:eastAsia="zh-CN"/>
        </w:rPr>
        <w:t xml:space="preserve">广陵</w:t>
      </w:r>
      <w:r>
        <w:rPr>
          <w:rFonts w:hint="eastAsia" w:ascii="宋体" w:hAnsi="宋体" w:eastAsia="宋体" w:cs="宋体"/>
          <w:color w:val="auto"/>
          <w:highlight w:val="none"/>
        </w:rPr>
        <w:t xml:space="preserve">区绿化养护质量标准》技术规范和有关要求，积极主动保质保量地完成绿化养护工作。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（2）接受并主动配合</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rPr>
        <w:t xml:space="preserve">及行业管理部门的检查。</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（3）养护范围之外的突击性、突发性工作，</w:t>
      </w:r>
      <w:r>
        <w:rPr>
          <w:rFonts w:hint="eastAsia" w:ascii="宋体" w:hAnsi="宋体" w:cs="宋体"/>
          <w:color w:val="auto"/>
          <w:highlight w:val="none"/>
          <w:lang w:val="en-US" w:eastAsia="zh-CN"/>
        </w:rPr>
        <w:t xml:space="preserve">供应商</w:t>
      </w:r>
      <w:r>
        <w:rPr>
          <w:rFonts w:hint="eastAsia" w:ascii="宋体" w:hAnsi="宋体" w:eastAsia="宋体" w:cs="宋体"/>
          <w:color w:val="auto"/>
          <w:highlight w:val="none"/>
        </w:rPr>
        <w:t xml:space="preserve">须服从</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rPr>
        <w:t xml:space="preserve">的安排，不得无故拖延。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cs="宋体"/>
          <w:color w:val="auto"/>
          <w:highlight w:val="none"/>
          <w:lang w:val="en-US" w:eastAsia="zh-CN"/>
        </w:rPr>
        <w:t xml:space="preserve">供应商</w:t>
      </w:r>
      <w:r>
        <w:rPr>
          <w:rFonts w:hint="eastAsia" w:ascii="宋体" w:hAnsi="宋体" w:eastAsia="宋体" w:cs="宋体"/>
          <w:color w:val="auto"/>
          <w:highlight w:val="none"/>
        </w:rPr>
        <w:t xml:space="preserve">应做好详细的养护计划、台帐，建立养护档案，并在月底前将每月的养护总结及下月的工作计划报送</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cs="宋体"/>
          <w:color w:val="auto"/>
          <w:highlight w:val="none"/>
          <w:lang w:val="en-US" w:eastAsia="zh-CN"/>
        </w:rPr>
        <w:t xml:space="preserve">供应商</w:t>
      </w:r>
      <w:r>
        <w:rPr>
          <w:rFonts w:hint="eastAsia" w:ascii="宋体" w:hAnsi="宋体" w:eastAsia="宋体" w:cs="宋体"/>
          <w:color w:val="auto"/>
          <w:highlight w:val="none"/>
        </w:rPr>
        <w:t xml:space="preserve">在承包养护期间，不得将绿地养护管理转包他人，否则</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rPr>
        <w:t xml:space="preserve">有权解除合同并扣除全部养护保证金。</w:t>
      </w:r>
      <w:r/>
    </w:p>
    <w:p>
      <w:pPr>
        <w:ind w:left="0" w:right="0" w:firstLine="482"/>
        <w:jc w:val="both"/>
        <w:keepLines w:val="0"/>
        <w:keepNext w:val="0"/>
        <w:pageBreakBefore w:val="0"/>
        <w:spacing w:before="0" w:after="0" w:line="360" w:lineRule="auto"/>
        <w:widowControl w:val="off"/>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 四、绿化养护考核办法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为促进绿地养护管理工作规范化、制度化，进一步强化考核工作，提高</w:t>
      </w:r>
      <w:r>
        <w:rPr>
          <w:rFonts w:hint="eastAsia" w:ascii="宋体" w:hAnsi="宋体" w:eastAsia="宋体" w:cs="宋体"/>
          <w:color w:val="auto"/>
          <w:szCs w:val="21"/>
          <w:highlight w:val="none"/>
          <w:lang w:eastAsia="zh-CN"/>
        </w:rPr>
        <w:t xml:space="preserve">广陵</w:t>
      </w:r>
      <w:r>
        <w:rPr>
          <w:rFonts w:hint="eastAsia" w:ascii="宋体" w:hAnsi="宋体" w:eastAsia="宋体" w:cs="宋体"/>
          <w:color w:val="auto"/>
          <w:szCs w:val="21"/>
          <w:highlight w:val="none"/>
        </w:rPr>
        <w:t xml:space="preserve">区绿化养护管理水平，根据国家和省、市有关绿地管理技术规定，制定本办法。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（一）考核范围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扬州市广陵区范围内的各个公园</w:t>
      </w:r>
      <w:r>
        <w:rPr>
          <w:rFonts w:hint="eastAsia" w:ascii="宋体" w:hAnsi="宋体" w:eastAsia="宋体" w:cs="宋体"/>
          <w:color w:val="auto"/>
          <w:szCs w:val="21"/>
          <w:highlight w:val="none"/>
          <w:lang w:val="en-US" w:eastAsia="zh-CN"/>
        </w:rPr>
        <w:t xml:space="preserve">和相关道路</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（二）考核内容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包括园林绿化植物养护、资料档案及其他，养护工作质量标准、现场管理人员到位、档案资料报送等内容。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（三）考核要求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扬州市广陵区住房和城乡建设局负责绿化养护检查考核，每周安排人员进行检查，检查</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是否按投标文件承诺要求完成绿化养护工作，履行合同任务。考核人员遵循公开、公平、公正的原则，按照《广陵区绿化养护考核细则》，认真、严格地考核打分，确保考核工作扎实有效。</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（四）考核办法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考核采用月度检查扣分，季度综合评分方式进行，即月度累计扣分作为季度考核评分的依据。考核标准按《广陵区绿化养护考核评分表》中考核细则和要求进行打分，考核结果由</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rPr>
        <w:t xml:space="preserve">以书面形式通知</w:t>
      </w:r>
      <w:r>
        <w:rPr>
          <w:rFonts w:hint="eastAsia" w:ascii="宋体" w:hAnsi="宋体" w:cs="宋体"/>
          <w:color w:val="auto"/>
          <w:highlight w:val="none"/>
          <w:lang w:val="en-US" w:eastAsia="zh-CN"/>
        </w:rPr>
        <w:t xml:space="preserve">供应商</w:t>
      </w:r>
      <w:r>
        <w:rPr>
          <w:rFonts w:hint="eastAsia" w:ascii="宋体" w:hAnsi="宋体" w:eastAsia="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（五）考核评分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1、考核实行百分制，考核项目所占比分详见《</w:t>
      </w:r>
      <w:r>
        <w:rPr>
          <w:rFonts w:hint="eastAsia" w:ascii="宋体" w:hAnsi="宋体" w:eastAsia="宋体" w:cs="宋体"/>
          <w:color w:val="auto"/>
          <w:highlight w:val="none"/>
        </w:rPr>
        <w:t xml:space="preserve">广陵区</w:t>
      </w:r>
      <w:r>
        <w:rPr>
          <w:rFonts w:hint="eastAsia" w:ascii="宋体" w:hAnsi="宋体" w:eastAsia="宋体" w:cs="宋体"/>
          <w:color w:val="auto"/>
          <w:szCs w:val="21"/>
          <w:highlight w:val="none"/>
        </w:rPr>
        <w:t xml:space="preserve">区绿化养护考核细则》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2、考核分数由考核细则中各分项打分综合得分组成，每季考核分数由月度累计得分与季度集中考核得分综合组成，月度考核得分占综合得分的70%，季度考核得分占综合得分的30%。考核结果由</w:t>
      </w:r>
      <w:r>
        <w:rPr>
          <w:rFonts w:hint="eastAsia" w:ascii="宋体" w:hAnsi="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以书面形式通知</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3、因养护管理不当，有下列情况发生的，须扣除相应的考核分数。</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⑴受到上级领导点名批评、情节严重的，扣除该季度考核分10分。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⑵经媒体曝光查实的，扣除该季度考核分10分。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⑶群众举报查实的，造成负面影响的，扣除该季度考核分10分。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⑷</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养护人员因操作或言语不当造成投诉的，影响单位正面形象，造成一定后果，扣除该季度考核分10分。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⑸</w:t>
      </w:r>
      <w:r>
        <w:rPr>
          <w:rFonts w:hint="eastAsia" w:ascii="宋体" w:hAnsi="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在日常检查中，发现养护质量问题，下发整改通知单责令</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限期整改，</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未在规定时限内完成整改任务，扣除考核分5分。在次月检查中，发现已过整改期限仍未整改的同样问题，加倍扣分。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季度考核综合得分≥90分，且各项工作达到投标书承诺要求的，全额支付季度养护经费；75分＜季度考核得分＜90分，每低1分，扣除该季度绿化养护经费1%作为罚款；季度考核得分＜75分，扣除该季度绿化养护经费，终止养护合同，安排第三方进行养护，造成的损失由</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承担。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5、对于考核中发现的问题，必须及时整改。整改到位后，方可核发养护费用；否则停发养护费用。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、本办法在执行过程中，</w:t>
      </w:r>
      <w:r>
        <w:rPr>
          <w:rFonts w:hint="eastAsia" w:ascii="宋体" w:hAnsi="宋体" w:cs="宋体"/>
          <w:color w:val="auto"/>
          <w:szCs w:val="21"/>
          <w:highlight w:val="none"/>
          <w:lang w:val="en-US" w:eastAsia="zh-CN"/>
        </w:rPr>
        <w:t xml:space="preserve">采购人</w:t>
      </w:r>
      <w:r>
        <w:rPr>
          <w:rFonts w:hint="eastAsia" w:ascii="宋体" w:hAnsi="宋体" w:eastAsia="宋体" w:cs="宋体"/>
          <w:color w:val="auto"/>
          <w:szCs w:val="21"/>
          <w:highlight w:val="none"/>
        </w:rPr>
        <w:t xml:space="preserve">有权根据实际情况作出修改。</w:t>
      </w:r>
      <w:r/>
    </w:p>
    <w:p>
      <w:pPr>
        <w:pStyle w:val="1203"/>
        <w:jc w:val="both"/>
        <w:spacing w:before="0" w:after="0" w:line="24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4"/>
        <w:numPr>
          <w:ilvl w:val="0"/>
          <w:numId w:val="0"/>
        </w:num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4"/>
        <w:numPr>
          <w:ilvl w:val="0"/>
          <w:numId w:val="0"/>
        </w:num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4"/>
        <w:numPr>
          <w:ilvl w:val="0"/>
          <w:numId w:val="0"/>
        </w:num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4"/>
        <w:numPr>
          <w:ilvl w:val="0"/>
          <w:numId w:val="0"/>
        </w:num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04"/>
        <w:numPr>
          <w:ilvl w:val="0"/>
          <w:numId w:val="0"/>
        </w:num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val="0"/>
          <w:color w:val="auto"/>
          <w:sz w:val="44"/>
          <w:highlight w:val="none"/>
        </w:rPr>
      </w:pPr>
      <w:r/>
      <w:bookmarkStart w:id="73" w:name="_Toc32508"/>
      <w:r>
        <w:rPr>
          <w:rFonts w:hint="eastAsia" w:ascii="宋体" w:hAnsi="宋体" w:eastAsia="宋体" w:cs="宋体"/>
          <w:b/>
          <w:bCs w:val="0"/>
          <w:color w:val="auto"/>
          <w:sz w:val="44"/>
          <w:highlight w:val="none"/>
        </w:rPr>
        <w:br w:type="page" w:clear="all"/>
      </w:r>
      <w:r/>
    </w:p>
    <w:p>
      <w:pPr>
        <w:pStyle w:val="1190"/>
        <w:rPr>
          <w:rFonts w:hint="eastAsia"/>
          <w:color w:val="auto"/>
          <w:highlight w:val="none"/>
        </w:rPr>
      </w:pPr>
      <w:r/>
      <w:bookmarkStart w:id="74" w:name="_Toc16480"/>
      <w:r>
        <w:rPr>
          <w:rFonts w:hint="eastAsia"/>
          <w:color w:val="auto"/>
          <w:highlight w:val="none"/>
        </w:rPr>
        <w:t xml:space="preserve">第五章</w:t>
      </w:r>
      <w:r>
        <w:rPr>
          <w:rFonts w:hint="eastAsia"/>
          <w:color w:val="auto"/>
          <w:highlight w:val="none"/>
          <w:lang w:val="en-US" w:eastAsia="zh-CN"/>
        </w:rPr>
        <w:t xml:space="preserve">  </w:t>
      </w:r>
      <w:r>
        <w:rPr>
          <w:rFonts w:hint="eastAsia"/>
          <w:color w:val="auto"/>
          <w:highlight w:val="none"/>
        </w:rPr>
        <w:t xml:space="preserve">评标方法与评标标准</w:t>
      </w:r>
      <w:bookmarkEnd w:id="73"/>
      <w:r/>
      <w:bookmarkEnd w:id="74"/>
      <w:r/>
      <w:r/>
    </w:p>
    <w:p>
      <w:pPr>
        <w:pStyle w:val="1198"/>
        <w:ind w:left="0" w:firstLine="420"/>
        <w:jc w:val="both"/>
        <w:keepLines w:val="0"/>
        <w:keepNext w:val="0"/>
        <w:pageBreakBefore w:val="0"/>
        <w:spacing w:before="0" w:beforeAutospacing="0" w:after="0" w:afterAutospacing="0"/>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rPr>
        <w:t xml:space="preserve">采用综合评分法的，评标结果按评审后得分由高到低顺序排列。得分相同的，按投标报价由低到高顺序排列。得分且投标报价相同的并列。</w:t>
      </w:r>
      <w:r/>
    </w:p>
    <w:tbl>
      <w:tblPr>
        <w:tblStyle w:val="1192"/>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14"/>
        <w:gridCol w:w="2685"/>
        <w:gridCol w:w="4321"/>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1414" w:type="dxa"/>
            <w:vAlign w:val="center"/>
            <w:textDirection w:val="lrTb"/>
            <w:noWrap w:val="false"/>
          </w:tcPr>
          <w:p>
            <w:pPr>
              <w:pStyle w:val="1198"/>
              <w:jc w:val="both"/>
              <w:keepLines w:val="0"/>
              <w:keepNext w:val="0"/>
              <w:spacing w:before="0" w:beforeAutospacing="0" w:after="0" w:afterAutospacing="0"/>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W w:w="2685" w:type="dxa"/>
            <w:vAlign w:val="center"/>
            <w:textDirection w:val="lrTb"/>
            <w:noWrap w:val="false"/>
          </w:tcPr>
          <w:p>
            <w:pPr>
              <w:pStyle w:val="1198"/>
              <w:jc w:val="both"/>
              <w:keepLines w:val="0"/>
              <w:keepNext w:val="0"/>
              <w:spacing w:before="0" w:beforeAutospacing="0" w:after="0" w:afterAutospacing="0"/>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rPr>
              <w:t xml:space="preserve">选取中标候选人数量</w:t>
            </w:r>
            <w:r/>
          </w:p>
        </w:tc>
        <w:tc>
          <w:tcPr>
            <w:shd w:val="clear" w:color="auto" w:fill="auto"/>
            <w:tcBorders>
              <w:top w:val="single" w:color="000000" w:sz="8" w:space="0"/>
              <w:left w:val="none" w:color="000000" w:sz="4" w:space="0"/>
              <w:bottom w:val="single" w:color="000000" w:sz="8" w:space="0"/>
              <w:right w:val="single" w:color="000000" w:sz="8" w:space="0"/>
            </w:tcBorders>
            <w:tcW w:w="4321" w:type="dxa"/>
            <w:vAlign w:val="center"/>
            <w:textDirection w:val="lrTb"/>
            <w:noWrap w:val="false"/>
          </w:tcPr>
          <w:p>
            <w:pPr>
              <w:pStyle w:val="1198"/>
              <w:jc w:val="center"/>
              <w:keepLines w:val="0"/>
              <w:keepNext w:val="0"/>
              <w:spacing w:before="0" w:beforeAutospacing="0" w:after="0" w:afterAutospacing="0"/>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rPr>
              <w:t xml:space="preserve">选取中标候选人的原则</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1414" w:type="dxa"/>
            <w:vAlign w:val="center"/>
            <w:textDirection w:val="lrTb"/>
            <w:noWrap w:val="false"/>
          </w:tcPr>
          <w:p>
            <w:pPr>
              <w:pStyle w:val="1198"/>
              <w:jc w:val="center"/>
              <w:keepLines w:val="0"/>
              <w:keepNext w:val="0"/>
              <w:spacing w:before="0" w:beforeAutospacing="0" w:after="0" w:afterAutospacing="0"/>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rPr>
              <w:t xml:space="preserve"> </w:t>
            </w:r>
            <w:r/>
          </w:p>
          <w:p>
            <w:pPr>
              <w:pStyle w:val="1198"/>
              <w:jc w:val="center"/>
              <w:keepLines w:val="0"/>
              <w:keepNext w:val="0"/>
              <w:spacing w:before="0" w:beforeAutospacing="0" w:after="0" w:afterAutospacing="0"/>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685" w:type="dxa"/>
            <w:vAlign w:val="center"/>
            <w:textDirection w:val="lrTb"/>
            <w:noWrap w:val="false"/>
          </w:tcPr>
          <w:p>
            <w:pPr>
              <w:pStyle w:val="1198"/>
              <w:jc w:val="center"/>
              <w:keepLines w:val="0"/>
              <w:keepNext w:val="0"/>
              <w:spacing w:before="0" w:beforeAutospacing="0" w:after="0" w:afterAutospacing="0"/>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rPr>
              <w:t xml:space="preserve"> </w:t>
            </w:r>
            <w:r/>
          </w:p>
          <w:p>
            <w:pPr>
              <w:pStyle w:val="1198"/>
              <w:jc w:val="center"/>
              <w:keepLines w:val="0"/>
              <w:keepNext w:val="0"/>
              <w:spacing w:before="0" w:beforeAutospacing="0" w:after="0" w:afterAutospacing="0"/>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321" w:type="dxa"/>
            <w:vAlign w:val="center"/>
            <w:textDirection w:val="lrTb"/>
            <w:noWrap w:val="false"/>
          </w:tcPr>
          <w:p>
            <w:pPr>
              <w:pStyle w:val="1198"/>
              <w:jc w:val="center"/>
              <w:keepLines w:val="0"/>
              <w:keepNext w:val="0"/>
              <w:spacing w:before="0" w:beforeAutospacing="0" w:after="0" w:afterAutospacing="0"/>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rPr>
              <w:t xml:space="preserve">满足招标文件全部实质性要求，且按照评审因素的量化指标评审得分最高的</w:t>
            </w:r>
            <w:r>
              <w:rPr>
                <w:rFonts w:hint="eastAsia" w:ascii="宋体" w:hAnsi="宋体" w:cs="宋体"/>
                <w:color w:val="auto"/>
                <w:sz w:val="21"/>
                <w:szCs w:val="21"/>
                <w:highlight w:val="none"/>
                <w:lang w:eastAsia="zh-CN"/>
              </w:rPr>
              <w:t xml:space="preserve">供应商</w:t>
            </w:r>
            <w:r>
              <w:rPr>
                <w:rFonts w:ascii="宋体" w:hAnsi="宋体" w:eastAsia="宋体" w:cs="宋体"/>
                <w:color w:val="auto"/>
                <w:sz w:val="21"/>
                <w:szCs w:val="21"/>
                <w:highlight w:val="none"/>
              </w:rPr>
              <w:t xml:space="preserve">为中标候选人。</w:t>
            </w:r>
            <w:r/>
          </w:p>
        </w:tc>
      </w:tr>
    </w:tbl>
    <w:p>
      <w:pPr>
        <w:numPr>
          <w:ilvl w:val="0"/>
          <w:numId w:val="0"/>
        </w:numPr>
        <w:keepLines w:val="0"/>
        <w:keepNext w:val="0"/>
        <w:pageBreakBefore w:val="0"/>
        <w:spacing w:beforeAutospacing="0" w:afterAutospacing="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政府采购政策功能落实</w:t>
      </w:r>
      <w:r/>
    </w:p>
    <w:p>
      <w:pPr>
        <w:numPr>
          <w:ilvl w:val="0"/>
          <w:numId w:val="0"/>
        </w:numPr>
        <w:spacing w:beforeAutospacing="0" w:afterAutospacing="0" w:line="360" w:lineRule="auto"/>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本项目专门面向中小企业采购</w:t>
      </w:r>
      <w:r/>
    </w:p>
    <w:tbl>
      <w:tblPr>
        <w:tblStyle w:val="12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590"/>
        </w:trPr>
        <w:tc>
          <w:tcPr>
            <w:tcW w:w="4261" w:type="dxa"/>
            <w:vAlign w:val="bottom"/>
            <w:textDirection w:val="lrTb"/>
            <w:noWrap w:val="false"/>
          </w:tcPr>
          <w:p>
            <w:pPr>
              <w:pStyle w:val="1198"/>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cs="宋体"/>
                <w:color w:val="auto"/>
                <w:sz w:val="21"/>
                <w:szCs w:val="21"/>
                <w:highlight w:val="none"/>
                <w:vertAlign w:val="baseline"/>
                <w:lang w:val="en-US" w:eastAsia="zh-CN" w:bidi="ar-SA"/>
              </w:rPr>
              <w:t xml:space="preserve">采购包号</w:t>
            </w:r>
            <w:r/>
          </w:p>
        </w:tc>
        <w:tc>
          <w:tcPr>
            <w:tcW w:w="4261" w:type="dxa"/>
            <w:vAlign w:val="bottom"/>
            <w:textDirection w:val="lrTb"/>
            <w:noWrap w:val="false"/>
          </w:tcPr>
          <w:p>
            <w:pPr>
              <w:pStyle w:val="1198"/>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cs="宋体"/>
                <w:color w:val="auto"/>
                <w:sz w:val="21"/>
                <w:szCs w:val="21"/>
                <w:highlight w:val="none"/>
                <w:vertAlign w:val="baseline"/>
                <w:lang w:val="en-US" w:eastAsia="zh-CN" w:bidi="ar-SA"/>
              </w:rPr>
              <w:t xml:space="preserve">专门面向中小企业采购</w:t>
            </w:r>
            <w:r/>
          </w:p>
        </w:tc>
      </w:tr>
      <w:tr>
        <w:trPr>
          <w:trHeight w:val="341"/>
        </w:trPr>
        <w:tc>
          <w:tcPr>
            <w:tcW w:w="4261" w:type="dxa"/>
            <w:vAlign w:val="bottom"/>
            <w:textDirection w:val="lrTb"/>
            <w:noWrap w:val="false"/>
          </w:tcPr>
          <w:p>
            <w:pPr>
              <w:pStyle w:val="1198"/>
              <w:jc w:val="both"/>
              <w:keepLines w:val="0"/>
              <w:keepNext w:val="0"/>
              <w:spacing w:before="0" w:beforeAutospacing="0" w:after="0" w:afterAutospacing="0" w:line="36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default" w:ascii="宋体" w:hAnsi="宋体" w:eastAsia="宋体" w:cs="宋体"/>
                <w:color w:val="auto"/>
                <w:sz w:val="21"/>
                <w:szCs w:val="21"/>
                <w:highlight w:val="none"/>
                <w:vertAlign w:val="baseline"/>
                <w:lang w:val="en-US" w:eastAsia="zh-CN" w:bidi="ar-SA"/>
              </w:rPr>
              <w:t xml:space="preserve">2026年广陵区道路公园绿化养护项目</w:t>
            </w:r>
            <w:r/>
          </w:p>
        </w:tc>
        <w:tc>
          <w:tcPr>
            <w:tcW w:w="4261" w:type="dxa"/>
            <w:vAlign w:val="center"/>
            <w:textDirection w:val="lrTb"/>
            <w:noWrap w:val="false"/>
          </w:tcPr>
          <w:p>
            <w:pPr>
              <w:pStyle w:val="1198"/>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cs="宋体"/>
                <w:color w:val="auto"/>
                <w:sz w:val="21"/>
                <w:szCs w:val="21"/>
                <w:highlight w:val="none"/>
                <w:vertAlign w:val="baseline"/>
                <w:lang w:val="en-US" w:eastAsia="zh-CN" w:bidi="ar-SA"/>
              </w:rPr>
              <w:t xml:space="preserve">是</w:t>
            </w:r>
            <w:r/>
          </w:p>
        </w:tc>
      </w:tr>
    </w:tbl>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1、小微型企业价格扣除</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rPr>
        <w:t xml:space="preserve">的扣除价格，用扣除后的价格参与评审。</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（2）供应商需按照采购文件的要求提供相应的《中小企业声明函》。</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2、残疾人福利单位价格扣除</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rPr>
        <w:t xml:space="preserve">的价格扣除，用扣除后的价格参与评审。</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（2）残疾人福利单位需按照采购文件的要求提供《残疾人福利性单位声明函》。</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（3）残疾人福利单位标准请参照《关于促进残疾人就业政府采购政策的通知》（财库〔2017〕141号）。</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3、监狱和戒毒企业价格扣除</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rPr>
        <w:t xml:space="preserve">的价格扣除，用扣除后的价格参与评审。</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（3）监狱企业标准请参照《关于政府采购支持监狱企业发展有关问题的通知》（财库〔2014〕68号）。</w:t>
      </w:r>
      <w:r/>
    </w:p>
    <w:p>
      <w:pPr>
        <w:ind w:left="0" w:right="0" w:firstLine="420"/>
        <w:jc w:val="both"/>
        <w:keepLines w:val="0"/>
        <w:keepNext w:val="0"/>
        <w:pageBreakBefore w:val="0"/>
        <w:spacing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4、残疾人福利单位、监狱企业属于小型、微型企业的，不重复享受政策。</w:t>
      </w:r>
      <w:r/>
    </w:p>
    <w:p>
      <w:pPr>
        <w:ind w:left="0" w:right="0" w:firstLine="420"/>
        <w:jc w:val="both"/>
        <w:keepLines w:val="0"/>
        <w:keepNext w:val="0"/>
        <w:pageBreakBefore w:val="0"/>
        <w:spacing w:line="360" w:lineRule="auto"/>
        <w:widowControl w:val="off"/>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rPr>
        <w:t xml:space="preserve">的价格扣除，用扣除后的价格参与评审。</w:t>
      </w:r>
      <w:r/>
    </w:p>
    <w:p>
      <w:pPr>
        <w:ind w:left="0" w:right="0"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rPr>
        <w:t xml:space="preserve">价格扣除，用扣除后的价格参与评审。</w:t>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评</w:t>
      </w:r>
      <w:r>
        <w:rPr>
          <w:rFonts w:hint="eastAsia" w:ascii="宋体" w:hAnsi="宋体" w:eastAsia="宋体" w:cs="宋体"/>
          <w:b/>
          <w:color w:val="auto"/>
          <w:sz w:val="24"/>
          <w:szCs w:val="24"/>
          <w:highlight w:val="none"/>
          <w:lang w:val="en-US" w:eastAsia="zh-CN"/>
        </w:rPr>
        <w:t xml:space="preserve">标</w:t>
      </w:r>
      <w:r>
        <w:rPr>
          <w:rFonts w:hint="eastAsia" w:ascii="宋体" w:hAnsi="宋体" w:eastAsia="宋体" w:cs="宋体"/>
          <w:b/>
          <w:color w:val="auto"/>
          <w:sz w:val="24"/>
          <w:szCs w:val="24"/>
          <w:highlight w:val="none"/>
        </w:rPr>
        <w:t xml:space="preserve">标准</w:t>
      </w:r>
      <w:r/>
    </w:p>
    <w:tbl>
      <w:tblPr>
        <w:tblStyle w:val="1192"/>
        <w:tblW w:w="86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1265"/>
        <w:gridCol w:w="6261"/>
      </w:tblGrid>
      <w:tr>
        <w:trPr>
          <w:jc w:val="center"/>
          <w:trHeight w:val="23"/>
        </w:trPr>
        <w:tc>
          <w:tcPr>
            <w:tcW w:w="1118" w:type="dxa"/>
            <w:vAlign w:val="center"/>
            <w:textDirection w:val="lrTb"/>
            <w:noWrap w:val="false"/>
          </w:tcPr>
          <w:p>
            <w:pPr>
              <w:pStyle w:val="1205"/>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c>
          <w:tcPr>
            <w:gridSpan w:val="2"/>
            <w:tcW w:w="7526" w:type="dxa"/>
            <w:vAlign w:val="center"/>
            <w:textDirection w:val="lrTb"/>
            <w:noWrap w:val="false"/>
          </w:tcPr>
          <w:p>
            <w:pPr>
              <w:pStyle w:val="1205"/>
              <w:ind w:firstLine="422"/>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评审细则</w:t>
            </w:r>
            <w:r/>
          </w:p>
        </w:tc>
      </w:tr>
      <w:tr>
        <w:trPr>
          <w:jc w:val="center"/>
          <w:trHeight w:val="23"/>
        </w:trPr>
        <w:tc>
          <w:tcPr>
            <w:tcW w:w="1118" w:type="dxa"/>
            <w:vAlign w:val="center"/>
            <w:textDirection w:val="lrTb"/>
            <w:noWrap w:val="false"/>
          </w:tcPr>
          <w:p>
            <w:pPr>
              <w:pStyle w:val="1205"/>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价格</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10分</w:t>
            </w:r>
            <w:r>
              <w:rPr>
                <w:rFonts w:hint="eastAsia" w:ascii="宋体" w:hAnsi="宋体" w:eastAsia="宋体" w:cs="宋体"/>
                <w:b/>
                <w:bCs/>
                <w:color w:val="auto"/>
                <w:sz w:val="21"/>
                <w:szCs w:val="21"/>
                <w:highlight w:val="none"/>
                <w:lang w:eastAsia="zh-CN"/>
              </w:rPr>
              <w:t xml:space="preserve">）</w:t>
            </w:r>
            <w:r/>
          </w:p>
        </w:tc>
        <w:tc>
          <w:tcPr>
            <w:gridSpan w:val="2"/>
            <w:tcW w:w="7526" w:type="dxa"/>
            <w:vAlign w:val="center"/>
            <w:textDirection w:val="lrTb"/>
            <w:noWrap w:val="false"/>
          </w:tcPr>
          <w:p>
            <w:pPr>
              <w:pStyle w:val="1205"/>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采用低价优先法计算，以满足招标文件要求的最低投标报价为评标基准价，得满分10分，其他投标报价得分=（评标基准价/其他投标报价）×10×100%。</w:t>
            </w:r>
            <w:r/>
          </w:p>
        </w:tc>
      </w:tr>
      <w:tr>
        <w:trPr>
          <w:jc w:val="center"/>
          <w:trHeight w:val="23"/>
        </w:trPr>
        <w:tc>
          <w:tcPr>
            <w:tcW w:w="1118" w:type="dxa"/>
            <w:vAlign w:val="center"/>
            <w:vMerge w:val="restart"/>
            <w:textDirection w:val="lrTb"/>
            <w:noWrap w:val="false"/>
          </w:tcPr>
          <w:p>
            <w:pPr>
              <w:pStyle w:val="1205"/>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项目实施方案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50分</w:t>
            </w:r>
            <w:r>
              <w:rPr>
                <w:rFonts w:hint="eastAsia" w:ascii="宋体" w:hAnsi="宋体" w:eastAsia="宋体" w:cs="宋体"/>
                <w:b/>
                <w:bCs/>
                <w:color w:val="auto"/>
                <w:sz w:val="21"/>
                <w:szCs w:val="21"/>
                <w:highlight w:val="none"/>
                <w:lang w:eastAsia="zh-CN"/>
              </w:rPr>
              <w:t xml:space="preserve">）</w:t>
            </w:r>
            <w:r/>
          </w:p>
        </w:tc>
        <w:tc>
          <w:tcPr>
            <w:tcW w:w="1265" w:type="dxa"/>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Cs w:val="21"/>
                <w:highlight w:val="none"/>
                <w:lang w:val="en-US" w:eastAsia="zh-CN"/>
              </w:rPr>
              <w:t xml:space="preserve">绿化养护管理制度与档案管理</w:t>
            </w:r>
            <w:r>
              <w:rPr>
                <w:rFonts w:hint="eastAsia" w:ascii="宋体" w:hAnsi="宋体" w:cs="宋体"/>
                <w:b w:val="0"/>
                <w:bCs w:val="0"/>
                <w:color w:val="auto"/>
                <w:szCs w:val="21"/>
                <w:highlight w:val="none"/>
                <w:lang w:val="en-US" w:eastAsia="zh-CN"/>
              </w:rPr>
              <w:t xml:space="preserve">（8分）</w:t>
            </w:r>
            <w:r/>
          </w:p>
        </w:tc>
        <w:tc>
          <w:tcPr>
            <w:tcW w:w="6261" w:type="dxa"/>
            <w:vAlign w:val="center"/>
            <w:textDirection w:val="lrTb"/>
            <w:noWrap w:val="false"/>
          </w:tcPr>
          <w:p>
            <w:pPr>
              <w:numPr>
                <w:ilvl w:val="0"/>
                <w:numId w:val="0"/>
              </w:numPr>
              <w:ind w:firstLine="422"/>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绿化养护管理制度完善、程序规范、责任明确、</w:t>
            </w:r>
            <w:r>
              <w:rPr>
                <w:rFonts w:hint="eastAsia" w:ascii="宋体" w:hAnsi="宋体" w:eastAsia="宋体" w:cs="宋体"/>
                <w:b/>
                <w:bCs/>
                <w:color w:val="auto"/>
                <w:szCs w:val="21"/>
                <w:highlight w:val="none"/>
                <w:lang w:val="en-US" w:eastAsia="zh-CN"/>
              </w:rPr>
              <w:t xml:space="preserve">具有</w:t>
            </w:r>
            <w:r>
              <w:rPr>
                <w:rFonts w:hint="eastAsia" w:ascii="宋体" w:hAnsi="宋体" w:eastAsia="宋体" w:cs="宋体"/>
                <w:b/>
                <w:bCs/>
                <w:color w:val="auto"/>
                <w:szCs w:val="21"/>
                <w:highlight w:val="none"/>
              </w:rPr>
              <w:t xml:space="preserve">可操作性、档案管理</w:t>
            </w:r>
            <w:r>
              <w:rPr>
                <w:rFonts w:hint="eastAsia" w:ascii="宋体" w:hAnsi="宋体" w:eastAsia="宋体" w:cs="宋体"/>
                <w:b/>
                <w:bCs/>
                <w:color w:val="auto"/>
                <w:szCs w:val="21"/>
                <w:highlight w:val="none"/>
                <w:lang w:val="en-US" w:eastAsia="zh-CN"/>
              </w:rPr>
              <w:t xml:space="preserve">制度等。</w:t>
            </w:r>
            <w:r/>
          </w:p>
          <w:p>
            <w:pPr>
              <w:numPr>
                <w:ilvl w:val="0"/>
                <w:numId w:val="0"/>
              </w:numPr>
              <w:ind w:firstLine="420"/>
              <w:keepLines w:val="0"/>
              <w:keepNext w:val="0"/>
              <w:pageBreakBefore w:val="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绿化养护管理</w:t>
            </w:r>
            <w:r>
              <w:rPr>
                <w:rFonts w:hint="eastAsia" w:ascii="宋体" w:hAnsi="宋体" w:eastAsia="宋体" w:cs="宋体"/>
                <w:b w:val="0"/>
                <w:bCs w:val="0"/>
                <w:color w:val="auto"/>
                <w:szCs w:val="21"/>
                <w:highlight w:val="none"/>
                <w:lang w:val="en-US" w:eastAsia="zh-CN"/>
              </w:rPr>
              <w:t xml:space="preserve">完善、程序规范、责任明确、档案管理方便可查、可操作性强的得8分；</w:t>
            </w:r>
            <w:r>
              <w:rPr>
                <w:rFonts w:hint="eastAsia" w:ascii="宋体" w:hAnsi="宋体" w:eastAsia="宋体" w:cs="宋体"/>
                <w:b w:val="0"/>
                <w:bCs w:val="0"/>
                <w:color w:val="auto"/>
                <w:szCs w:val="21"/>
                <w:highlight w:val="none"/>
              </w:rPr>
              <w:t xml:space="preserve">绿化养护管理</w:t>
            </w:r>
            <w:r>
              <w:rPr>
                <w:rFonts w:hint="eastAsia" w:ascii="宋体" w:hAnsi="宋体" w:eastAsia="宋体" w:cs="宋体"/>
                <w:b w:val="0"/>
                <w:bCs w:val="0"/>
                <w:color w:val="auto"/>
                <w:szCs w:val="21"/>
                <w:highlight w:val="none"/>
                <w:lang w:val="en-US" w:eastAsia="zh-CN"/>
              </w:rPr>
              <w:t xml:space="preserve">较完善、程序较规范、责任较明确、档案管理可查、可操作性较强的得6分；</w:t>
            </w:r>
            <w:r>
              <w:rPr>
                <w:rFonts w:hint="eastAsia" w:ascii="宋体" w:hAnsi="宋体" w:eastAsia="宋体" w:cs="宋体"/>
                <w:b w:val="0"/>
                <w:bCs w:val="0"/>
                <w:color w:val="auto"/>
                <w:szCs w:val="21"/>
                <w:highlight w:val="none"/>
              </w:rPr>
              <w:t xml:space="preserve">绿化养护管理制度</w:t>
            </w:r>
            <w:r>
              <w:rPr>
                <w:rFonts w:hint="eastAsia" w:ascii="宋体" w:hAnsi="宋体" w:eastAsia="宋体" w:cs="宋体"/>
                <w:b w:val="0"/>
                <w:bCs w:val="0"/>
                <w:color w:val="auto"/>
                <w:szCs w:val="21"/>
                <w:highlight w:val="none"/>
                <w:lang w:val="en-US" w:eastAsia="zh-CN"/>
              </w:rPr>
              <w:t xml:space="preserve">一般</w:t>
            </w:r>
            <w:r>
              <w:rPr>
                <w:rFonts w:hint="eastAsia" w:ascii="宋体" w:hAnsi="宋体" w:eastAsia="宋体" w:cs="宋体"/>
                <w:b w:val="0"/>
                <w:bCs w:val="0"/>
                <w:color w:val="auto"/>
                <w:szCs w:val="21"/>
                <w:highlight w:val="none"/>
              </w:rPr>
              <w:t xml:space="preserve">、程序规范</w:t>
            </w:r>
            <w:r>
              <w:rPr>
                <w:rFonts w:hint="eastAsia" w:ascii="宋体" w:hAnsi="宋体" w:eastAsia="宋体" w:cs="宋体"/>
                <w:b w:val="0"/>
                <w:bCs w:val="0"/>
                <w:color w:val="auto"/>
                <w:szCs w:val="21"/>
                <w:highlight w:val="none"/>
                <w:lang w:val="en-US" w:eastAsia="zh-CN"/>
              </w:rPr>
              <w:t xml:space="preserve">一般</w:t>
            </w:r>
            <w:r>
              <w:rPr>
                <w:rFonts w:hint="eastAsia" w:ascii="宋体" w:hAnsi="宋体" w:eastAsia="宋体" w:cs="宋体"/>
                <w:b w:val="0"/>
                <w:bCs w:val="0"/>
                <w:color w:val="auto"/>
                <w:szCs w:val="21"/>
                <w:highlight w:val="none"/>
              </w:rPr>
              <w:t xml:space="preserve">、方案可操作性一般、档案管理可查的得4分</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绿化养护管理制度不完善、程序不规范、责任不明确、方案可操作性较差、档案管理较差的得2分；不提供不得分。</w:t>
            </w:r>
            <w:r/>
          </w:p>
        </w:tc>
      </w:tr>
      <w:tr>
        <w:trPr>
          <w:jc w:val="center"/>
          <w:trHeight w:val="23"/>
        </w:trPr>
        <w:tc>
          <w:tcPr>
            <w:tcW w:w="1118" w:type="dxa"/>
            <w:vAlign w:val="center"/>
            <w:vMerge w:val="continue"/>
            <w:textDirection w:val="lrTb"/>
            <w:noWrap w:val="false"/>
          </w:tcPr>
          <w:p>
            <w:pPr>
              <w:pStyle w:val="1206"/>
              <w:ind w:firstLine="422"/>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65" w:type="dxa"/>
            <w:vAlign w:val="center"/>
            <w:textDirection w:val="lrTb"/>
            <w:noWrap w:val="false"/>
          </w:tcPr>
          <w:p>
            <w:pPr>
              <w:numPr>
                <w:ilvl w:val="0"/>
                <w:numId w:val="0"/>
              </w:numPr>
              <w:keepLines w:val="0"/>
              <w:keepNext w:val="0"/>
              <w:pageBreakBefore w:val="0"/>
              <w:spacing w:line="360"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季节养护及病虫害防治、飞絮治理工作方案（8分）</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261" w:type="dxa"/>
            <w:vAlign w:val="center"/>
            <w:textDirection w:val="lrTb"/>
            <w:noWrap w:val="false"/>
          </w:tcPr>
          <w:p>
            <w:pPr>
              <w:numPr>
                <w:ilvl w:val="0"/>
                <w:numId w:val="0"/>
              </w:num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根据对季节的变化，植物养护计划的周密性、措施有效性、病虫害防治</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飞絮治理编制方案</w:t>
            </w:r>
            <w:r>
              <w:rPr>
                <w:rFonts w:hint="eastAsia" w:ascii="宋体" w:hAnsi="宋体" w:cs="宋体"/>
                <w:b/>
                <w:bCs/>
                <w:color w:val="auto"/>
                <w:szCs w:val="21"/>
                <w:highlight w:val="none"/>
                <w:lang w:val="en-US" w:eastAsia="zh-CN"/>
              </w:rPr>
              <w:t xml:space="preserve">等</w:t>
            </w:r>
            <w:r>
              <w:rPr>
                <w:rFonts w:hint="eastAsia" w:ascii="宋体" w:hAnsi="宋体" w:eastAsia="宋体" w:cs="宋体"/>
                <w:b/>
                <w:bCs/>
                <w:color w:val="auto"/>
                <w:szCs w:val="21"/>
                <w:highlight w:val="none"/>
                <w:lang w:eastAsia="zh-CN"/>
              </w:rPr>
              <w:t xml:space="preserve">。</w:t>
            </w:r>
            <w:r/>
          </w:p>
          <w:p>
            <w:pPr>
              <w:numPr>
                <w:ilvl w:val="0"/>
                <w:numId w:val="0"/>
              </w:numPr>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方案科学、全面、合理、切合实际、可行性强</w:t>
            </w:r>
            <w:r>
              <w:rPr>
                <w:rFonts w:hint="eastAsia" w:ascii="宋体" w:hAnsi="宋体" w:eastAsia="宋体" w:cs="宋体"/>
                <w:b w:val="0"/>
                <w:bCs w:val="0"/>
                <w:color w:val="auto"/>
                <w:szCs w:val="21"/>
                <w:highlight w:val="none"/>
                <w:lang w:val="en-US" w:eastAsia="zh-CN"/>
              </w:rPr>
              <w:t xml:space="preserve">的得8分；方案较科学、较全面、较合理、较切合实际、可行性较强的得6分；方案一般、可行性一般的得4分；方案不完整、可行性较差得2分；不提供不得分。</w:t>
            </w:r>
            <w:r/>
          </w:p>
        </w:tc>
      </w:tr>
      <w:tr>
        <w:trPr>
          <w:jc w:val="center"/>
          <w:trHeight w:val="23"/>
        </w:trPr>
        <w:tc>
          <w:tcPr>
            <w:tcW w:w="1118" w:type="dxa"/>
            <w:vAlign w:val="center"/>
            <w:vMerge w:val="continue"/>
            <w:textDirection w:val="lrTb"/>
            <w:noWrap w:val="false"/>
          </w:tcPr>
          <w:p>
            <w:pPr>
              <w:pStyle w:val="1206"/>
              <w:ind w:firstLine="422"/>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65" w:type="dxa"/>
            <w:vAlign w:val="top"/>
            <w:textDirection w:val="lrTb"/>
            <w:noWrap w:val="false"/>
          </w:tcPr>
          <w:p>
            <w:pPr>
              <w:numPr>
                <w:ilvl w:val="0"/>
                <w:numId w:val="0"/>
              </w:numPr>
              <w:keepLines w:val="0"/>
              <w:keepNext w:val="0"/>
              <w:pageBreakBefore w:val="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人员组织管理及专业工种配置方案（8分）</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261" w:type="dxa"/>
            <w:vAlign w:val="top"/>
            <w:textDirection w:val="lrTb"/>
            <w:noWrap w:val="false"/>
          </w:tcPr>
          <w:p>
            <w:pPr>
              <w:numPr>
                <w:ilvl w:val="0"/>
                <w:numId w:val="0"/>
              </w:numPr>
              <w:ind w:firstLine="422"/>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工作人员安排计划合理，组织管理体系科学，各专业工种人员的配备</w:t>
            </w:r>
            <w:r>
              <w:rPr>
                <w:rFonts w:hint="eastAsia" w:ascii="宋体" w:hAnsi="宋体" w:eastAsia="宋体" w:cs="宋体"/>
                <w:b/>
                <w:bCs/>
                <w:color w:val="auto"/>
                <w:szCs w:val="21"/>
                <w:highlight w:val="none"/>
                <w:lang w:val="en-US" w:eastAsia="zh-CN"/>
              </w:rPr>
              <w:t xml:space="preserve">齐全</w:t>
            </w:r>
            <w:r>
              <w:rPr>
                <w:rFonts w:hint="eastAsia" w:ascii="宋体" w:hAnsi="宋体" w:eastAsia="宋体" w:cs="宋体"/>
                <w:b/>
                <w:bCs/>
                <w:color w:val="auto"/>
                <w:szCs w:val="21"/>
                <w:highlight w:val="none"/>
              </w:rPr>
              <w:t xml:space="preserve">以及劳动力安排</w:t>
            </w:r>
            <w:r>
              <w:rPr>
                <w:rFonts w:hint="eastAsia" w:ascii="宋体" w:hAnsi="宋体" w:eastAsia="宋体" w:cs="宋体"/>
                <w:b/>
                <w:bCs/>
                <w:color w:val="auto"/>
                <w:szCs w:val="21"/>
                <w:highlight w:val="none"/>
                <w:lang w:val="en-US" w:eastAsia="zh-CN"/>
              </w:rPr>
              <w:t xml:space="preserve">合理等。</w:t>
            </w:r>
            <w:r/>
          </w:p>
          <w:p>
            <w:pPr>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工作人员安排计划合理，组织管理体系科学性强，各专业工种人员的配备齐全以及劳动力安排合理的得8分；工作人员安排计划较合理，组织管理体系科学性较强，各专业工种人员的配备较齐全以及劳动力安排较合理的得6分；工作人员安排计划一般，组织管理体系一般，各专业工种人员的配备以及劳动力安排一般的得4分；工作人员安排计划较差，组织管理体系较差，各专业工种人员的配备不合理以及劳动力安排不合理的得2分；不提供不得分。</w:t>
            </w:r>
            <w:r/>
          </w:p>
        </w:tc>
      </w:tr>
      <w:tr>
        <w:trPr>
          <w:jc w:val="center"/>
          <w:trHeight w:val="23"/>
        </w:trPr>
        <w:tc>
          <w:tcPr>
            <w:tcW w:w="1118" w:type="dxa"/>
            <w:vAlign w:val="center"/>
            <w:vMerge w:val="continue"/>
            <w:textDirection w:val="lrTb"/>
            <w:noWrap w:val="false"/>
          </w:tcPr>
          <w:p>
            <w:pPr>
              <w:pStyle w:val="1206"/>
              <w:ind w:firstLine="422"/>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65" w:type="dxa"/>
            <w:vAlign w:val="top"/>
            <w:textDirection w:val="lrTb"/>
            <w:noWrap w:val="false"/>
          </w:tcPr>
          <w:p>
            <w:pPr>
              <w:numPr>
                <w:ilvl w:val="0"/>
                <w:numId w:val="0"/>
              </w:numPr>
              <w:keepLines w:val="0"/>
              <w:keepNext w:val="0"/>
              <w:pageBreakBefore w:val="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各类突发事件应急工作方案（8分）</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261" w:type="dxa"/>
            <w:vAlign w:val="top"/>
            <w:textDirection w:val="lrTb"/>
            <w:noWrap w:val="false"/>
          </w:tcPr>
          <w:p>
            <w:pPr>
              <w:numPr>
                <w:ilvl w:val="0"/>
                <w:numId w:val="0"/>
              </w:numPr>
              <w:ind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4、应急工作计划和方案编制（如应对</w:t>
            </w:r>
            <w:r>
              <w:rPr>
                <w:rFonts w:hint="eastAsia" w:ascii="宋体" w:hAnsi="宋体" w:eastAsia="宋体" w:cs="宋体"/>
                <w:b/>
                <w:bCs/>
                <w:color w:val="auto"/>
                <w:szCs w:val="21"/>
                <w:highlight w:val="none"/>
              </w:rPr>
              <w:t xml:space="preserve">重大活动、突发事件、节假日、恶劣天气应急预案制定</w:t>
            </w:r>
            <w:r>
              <w:rPr>
                <w:rFonts w:hint="eastAsia" w:ascii="宋体" w:hAnsi="宋体" w:eastAsia="宋体" w:cs="宋体"/>
                <w:b/>
                <w:bCs/>
                <w:color w:val="auto"/>
                <w:szCs w:val="21"/>
                <w:highlight w:val="none"/>
                <w:lang w:eastAsia="zh-CN"/>
              </w:rPr>
              <w:t xml:space="preserve">）。</w:t>
            </w:r>
            <w:r/>
          </w:p>
          <w:p>
            <w:pPr>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应急工作计划和方案编制全面、合理，切合实际的，针对性强的得8分；应急工作计划和方案编制较全面、合理，较切合实际的，针对性较强的得6分；应急工作计划和方案编制一般，针对性一般的得4分；应急工作计划和方案编制不合理，针对性差的得2分；不提供不得分。</w:t>
            </w:r>
            <w:r/>
          </w:p>
        </w:tc>
      </w:tr>
      <w:tr>
        <w:trPr>
          <w:jc w:val="center"/>
          <w:trHeight w:val="1561"/>
        </w:trPr>
        <w:tc>
          <w:tcPr>
            <w:tcW w:w="1118" w:type="dxa"/>
            <w:vAlign w:val="center"/>
            <w:vMerge w:val="continue"/>
            <w:textDirection w:val="lrTb"/>
            <w:noWrap w:val="false"/>
          </w:tcPr>
          <w:p>
            <w:pPr>
              <w:pStyle w:val="1206"/>
              <w:ind w:firstLine="422"/>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65" w:type="dxa"/>
            <w:vAlign w:val="top"/>
            <w:textDirection w:val="lrTb"/>
            <w:noWrap w:val="false"/>
          </w:tcPr>
          <w:p>
            <w:pPr>
              <w:numPr>
                <w:ilvl w:val="0"/>
                <w:numId w:val="0"/>
              </w:num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 xml:space="preserve">绿化养护优化管理建议方案（</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w:t>
            </w:r>
            <w:r/>
          </w:p>
        </w:tc>
        <w:tc>
          <w:tcPr>
            <w:shd w:val="clear" w:color="auto" w:fill="auto"/>
            <w:tcW w:w="6261" w:type="dxa"/>
            <w:vAlign w:val="top"/>
            <w:textDirection w:val="lrTb"/>
            <w:noWrap w:val="false"/>
          </w:tcPr>
          <w:p>
            <w:pPr>
              <w:numPr>
                <w:ilvl w:val="0"/>
                <w:numId w:val="0"/>
              </w:numPr>
              <w:ind w:firstLine="422"/>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5、针对本项目绿化特点提出绿化管理养护合理化建议。</w:t>
            </w:r>
            <w:r/>
          </w:p>
          <w:p>
            <w:pPr>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建议合理、合理性高的得6分；建议较合理、合理性一般的得4分；建议不合理、合理性较差的得2分；不提供不得分。</w:t>
            </w:r>
            <w:r/>
          </w:p>
        </w:tc>
      </w:tr>
      <w:tr>
        <w:trPr>
          <w:jc w:val="center"/>
          <w:trHeight w:val="23"/>
        </w:trPr>
        <w:tc>
          <w:tcPr>
            <w:tcW w:w="1118" w:type="dxa"/>
            <w:vAlign w:val="center"/>
            <w:vMerge w:val="continue"/>
            <w:textDirection w:val="lrTb"/>
            <w:noWrap w:val="false"/>
          </w:tcPr>
          <w:p>
            <w:pPr>
              <w:pStyle w:val="1206"/>
              <w:ind w:firstLine="422"/>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65" w:type="dxa"/>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 xml:space="preserve">现场作业安全管理保障方案</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6分）</w:t>
            </w:r>
            <w:r/>
          </w:p>
        </w:tc>
        <w:tc>
          <w:tcPr>
            <w:shd w:val="clear" w:color="auto" w:fill="auto"/>
            <w:tcW w:w="6261" w:type="dxa"/>
            <w:vAlign w:val="center"/>
            <w:textDirection w:val="lrTb"/>
            <w:noWrap w:val="false"/>
          </w:tcPr>
          <w:p>
            <w:pPr>
              <w:numPr>
                <w:ilvl w:val="0"/>
                <w:numId w:val="0"/>
              </w:numPr>
              <w:ind w:firstLine="422"/>
              <w:keepLines w:val="0"/>
              <w:keepNext w:val="0"/>
              <w:pageBreakBefore w:val="0"/>
              <w:spacing w:line="360" w:lineRule="auto"/>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en-US" w:eastAsia="zh-CN"/>
              </w:rPr>
              <w:t xml:space="preserve">6、针对本项目绿化养护</w:t>
            </w:r>
            <w:r>
              <w:rPr>
                <w:rFonts w:hint="eastAsia" w:ascii="宋体" w:hAnsi="宋体" w:eastAsia="宋体" w:cs="宋体"/>
                <w:b/>
                <w:bCs/>
                <w:color w:val="auto"/>
                <w:szCs w:val="21"/>
                <w:highlight w:val="none"/>
                <w:lang w:val="zh-CN" w:eastAsia="zh-CN"/>
              </w:rPr>
              <w:t xml:space="preserve">的安全管理方案。</w:t>
            </w:r>
            <w:r/>
          </w:p>
          <w:p>
            <w:pPr>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Cs w:val="21"/>
                <w:highlight w:val="none"/>
                <w:lang w:val="zh-CN" w:eastAsia="zh-CN"/>
              </w:rPr>
              <w:t xml:space="preserve">管理</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lang w:val="zh-CN" w:eastAsia="zh-CN"/>
              </w:rPr>
              <w:t xml:space="preserve">细致全面、合理、可行性强的得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eastAsia="zh-CN"/>
              </w:rPr>
              <w:t xml:space="preserve">分</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eastAsia="zh-CN"/>
              </w:rPr>
              <w:t xml:space="preserve">管理</w:t>
            </w:r>
            <w:r>
              <w:rPr>
                <w:rFonts w:hint="eastAsia" w:ascii="宋体" w:hAnsi="宋体" w:eastAsia="宋体" w:cs="宋体"/>
                <w:color w:val="auto"/>
                <w:szCs w:val="21"/>
                <w:highlight w:val="none"/>
                <w:lang w:val="en-US" w:eastAsia="zh-CN"/>
              </w:rPr>
              <w:t xml:space="preserve">方案较全面、具有一定可行性得4分；管理方案不完整、可行性较差得2分；不提供不得分。</w:t>
            </w:r>
            <w:r/>
          </w:p>
        </w:tc>
      </w:tr>
      <w:tr>
        <w:trPr>
          <w:jc w:val="center"/>
          <w:trHeight w:val="23"/>
        </w:trPr>
        <w:tc>
          <w:tcPr>
            <w:tcW w:w="1118" w:type="dxa"/>
            <w:vAlign w:val="center"/>
            <w:vMerge w:val="continue"/>
            <w:textDirection w:val="lrTb"/>
            <w:noWrap w:val="false"/>
          </w:tcPr>
          <w:p>
            <w:pPr>
              <w:pStyle w:val="1206"/>
              <w:ind w:firstLine="422"/>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1265" w:type="dxa"/>
            <w:vAlign w:val="top"/>
            <w:textDirection w:val="lrTb"/>
            <w:noWrap w:val="false"/>
          </w:tcPr>
          <w:p>
            <w:pPr>
              <w:numPr>
                <w:ilvl w:val="0"/>
                <w:numId w:val="0"/>
              </w:num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lang w:val="en-US" w:eastAsia="zh-CN"/>
              </w:rPr>
              <w:t xml:space="preserve">苗木巡查管护及成活率保障</w:t>
            </w:r>
            <w:r>
              <w:rPr>
                <w:rFonts w:hint="eastAsia" w:ascii="宋体" w:hAnsi="宋体" w:cs="宋体"/>
                <w:color w:val="auto"/>
                <w:szCs w:val="21"/>
                <w:highlight w:val="none"/>
                <w:lang w:val="en-US" w:eastAsia="zh-CN"/>
              </w:rPr>
              <w:t xml:space="preserve">方案（</w:t>
            </w:r>
            <w:r>
              <w:rPr>
                <w:rFonts w:hint="eastAsia" w:ascii="宋体" w:hAnsi="宋体" w:eastAsia="宋体" w:cs="宋体"/>
                <w:color w:val="auto"/>
                <w:szCs w:val="21"/>
                <w:highlight w:val="none"/>
                <w:lang w:val="en-US" w:eastAsia="zh-CN"/>
              </w:rPr>
              <w:t xml:space="preserve">6分）</w:t>
            </w:r>
            <w:r/>
          </w:p>
        </w:tc>
        <w:tc>
          <w:tcPr>
            <w:shd w:val="clear" w:color="auto" w:fill="auto"/>
            <w:tcW w:w="6261" w:type="dxa"/>
            <w:vAlign w:val="top"/>
            <w:textDirection w:val="lrTb"/>
            <w:noWrap w:val="false"/>
          </w:tcPr>
          <w:p>
            <w:pPr>
              <w:numPr>
                <w:ilvl w:val="0"/>
                <w:numId w:val="0"/>
              </w:numPr>
              <w:ind w:firstLine="422"/>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7、对养护范围内的绿化苗木进行巡查管理，确保绿化苗木的完整率。</w:t>
            </w:r>
            <w:r/>
          </w:p>
          <w:p>
            <w:pPr>
              <w:pStyle w:val="1205"/>
              <w:ind w:firstLine="400"/>
              <w:keepLines w:val="0"/>
              <w:keepNext w:val="0"/>
              <w:pageBreakBefore w:val="0"/>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Cs w:val="21"/>
                <w:highlight w:val="none"/>
                <w:lang w:val="zh-CN"/>
              </w:rPr>
              <w:t xml:space="preserve">管理</w:t>
            </w:r>
            <w:r>
              <w:rPr>
                <w:rFonts w:hint="eastAsia" w:ascii="宋体" w:hAnsi="宋体" w:eastAsia="宋体" w:cs="宋体"/>
                <w:color w:val="auto"/>
                <w:szCs w:val="21"/>
                <w:highlight w:val="none"/>
              </w:rPr>
              <w:t xml:space="preserve">方案</w:t>
            </w:r>
            <w:r>
              <w:rPr>
                <w:rFonts w:hint="eastAsia" w:ascii="宋体" w:hAnsi="宋体" w:eastAsia="宋体" w:cs="宋体"/>
                <w:color w:val="auto"/>
                <w:szCs w:val="21"/>
                <w:highlight w:val="none"/>
                <w:lang w:val="zh-CN"/>
              </w:rPr>
              <w:t xml:space="preserve">细致全面、合理、可行性强的得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分</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管理</w:t>
            </w:r>
            <w:r>
              <w:rPr>
                <w:rFonts w:hint="eastAsia" w:ascii="宋体" w:hAnsi="宋体" w:eastAsia="宋体" w:cs="宋体"/>
                <w:color w:val="auto"/>
                <w:szCs w:val="21"/>
                <w:highlight w:val="none"/>
              </w:rPr>
              <w:t xml:space="preserve">方案较全面、具有一定可行性得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分；管理方案不完整、可行性较差得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不提供不得分</w:t>
            </w:r>
            <w:r>
              <w:rPr>
                <w:rFonts w:hint="eastAsia" w:ascii="宋体" w:hAnsi="宋体" w:eastAsia="宋体" w:cs="宋体"/>
                <w:color w:val="auto"/>
                <w:szCs w:val="21"/>
                <w:highlight w:val="none"/>
              </w:rPr>
              <w:t xml:space="preserve">。</w:t>
            </w:r>
            <w:r/>
          </w:p>
        </w:tc>
      </w:tr>
      <w:tr>
        <w:trPr>
          <w:jc w:val="center"/>
          <w:trHeight w:val="23"/>
        </w:trPr>
        <w:tc>
          <w:tcPr>
            <w:tcW w:w="1118" w:type="dxa"/>
            <w:vAlign w:val="center"/>
            <w:textDirection w:val="lrTb"/>
            <w:noWrap w:val="false"/>
          </w:tcPr>
          <w:p>
            <w:pPr>
              <w:pStyle w:val="1206"/>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综合实力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3分</w:t>
            </w:r>
            <w:r>
              <w:rPr>
                <w:rFonts w:hint="eastAsia" w:ascii="宋体" w:hAnsi="宋体" w:eastAsia="宋体" w:cs="宋体"/>
                <w:b/>
                <w:bCs/>
                <w:color w:val="auto"/>
                <w:sz w:val="21"/>
                <w:szCs w:val="21"/>
                <w:highlight w:val="none"/>
                <w:lang w:eastAsia="zh-CN"/>
              </w:rPr>
              <w:t xml:space="preserve">）</w:t>
            </w:r>
            <w:r/>
          </w:p>
        </w:tc>
        <w:tc>
          <w:tcPr>
            <w:gridSpan w:val="2"/>
            <w:tcW w:w="7526" w:type="dxa"/>
            <w:vAlign w:val="center"/>
            <w:textDirection w:val="lrTb"/>
            <w:noWrap w:val="false"/>
          </w:tcPr>
          <w:p>
            <w:pPr>
              <w:pStyle w:val="120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b w:val="0"/>
                <w:bCs w:val="0"/>
                <w:color w:val="auto"/>
                <w:spacing w:val="-6"/>
                <w:sz w:val="21"/>
                <w:szCs w:val="21"/>
                <w:highlight w:val="none"/>
                <w:lang w:val="en-US" w:eastAsia="zh-CN"/>
              </w:rPr>
              <w:t xml:space="preserve">1</w:t>
            </w:r>
            <w:r>
              <w:rPr>
                <w:rFonts w:hint="eastAsia" w:ascii="宋体" w:hAnsi="宋体" w:cs="宋体"/>
                <w:b w:val="0"/>
                <w:bCs w:val="0"/>
                <w:color w:val="auto"/>
                <w:spacing w:val="-6"/>
                <w:sz w:val="21"/>
                <w:szCs w:val="21"/>
                <w:highlight w:val="none"/>
                <w:lang w:val="en-US" w:eastAsia="zh-CN"/>
              </w:rPr>
              <w:t xml:space="preserve">.</w:t>
            </w:r>
            <w:r>
              <w:rPr>
                <w:rFonts w:hint="eastAsia" w:ascii="宋体" w:hAnsi="宋体" w:cs="宋体"/>
                <w:b w:val="0"/>
                <w:bCs w:val="0"/>
                <w:color w:val="auto"/>
                <w:spacing w:val="-6"/>
                <w:sz w:val="21"/>
                <w:szCs w:val="21"/>
                <w:highlight w:val="none"/>
                <w:lang w:val="en-US" w:eastAsia="zh-CN"/>
              </w:rPr>
              <w:t xml:space="preserve">供应商</w:t>
            </w:r>
            <w:r>
              <w:rPr>
                <w:rFonts w:hint="eastAsia" w:ascii="宋体" w:hAnsi="宋体" w:eastAsia="宋体" w:cs="宋体"/>
                <w:b w:val="0"/>
                <w:bCs w:val="0"/>
                <w:color w:val="auto"/>
                <w:spacing w:val="-6"/>
                <w:sz w:val="21"/>
                <w:szCs w:val="21"/>
                <w:highlight w:val="none"/>
                <w:lang w:val="zh-CN" w:eastAsia="zh-CN"/>
              </w:rPr>
              <w:t xml:space="preserve">具有有效的质量管理体系认证、职业健康安全管理体系认证、环境管理体系认证的，每提供一个得</w:t>
            </w:r>
            <w:r>
              <w:rPr>
                <w:rFonts w:hint="eastAsia" w:ascii="宋体" w:hAnsi="宋体" w:eastAsia="宋体" w:cs="宋体"/>
                <w:b w:val="0"/>
                <w:bCs w:val="0"/>
                <w:color w:val="auto"/>
                <w:spacing w:val="-6"/>
                <w:sz w:val="21"/>
                <w:szCs w:val="21"/>
                <w:highlight w:val="none"/>
                <w:lang w:val="en-US" w:eastAsia="zh-CN"/>
              </w:rPr>
              <w:t xml:space="preserve">1</w:t>
            </w:r>
            <w:r>
              <w:rPr>
                <w:rFonts w:hint="eastAsia" w:ascii="宋体" w:hAnsi="宋体" w:eastAsia="宋体" w:cs="宋体"/>
                <w:b w:val="0"/>
                <w:bCs w:val="0"/>
                <w:color w:val="auto"/>
                <w:spacing w:val="-6"/>
                <w:sz w:val="21"/>
                <w:szCs w:val="21"/>
                <w:highlight w:val="none"/>
                <w:lang w:val="zh-CN" w:eastAsia="zh-CN"/>
              </w:rPr>
              <w:t xml:space="preserve">分，满分</w:t>
            </w:r>
            <w:r>
              <w:rPr>
                <w:rFonts w:hint="eastAsia" w:ascii="宋体" w:hAnsi="宋体" w:eastAsia="宋体" w:cs="宋体"/>
                <w:b w:val="0"/>
                <w:bCs w:val="0"/>
                <w:color w:val="auto"/>
                <w:spacing w:val="-6"/>
                <w:sz w:val="21"/>
                <w:szCs w:val="21"/>
                <w:highlight w:val="none"/>
                <w:lang w:val="en-US" w:eastAsia="zh-CN"/>
              </w:rPr>
              <w:t xml:space="preserve">3</w:t>
            </w:r>
            <w:r>
              <w:rPr>
                <w:rFonts w:hint="eastAsia" w:ascii="宋体" w:hAnsi="宋体" w:eastAsia="宋体" w:cs="宋体"/>
                <w:b w:val="0"/>
                <w:bCs w:val="0"/>
                <w:color w:val="auto"/>
                <w:spacing w:val="-6"/>
                <w:sz w:val="21"/>
                <w:szCs w:val="21"/>
                <w:highlight w:val="none"/>
                <w:lang w:val="zh-CN" w:eastAsia="zh-CN"/>
              </w:rPr>
              <w:t xml:space="preserve">分；</w:t>
            </w:r>
            <w:r>
              <w:rPr>
                <w:rFonts w:hint="eastAsia" w:ascii="宋体" w:hAnsi="宋体" w:eastAsia="宋体" w:cs="宋体"/>
                <w:b/>
                <w:bCs/>
                <w:color w:val="auto"/>
                <w:spacing w:val="-6"/>
                <w:sz w:val="21"/>
                <w:szCs w:val="21"/>
                <w:highlight w:val="none"/>
              </w:rPr>
              <w:t xml:space="preserve">（</w:t>
            </w:r>
            <w:r>
              <w:rPr>
                <w:rFonts w:hint="eastAsia" w:ascii="宋体" w:hAnsi="宋体" w:eastAsia="宋体" w:cs="宋体"/>
                <w:b/>
                <w:bCs/>
                <w:color w:val="auto"/>
                <w:sz w:val="21"/>
                <w:szCs w:val="21"/>
                <w:highlight w:val="none"/>
                <w:lang w:val="en-US" w:eastAsia="zh-CN" w:bidi="ar-SA"/>
              </w:rPr>
              <w:t xml:space="preserve">提供相关证书原件扫描上传及在国家认证认可监督管理委员会官方网站www.cnca.gov.cn上查询截图扫描上传，</w:t>
            </w:r>
            <w:r>
              <w:rPr>
                <w:rFonts w:hint="eastAsia" w:ascii="宋体" w:hAnsi="宋体" w:eastAsia="宋体" w:cs="宋体"/>
                <w:b/>
                <w:bCs/>
                <w:color w:val="auto"/>
                <w:sz w:val="21"/>
                <w:szCs w:val="21"/>
                <w:highlight w:val="none"/>
                <w:lang w:val="en-US" w:eastAsia="zh-CN"/>
              </w:rPr>
              <w:t xml:space="preserve">缺一不可，</w:t>
            </w:r>
            <w:r>
              <w:rPr>
                <w:rFonts w:hint="eastAsia" w:ascii="宋体" w:hAnsi="宋体" w:eastAsia="宋体" w:cs="宋体"/>
                <w:b/>
                <w:bCs/>
                <w:color w:val="auto"/>
                <w:sz w:val="21"/>
                <w:szCs w:val="21"/>
                <w:highlight w:val="none"/>
              </w:rPr>
              <w:t xml:space="preserve">未提供不得分</w:t>
            </w:r>
            <w:r>
              <w:rPr>
                <w:rFonts w:hint="eastAsia" w:ascii="宋体" w:hAnsi="宋体" w:eastAsia="宋体" w:cs="宋体"/>
                <w:b/>
                <w:bCs/>
                <w:color w:val="auto"/>
                <w:sz w:val="21"/>
                <w:szCs w:val="21"/>
                <w:highlight w:val="none"/>
                <w:shd w:val="clear" w:color="auto" w:fill="auto"/>
                <w:lang w:eastAsia="zh-CN"/>
              </w:rPr>
              <w:t xml:space="preserve">）</w:t>
            </w:r>
            <w:r/>
          </w:p>
        </w:tc>
      </w:tr>
      <w:tr>
        <w:trPr>
          <w:jc w:val="center"/>
          <w:trHeight w:val="23"/>
        </w:trPr>
        <w:tc>
          <w:tcPr>
            <w:tcW w:w="1118"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技术力量</w:t>
            </w: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11</w:t>
            </w:r>
            <w:r>
              <w:rPr>
                <w:rFonts w:hint="eastAsia" w:ascii="宋体" w:hAnsi="宋体" w:eastAsia="宋体" w:cs="宋体"/>
                <w:b/>
                <w:bCs/>
                <w:color w:val="auto"/>
                <w:sz w:val="21"/>
                <w:szCs w:val="21"/>
                <w:highlight w:val="none"/>
                <w:lang w:val="zh-CN" w:eastAsia="zh-CN" w:bidi="ar-SA"/>
              </w:rPr>
              <w:t xml:space="preserve">分）</w:t>
            </w:r>
            <w:r/>
          </w:p>
        </w:tc>
        <w:tc>
          <w:tcPr>
            <w:gridSpan w:val="2"/>
            <w:tcW w:w="7526" w:type="dxa"/>
            <w:vAlign w:val="center"/>
            <w:textDirection w:val="lrTb"/>
            <w:noWrap w:val="false"/>
          </w:tcPr>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pacing w:val="-6"/>
                <w:sz w:val="21"/>
                <w:szCs w:val="21"/>
                <w:highlight w:val="none"/>
                <w:lang w:val="zh-CN"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拟投入项目</w:t>
            </w:r>
            <w:r>
              <w:rPr>
                <w:rFonts w:hint="eastAsia" w:ascii="宋体" w:hAnsi="宋体" w:eastAsia="宋体" w:cs="宋体"/>
                <w:color w:val="auto"/>
                <w:szCs w:val="21"/>
                <w:highlight w:val="none"/>
                <w:lang w:val="en-US" w:eastAsia="zh-CN"/>
              </w:rPr>
              <w:t xml:space="preserve">负责人</w:t>
            </w:r>
            <w:r>
              <w:rPr>
                <w:rFonts w:hint="eastAsia" w:ascii="宋体" w:hAnsi="宋体" w:eastAsia="宋体" w:cs="宋体"/>
                <w:color w:val="auto"/>
                <w:szCs w:val="21"/>
                <w:highlight w:val="none"/>
                <w:lang w:val="zh-CN"/>
              </w:rPr>
              <w:t xml:space="preserve">具有园林专业高级</w:t>
            </w:r>
            <w:r>
              <w:rPr>
                <w:rFonts w:hint="eastAsia" w:ascii="宋体" w:hAnsi="宋体" w:cs="宋体"/>
                <w:color w:val="auto"/>
                <w:szCs w:val="21"/>
                <w:highlight w:val="none"/>
                <w:lang w:val="en-US" w:eastAsia="zh-CN"/>
              </w:rPr>
              <w:t xml:space="preserve">及以上</w:t>
            </w:r>
            <w:r>
              <w:rPr>
                <w:rFonts w:hint="eastAsia" w:ascii="宋体" w:hAnsi="宋体" w:eastAsia="宋体" w:cs="宋体"/>
                <w:color w:val="auto"/>
                <w:szCs w:val="21"/>
                <w:highlight w:val="none"/>
                <w:lang w:val="zh-CN"/>
              </w:rPr>
              <w:t xml:space="preserve">职称的得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分；园林专业中级职称的得1分。满分</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highlight w:val="none"/>
                <w:lang w:val="zh-CN" w:eastAsia="zh-CN"/>
              </w:rPr>
            </w:pPr>
            <w:r>
              <w:rPr>
                <w:rFonts w:hint="eastAsia" w:ascii="宋体" w:hAnsi="宋体" w:eastAsia="宋体" w:cs="宋体"/>
                <w:color w:val="auto"/>
                <w:szCs w:val="21"/>
                <w:highlight w:val="none"/>
                <w:lang w:val="en-US" w:eastAsia="zh-CN"/>
              </w:rPr>
              <w:t xml:space="preserve">2、拟</w:t>
            </w:r>
            <w:r>
              <w:rPr>
                <w:rFonts w:hint="eastAsia" w:ascii="宋体" w:hAnsi="宋体" w:eastAsia="宋体" w:cs="宋体"/>
                <w:color w:val="auto"/>
                <w:szCs w:val="21"/>
                <w:highlight w:val="none"/>
                <w:lang w:val="zh-CN"/>
              </w:rPr>
              <w:t xml:space="preserve">投入技术负责人</w:t>
            </w:r>
            <w:r>
              <w:rPr>
                <w:rFonts w:hint="eastAsia" w:ascii="宋体" w:hAnsi="宋体" w:eastAsia="宋体" w:cs="宋体"/>
                <w:color w:val="auto"/>
                <w:szCs w:val="21"/>
                <w:highlight w:val="none"/>
                <w:lang w:val="en-US" w:eastAsia="zh-CN"/>
              </w:rPr>
              <w:t xml:space="preserve">具有</w:t>
            </w:r>
            <w:r>
              <w:rPr>
                <w:rFonts w:hint="eastAsia" w:ascii="宋体" w:hAnsi="宋体" w:eastAsia="宋体" w:cs="宋体"/>
                <w:color w:val="auto"/>
                <w:szCs w:val="21"/>
                <w:highlight w:val="none"/>
                <w:lang w:val="zh-CN"/>
              </w:rPr>
              <w:t xml:space="preserve">园林专业高级</w:t>
            </w:r>
            <w:r>
              <w:rPr>
                <w:rFonts w:hint="eastAsia" w:ascii="宋体" w:hAnsi="宋体" w:cs="宋体"/>
                <w:color w:val="auto"/>
                <w:szCs w:val="21"/>
                <w:highlight w:val="none"/>
                <w:lang w:val="en-US" w:eastAsia="zh-CN"/>
              </w:rPr>
              <w:t xml:space="preserve">及以上</w:t>
            </w:r>
            <w:r>
              <w:rPr>
                <w:rFonts w:hint="eastAsia" w:ascii="宋体" w:hAnsi="宋体" w:eastAsia="宋体" w:cs="宋体"/>
                <w:color w:val="auto"/>
                <w:szCs w:val="21"/>
                <w:highlight w:val="none"/>
                <w:lang w:val="zh-CN"/>
              </w:rPr>
              <w:t xml:space="preserve">职称的得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分；园林专业中级职称的得1分。满分</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3、拟</w:t>
            </w:r>
            <w:r>
              <w:rPr>
                <w:rFonts w:hint="eastAsia" w:ascii="宋体" w:hAnsi="宋体" w:eastAsia="宋体" w:cs="宋体"/>
                <w:color w:val="auto"/>
                <w:szCs w:val="21"/>
                <w:highlight w:val="none"/>
                <w:lang w:val="zh-CN"/>
              </w:rPr>
              <w:t xml:space="preserve">投入</w:t>
            </w:r>
            <w:r>
              <w:rPr>
                <w:rFonts w:hint="eastAsia" w:ascii="宋体" w:hAnsi="宋体" w:eastAsia="宋体" w:cs="宋体"/>
                <w:color w:val="auto"/>
                <w:szCs w:val="21"/>
                <w:highlight w:val="none"/>
                <w:lang w:val="en-US" w:eastAsia="zh-CN"/>
              </w:rPr>
              <w:t xml:space="preserve">项目组人员中</w:t>
            </w:r>
            <w:r>
              <w:rPr>
                <w:rFonts w:hint="eastAsia" w:ascii="宋体" w:hAnsi="宋体" w:eastAsia="宋体" w:cs="宋体"/>
                <w:color w:val="auto"/>
                <w:szCs w:val="21"/>
                <w:highlight w:val="none"/>
                <w:lang w:val="zh-CN"/>
              </w:rPr>
              <w:t xml:space="preserve">具有园林绿化</w:t>
            </w:r>
            <w:r>
              <w:rPr>
                <w:rFonts w:hint="eastAsia" w:ascii="宋体" w:hAnsi="宋体" w:eastAsia="宋体" w:cs="宋体"/>
                <w:color w:val="auto"/>
                <w:szCs w:val="21"/>
                <w:highlight w:val="none"/>
                <w:lang w:val="zh-CN" w:eastAsia="zh-CN"/>
              </w:rPr>
              <w:t xml:space="preserve">高</w:t>
            </w:r>
            <w:r>
              <w:rPr>
                <w:rFonts w:hint="eastAsia" w:ascii="宋体" w:hAnsi="宋体" w:eastAsia="宋体" w:cs="宋体"/>
                <w:color w:val="auto"/>
                <w:szCs w:val="21"/>
                <w:highlight w:val="none"/>
                <w:lang w:val="zh-CN"/>
              </w:rPr>
              <w:t xml:space="preserve">级</w:t>
            </w:r>
            <w:r>
              <w:rPr>
                <w:rFonts w:hint="eastAsia" w:ascii="宋体" w:hAnsi="宋体" w:cs="宋体"/>
                <w:color w:val="auto"/>
                <w:szCs w:val="21"/>
                <w:highlight w:val="none"/>
                <w:lang w:val="en-US" w:eastAsia="zh-CN"/>
              </w:rPr>
              <w:t xml:space="preserve">及以上</w:t>
            </w:r>
            <w:r>
              <w:rPr>
                <w:rFonts w:hint="eastAsia" w:ascii="宋体" w:hAnsi="宋体" w:eastAsia="宋体" w:cs="宋体"/>
                <w:color w:val="auto"/>
                <w:szCs w:val="21"/>
                <w:highlight w:val="none"/>
                <w:lang w:val="zh-CN"/>
              </w:rPr>
              <w:t xml:space="preserve">职称的有1人得1分，满分</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4、拟</w:t>
            </w:r>
            <w:r>
              <w:rPr>
                <w:rFonts w:hint="eastAsia" w:ascii="宋体" w:hAnsi="宋体" w:eastAsia="宋体" w:cs="宋体"/>
                <w:color w:val="auto"/>
                <w:szCs w:val="21"/>
                <w:highlight w:val="none"/>
                <w:lang w:val="zh-CN"/>
              </w:rPr>
              <w:t xml:space="preserve">投入</w:t>
            </w:r>
            <w:r>
              <w:rPr>
                <w:rFonts w:hint="eastAsia" w:ascii="宋体" w:hAnsi="宋体" w:eastAsia="宋体" w:cs="宋体"/>
                <w:color w:val="auto"/>
                <w:szCs w:val="21"/>
                <w:highlight w:val="none"/>
                <w:lang w:val="en-US" w:eastAsia="zh-CN"/>
              </w:rPr>
              <w:t xml:space="preserve">项目组人员中</w:t>
            </w:r>
            <w:r>
              <w:rPr>
                <w:rFonts w:hint="eastAsia" w:ascii="宋体" w:hAnsi="宋体" w:eastAsia="宋体" w:cs="宋体"/>
                <w:color w:val="auto"/>
                <w:szCs w:val="21"/>
                <w:highlight w:val="none"/>
                <w:lang w:val="zh-CN"/>
              </w:rPr>
              <w:t xml:space="preserve">每有一名</w:t>
            </w:r>
            <w:r>
              <w:rPr>
                <w:rFonts w:hint="eastAsia" w:ascii="宋体" w:hAnsi="宋体" w:eastAsia="宋体" w:cs="宋体"/>
                <w:color w:val="auto"/>
                <w:szCs w:val="21"/>
                <w:highlight w:val="none"/>
                <w:lang w:val="zh-CN" w:eastAsia="zh-CN"/>
              </w:rPr>
              <w:t xml:space="preserve">园林绿化工、花卉</w:t>
            </w:r>
            <w:r>
              <w:rPr>
                <w:rFonts w:hint="eastAsia" w:ascii="宋体" w:hAnsi="宋体" w:eastAsia="宋体" w:cs="宋体"/>
                <w:color w:val="auto"/>
                <w:szCs w:val="21"/>
                <w:highlight w:val="none"/>
                <w:lang w:val="zh-CN"/>
              </w:rPr>
              <w:t xml:space="preserve">工、修剪工、草坪工等与园林绿化相关的技术工种得0.5分，同一个人不重复得分，满分</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分</w:t>
            </w:r>
            <w:r/>
          </w:p>
          <w:p>
            <w:pPr>
              <w:pStyle w:val="1194"/>
              <w:numPr>
                <w:ilvl w:val="0"/>
                <w:numId w:val="0"/>
              </w:numPr>
              <w:ind w:firstLine="422"/>
              <w:keepLines w:val="0"/>
              <w:keepNext w:val="0"/>
              <w:pageBreakBefore w:val="0"/>
              <w:spacing w:after="0" w:line="360" w:lineRule="auto"/>
              <w:widowControl w:val="off"/>
              <w:rPr>
                <w:rFonts w:hint="eastAsia" w:ascii="宋体" w:hAnsi="宋体" w:eastAsia="宋体" w:cs="宋体"/>
                <w:color w:val="auto"/>
                <w:highlight w:val="none"/>
                <w:lang w:val="zh-CN" w:eastAsia="zh-CN"/>
              </w:rPr>
            </w:pPr>
            <w:r>
              <w:rPr>
                <w:rFonts w:hint="eastAsia" w:ascii="宋体" w:hAnsi="宋体" w:eastAsia="宋体" w:cs="宋体"/>
                <w:b/>
                <w:bCs/>
                <w:color w:val="auto"/>
                <w:sz w:val="21"/>
                <w:szCs w:val="21"/>
                <w:highlight w:val="none"/>
                <w:lang w:val="zh-CN" w:eastAsia="zh-CN" w:bidi="ar-SA"/>
              </w:rPr>
              <w:t xml:space="preserve">注：以上人员不重复得分。须提供人员相关证明材料及供应商</w:t>
            </w:r>
            <w:r>
              <w:rPr>
                <w:rFonts w:hint="eastAsia" w:ascii="宋体" w:hAnsi="宋体" w:eastAsia="宋体" w:cs="宋体"/>
                <w:b/>
                <w:bCs/>
                <w:color w:val="auto"/>
                <w:sz w:val="21"/>
                <w:szCs w:val="21"/>
                <w:highlight w:val="none"/>
                <w:lang w:val="en-US" w:eastAsia="zh-CN" w:bidi="ar-SA"/>
              </w:rPr>
              <w:t xml:space="preserve">近三个月内任意一个月</w:t>
            </w:r>
            <w:r>
              <w:rPr>
                <w:rFonts w:hint="eastAsia" w:ascii="宋体" w:hAnsi="宋体" w:eastAsia="宋体" w:cs="宋体"/>
                <w:b/>
                <w:bCs/>
                <w:color w:val="auto"/>
                <w:sz w:val="21"/>
                <w:szCs w:val="21"/>
                <w:highlight w:val="none"/>
                <w:lang w:val="zh-CN" w:eastAsia="zh-CN" w:bidi="ar-SA"/>
              </w:rPr>
              <w:t xml:space="preserve">为其缴纳社保的证明；若职称证书的专业反映不出是园林绿化类的，须提供专业为园林绿化相关专业的毕业证书或职称评审表，</w:t>
            </w:r>
            <w:r>
              <w:rPr>
                <w:rFonts w:hint="eastAsia" w:ascii="宋体" w:hAnsi="宋体" w:eastAsia="宋体" w:cs="宋体"/>
                <w:b/>
                <w:bCs/>
                <w:color w:val="auto"/>
                <w:sz w:val="21"/>
                <w:szCs w:val="21"/>
                <w:highlight w:val="none"/>
                <w:lang w:val="en-US" w:eastAsia="zh-CN" w:bidi="ar-SA"/>
              </w:rPr>
              <w:t xml:space="preserve">园林绿化相关专业指园林规划设计、景观工程设计、城市园林、环境艺术、园林工程技术、景观学、风景园林、园艺、园林等，同一人员职称以最高级计分。</w:t>
            </w:r>
            <w:r>
              <w:rPr>
                <w:rFonts w:hint="eastAsia" w:ascii="宋体" w:hAnsi="宋体" w:eastAsia="宋体" w:cs="宋体"/>
                <w:b/>
                <w:bCs/>
                <w:color w:val="auto"/>
                <w:sz w:val="21"/>
                <w:szCs w:val="21"/>
                <w:highlight w:val="none"/>
                <w:lang w:val="zh-CN" w:eastAsia="zh-CN" w:bidi="ar-SA"/>
              </w:rPr>
              <w:t xml:space="preserve">以上须提供原件扫描上传，未按要求提供或不提供不得分。</w:t>
            </w:r>
            <w:r/>
          </w:p>
        </w:tc>
      </w:tr>
      <w:tr>
        <w:trPr>
          <w:jc w:val="center"/>
          <w:trHeight w:val="23"/>
        </w:trPr>
        <w:tc>
          <w:tcPr>
            <w:tcW w:w="1118"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eastAsia="zh-CN" w:bidi="ar-SA"/>
              </w:rPr>
              <w:t xml:space="preserve">机械设备（</w:t>
            </w:r>
            <w:r>
              <w:rPr>
                <w:rFonts w:hint="eastAsia" w:ascii="宋体" w:hAnsi="宋体" w:eastAsia="宋体" w:cs="宋体"/>
                <w:b/>
                <w:bCs/>
                <w:color w:val="auto"/>
                <w:sz w:val="21"/>
                <w:szCs w:val="21"/>
                <w:highlight w:val="none"/>
                <w:lang w:val="en-US" w:eastAsia="zh-CN" w:bidi="ar-SA"/>
              </w:rPr>
              <w:t xml:space="preserve">15</w:t>
            </w:r>
            <w:r>
              <w:rPr>
                <w:rFonts w:hint="eastAsia" w:ascii="宋体" w:hAnsi="宋体" w:eastAsia="宋体" w:cs="宋体"/>
                <w:b/>
                <w:bCs/>
                <w:color w:val="auto"/>
                <w:sz w:val="21"/>
                <w:szCs w:val="21"/>
                <w:highlight w:val="none"/>
                <w:lang w:val="zh-CN" w:eastAsia="zh-CN" w:bidi="ar-SA"/>
              </w:rPr>
              <w:t xml:space="preserve">分）</w:t>
            </w:r>
            <w:r/>
          </w:p>
        </w:tc>
        <w:tc>
          <w:tcPr>
            <w:gridSpan w:val="2"/>
            <w:tcW w:w="7526" w:type="dxa"/>
            <w:vAlign w:val="center"/>
            <w:textDirection w:val="lrTb"/>
            <w:noWrap w:val="false"/>
          </w:tcPr>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配备运输装载类汽车，每有1</w:t>
            </w:r>
            <w:r>
              <w:rPr>
                <w:rFonts w:hint="eastAsia" w:ascii="宋体" w:hAnsi="宋体" w:cs="宋体"/>
                <w:color w:val="auto"/>
                <w:szCs w:val="21"/>
                <w:highlight w:val="none"/>
                <w:lang w:val="en-US" w:eastAsia="zh-CN"/>
              </w:rPr>
              <w:t xml:space="preserve">辆</w:t>
            </w:r>
            <w:r>
              <w:rPr>
                <w:rFonts w:hint="eastAsia" w:ascii="宋体" w:hAnsi="宋体" w:eastAsia="宋体" w:cs="宋体"/>
                <w:color w:val="auto"/>
                <w:szCs w:val="21"/>
                <w:highlight w:val="none"/>
                <w:lang w:val="zh-CN"/>
              </w:rPr>
              <w:t xml:space="preserve">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分，最高得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配备荷载量</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val="zh-CN"/>
              </w:rPr>
              <w:t xml:space="preserve">吨及以上洒水车</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zh-CN"/>
              </w:rPr>
              <w:t xml:space="preserve">每有1</w:t>
            </w:r>
            <w:r>
              <w:rPr>
                <w:rFonts w:hint="eastAsia" w:ascii="宋体" w:hAnsi="宋体" w:cs="宋体"/>
                <w:color w:val="auto"/>
                <w:szCs w:val="21"/>
                <w:highlight w:val="none"/>
                <w:lang w:val="en-US" w:eastAsia="zh-CN"/>
              </w:rPr>
              <w:t xml:space="preserve">辆</w:t>
            </w:r>
            <w:r>
              <w:rPr>
                <w:rFonts w:hint="eastAsia" w:ascii="宋体" w:hAnsi="宋体" w:eastAsia="宋体" w:cs="宋体"/>
                <w:color w:val="auto"/>
                <w:szCs w:val="21"/>
                <w:highlight w:val="none"/>
                <w:lang w:val="zh-CN"/>
              </w:rPr>
              <w:t xml:space="preserve">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分，最高得2分；</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注：</w:t>
            </w:r>
            <w:r>
              <w:rPr>
                <w:rFonts w:hint="eastAsia" w:ascii="宋体" w:hAnsi="宋体" w:eastAsia="宋体" w:cs="宋体"/>
                <w:b/>
                <w:bCs/>
                <w:color w:val="auto"/>
                <w:szCs w:val="21"/>
                <w:highlight w:val="none"/>
                <w:lang w:val="zh-CN"/>
              </w:rPr>
              <w:t xml:space="preserve">如</w:t>
            </w:r>
            <w:r>
              <w:rPr>
                <w:rFonts w:hint="eastAsia" w:ascii="宋体" w:hAnsi="宋体" w:cs="宋体"/>
                <w:b/>
                <w:bCs/>
                <w:color w:val="auto"/>
                <w:szCs w:val="21"/>
                <w:highlight w:val="none"/>
                <w:lang w:val="zh-CN"/>
              </w:rPr>
              <w:t xml:space="preserve">供应商</w:t>
            </w:r>
            <w:r>
              <w:rPr>
                <w:rFonts w:hint="eastAsia" w:ascii="宋体" w:hAnsi="宋体" w:eastAsia="宋体" w:cs="宋体"/>
                <w:b/>
                <w:bCs/>
                <w:color w:val="auto"/>
                <w:szCs w:val="21"/>
                <w:highlight w:val="none"/>
                <w:lang w:val="zh-CN"/>
              </w:rPr>
              <w:t xml:space="preserve">提供的车辆为自有，须提供购车发票</w:t>
            </w:r>
            <w:r>
              <w:rPr>
                <w:rFonts w:hint="eastAsia" w:ascii="宋体" w:hAnsi="宋体" w:eastAsia="宋体" w:cs="宋体"/>
                <w:b/>
                <w:bCs/>
                <w:color w:val="auto"/>
                <w:szCs w:val="21"/>
                <w:highlight w:val="none"/>
                <w:lang w:val="zh-CN" w:eastAsia="zh-CN"/>
              </w:rPr>
              <w:t xml:space="preserve">（</w:t>
            </w:r>
            <w:r>
              <w:rPr>
                <w:rFonts w:hint="eastAsia" w:ascii="宋体" w:hAnsi="宋体" w:eastAsia="宋体" w:cs="宋体"/>
                <w:b/>
                <w:bCs/>
                <w:color w:val="auto"/>
                <w:szCs w:val="21"/>
                <w:highlight w:val="none"/>
                <w:lang w:val="zh-CN"/>
              </w:rPr>
              <w:t xml:space="preserve">凭证</w:t>
            </w:r>
            <w:r>
              <w:rPr>
                <w:rFonts w:hint="eastAsia" w:ascii="宋体" w:hAnsi="宋体" w:eastAsia="宋体" w:cs="宋体"/>
                <w:b/>
                <w:bCs/>
                <w:color w:val="auto"/>
                <w:szCs w:val="21"/>
                <w:highlight w:val="none"/>
                <w:lang w:val="zh-CN" w:eastAsia="zh-CN"/>
              </w:rPr>
              <w:t xml:space="preserve">）</w:t>
            </w:r>
            <w:r>
              <w:rPr>
                <w:rFonts w:hint="eastAsia" w:ascii="宋体" w:hAnsi="宋体" w:eastAsia="宋体" w:cs="宋体"/>
                <w:b/>
                <w:bCs/>
                <w:color w:val="auto"/>
                <w:szCs w:val="21"/>
                <w:highlight w:val="none"/>
                <w:lang w:val="zh-CN"/>
              </w:rPr>
              <w:t xml:space="preserve">、付款凭证和有效车辆行驶证；如为新车尚未办理行驶证，则须有</w:t>
            </w:r>
            <w:r>
              <w:rPr>
                <w:rFonts w:hint="eastAsia" w:ascii="宋体" w:hAnsi="宋体" w:cs="宋体"/>
                <w:b/>
                <w:bCs/>
                <w:color w:val="auto"/>
                <w:szCs w:val="21"/>
                <w:highlight w:val="none"/>
                <w:lang w:val="zh-CN"/>
              </w:rPr>
              <w:t xml:space="preserve">供应商</w:t>
            </w:r>
            <w:r>
              <w:rPr>
                <w:rFonts w:hint="eastAsia" w:ascii="宋体" w:hAnsi="宋体" w:eastAsia="宋体" w:cs="宋体"/>
                <w:b/>
                <w:bCs/>
                <w:color w:val="auto"/>
                <w:szCs w:val="21"/>
                <w:highlight w:val="none"/>
                <w:lang w:val="zh-CN"/>
              </w:rPr>
              <w:t xml:space="preserve">名称的购车发票、付款凭证并承诺（承诺书内容格式自拟）在中标后1个月内办理车辆行驶证。如为租赁，则需提供租赁车辆的有效车辆行驶证、租赁合同、租赁发票和付款凭证，如刚签订的合同未到付款时间,则需提供盖章的情况说明</w:t>
            </w:r>
            <w:r>
              <w:rPr>
                <w:rFonts w:hint="eastAsia" w:ascii="宋体" w:hAnsi="宋体" w:cs="宋体"/>
                <w:b/>
                <w:bCs/>
                <w:color w:val="auto"/>
                <w:szCs w:val="21"/>
                <w:highlight w:val="none"/>
                <w:lang w:val="zh-CN"/>
              </w:rPr>
              <w:t xml:space="preserve">，</w:t>
            </w:r>
            <w:r>
              <w:rPr>
                <w:rFonts w:hint="eastAsia" w:ascii="宋体" w:hAnsi="宋体" w:eastAsia="宋体" w:cs="宋体"/>
                <w:b/>
                <w:bCs/>
                <w:color w:val="auto"/>
                <w:szCs w:val="21"/>
                <w:highlight w:val="none"/>
                <w:lang w:val="en-US" w:eastAsia="zh-CN"/>
              </w:rPr>
              <w:t xml:space="preserve">相关资料</w:t>
            </w:r>
            <w:r>
              <w:rPr>
                <w:rFonts w:hint="eastAsia" w:ascii="宋体" w:hAnsi="宋体" w:eastAsia="宋体" w:cs="宋体"/>
                <w:b/>
                <w:bCs/>
                <w:color w:val="auto"/>
                <w:szCs w:val="21"/>
                <w:highlight w:val="none"/>
                <w:lang w:val="zh-CN"/>
              </w:rPr>
              <w:t xml:space="preserve">须提供原件扫描上传,未按要求提供或不提供不得分。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配备</w:t>
            </w:r>
            <w:r>
              <w:rPr>
                <w:rFonts w:hint="eastAsia" w:ascii="宋体" w:hAnsi="宋体" w:eastAsia="宋体" w:cs="宋体"/>
                <w:color w:val="auto"/>
                <w:szCs w:val="21"/>
                <w:highlight w:val="none"/>
                <w:lang w:val="en-US" w:eastAsia="zh-CN"/>
              </w:rPr>
              <w:t xml:space="preserve">1台自走式新能源绿篱修剪机</w:t>
            </w:r>
            <w:r>
              <w:rPr>
                <w:rFonts w:hint="eastAsia" w:ascii="宋体" w:hAnsi="宋体" w:eastAsia="宋体" w:cs="宋体"/>
                <w:color w:val="auto"/>
                <w:szCs w:val="21"/>
                <w:highlight w:val="none"/>
                <w:lang w:val="zh-CN" w:eastAsia="zh-CN"/>
              </w:rPr>
              <w:t xml:space="preserve">的</w:t>
            </w:r>
            <w:r>
              <w:rPr>
                <w:rFonts w:hint="eastAsia" w:ascii="宋体" w:hAnsi="宋体" w:eastAsia="宋体" w:cs="宋体"/>
                <w:color w:val="auto"/>
                <w:szCs w:val="21"/>
                <w:highlight w:val="none"/>
                <w:lang w:val="zh-CN"/>
              </w:rPr>
              <w:t xml:space="preserve">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分，最高得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配备</w:t>
            </w:r>
            <w:r>
              <w:rPr>
                <w:rFonts w:hint="eastAsia" w:ascii="宋体" w:hAnsi="宋体" w:eastAsia="宋体" w:cs="宋体"/>
                <w:color w:val="auto"/>
                <w:szCs w:val="21"/>
                <w:highlight w:val="none"/>
                <w:lang w:val="en-US" w:eastAsia="zh-CN"/>
              </w:rPr>
              <w:t xml:space="preserve">1台自走式新能源树叶收集机</w:t>
            </w:r>
            <w:r>
              <w:rPr>
                <w:rFonts w:hint="eastAsia" w:ascii="宋体" w:hAnsi="宋体" w:eastAsia="宋体" w:cs="宋体"/>
                <w:color w:val="auto"/>
                <w:szCs w:val="21"/>
                <w:highlight w:val="none"/>
                <w:lang w:val="zh-CN" w:eastAsia="zh-CN"/>
              </w:rPr>
              <w:t xml:space="preserve">的</w:t>
            </w:r>
            <w:r>
              <w:rPr>
                <w:rFonts w:hint="eastAsia" w:ascii="宋体" w:hAnsi="宋体" w:eastAsia="宋体" w:cs="宋体"/>
                <w:color w:val="auto"/>
                <w:szCs w:val="21"/>
                <w:highlight w:val="none"/>
                <w:lang w:val="zh-CN"/>
              </w:rPr>
              <w:t xml:space="preserve">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分，最高得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配备</w:t>
            </w:r>
            <w:r>
              <w:rPr>
                <w:rFonts w:hint="eastAsia" w:ascii="宋体" w:hAnsi="宋体" w:eastAsia="宋体" w:cs="宋体"/>
                <w:color w:val="auto"/>
                <w:szCs w:val="21"/>
                <w:highlight w:val="none"/>
                <w:lang w:val="en-US" w:eastAsia="zh-CN"/>
              </w:rPr>
              <w:t xml:space="preserve">1台</w:t>
            </w:r>
            <w:r>
              <w:rPr>
                <w:rFonts w:hint="eastAsia" w:ascii="宋体" w:hAnsi="宋体" w:eastAsia="宋体" w:cs="宋体"/>
                <w:color w:val="auto"/>
                <w:szCs w:val="21"/>
                <w:highlight w:val="none"/>
                <w:lang w:val="zh-CN"/>
              </w:rPr>
              <w:t xml:space="preserve">新能源草坪机的得1分，最高得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配备</w:t>
            </w:r>
            <w:r>
              <w:rPr>
                <w:rFonts w:hint="eastAsia" w:ascii="宋体" w:hAnsi="宋体" w:eastAsia="宋体" w:cs="宋体"/>
                <w:color w:val="auto"/>
                <w:szCs w:val="21"/>
                <w:highlight w:val="none"/>
                <w:lang w:val="en-US" w:eastAsia="zh-CN"/>
              </w:rPr>
              <w:t xml:space="preserve">6台</w:t>
            </w:r>
            <w:r>
              <w:rPr>
                <w:rFonts w:hint="eastAsia" w:ascii="宋体" w:hAnsi="宋体" w:eastAsia="宋体" w:cs="宋体"/>
                <w:color w:val="auto"/>
                <w:szCs w:val="21"/>
                <w:highlight w:val="none"/>
                <w:lang w:val="zh-CN"/>
              </w:rPr>
              <w:t xml:space="preserve">新能源割灌机的得1分，最高得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配备</w:t>
            </w:r>
            <w:r>
              <w:rPr>
                <w:rFonts w:hint="eastAsia" w:ascii="宋体" w:hAnsi="宋体" w:eastAsia="宋体" w:cs="宋体"/>
                <w:color w:val="auto"/>
                <w:szCs w:val="21"/>
                <w:highlight w:val="none"/>
                <w:lang w:val="en-US" w:eastAsia="zh-CN"/>
              </w:rPr>
              <w:t xml:space="preserve">5台</w:t>
            </w:r>
            <w:r>
              <w:rPr>
                <w:rFonts w:hint="eastAsia" w:ascii="宋体" w:hAnsi="宋体" w:eastAsia="宋体" w:cs="宋体"/>
                <w:color w:val="auto"/>
                <w:szCs w:val="21"/>
                <w:highlight w:val="none"/>
                <w:lang w:val="zh-CN"/>
              </w:rPr>
              <w:t xml:space="preserve">新能源绿篱机得1分，最高得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配备</w:t>
            </w:r>
            <w:r>
              <w:rPr>
                <w:rFonts w:hint="eastAsia" w:ascii="宋体" w:hAnsi="宋体" w:eastAsia="宋体" w:cs="宋体"/>
                <w:color w:val="auto"/>
                <w:szCs w:val="21"/>
                <w:highlight w:val="none"/>
                <w:lang w:val="en-US" w:eastAsia="zh-CN"/>
              </w:rPr>
              <w:t xml:space="preserve">1台</w:t>
            </w:r>
            <w:r>
              <w:rPr>
                <w:rFonts w:hint="eastAsia" w:ascii="宋体" w:hAnsi="宋体" w:eastAsia="宋体" w:cs="宋体"/>
                <w:color w:val="auto"/>
                <w:szCs w:val="21"/>
                <w:highlight w:val="none"/>
                <w:lang w:val="zh-CN"/>
              </w:rPr>
              <w:t xml:space="preserve">新能源打药机的得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分，最高得</w:t>
            </w:r>
            <w:r>
              <w:rPr>
                <w:rFonts w:hint="eastAsia" w:ascii="宋体" w:hAnsi="宋体" w:eastAsia="宋体" w:cs="宋体"/>
                <w:color w:val="auto"/>
                <w:szCs w:val="21"/>
                <w:highlight w:val="none"/>
                <w:lang w:val="en-US" w:eastAsia="zh-CN"/>
              </w:rPr>
              <w:t xml:space="preserve">1分；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配备</w:t>
            </w:r>
            <w:r>
              <w:rPr>
                <w:rFonts w:hint="eastAsia" w:ascii="宋体" w:hAnsi="宋体" w:eastAsia="宋体" w:cs="宋体"/>
                <w:color w:val="auto"/>
                <w:szCs w:val="21"/>
                <w:highlight w:val="none"/>
                <w:lang w:val="en-US" w:eastAsia="zh-CN"/>
              </w:rPr>
              <w:t xml:space="preserve">2台</w:t>
            </w:r>
            <w:r>
              <w:rPr>
                <w:rFonts w:hint="eastAsia" w:ascii="宋体" w:hAnsi="宋体" w:eastAsia="宋体" w:cs="宋体"/>
                <w:color w:val="auto"/>
                <w:szCs w:val="21"/>
                <w:highlight w:val="none"/>
                <w:lang w:val="zh-CN"/>
              </w:rPr>
              <w:t xml:space="preserve">新能源电锯得1分，最高得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配备</w:t>
            </w:r>
            <w:r>
              <w:rPr>
                <w:rFonts w:hint="eastAsia" w:ascii="宋体" w:hAnsi="宋体" w:eastAsia="宋体" w:cs="宋体"/>
                <w:color w:val="auto"/>
                <w:szCs w:val="21"/>
                <w:highlight w:val="none"/>
                <w:lang w:val="en-US" w:eastAsia="zh-CN"/>
              </w:rPr>
              <w:t xml:space="preserve">1台</w:t>
            </w:r>
            <w:r>
              <w:rPr>
                <w:rFonts w:hint="eastAsia" w:ascii="宋体" w:hAnsi="宋体" w:eastAsia="宋体" w:cs="宋体"/>
                <w:color w:val="auto"/>
                <w:szCs w:val="21"/>
                <w:highlight w:val="none"/>
                <w:lang w:val="zh-CN"/>
              </w:rPr>
              <w:t xml:space="preserve">新能源高枝锯的得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分，最高得</w:t>
            </w:r>
            <w:r>
              <w:rPr>
                <w:rFonts w:hint="eastAsia" w:ascii="宋体" w:hAnsi="宋体" w:eastAsia="宋体" w:cs="宋体"/>
                <w:color w:val="auto"/>
                <w:szCs w:val="21"/>
                <w:highlight w:val="none"/>
                <w:lang w:val="en-US" w:eastAsia="zh-CN"/>
              </w:rPr>
              <w:t xml:space="preserve">1分；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配备</w:t>
            </w:r>
            <w:r>
              <w:rPr>
                <w:rFonts w:hint="eastAsia" w:ascii="宋体" w:hAnsi="宋体" w:eastAsia="宋体" w:cs="宋体"/>
                <w:color w:val="auto"/>
                <w:szCs w:val="21"/>
                <w:highlight w:val="none"/>
                <w:lang w:val="en-US" w:eastAsia="zh-CN"/>
              </w:rPr>
              <w:t xml:space="preserve">2台</w:t>
            </w:r>
            <w:r>
              <w:rPr>
                <w:rFonts w:hint="eastAsia" w:ascii="宋体" w:hAnsi="宋体" w:eastAsia="宋体" w:cs="宋体"/>
                <w:color w:val="auto"/>
                <w:szCs w:val="21"/>
                <w:highlight w:val="none"/>
                <w:lang w:val="zh-CN"/>
              </w:rPr>
              <w:t xml:space="preserve">新能源吹吸一体机的得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分，最高得</w:t>
            </w:r>
            <w:r>
              <w:rPr>
                <w:rFonts w:hint="eastAsia" w:ascii="宋体" w:hAnsi="宋体" w:eastAsia="宋体" w:cs="宋体"/>
                <w:color w:val="auto"/>
                <w:szCs w:val="21"/>
                <w:highlight w:val="none"/>
                <w:lang w:val="en-US" w:eastAsia="zh-CN"/>
              </w:rPr>
              <w:t xml:space="preserve">1分；</w:t>
            </w:r>
            <w:r/>
          </w:p>
          <w:p>
            <w:pPr>
              <w:ind w:firstLine="422"/>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注：</w:t>
            </w:r>
            <w:r>
              <w:rPr>
                <w:rFonts w:hint="eastAsia" w:ascii="宋体" w:hAnsi="宋体" w:eastAsia="宋体" w:cs="宋体"/>
                <w:b/>
                <w:bCs/>
                <w:color w:val="auto"/>
                <w:szCs w:val="21"/>
                <w:highlight w:val="none"/>
                <w:lang w:val="zh-CN"/>
              </w:rPr>
              <w:t xml:space="preserve">提供购买发票和付款凭证，</w:t>
            </w:r>
            <w:r>
              <w:rPr>
                <w:rFonts w:hint="eastAsia" w:ascii="宋体" w:hAnsi="宋体" w:eastAsia="宋体" w:cs="宋体"/>
                <w:b/>
                <w:bCs/>
                <w:color w:val="auto"/>
                <w:szCs w:val="21"/>
                <w:highlight w:val="none"/>
                <w:lang w:val="en-US" w:eastAsia="zh-CN"/>
              </w:rPr>
              <w:t xml:space="preserve">相关资料</w:t>
            </w:r>
            <w:r>
              <w:rPr>
                <w:rFonts w:hint="eastAsia" w:ascii="宋体" w:hAnsi="宋体" w:eastAsia="宋体" w:cs="宋体"/>
                <w:b/>
                <w:bCs/>
                <w:color w:val="auto"/>
                <w:szCs w:val="21"/>
                <w:highlight w:val="none"/>
                <w:lang w:val="zh-CN"/>
              </w:rPr>
              <w:t xml:space="preserve">须提供原件扫描上传,未按要求提供或不提供不得分。</w:t>
            </w:r>
            <w:r/>
          </w:p>
        </w:tc>
      </w:tr>
      <w:tr>
        <w:trPr>
          <w:jc w:val="center"/>
          <w:trHeight w:val="23"/>
        </w:trPr>
        <w:tc>
          <w:tcPr>
            <w:tcW w:w="1118" w:type="dxa"/>
            <w:vAlign w:val="center"/>
            <w:textDirection w:val="lrTb"/>
            <w:noWrap w:val="false"/>
          </w:tcPr>
          <w:p>
            <w:pPr>
              <w:pStyle w:val="1206"/>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企业</w:t>
            </w:r>
            <w:r>
              <w:rPr>
                <w:rFonts w:hint="eastAsia" w:ascii="宋体" w:hAnsi="宋体" w:eastAsia="宋体" w:cs="宋体"/>
                <w:b/>
                <w:bCs/>
                <w:color w:val="auto"/>
                <w:sz w:val="21"/>
                <w:szCs w:val="21"/>
                <w:highlight w:val="none"/>
              </w:rPr>
              <w:t xml:space="preserve">业绩</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p>
        </w:tc>
        <w:tc>
          <w:tcPr>
            <w:gridSpan w:val="2"/>
            <w:tcW w:w="7526" w:type="dxa"/>
            <w:vAlign w:val="center"/>
            <w:textDirection w:val="lrTb"/>
            <w:noWrap w:val="false"/>
          </w:tcPr>
          <w:p>
            <w:pPr>
              <w:ind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2022</w:t>
            </w: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月以来</w:t>
            </w:r>
            <w:r>
              <w:rPr>
                <w:rFonts w:hint="eastAsia" w:ascii="宋体" w:hAnsi="宋体" w:cs="宋体"/>
                <w:color w:val="auto"/>
                <w:szCs w:val="21"/>
                <w:highlight w:val="none"/>
                <w:lang w:val="zh-CN"/>
              </w:rPr>
              <w:t xml:space="preserve">供应商</w:t>
            </w:r>
            <w:r>
              <w:rPr>
                <w:rFonts w:hint="eastAsia" w:ascii="宋体" w:hAnsi="宋体" w:eastAsia="宋体" w:cs="宋体"/>
                <w:color w:val="auto"/>
                <w:szCs w:val="21"/>
                <w:highlight w:val="none"/>
                <w:lang w:val="zh-CN"/>
              </w:rPr>
              <w:t xml:space="preserve">承接过</w:t>
            </w:r>
            <w:r>
              <w:rPr>
                <w:rFonts w:hint="eastAsia" w:ascii="宋体" w:hAnsi="宋体" w:eastAsia="宋体" w:cs="宋体"/>
                <w:color w:val="auto"/>
                <w:szCs w:val="21"/>
                <w:highlight w:val="none"/>
                <w:lang w:val="en-US" w:eastAsia="zh-CN"/>
              </w:rPr>
              <w:t xml:space="preserve">类似</w:t>
            </w:r>
            <w:r>
              <w:rPr>
                <w:rFonts w:hint="eastAsia" w:ascii="宋体" w:hAnsi="宋体" w:eastAsia="宋体" w:cs="宋体"/>
                <w:color w:val="auto"/>
                <w:szCs w:val="21"/>
                <w:highlight w:val="none"/>
                <w:lang w:val="zh-CN"/>
              </w:rPr>
              <w:t xml:space="preserve">业绩；每提供1份得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分，最多得</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val="zh-CN"/>
              </w:rPr>
              <w:t xml:space="preserve">分。</w:t>
            </w:r>
            <w:r/>
          </w:p>
          <w:p>
            <w:pPr>
              <w:pStyle w:val="1205"/>
              <w:ind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注：需</w:t>
            </w:r>
            <w:r>
              <w:rPr>
                <w:rFonts w:hint="eastAsia" w:ascii="宋体" w:hAnsi="宋体" w:eastAsia="宋体" w:cs="宋体"/>
                <w:b/>
                <w:bCs/>
                <w:color w:val="auto"/>
                <w:sz w:val="21"/>
                <w:szCs w:val="21"/>
                <w:highlight w:val="none"/>
                <w:lang w:val="zh-CN"/>
              </w:rPr>
              <w:t xml:space="preserve">提供合同</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rPr>
              <w:t xml:space="preserve">工程款发票及银行收款汇入凭证</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eastAsia="宋体" w:cs="宋体"/>
                <w:b/>
                <w:bCs/>
                <w:color w:val="auto"/>
                <w:sz w:val="21"/>
                <w:szCs w:val="21"/>
                <w:highlight w:val="none"/>
                <w:lang w:val="zh-CN"/>
              </w:rPr>
              <w:t xml:space="preserve">，业绩认定时间以</w:t>
            </w:r>
            <w:r>
              <w:rPr>
                <w:rFonts w:hint="eastAsia" w:ascii="宋体" w:hAnsi="宋体" w:eastAsia="宋体" w:cs="宋体"/>
                <w:b/>
                <w:bCs/>
                <w:color w:val="auto"/>
                <w:sz w:val="21"/>
                <w:szCs w:val="21"/>
                <w:highlight w:val="none"/>
                <w:lang w:val="en-US" w:eastAsia="zh-CN"/>
              </w:rPr>
              <w:t xml:space="preserve">合同签订</w:t>
            </w:r>
            <w:r>
              <w:rPr>
                <w:rFonts w:hint="eastAsia" w:ascii="宋体" w:hAnsi="宋体" w:eastAsia="宋体" w:cs="宋体"/>
                <w:b/>
                <w:bCs/>
                <w:color w:val="auto"/>
                <w:sz w:val="21"/>
                <w:szCs w:val="21"/>
                <w:highlight w:val="none"/>
                <w:lang w:val="zh-CN"/>
              </w:rPr>
              <w:t xml:space="preserve">时间为准，同一项目不同年度不累计得分。</w:t>
            </w:r>
            <w:r/>
          </w:p>
        </w:tc>
      </w:tr>
      <w:tr>
        <w:trPr>
          <w:jc w:val="center"/>
          <w:trHeight w:val="23"/>
        </w:trPr>
        <w:tc>
          <w:tcPr>
            <w:tcW w:w="1118" w:type="dxa"/>
            <w:vAlign w:val="center"/>
            <w:textDirection w:val="lrTb"/>
            <w:noWrap w:val="false"/>
          </w:tcPr>
          <w:p>
            <w:pPr>
              <w:pStyle w:val="1206"/>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zh-CN" w:eastAsia="zh-CN"/>
              </w:rPr>
              <w:t xml:space="preserve">服务</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lang w:val="zh-CN" w:eastAsia="zh-CN"/>
              </w:rPr>
              <w:t xml:space="preserve">承诺（</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zh-CN" w:eastAsia="zh-CN"/>
              </w:rPr>
              <w:t xml:space="preserve">分）</w:t>
            </w:r>
            <w:r/>
          </w:p>
        </w:tc>
        <w:tc>
          <w:tcPr>
            <w:gridSpan w:val="2"/>
            <w:tcW w:w="7526"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本次招标范围是广陵区内公园道路绿化养护，如</w:t>
            </w:r>
            <w:r>
              <w:rPr>
                <w:rFonts w:hint="eastAsia" w:ascii="宋体" w:hAnsi="宋体" w:eastAsia="宋体" w:cs="宋体"/>
                <w:color w:val="auto"/>
                <w:sz w:val="21"/>
                <w:szCs w:val="21"/>
                <w:highlight w:val="none"/>
                <w:lang w:val="en-US" w:eastAsia="zh-CN" w:bidi="ar-SA"/>
              </w:rPr>
              <w:t xml:space="preserve">需</w:t>
            </w:r>
            <w:r>
              <w:rPr>
                <w:rFonts w:hint="eastAsia" w:ascii="宋体" w:hAnsi="宋体" w:eastAsia="宋体" w:cs="宋体"/>
                <w:color w:val="auto"/>
                <w:sz w:val="21"/>
                <w:szCs w:val="21"/>
                <w:highlight w:val="none"/>
                <w:lang w:val="zh-CN" w:eastAsia="zh-CN" w:bidi="ar-SA"/>
              </w:rPr>
              <w:t xml:space="preserve">养护单位出现在事发现场进行处理</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承诺</w:t>
            </w:r>
            <w:r>
              <w:rPr>
                <w:rFonts w:hint="eastAsia" w:ascii="宋体" w:hAnsi="宋体" w:eastAsia="宋体" w:cs="宋体"/>
                <w:color w:val="auto"/>
                <w:sz w:val="21"/>
                <w:szCs w:val="21"/>
                <w:highlight w:val="none"/>
                <w:lang w:val="zh-CN" w:eastAsia="zh-CN" w:bidi="ar-SA"/>
              </w:rPr>
              <w:t xml:space="preserve">能在</w:t>
            </w:r>
            <w:r>
              <w:rPr>
                <w:rFonts w:hint="eastAsia" w:ascii="宋体" w:hAnsi="宋体" w:eastAsia="宋体" w:cs="宋体"/>
                <w:color w:val="auto"/>
                <w:sz w:val="21"/>
                <w:szCs w:val="21"/>
                <w:highlight w:val="none"/>
                <w:lang w:val="en-US" w:eastAsia="zh-CN" w:bidi="ar-SA"/>
              </w:rPr>
              <w:t xml:space="preserve">20分钟</w:t>
            </w:r>
            <w:r>
              <w:rPr>
                <w:rFonts w:hint="eastAsia" w:ascii="宋体" w:hAnsi="宋体" w:eastAsia="宋体" w:cs="宋体"/>
                <w:color w:val="auto"/>
                <w:sz w:val="21"/>
                <w:szCs w:val="21"/>
                <w:highlight w:val="none"/>
                <w:lang w:val="zh-CN" w:eastAsia="zh-CN" w:bidi="ar-SA"/>
              </w:rPr>
              <w:t xml:space="preserve">内到达现场的得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分，</w:t>
            </w:r>
            <w:r>
              <w:rPr>
                <w:rFonts w:hint="eastAsia" w:ascii="宋体" w:hAnsi="宋体" w:eastAsia="宋体" w:cs="宋体"/>
                <w:color w:val="auto"/>
                <w:sz w:val="21"/>
                <w:szCs w:val="21"/>
                <w:highlight w:val="none"/>
                <w:lang w:val="en-US" w:eastAsia="zh-CN" w:bidi="ar-SA"/>
              </w:rPr>
              <w:t xml:space="preserve">45分钟</w:t>
            </w:r>
            <w:r>
              <w:rPr>
                <w:rFonts w:hint="eastAsia" w:ascii="宋体" w:hAnsi="宋体" w:eastAsia="宋体" w:cs="宋体"/>
                <w:color w:val="auto"/>
                <w:sz w:val="21"/>
                <w:szCs w:val="21"/>
                <w:highlight w:val="none"/>
                <w:lang w:val="zh-CN" w:eastAsia="zh-CN" w:bidi="ar-SA"/>
              </w:rPr>
              <w:t xml:space="preserve">内到达现场的得</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分，</w:t>
            </w:r>
            <w:r>
              <w:rPr>
                <w:rFonts w:hint="eastAsia" w:ascii="宋体" w:hAnsi="宋体" w:eastAsia="宋体" w:cs="宋体"/>
                <w:color w:val="auto"/>
                <w:sz w:val="21"/>
                <w:szCs w:val="21"/>
                <w:highlight w:val="none"/>
                <w:lang w:val="en-US" w:eastAsia="zh-CN" w:bidi="ar-SA"/>
              </w:rPr>
              <w:t xml:space="preserve">1小时内</w:t>
            </w:r>
            <w:r>
              <w:rPr>
                <w:rFonts w:hint="eastAsia" w:ascii="宋体" w:hAnsi="宋体" w:eastAsia="宋体" w:cs="宋体"/>
                <w:color w:val="auto"/>
                <w:sz w:val="21"/>
                <w:szCs w:val="21"/>
                <w:highlight w:val="none"/>
                <w:lang w:val="zh-CN" w:eastAsia="zh-CN" w:bidi="ar-SA"/>
              </w:rPr>
              <w:t xml:space="preserve">到达现场的得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分，超过</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小时到达现场的不得分。</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注：提供承诺函原件及</w:t>
            </w:r>
            <w:r>
              <w:rPr>
                <w:rFonts w:hint="eastAsia" w:ascii="宋体" w:hAnsi="宋体" w:cs="宋体"/>
                <w:b/>
                <w:bCs/>
                <w:color w:val="auto"/>
                <w:sz w:val="21"/>
                <w:szCs w:val="21"/>
                <w:highlight w:val="none"/>
                <w:lang w:val="en-US" w:eastAsia="zh-CN" w:bidi="ar-SA"/>
              </w:rPr>
              <w:t xml:space="preserve">供应商</w:t>
            </w:r>
            <w:r>
              <w:rPr>
                <w:rFonts w:hint="eastAsia" w:ascii="宋体" w:hAnsi="宋体" w:eastAsia="宋体" w:cs="宋体"/>
                <w:b/>
                <w:bCs/>
                <w:color w:val="auto"/>
                <w:sz w:val="21"/>
                <w:szCs w:val="21"/>
                <w:highlight w:val="none"/>
                <w:lang w:val="en-US" w:eastAsia="zh-CN" w:bidi="ar-SA"/>
              </w:rPr>
              <w:t xml:space="preserve">注册地或实际经营办公场所</w:t>
            </w:r>
            <w:r>
              <w:rPr>
                <w:rFonts w:hint="eastAsia" w:ascii="宋体" w:hAnsi="宋体" w:eastAsia="宋体" w:cs="宋体"/>
                <w:b/>
                <w:bCs/>
                <w:color w:val="auto"/>
                <w:sz w:val="21"/>
                <w:szCs w:val="21"/>
                <w:highlight w:val="none"/>
                <w:lang w:val="zh-CN" w:eastAsia="zh-CN" w:bidi="ar-SA"/>
              </w:rPr>
              <w:t xml:space="preserve">到人民商场（扬州广陵国庆路店）的汽车线路导航用时图</w:t>
            </w:r>
            <w:r>
              <w:rPr>
                <w:rFonts w:hint="eastAsia" w:ascii="宋体" w:hAnsi="宋体" w:eastAsia="宋体" w:cs="宋体"/>
                <w:b/>
                <w:bCs/>
                <w:color w:val="auto"/>
                <w:sz w:val="21"/>
                <w:szCs w:val="21"/>
                <w:highlight w:val="none"/>
                <w:lang w:val="en-US" w:eastAsia="zh-CN" w:bidi="ar-SA"/>
              </w:rPr>
              <w:t xml:space="preserve">，以导航路线</w:t>
            </w:r>
            <w:r>
              <w:rPr>
                <w:rFonts w:hint="eastAsia" w:ascii="宋体" w:hAnsi="宋体" w:eastAsia="宋体" w:cs="宋体"/>
                <w:b/>
                <w:bCs/>
                <w:color w:val="auto"/>
                <w:sz w:val="21"/>
                <w:szCs w:val="21"/>
                <w:highlight w:val="none"/>
                <w:lang w:val="zh-CN" w:eastAsia="zh-CN" w:bidi="ar-SA"/>
              </w:rPr>
              <w:t xml:space="preserve">用时图</w:t>
            </w:r>
            <w:r>
              <w:rPr>
                <w:rFonts w:hint="eastAsia" w:ascii="宋体" w:hAnsi="宋体" w:eastAsia="宋体" w:cs="宋体"/>
                <w:b/>
                <w:bCs/>
                <w:color w:val="auto"/>
                <w:sz w:val="21"/>
                <w:szCs w:val="21"/>
                <w:highlight w:val="none"/>
                <w:lang w:val="en-US" w:eastAsia="zh-CN" w:bidi="ar-SA"/>
              </w:rPr>
              <w:t xml:space="preserve">为准，原件扫描上传，格式自拟</w:t>
            </w:r>
            <w:r/>
          </w:p>
        </w:tc>
      </w:tr>
    </w:tbl>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bookmarkEnd w:id="70"/>
      <w:r/>
      <w:bookmarkEnd w:id="71"/>
      <w:r/>
      <w:bookmarkEnd w:id="72"/>
      <w:r/>
      <w:r/>
    </w:p>
    <w:p>
      <w:pPr>
        <w:pStyle w:val="1190"/>
        <w:rPr>
          <w:rFonts w:hint="eastAsia"/>
          <w:color w:val="auto"/>
          <w:highlight w:val="none"/>
        </w:rPr>
      </w:pPr>
      <w:r/>
      <w:bookmarkStart w:id="75" w:name="_Toc2622"/>
      <w:r/>
      <w:bookmarkStart w:id="76" w:name="_Toc26554094"/>
      <w:r/>
      <w:bookmarkStart w:id="77" w:name="_Toc49090576"/>
      <w:r/>
      <w:bookmarkStart w:id="78" w:name="_Toc120614282"/>
      <w:r>
        <w:rPr>
          <w:rFonts w:hint="eastAsia"/>
          <w:color w:val="auto"/>
          <w:highlight w:val="none"/>
        </w:rPr>
        <w:t xml:space="preserve">第六章 </w:t>
      </w:r>
      <w:r>
        <w:rPr>
          <w:rFonts w:hint="eastAsia"/>
          <w:color w:val="auto"/>
          <w:highlight w:val="none"/>
          <w:lang w:val="en-US" w:eastAsia="zh-CN"/>
        </w:rPr>
        <w:t xml:space="preserve"> </w:t>
      </w:r>
      <w:r>
        <w:rPr>
          <w:rFonts w:hint="eastAsia"/>
          <w:color w:val="auto"/>
          <w:highlight w:val="none"/>
        </w:rPr>
        <w:t xml:space="preserve">投标文件格式</w:t>
      </w:r>
      <w:bookmarkEnd w:id="75"/>
      <w:r>
        <w:rPr>
          <w:rFonts w:hint="eastAsia"/>
          <w:color w:val="auto"/>
          <w:highlight w:val="none"/>
        </w:rPr>
        <w:t xml:space="preserve"> </w:t>
      </w:r>
      <w:r/>
    </w:p>
    <w:p>
      <w:pPr>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w:t>
      </w:r>
      <w:r>
        <w:rPr>
          <w:rFonts w:hint="eastAsia" w:ascii="宋体" w:hAnsi="宋体" w:cs="宋体"/>
          <w:b/>
          <w:color w:val="auto"/>
          <w:sz w:val="36"/>
          <w:highlight w:val="none"/>
          <w:lang w:eastAsia="zh-CN"/>
        </w:rPr>
        <w:t xml:space="preserve">供应商</w:t>
      </w:r>
      <w:r>
        <w:rPr>
          <w:rFonts w:hint="eastAsia" w:ascii="宋体" w:hAnsi="宋体" w:eastAsia="宋体" w:cs="宋体"/>
          <w:b/>
          <w:color w:val="auto"/>
          <w:sz w:val="36"/>
          <w:highlight w:val="none"/>
        </w:rPr>
        <w:t xml:space="preserve">名称 ：</w:t>
      </w:r>
      <w:r>
        <w:rPr>
          <w:rFonts w:hint="eastAsia" w:ascii="宋体" w:hAnsi="宋体" w:eastAsia="宋体" w:cs="宋体"/>
          <w:b/>
          <w:color w:val="auto"/>
          <w:sz w:val="36"/>
          <w:szCs w:val="21"/>
          <w:highlight w:val="none"/>
          <w:u w:val="single"/>
        </w:rPr>
        <w:t xml:space="preserve">（加盖CA电子公章）</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jc w:val="center"/>
        <w:spacing w:line="24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pacing w:line="240" w:lineRule="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投标文件的组成</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一、基本目录</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1.开标一览表（格式见附件1）</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2.投标分项报价表（格式见附件2）</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3.技术要求响应及偏离表（格式见附件3）</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4.商务要求响应及偏离表（格式见附件4）</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5.法人授权书（格式见附件5）</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6.投标函（格式见附件6）</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7.主要标的信息（格式见附件7）</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8.其他</w:t>
      </w:r>
      <w:r/>
    </w:p>
    <w:p>
      <w:pPr>
        <w:pStyle w:val="1199"/>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****（格式见附件**）</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二、资格审查内容</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1.法人或者其他组织的营业执照等证明文件，自然人的身份证明</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上一年度财务报告情况（成立不满一年无需提供</w:t>
      </w:r>
      <w:r>
        <w:rPr>
          <w:rFonts w:hint="eastAsia" w:ascii="宋体" w:hAnsi="宋体" w:cs="宋体"/>
          <w:color w:val="auto"/>
          <w:sz w:val="21"/>
          <w:szCs w:val="21"/>
          <w:highlight w:val="none"/>
          <w:lang w:val="en-US"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依法缴纳税收和社会保障资金的相关材料（提供提交投标文件截止时间前一年内任意一个月依法缴纳税收和社会保障资金的证明材料。</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依法享受缓缴、免缴税收、社会保障资金的，应提供证明材料</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4.具备履行合同所必需的设备和专业技术能力的书面声明（格式见附件8）</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 3 年内在经营活动中没有重大违法记录的书面声明（格式见附件9）</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6.供应商信用承诺函（格式见附件10）</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7.企业报价折扣证明文件：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中小企业声明函（格式见附件11）。如果本项目专门面向中小企业采购，则必须提供。</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监狱企业的证明文件。</w:t>
      </w:r>
      <w:r/>
    </w:p>
    <w:p>
      <w:pPr>
        <w:pStyle w:val="1199"/>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8.联合体协议（格式见附件13）。如果本项目接受联合体投标，</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是联合体的，则必须提供。</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9.特定资格要求的证明文件。如果本项目对</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做出特定资格要求的，则必须提供。</w:t>
      </w:r>
      <w:r/>
    </w:p>
    <w:p>
      <w:pPr>
        <w:pStyle w:val="1193"/>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22"/>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三、实质性要求响应及偏离表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必须对技术要求和商务要求中加斜体下划线的实质性要求逐条做出响应，并按照招标文件要求提供证明材料，否则</w:t>
      </w:r>
      <w:r>
        <w:rPr>
          <w:rFonts w:hint="eastAsia" w:ascii="宋体" w:hAnsi="宋体" w:eastAsia="宋体" w:cs="宋体"/>
          <w:color w:val="auto"/>
          <w:sz w:val="21"/>
          <w:szCs w:val="21"/>
          <w:highlight w:val="none"/>
          <w:lang w:eastAsia="zh-CN"/>
        </w:rPr>
        <w:t xml:space="preserve">作</w:t>
      </w:r>
      <w:r>
        <w:rPr>
          <w:rFonts w:hint="eastAsia" w:ascii="宋体" w:hAnsi="宋体" w:eastAsia="宋体" w:cs="宋体"/>
          <w:color w:val="auto"/>
          <w:sz w:val="21"/>
          <w:szCs w:val="21"/>
          <w:highlight w:val="none"/>
        </w:rPr>
        <w:t xml:space="preserve">无效投标处理。（格式见附件</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w:t>
      </w:r>
      <w:r>
        <w:rPr>
          <w:rFonts w:hint="eastAsia" w:ascii="宋体" w:hAnsi="宋体" w:eastAsia="宋体" w:cs="宋体"/>
          <w:b/>
          <w:bCs/>
          <w:color w:val="auto"/>
          <w:sz w:val="21"/>
          <w:szCs w:val="21"/>
          <w:highlight w:val="none"/>
          <w:lang w:val="en-US" w:eastAsia="zh-CN"/>
        </w:rPr>
        <w:t xml:space="preserve">价格扣除</w:t>
      </w:r>
      <w:r>
        <w:rPr>
          <w:rFonts w:hint="eastAsia" w:ascii="宋体" w:hAnsi="宋体" w:eastAsia="宋体" w:cs="宋体"/>
          <w:b/>
          <w:bCs/>
          <w:color w:val="auto"/>
          <w:sz w:val="21"/>
          <w:szCs w:val="21"/>
          <w:highlight w:val="none"/>
        </w:rPr>
        <w:t xml:space="preserve">证明文件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1.中小企业声明函（格式见附件11）</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2.残疾人福利性单位声明函（格式见附件12）</w:t>
      </w:r>
      <w:r/>
    </w:p>
    <w:p>
      <w:pPr>
        <w:ind w:left="0" w:firstLine="480"/>
        <w:keepLines w:val="0"/>
        <w:keepNext w:val="0"/>
        <w:pageBreakBefore w:val="0"/>
        <w:spacing w:line="36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 </w:t>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开标一览表</w:t>
      </w:r>
      <w:r/>
    </w:p>
    <w:p>
      <w:pPr>
        <w:ind w:firstLine="482"/>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全称（加盖CA电子签章）：</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                                  </w:t>
      </w:r>
      <w:r/>
    </w:p>
    <w:tbl>
      <w:tblPr>
        <w:tblStyle w:val="1192"/>
        <w:tblW w:w="77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1"/>
      </w:tblGrid>
      <w:tr>
        <w:trPr>
          <w:cantSplit/>
          <w:jc w:val="center"/>
          <w:trHeight w:val="739"/>
        </w:trPr>
        <w:tc>
          <w:tcPr>
            <w:tcW w:w="7791" w:type="dxa"/>
            <w:vAlign w:val="center"/>
            <w:textDirection w:val="lrTb"/>
            <w:noWrap w:val="false"/>
          </w:tcPr>
          <w:p>
            <w:pPr>
              <w:rPr>
                <w:rFonts w:ascii="宋体" w:hAnsi="宋体"/>
                <w:b/>
                <w:bCs/>
                <w:color w:val="auto"/>
                <w:sz w:val="21"/>
                <w:szCs w:val="21"/>
                <w:highlight w:val="none"/>
              </w:rPr>
            </w:pPr>
            <w:r>
              <w:rPr>
                <w:rFonts w:hint="eastAsia" w:ascii="宋体" w:hAnsi="宋体" w:cs="宋体"/>
                <w:b/>
                <w:bCs/>
                <w:color w:val="auto"/>
                <w:sz w:val="21"/>
                <w:szCs w:val="21"/>
                <w:highlight w:val="none"/>
              </w:rPr>
              <w:t xml:space="preserve">                            </w:t>
            </w:r>
            <w:r>
              <w:rPr>
                <w:rFonts w:hint="eastAsia" w:ascii="宋体" w:hAnsi="宋体"/>
                <w:b/>
                <w:bCs/>
                <w:color w:val="auto"/>
                <w:sz w:val="21"/>
                <w:szCs w:val="21"/>
                <w:highlight w:val="none"/>
              </w:rPr>
              <w:t xml:space="preserve">投标总报价</w:t>
            </w:r>
            <w:r/>
          </w:p>
        </w:tc>
      </w:tr>
      <w:tr>
        <w:trPr>
          <w:cantSplit/>
          <w:jc w:val="center"/>
          <w:trHeight w:val="739"/>
        </w:trPr>
        <w:tc>
          <w:tcPr>
            <w:tcW w:w="7791"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rPr>
                <w:rFonts w:ascii="宋体" w:hAnsi="宋体" w:cs="宋体"/>
                <w:color w:val="auto"/>
                <w:sz w:val="21"/>
                <w:szCs w:val="21"/>
                <w:highlight w:val="none"/>
              </w:rPr>
              <w:t xml:space="preserve">                            （人民币：</w:t>
            </w:r>
            <w:r>
              <w:rPr>
                <w:rFonts w:hint="eastAsia" w:ascii="宋体" w:hAnsi="宋体" w:cs="宋体"/>
                <w:color w:val="auto"/>
                <w:sz w:val="21"/>
                <w:szCs w:val="21"/>
                <w:highlight w:val="none"/>
              </w:rPr>
              <w:t xml:space="preserve">元</w:t>
            </w:r>
            <w:r>
              <w:rPr>
                <w:rFonts w:ascii="宋体" w:hAnsi="宋体" w:cs="宋体"/>
                <w:color w:val="auto"/>
                <w:sz w:val="21"/>
                <w:szCs w:val="21"/>
                <w:highlight w:val="none"/>
              </w:rPr>
              <w:t xml:space="preserve">）</w:t>
            </w:r>
            <w:r/>
          </w:p>
        </w:tc>
      </w:tr>
      <w:tr>
        <w:trPr>
          <w:cantSplit/>
          <w:jc w:val="center"/>
          <w:trHeight w:val="625"/>
        </w:trPr>
        <w:tc>
          <w:tcPr>
            <w:tcW w:w="7791" w:type="dxa"/>
            <w:vAlign w:val="center"/>
            <w:textDirection w:val="lrTb"/>
            <w:noWrap w:val="false"/>
          </w:tcPr>
          <w:p>
            <w:pPr>
              <w:jc w:val="left"/>
              <w:spacing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小写：                             （人民币：元）</w:t>
            </w:r>
            <w:r/>
          </w:p>
        </w:tc>
      </w:tr>
    </w:tbl>
    <w:p>
      <w:pPr>
        <w:pStyle w:val="1193"/>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240" w:lineRule="auto"/>
        <w:rPr>
          <w:rFonts w:hint="eastAsia" w:ascii="宋体" w:hAnsi="宋体" w:eastAsia="宋体" w:cs="宋体"/>
          <w:color w:val="auto"/>
          <w:sz w:val="24"/>
          <w:szCs w:val="24"/>
          <w:highlight w:val="none"/>
        </w:rPr>
        <w:sectPr>
          <w:headerReference w:type="default" r:id="rId11"/>
          <w:footerReference w:type="default" r:id="rId1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r>
      <w:r>
        <w:rPr>
          <w:rFonts w:hint="eastAsia" w:ascii="宋体" w:hAnsi="宋体" w:eastAsia="宋体" w:cs="宋体"/>
          <w:b/>
          <w:color w:val="auto"/>
          <w:sz w:val="24"/>
          <w:szCs w:val="24"/>
          <w:highlight w:val="none"/>
        </w:rPr>
        <w:t xml:space="preserve">附件2            </w:t>
      </w:r>
      <w:r/>
    </w:p>
    <w:p>
      <w:pPr>
        <w:ind w:firstLine="482"/>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投标分项报价表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全称（加盖CA电子签章）：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20"/>
        <w:jc w:val="both"/>
        <w:keepLines w:val="0"/>
        <w:keepNext w:val="0"/>
        <w:pageBreakBefore w:val="0"/>
        <w:spacing w:line="360" w:lineRule="auto"/>
        <w:widowControl w:val="off"/>
        <w:rPr>
          <w:color w:val="auto"/>
          <w:sz w:val="21"/>
          <w:szCs w:val="21"/>
          <w:highlight w:val="none"/>
        </w:rPr>
      </w:pPr>
      <w:r>
        <w:rPr>
          <w:rFonts w:hint="eastAsia" w:ascii="宋体" w:hAnsi="宋体" w:eastAsia="宋体" w:cs="宋体"/>
          <w:color w:val="auto"/>
          <w:sz w:val="21"/>
          <w:szCs w:val="21"/>
          <w:highlight w:val="none"/>
        </w:rPr>
        <w:t xml:space="preserve">项目编号：</w:t>
      </w:r>
      <w:bookmarkEnd w:id="66"/>
      <w:r/>
      <w:bookmarkEnd w:id="67"/>
      <w:r/>
      <w:bookmarkEnd w:id="76"/>
      <w:r/>
      <w:bookmarkEnd w:id="77"/>
      <w:r/>
      <w:bookmarkEnd w:id="78"/>
      <w:r/>
      <w:r/>
    </w:p>
    <w:tbl>
      <w:tblPr>
        <w:tblStyle w:val="119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1"/>
        <w:gridCol w:w="1292"/>
        <w:gridCol w:w="3791"/>
        <w:gridCol w:w="1103"/>
        <w:gridCol w:w="1930"/>
        <w:gridCol w:w="717"/>
        <w:gridCol w:w="1179"/>
        <w:gridCol w:w="713"/>
        <w:gridCol w:w="2507"/>
      </w:tblGrid>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养护路段</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养护等级</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养护面积/株数</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四望亭路（起止点：汶河路～二道河）</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2745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default" w:ascii="宋体" w:hAnsi="宋体" w:eastAsia="宋体" w:cs="宋体"/>
                <w:i w:val="0"/>
                <w:iCs w:val="0"/>
                <w:color w:val="auto"/>
                <w:sz w:val="21"/>
                <w:szCs w:val="21"/>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四望亭路（起止点：汶河路～二道河）</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胸径20cm以内大叶女贞、雪松</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树人苑肯特园（起止点：汇东路～石塔桥）</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23943.6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绿杨城郭绿地（起止点：新北门桥西南～来鹤桥）</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11631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淮海路（起止点：苏北医院南门～盐阜路）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8480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淮海路（起止点：苏北医院南门～盐阜路）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胸径20cm以内樱花、银杏、大叶女贞</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淮海路（起止点：苏北医院南门～盐阜路）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胸径20-40cm法桐</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汶河南北路（起止点：南通西路～盐阜路）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11820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汶河南北路（起止点：南通西路～盐阜路）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胸径20cm以内银杏、法桐</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汶河南北路（起止点：南通西路～盐阜路）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胸径20-40cm广玉兰、雪松</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汶河南北路（起止点：南通西路～盐阜路）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胸径40cm以上香樟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荷花池路（起止点：江阳路～南通西路）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3256.3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荷花池路（起止点：江阳路～南通西路）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胸径20-40cm香樟、柳树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徐凝门大街(广陵路-徐凝门桥)（起止点：南通东路与徐凝门大街交叉口东北角）</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4243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徐凝门路(徐凝门桥-江阳东路)（起止点：江阳东路～徐凝门桥）</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徐凝门路(徐凝门桥-江阳东路)（起止点：江阳东路～徐凝门桥）</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胸径20cm以内大叶女贞</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徐凝门路(徐凝门桥-江阳东路)（起止点：江阳东路～徐凝门桥）</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胸径20-40cm香樟、广玉兰、朴树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紫藤路（起止点：淮海路～树人苑肯特园）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胸径20-40cm法桐</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通泗街（起止点：通泗街9～22号对面、通泗西街）</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通泗街（起止点：通泗街9～22号对面、通泗西街）</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胸径20cm以内水杉、侧柏、柿树、无花果、紫薇、桂花、山茶花</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通泗街（起止点：通泗街9～22号对面、通泗西街）</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胸径20-40cm法桐</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毓贤街（起止点：毓贤街15幢对面绿地）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毓贤街（起止点：毓贤街15幢对面绿地）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胸径20cm以内栀子</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南门街（起止点：甘泉路～南通西路）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南门街（起止点：甘泉路～南通西路）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胸径20cm以内海桐球、麦冬、大叶女贞、蜀桧、棕榈、枇杷、石榴</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南门街（起止点：甘泉路～南通西路）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甘泉路（起止点：国庆路～淮海路）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甘泉路（起止点：国庆路～淮海路）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胸径20-40cm法桐</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国庆路（含萃园路）（起止点：甘泉路～盐阜路）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4435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国庆路（含萃园路）（起止点：甘泉路～盐阜路）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胸径20cm以内大叶女贞、枫杨</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国庆路（含萃园路）（起止点：甘泉路～盐阜路）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胸径20-40cm法桐、广玉兰</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盐阜西路（起止点：淮海路～国庆路）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4028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盐阜西路（起止点：淮海路～国庆路）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胸径20-40cm银杏、大叶女贞</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盐阜西路（起止点：淮海路～国庆路）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胸径20cm以内香樟、枫杨、朴树、榔榆</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南通东西路（含圣心广场）（起止点：广陵路～苏北医院南门）</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7342.5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南通东西路（含圣心广场）（起止点：广陵路～苏北医院南门）</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胸径20cm以内大叶女贞、榔榆</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南通东西路（含圣心广场）（起止点：广陵路～苏北医院南门）</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胸径20-40cm法桐、柳树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泰州路（起止点：广陵路-盐阜东路）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1320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泰州路（起止点：广陵路-盐阜东路）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胸径20-40cm香樟、银杏、法桐、大叶女贞</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泰州路（起止点：广陵路-盐阜东路）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胸径40cm以上大叶女贞</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广陵路（起止点：泰州路～国庆路、广陵路10号-1门前）</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3635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广陵路（起止点：泰州路～国庆路、广陵路10号-1门前）</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胸径20cm以内枫杨、大叶女贞、桂花</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广陵路（起止点：泰州路～国庆路、广陵路10号-1门前）</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胸径20-40cm法桐、广玉兰</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万寿街沿线（起止点：万寿街沿线）</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胸径20cm以内樱花、腊梅、桂花</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保安巷 （保安巷36-2号、14号门前）</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保安巷 （保安巷36-2号、14号门前）</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胸径20cm以内桂花、苏铁、月季、香椿</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皮市街（起止点：广陵路～文昌中路）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安康路（起止点：运河北路～便益门桥）</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6468.8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安康路（起止点：运河北路～便益门桥）</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胸径20cm以内大叶女贞、榉树、银杏</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安康路（起止点：运河北路～便益门桥）</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前进路 （起止点：观潮路-纵三路）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前进路 （起止点：观潮路-纵三路）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胸径20cm以内栾树、香樟、朴树、石楠树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太平路（起止点：万福路～运河北路）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颐和路 （起止点：观潮路-扬州闸）</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胸径20-40cm栾树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五里庙路（起止点：安康路～万福路）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五里庙路（起止点：安康路～万福路）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五里庙路（起止点：安康路～二里桥路）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五里庙路（起止点：安康路～二里桥路）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佳园路（起止点：观潮路～运河北路）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胸径20cm以内香樟、大叶女贞、广玉兰</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紫园路 （起止点：江都北路-众恒紫园）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紫园路 （起止点：江都北路-众恒紫园）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胸径20cm以内广玉兰、水杉</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紫园路 （起止点：江都北路-众恒紫园）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胸径20-40cm香樟、法桐</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运河佳园北侧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20619.3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观潮路（起止点：颐和路～二里桥路）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7903.6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观潮路（起止点：颐和路～二里桥路）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胸径20cm以内黄连木、栾树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观潮路（起止点：颐和路～二里桥路）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胸径20-40cm香樟、大叶女贞</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观潮路（起止点：二里桥路～运河西路）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观潮路（起止点：二里桥路～运河西路）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胸径20-40cm香樟、大叶女贞</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盐阜东路（起止点：国庆路～泰州路）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5595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盐阜东路（起止点：国庆路～泰州路）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胸径20cm以内大叶女贞</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盐阜东路（起止点：国庆路～泰州路）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胸径20-40cm银杏、香樟、榉树、枫杨、法桐</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江都路（起止点：万福路～二里桥路）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10815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江都路（起止点：万福路～二里桥路）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胸径20cm以内大叶女贞、广玉兰、水杉</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江都路（起止点：万福路～二里桥路）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胸径20-40cm法桐、香樟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江都路（起止点：万福路～二里桥路）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胸径40cm以上白杨</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江都北路（起止点：万福路～江都大桥中段）</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4433.22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江都北路（起止点：万福路～江都大桥中段）</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胸径20-40cm香樟、榉树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江都路（起止点：二里桥路～运河西路）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10980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江都路（起止点：二里桥路～运河西路）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胸径20cm以内大叶女贞</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江都路（起止点：二里桥路～运河西路）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胸径20-40cm法桐、香樟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江都南路（起止点：运河西路～开发路）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9030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江都南路（起止点：运河西路～开发路）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胸径20cm以内榉树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江都南路（起止点：运河西路～开发路）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胸径20-40cm法桐、香樟、榆树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万福西路节点五台山大桥东侧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4735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万福路东天桥南侧节点</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6672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万福西路节点小波饭店南侧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5391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万福西路节点（金辉优步北侧围墙外）</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25117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古运新苑围墙外绿地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运河名城锦园围墙外绿地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群发小区围墙外绿地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运河水榭围墙外绿地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1875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运河宝龙官邸围墙外北侧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3448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万福西路：扬州市航道管理处-技师学院交叉口节点（起止点：扬州市航道管理处北侧；扬州技师学院东校区西南2门）</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万福西路：扬州市航道管理处-技师学院交叉口节点（起止点：扬州市航道管理处北侧；扬州技师学院东校区西南2门）</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胸径20cm以内石楠树、茶梅树、垂丝海棠</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万福西路：扬州市航道管理处-技师学院交叉口节点（起止点：扬州市航道管理处北侧；扬州技师学院东校区西南2门）</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江扬大桥西北角绿地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江阳路两侧绿化（起止点：通扬桥-渡江路两侧）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10214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3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江阳路两侧绿化（起止点：通扬桥-渡江路两侧）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胸径20cm以内大叶女贞、栾树、水杉、棕榈、樱花、红帆、紫叶李、梅花、雪松、紫薇、垂丝海棠</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江阳路两侧绿化（起止点：通扬桥-渡江路两侧）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胸径20-40cm以内朴树、大叶女贞、香樟、银杏、乌桕、桂花</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江阳东路-徐凝门路交叉口东北角</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4477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万福大桥西北角绿地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34937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解放北路(起止点：文昌中路～江都路)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4440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解放北路(起止点：文昌中路～江都路)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胸径20cm以内大叶女贞、桂花</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解放北路(起止点：文昌中路～江都路)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胸径20-40cm以内香樟、栾树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解放北路(起止点：文昌中路～江都路)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胸径40cm以上香樟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解放南路(起止点：文昌中路～运河西路)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7364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解放南路(起止点：文昌中路～运河西路)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胸径20cm以内大叶女贞、香樟、桂花</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解放南路(起止点：文昌中路～运河西路)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胸径20-40cm以内法桐</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解放南路(起止点：文昌中路～运河西路)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胸径40cm以上香樟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解放桥东格林豪泰门口</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二里桥路(起止点：江都路～运河北路)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13312.25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二里桥路(起止点：江都路～运河北路)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胸径20cm以内大叶女贞、桂花、紫荆</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二里桥路(起止点：江都路～运河北路)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胸径20-40cm以内栾树、紫薇</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东花园路(起止点：江阳东路～汤汪中学)</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682.32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东花园路(起止点：江阳东路～汤汪中学)</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樟、大叶女贞、枇杷、紫叶李、碧桃、银杏、金叶榆</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东花园路(起止点：江阳东路～汤汪中学)</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胸径20-40cm以内广玉兰、雪松</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东花园东路(起止点：施井路～七里河边)</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东花园东路(起止点：施井路～七里河边)</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胸径20cm以内大叶女贞</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施井路-好友烧烤节点(起止点：东花园东路～江阳东路交叉口)</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4094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立新路(起止点：江都路～解放南路)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胸径20-40cm以内法桐</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花园路(运河一品南侧)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花园路(运河一品南侧)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胸径20-40cm以内大叶女贞</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渡江南路-宝塔东路节点(七里河公园西北侧，马路西侧)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2011.2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渡江南路-开发东路（起止点：汉庭～开发路）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渡江南路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18572.54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渡江南路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胸径20cm以内碧桃、垂丝海棠、大叶女贞、红枫、栾树、朴树、石楠、乌桕、香樟、银杏、紫荆、紫薇、紫叶李</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渡江南路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胸径20-40cm以内广玉兰、桂花、栾树、朴树、香樟、雪松</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连运路（起止点：大学南路～运河南路）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11158.8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连运路（起止点：大学南路～运河南路）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胸径20cm以内香樟、山茶、紫薇、高杆月季、银杏</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连运路（起止点：大学南路～运河南路）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胸径20-40cm以内桂花</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滨河路(起止点：运河东路～扬霍路)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6480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滨河路(起止点：运河东路～扬霍路)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胸径20-40cm以内栾树、香樟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滨河路(起止点：运河东路～扬霍路)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胸径40cm以上香樟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联谊路(起止点：江阳东路～连运路)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胸径20-40cm以内法桐</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联谊南路(起止点：连运路～同心河)</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联谊南路(起止点：连运路～同心河)</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胸径20cm以内七叶树、皂荚、旱柳、樱花、垂丝海棠、石楠</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联谊南路(起止点：连运路～同心河)</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胸径20-40cm以内栾树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开发路(起止点：渡江南路～三湾大桥，杉湾路-杉湾大桥)</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45497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126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开发路(起止点：渡江南路～三湾大桥，杉湾路-杉湾大桥)</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胸径20cm以内栾树、大叶女贞、黄金槐、银杏、黑松、日本柳杉、桂花、紫薇、碧桃、鸡爪槭、紫叶李、樱花、朴树、小蜡</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开发路(起止点：渡江南路～三湾大桥，杉湾路-杉湾大桥)</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胸径20-40cm以内香樟、榔榆、乌桕、桂花</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杉湾路(起止点：开发东路～连运路)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胸径20cm以内香樟、大叶女贞</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九龙路(起止点：开发东路～九龙花园南)</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文峰路(起止点：江阳路～宝塔路)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胸径20cm以内香樟、大叶女贞</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文峰路（起止点：宝塔东路-开发路）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胸径20cm以内乔木</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文峰路（朱自清中学-扬农化工厂门口）</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胸径20-40cm大叶女贞</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尚文路(起止点：文峰河路～渡江南路)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胸径20-40cm以内栾树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尚文路(起止点：文苑路～连运苑)</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尚文路(起止点：文苑路～连运苑)</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胸径20cm以内乔木</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文峰河路(起止点：开发东路～连运西路)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胸径20-40cm以内栾树、香樟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文峰河路(连运路-跃进河路)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文峰河路(连运路-跃进河路)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胸径20cm以内榉树、亮晶女贞狼牙棒</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文峰河路(连运路-跃进河路)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胸径20-40cm以内栾树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文峰河路（开发东路-连运路）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文峰河路（开发东路-连运路）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胸径20cm以内栾树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横九路（文峰北路-文峰河路）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横九路（文峰北路-文峰河路）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胸径20-40cm以内榉树、亮晶女贞狼牙棒</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也今东南-纵一路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615.7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也今东南-纵一路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胸径20cm以内栾树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新328国道两侧绿化(起止点：328国道南侧古运河～临江路)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129100.94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古运河东岸杉湾公园南侧绿地(起止点：古运河大桥东南侧)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13476.56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新328国道两侧绿化(起止点：328国道北侧绿化、临江路～运河南路)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108495.91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金鱼塘路(起止点：开发东路-江阳路)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金鱼塘路(起止点：开发东路-宝塔路)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文峰小学场外绿化(文峰小学外围)</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5018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运河南路与328节点绿地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163012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渡江路节点（天瑞府西侧）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16283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运河南路（起止点：交通一队～通运闸）</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14815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运河南路（起止点：通运闸-运河西路）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14705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运河南路（起止点：通运闸-运河西路）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开发东路两侧（起止点：渡江南路～运河南路）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2796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开发东路两侧（起止点：渡江南路～运河南路）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胸径20cm以内合欢、红枫、女贞、栾树、丛生金桂、早樱</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荷花池路南三角绿岛</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杉湾花园围墙外围绿地（起止点：开发东路）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大水湾公园对面（江阳路广陵区东花园大水湾公园东50米）</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文昌路与观潮路交叉口西节点（文昌路与观潮路交叉口西侧鸿泰家园支河北侧）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文昌路与观潮路交叉口东节点（文昌路与观潮路交叉口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东侧鸿泰家园支河南侧)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汤汪高速出口两边绿地（运河南路西侧)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49228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运河东路（和昌运河东郡侧围)</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7112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运河东路（和昌运河东郡东北三角绿地）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2798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运河东路（星雨华府侧围，临湾路东侧）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9650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万福路（京杭路-临湾路 路南侧围、临湾路-沙湾北路 路南侧围）</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8209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运河路北侧退让带</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15330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北护城河（起止点：便益门一盆景园(河道以南绿地)）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小秦淮河（起止点：北水关桥一龙头关）</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文昌路两侧边线以外绿地（起止点：文昌大桥-二道河）</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34000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文汇路（起止点：淮海路-放鹤桥）</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古运河（五台山医院一扬农化工集团(河道以东、以南)、大王庙一嘉荷苑(河道以西、以北)）</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运河东西路（运河东西路(沙湾路一跃进桥)）</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83000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江阳东路（起止点：运河西路-渡江路）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运河南路延伸段（鼎兴路以北 330 米一横沟河）</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运河快速路侧围（起止点：七里河路-江广互通）</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44600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运河快速路侧围（起止点：江广互通-水榭路）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运河快速路侧围（起止点：水榭路-京杭运河西侧）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江广路侧围（起止点：外滩路-临湾路南侧)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江广路侧围(起止点：外滩路-临湾路北侧)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江广路侧围(起止点：临湾路-滨水路)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116500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1号地块（汤汪高速出口南侧）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20146.21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2号地块（汤汪高速出口南侧）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18552.5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328匝道出入口（汤汪高速出口南侧）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17815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汤汪收费站北侧高架下</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3360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横二路（扬州市商贸物流园横二路）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3165.12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渡江南路（起止点：连运路-开发东路段）</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4084.55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施井路（起止点：江阳路-运河南路）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2758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328国道与江都路交叉口西北角节点</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大学南路（运河三湾风景区周边区域）</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48981.82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渡江路（起止点：南通西路～甘泉路）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渡江路（起止点：南通西路～甘泉路）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胸径20-40cm以内法桐</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渡江路（起止点：南通西路-江阳路）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渡江路（起止点：南通西路-江阳路）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胸径20-40cm以内榉树、亮晶女贞狼牙棒</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观潮路南延</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观潮路南延</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胸径20-40cm以内榉树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江都南路（起止点：开发路-328国道）</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8885.9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江都南路（起止点：开发路-328国道）</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胸径20-40cm以内香樟、银杏、乌桕</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中心路（起止点：团结路-七里河北路）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中心路（起止点：团结路-七里河北路）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胸径20-40cm以内榉树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香居路（起止点：施井路-七里河北路）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香居路（起止点：施井路-七里河北路）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胸径20-40cm以内乔木</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新村路（起止点：开发东路-通运路）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新村路（起止点：开发东路-通运路）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胸径20cm以内栾树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团结路东延(起止点：曲江南路-运河南路)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团结路东延(起止点：曲江南路-运河南路)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胸径20-40cm以内栾树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勤学路（起止点：东花园东路-东花园路）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勤学路（起止点：东花园东路-东花园路）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胸径20cm以内香樟</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勤学路（起止点：东花园路-小运河路）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勤学路（起止点：东花园路-小运河路）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胸径20cm以内榉树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小运河路（起止点：勤学路-开发路）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1951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小运河路（起止点：勤学路-开发路）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胸径20cm以内栾树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小运河路（起止点：勤学路-开发路）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胸径20-40cm以内垂柳</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小运河路（起止点：开发路-文苑路）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4051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小运河路（起止点：开发路-文苑路）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胸径20cm以内栾树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小运河路（起止点：开发路-文苑路）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胸径20-40cm以内垂柳</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小运河路（起止点：文苑路-连运苑）</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6116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小运河路（起止点：文苑路-连运苑）</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胸径20cm以内栾树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九境融园小区周边（融园路、江涛路）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668.57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九境融园小区周边（融园路、江涛路）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胸径20-40cm以内榉树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西庄路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西庄路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胸径20cm以内榉树</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颐和路与观潮路交叉口绿地</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大学南路（起止点：开发东路至文峰大桥中段）</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7315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行道树养护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大学南路（起止点：开发东路至文峰大桥中段）</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胸径20cm以内乌桕、桂花</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蓝湾学府路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2046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国防主题公园（起止点：七里河北路～运河南路）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35122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跃进河公园一期（起止点：渡江南路～大学南路）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29828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跃进河公园二期（东至渡江路，西至大学南路，沿跃进河两侧，328国道北侧）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66000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广陵湾公园（起止点：太平路～高桥路）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68332</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通扬桥西北角口袋公园（起止点：通扬桥北侧）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7885.7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通扬桥西南角口袋公园（起止点：通扬桥西南侧）</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884.6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大水湾公园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35787</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七里河公园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103275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文峰寺公园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3789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万福锦园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16634</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二里桥公园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施井路公园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15779.3</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小运河公园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20116.5</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文峰小学公园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8626</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同心河公园（起止点：渡江南路～运河南路）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189740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曲江公园（起止点：观潮路～运河南路）</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158000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万福西路加油站两侧公园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4369</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万福西路高职校南侧公园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17918</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广陵区东岳巷口袋公园、沙施河口袋公园等48个口袋公园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18871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影园春公园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江都路口袋公园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江都路法治公园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苗木养护</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联发君悦首府东侧口袋公园</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三级养护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病虫害防治</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全域养护路段</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2434678.01</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对全域绿地及道路退让带、侧围使用高效、低毒农药进行防治，不得发生药害</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飞絮治理</w:t>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全域养护路段</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棵</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全域养护路段飞絮治理每棵树考虑5支药水</w:t>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9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养护费用总计</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pStyle w:val="1198"/>
        <w:ind w:firstLine="420"/>
        <w:jc w:val="both"/>
        <w:keepLines w:val="0"/>
        <w:keepNext w:val="0"/>
        <w:pageBreakBefore w:val="0"/>
        <w:spacing w:before="0" w:beforeAutospacing="0" w:after="0" w:afterAutospacing="0"/>
        <w:widowControl w:val="off"/>
        <w:rPr>
          <w:rFonts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rPr>
      </w:r>
      <w:r/>
    </w:p>
    <w:p>
      <w:pPr>
        <w:pStyle w:val="1198"/>
        <w:ind w:firstLine="420"/>
        <w:jc w:val="both"/>
        <w:keepLines w:val="0"/>
        <w:keepNext w:val="0"/>
        <w:pageBreakBefore w:val="0"/>
        <w:spacing w:before="0" w:beforeAutospacing="0" w:after="0" w:afterAutospacing="0"/>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rPr>
        <w:t xml:space="preserve">备注：</w:t>
      </w:r>
      <w:r/>
    </w:p>
    <w:p>
      <w:pPr>
        <w:pStyle w:val="1198"/>
        <w:ind w:firstLine="420"/>
        <w:jc w:val="both"/>
        <w:keepLines w:val="0"/>
        <w:keepNext w:val="0"/>
        <w:pageBreakBefore w:val="0"/>
        <w:spacing w:before="0" w:beforeAutospacing="0" w:after="0" w:afterAutospacing="0"/>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rPr>
        <w:t xml:space="preserve">1.投标报价采用总承包方式，“投标总报价”应包括采购人需求的服务（包含与服务相关的货物）价格</w:t>
      </w:r>
      <w:r>
        <w:rPr>
          <w:rFonts w:hint="eastAsia" w:ascii="宋体" w:hAnsi="宋体" w:cs="宋体"/>
          <w:color w:val="auto"/>
          <w:sz w:val="21"/>
          <w:szCs w:val="21"/>
          <w:highlight w:val="none"/>
          <w:lang w:val="en-US" w:eastAsia="zh-CN"/>
        </w:rPr>
        <w:t xml:space="preserve">和</w:t>
      </w:r>
      <w:r>
        <w:rPr>
          <w:rFonts w:ascii="宋体" w:hAnsi="宋体" w:eastAsia="宋体" w:cs="宋体"/>
          <w:color w:val="auto"/>
          <w:sz w:val="21"/>
          <w:szCs w:val="21"/>
          <w:highlight w:val="none"/>
        </w:rPr>
        <w:t xml:space="preserve">所有相关税金费用及为完成整个项目所产生的其它所有费用，招标文件另有规定的除外。</w:t>
      </w:r>
      <w:r/>
    </w:p>
    <w:p>
      <w:pPr>
        <w:pStyle w:val="1198"/>
        <w:ind w:firstLine="420"/>
        <w:jc w:val="both"/>
        <w:keepLines w:val="0"/>
        <w:keepNext w:val="0"/>
        <w:pageBreakBefore w:val="0"/>
        <w:spacing w:before="0" w:beforeAutospacing="0" w:after="0" w:afterAutospacing="0"/>
        <w:widowControl w:val="off"/>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rPr>
        <w:t xml:space="preserve">2.“投标分项报价表”中“投标总报价”数额应当与“开标一览表”中“投标总报价”数额一致。</w:t>
      </w:r>
      <w:r/>
    </w:p>
    <w:p>
      <w:pPr>
        <w:ind w:firstLine="420"/>
        <w:keepLines w:val="0"/>
        <w:keepNext w:val="0"/>
        <w:pageBreakBefore w:val="0"/>
        <w:widowControl w:val="off"/>
        <w:rPr>
          <w:rFonts w:ascii="宋体" w:hAnsi="宋体" w:eastAsia="宋体" w:cs="宋体"/>
          <w:color w:val="auto"/>
          <w:sz w:val="21"/>
          <w:szCs w:val="21"/>
          <w:highlight w:val="none"/>
        </w:rPr>
        <w:sectPr>
          <w:headerReference w:type="default" r:id="rId12"/>
          <w:footnotePr/>
          <w:endnotePr/>
          <w:type w:val="nextPage"/>
          <w:pgSz w:w="16838" w:h="11906" w:orient="landscape"/>
          <w:pgMar w:top="1800" w:right="1440" w:bottom="1800" w:left="1440" w:header="851" w:footer="992" w:gutter="0"/>
          <w:cols w:num="1" w:sep="0" w:space="720" w:equalWidth="1"/>
          <w:docGrid w:linePitch="360"/>
        </w:sectPr>
      </w:pPr>
      <w:r>
        <w:rPr>
          <w:rFonts w:ascii="宋体" w:hAnsi="宋体" w:eastAsia="宋体" w:cs="宋体"/>
          <w:color w:val="auto"/>
          <w:sz w:val="21"/>
          <w:szCs w:val="21"/>
          <w:highlight w:val="none"/>
        </w:rPr>
        <w:t xml:space="preserve">3. 项目经办人可以根据项目实际需要对表格结构进行调整。</w:t>
      </w:r>
      <w:r/>
    </w:p>
    <w:p>
      <w:pPr>
        <w:ind w:firstLine="480"/>
        <w:keepLines w:val="0"/>
        <w:keepNext w:val="0"/>
        <w:pageBreakBefore w:val="0"/>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附件3            </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技术要求响应及偏离表</w:t>
      </w:r>
      <w:r/>
    </w:p>
    <w:tbl>
      <w:tblPr>
        <w:tblStyle w:val="11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2961"/>
        <w:gridCol w:w="1527"/>
        <w:gridCol w:w="1408"/>
        <w:gridCol w:w="2001"/>
      </w:tblGrid>
      <w:tr>
        <w:trPr>
          <w:cantSplit/>
        </w:trPr>
        <w:tc>
          <w:tcPr>
            <w:tcW w:w="36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737" w:type="pct"/>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项目名称</w:t>
            </w:r>
            <w:r/>
          </w:p>
        </w:tc>
        <w:tc>
          <w:tcPr>
            <w:tcW w:w="896"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技术要求</w:t>
            </w:r>
            <w:r/>
          </w:p>
        </w:tc>
        <w:tc>
          <w:tcPr>
            <w:tcW w:w="826"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W w:w="1174"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365" w:type="pct"/>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737" w:type="pct"/>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绿化养护管理制度与档案管理要求</w:t>
            </w:r>
            <w:r/>
          </w:p>
        </w:tc>
        <w:tc>
          <w:tcPr>
            <w:tcW w:w="89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737" w:type="pct"/>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季节养护及病虫害防治</w:t>
            </w:r>
            <w:r>
              <w:rPr>
                <w:rFonts w:hint="eastAsia" w:ascii="宋体" w:hAnsi="宋体" w:cs="宋体"/>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飞絮治理</w:t>
            </w:r>
            <w:r>
              <w:rPr>
                <w:rFonts w:hint="eastAsia" w:ascii="宋体" w:hAnsi="宋体" w:eastAsia="宋体" w:cs="宋体"/>
                <w:color w:val="auto"/>
                <w:sz w:val="21"/>
                <w:szCs w:val="21"/>
                <w:highlight w:val="none"/>
                <w:lang w:val="en-US" w:eastAsia="zh-CN"/>
              </w:rPr>
              <w:t xml:space="preserve">工作要求</w:t>
            </w:r>
            <w:r/>
          </w:p>
        </w:tc>
        <w:tc>
          <w:tcPr>
            <w:tcW w:w="89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737" w:type="pct"/>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人员组织管理及专业工种配置要求</w:t>
            </w:r>
            <w:r/>
          </w:p>
        </w:tc>
        <w:tc>
          <w:tcPr>
            <w:tcW w:w="89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737" w:type="pct"/>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各类突发事件应急工作要求</w:t>
            </w:r>
            <w:r/>
          </w:p>
        </w:tc>
        <w:tc>
          <w:tcPr>
            <w:tcW w:w="89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1737" w:type="pct"/>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绿化养护优化管理建议要求</w:t>
            </w:r>
            <w:r/>
          </w:p>
        </w:tc>
        <w:tc>
          <w:tcPr>
            <w:tcW w:w="89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1737" w:type="pct"/>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现场作业安全管理保障要求</w:t>
            </w:r>
            <w:r/>
          </w:p>
        </w:tc>
        <w:tc>
          <w:tcPr>
            <w:tcW w:w="89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737" w:type="pct"/>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苗木巡查管护及成活率保障要求</w:t>
            </w:r>
            <w:r/>
          </w:p>
        </w:tc>
        <w:tc>
          <w:tcPr>
            <w:tcW w:w="89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737" w:type="pct"/>
            <w:textDirection w:val="lrTb"/>
            <w:noWrap w:val="false"/>
          </w:tcPr>
          <w:p>
            <w:pPr>
              <w:jc w:val="both"/>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4"/>
                <w:highlight w:val="none"/>
              </w:rPr>
              <w:t xml:space="preserve">…… </w:t>
            </w:r>
            <w:r/>
          </w:p>
        </w:tc>
        <w:tc>
          <w:tcPr>
            <w:tcW w:w="89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65"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1737" w:type="pct"/>
            <w:textDirection w:val="lrTb"/>
            <w:noWrap w:val="false"/>
          </w:tcPr>
          <w:p>
            <w:pPr>
              <w:jc w:val="both"/>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w:t>
            </w:r>
            <w:r/>
          </w:p>
        </w:tc>
        <w:tc>
          <w:tcPr>
            <w:tcW w:w="89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6"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4"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附件3-1  证明材料1，证明材料2，……</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需对技术要求（未加斜体下划线的非实质性要求）逐条做出明确响应。</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需将证明材料列于该表之下。</w:t>
      </w:r>
      <w:r/>
    </w:p>
    <w:p>
      <w:pPr>
        <w:rPr>
          <w:rFonts w:hint="eastAsia" w:ascii="宋体" w:hAnsi="宋体" w:eastAsia="宋体" w:cs="宋体"/>
          <w:b/>
          <w:bCs/>
          <w:i/>
          <w:color w:val="auto"/>
          <w:sz w:val="22"/>
          <w:szCs w:val="22"/>
          <w:highlight w:val="none"/>
          <w:u w:val="single"/>
        </w:rPr>
        <w:sectPr>
          <w:head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i/>
          <w:color w:val="auto"/>
          <w:sz w:val="22"/>
          <w:szCs w:val="22"/>
          <w:highlight w:val="none"/>
          <w:u w:val="singl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附件4             </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商务要求响应及偏离表</w:t>
      </w:r>
      <w:r>
        <w:rPr>
          <w:rFonts w:hint="eastAsia" w:ascii="宋体" w:hAnsi="宋体" w:eastAsia="宋体" w:cs="宋体"/>
          <w:color w:val="auto"/>
          <w:sz w:val="24"/>
          <w:szCs w:val="24"/>
          <w:highlight w:val="none"/>
        </w:rPr>
        <w:t xml:space="preserve"> </w:t>
      </w:r>
      <w:r/>
    </w:p>
    <w:tbl>
      <w:tblPr>
        <w:tblStyle w:val="11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2023"/>
        <w:gridCol w:w="2023"/>
        <w:gridCol w:w="2301"/>
        <w:gridCol w:w="1506"/>
      </w:tblGrid>
      <w:tr>
        <w:trPr>
          <w:cantSplit/>
        </w:trPr>
        <w:tc>
          <w:tcPr>
            <w:tcW w:w="391"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187" w:type="pct"/>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项目名称</w:t>
            </w:r>
            <w:r/>
          </w:p>
        </w:tc>
        <w:tc>
          <w:tcPr>
            <w:tcW w:w="118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商务要求</w:t>
            </w:r>
            <w:r/>
          </w:p>
        </w:tc>
        <w:tc>
          <w:tcPr>
            <w:tcW w:w="1350"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W w:w="88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391"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187"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项目概况</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1187"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服务内容</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1187"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合同履行期限</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1187" w:type="pct"/>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付款方式</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1187" w:type="pct"/>
            <w:textDirection w:val="lrTb"/>
            <w:noWrap w:val="false"/>
          </w:tcPr>
          <w:p>
            <w:pPr>
              <w:jc w:val="both"/>
              <w:spacing w:line="4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391"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1187" w:type="pct"/>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其他</w:t>
            </w:r>
            <w:r/>
          </w:p>
        </w:tc>
        <w:tc>
          <w:tcPr>
            <w:tcW w:w="1187"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3" w:type="pc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附件4-1  证明材料1，证明材料2，……</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需对商务要求（未加斜体下划线的非实质性要求）逐条做出明确响应。</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需将证明材料列于该表之下。</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spacing w:line="460" w:lineRule="exact"/>
        <w:rPr>
          <w:rFonts w:hint="eastAsia" w:ascii="宋体" w:hAnsi="宋体" w:eastAsia="宋体" w:cs="宋体"/>
          <w:b/>
          <w:color w:val="auto"/>
          <w:sz w:val="24"/>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1"/>
          <w:highlight w:val="none"/>
        </w:rPr>
      </w:r>
      <w:r/>
    </w:p>
    <w:p>
      <w:pPr>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附件5                    </w:t>
      </w:r>
      <w:r/>
    </w:p>
    <w:p>
      <w:pPr>
        <w:jc w:val="center"/>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法人授权书</w:t>
      </w:r>
      <w:r/>
    </w:p>
    <w:p>
      <w:pPr>
        <w:pStyle w:val="119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名称）授权________________（被授权人的姓名）为我方就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项目采购活动的合法代理人，以本单位名义全权处理一切与该项目采购有关的事务。</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被授权人联系电话：（手机）</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被授权人电子邮箱：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rPr>
          <w:rFonts w:hint="eastAsia" w:ascii="宋体" w:hAnsi="宋体" w:eastAsia="宋体" w:cs="宋体"/>
          <w:color w:val="auto"/>
          <w:highlight w:val="none"/>
        </w:rPr>
      </w:pPr>
      <w:r>
        <w:rPr>
          <w:rFonts w:hint="eastAsia" w:ascii="宋体" w:hAnsi="宋体" w:eastAsia="宋体" w:cs="宋体"/>
          <w:b/>
          <w:color w:val="auto"/>
          <w:szCs w:val="44"/>
          <w:highlight w:val="none"/>
        </w:rPr>
        <w:br w:type="page" w:clear="all"/>
      </w:r>
      <w:r>
        <w:rPr>
          <w:rFonts w:hint="eastAsia" w:ascii="宋体" w:hAnsi="宋体" w:eastAsia="宋体" w:cs="宋体"/>
          <w:b/>
          <w:bCs/>
          <w:color w:val="auto"/>
          <w:sz w:val="24"/>
          <w:szCs w:val="24"/>
          <w:highlight w:val="none"/>
        </w:rPr>
        <w:t xml:space="preserve">附件6</w:t>
      </w:r>
      <w:r/>
    </w:p>
    <w:p>
      <w:pPr>
        <w:ind w:left="0" w:firstLine="482"/>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投标函</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江苏远锐工程管理咨询有限公司</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号招标文件，正式授权下述签字人_____(姓名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代表我方_______（</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的名称），全权处理本次项目投标的有关事宜。</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按照</w:t>
      </w:r>
      <w:r>
        <w:rPr>
          <w:rFonts w:hint="eastAsia" w:ascii="宋体" w:hAnsi="宋体" w:eastAsia="宋体" w:cs="宋体"/>
          <w:color w:val="auto"/>
          <w:sz w:val="21"/>
          <w:szCs w:val="21"/>
          <w:highlight w:val="none"/>
        </w:rPr>
        <w:t xml:space="preserve">招标文件规定的各项要求，向买方提供所需的服务。</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我方将根据招标文件的规定，严格履行合同的责任和义务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并保证在招标文件规定的时间完成项目，交付买方验收、使用。</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开户行：</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期：______年____月____日</w:t>
      </w:r>
      <w:r/>
    </w:p>
    <w:p>
      <w:pPr>
        <w:pStyle w:val="1199"/>
        <w:ind w:left="0"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pStyle w:val="1199"/>
        <w:ind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附件7           </w:t>
      </w:r>
      <w:r/>
    </w:p>
    <w:p>
      <w:pPr>
        <w:pStyle w:val="1199"/>
        <w:ind w:firstLine="0"/>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1"/>
          <w:highlight w:val="none"/>
        </w:rPr>
        <w:t xml:space="preserve">主要标的信息（中标后将公示）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全称：            </w:t>
      </w:r>
      <w:r/>
    </w:p>
    <w:tbl>
      <w:tblPr>
        <w:tblStyle w:val="1192"/>
        <w:tblW w:w="76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9"/>
      </w:tblGrid>
      <w:tr>
        <w:trPr>
          <w:jc w:val="center"/>
          <w:trHeight w:val="375"/>
        </w:trPr>
        <w:tc>
          <w:tcPr>
            <w:tcW w:w="7669"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w:t>
            </w:r>
            <w:r/>
          </w:p>
        </w:tc>
      </w:tr>
      <w:tr>
        <w:trPr>
          <w:jc w:val="center"/>
          <w:trHeight w:val="2395"/>
        </w:trPr>
        <w:tc>
          <w:tcPr>
            <w:tcW w:w="7669"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服务范围：</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服务要求：</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服务时间：</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服务标准：</w:t>
            </w:r>
            <w:r/>
          </w:p>
        </w:tc>
      </w:tr>
    </w:tbl>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482"/>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199"/>
        <w:ind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pStyle w:val="1199"/>
        <w:ind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附件8</w:t>
      </w:r>
      <w:r/>
    </w:p>
    <w:p>
      <w:pPr>
        <w:ind w:firstLine="120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具备履行合同所必需的设备和专业技术能力的书面声明</w:t>
      </w:r>
      <w:r/>
    </w:p>
    <w:p>
      <w:pPr>
        <w:ind w:firstLine="0"/>
        <w:keepLines w:val="0"/>
        <w:keepNext w:val="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主要专业技术能力有：</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ind w:firstLine="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p>
      <w:pPr>
        <w:ind w:firstLine="0"/>
        <w:keepLines w:val="0"/>
        <w:keepNext w:val="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0"/>
        <w:jc w:val="right"/>
        <w:keepLines w:val="0"/>
        <w:keepNext w:val="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pStyle w:val="1199"/>
        <w:ind w:firstLine="0"/>
        <w:rPr>
          <w:rFonts w:hint="eastAsia" w:ascii="宋体" w:hAnsi="宋体" w:eastAsia="宋体" w:cs="宋体"/>
          <w:b/>
          <w:color w:val="auto"/>
          <w:sz w:val="24"/>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1"/>
          <w:highlight w:val="none"/>
        </w:rPr>
      </w:r>
      <w:r/>
    </w:p>
    <w:p>
      <w:pPr>
        <w:pStyle w:val="1199"/>
        <w:ind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附件9</w:t>
      </w:r>
      <w:r>
        <w:rPr>
          <w:rFonts w:hint="eastAsia" w:ascii="宋体" w:hAnsi="宋体" w:eastAsia="宋体" w:cs="宋体"/>
          <w:bCs/>
          <w:color w:val="auto"/>
          <w:sz w:val="24"/>
          <w:szCs w:val="21"/>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参加政府采购活动前 3 年内在经营活动中没有重大违法记录的书面声明</w:t>
      </w:r>
      <w:r/>
    </w:p>
    <w:p>
      <w:pPr>
        <w:ind w:left="0" w:firstLine="482"/>
        <w:jc w:val="center"/>
        <w:keepLines w:val="0"/>
        <w:keepNext w:val="0"/>
        <w:pageBreakBefore w:val="0"/>
        <w:spacing w:line="360" w:lineRule="auto"/>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left="0"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left="0"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left="0"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left="0" w:firstLine="420"/>
        <w:jc w:val="righ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firstLine="482"/>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spacing w:line="500" w:lineRule="exact"/>
        <w:rPr>
          <w:rFonts w:hint="eastAsia" w:ascii="宋体" w:hAnsi="宋体" w:eastAsia="宋体" w:cs="宋体"/>
          <w:b/>
          <w:color w:val="auto"/>
          <w:sz w:val="24"/>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1"/>
          <w:highlight w:val="none"/>
        </w:rPr>
      </w:r>
      <w:r/>
    </w:p>
    <w:p>
      <w:pPr>
        <w:spacing w:line="50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附件10                     </w:t>
      </w:r>
      <w:r/>
    </w:p>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1"/>
          <w:highlight w:val="none"/>
        </w:rPr>
        <w:t xml:space="preserve">供应商信用承诺函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八、在“信用中国”和“中国政府采购网”网站中无严重失信记录；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承诺单位（加盖CA电子公章）：</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r/>
    </w:p>
    <w:p>
      <w:pPr>
        <w:jc w:val="right"/>
        <w:rPr>
          <w:rFonts w:hint="eastAsia" w:ascii="宋体" w:hAnsi="宋体" w:eastAsia="宋体" w:cs="宋体"/>
          <w:b/>
          <w:bCs/>
          <w:i/>
          <w:color w:val="auto"/>
          <w:sz w:val="21"/>
          <w:szCs w:val="21"/>
          <w:highlight w:val="none"/>
          <w:u w:val="singl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i/>
          <w:color w:val="auto"/>
          <w:sz w:val="21"/>
          <w:szCs w:val="21"/>
          <w:highlight w:val="none"/>
          <w:u w:val="single"/>
        </w:rPr>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附件11 </w:t>
      </w:r>
      <w:r/>
    </w:p>
    <w:p>
      <w:pPr>
        <w:ind w:firstLine="442"/>
        <w:jc w:val="center"/>
        <w:keepLines w:val="0"/>
        <w:keepNext w:val="0"/>
        <w:pageBreakBefore w:val="0"/>
        <w:spacing w:line="360" w:lineRule="auto"/>
        <w:widowControl w:val="off"/>
        <w:rPr>
          <w:rFonts w:hint="eastAsia" w:ascii="宋体" w:hAnsi="宋体" w:eastAsia="宋体" w:cs="宋体"/>
          <w:b/>
          <w:i w:val="0"/>
          <w:iCs w:val="0"/>
          <w:color w:val="auto"/>
          <w:sz w:val="22"/>
          <w:szCs w:val="22"/>
          <w:highlight w:val="none"/>
          <w:u w:val="none"/>
          <w:lang w:eastAsia="zh-CN"/>
        </w:rPr>
      </w:pPr>
      <w:r>
        <w:rPr>
          <w:rFonts w:hint="eastAsia" w:ascii="宋体" w:hAnsi="宋体" w:eastAsia="宋体" w:cs="宋体"/>
          <w:b/>
          <w:i w:val="0"/>
          <w:iCs w:val="0"/>
          <w:color w:val="auto"/>
          <w:sz w:val="22"/>
          <w:szCs w:val="22"/>
          <w:highlight w:val="none"/>
          <w:u w:val="none"/>
        </w:rPr>
        <w:t xml:space="preserve">中小企业声明函</w:t>
      </w:r>
      <w:r>
        <w:rPr>
          <w:rFonts w:hint="eastAsia" w:ascii="宋体" w:hAnsi="宋体" w:eastAsia="宋体" w:cs="宋体"/>
          <w:b/>
          <w:i w:val="0"/>
          <w:iCs w:val="0"/>
          <w:color w:val="auto"/>
          <w:sz w:val="22"/>
          <w:szCs w:val="22"/>
          <w:highlight w:val="none"/>
          <w:u w:val="none"/>
          <w:lang w:eastAsia="zh-CN"/>
        </w:rPr>
        <w:t xml:space="preserve">（</w:t>
      </w:r>
      <w:r>
        <w:rPr>
          <w:rFonts w:hint="eastAsia" w:ascii="宋体" w:hAnsi="宋体" w:eastAsia="宋体" w:cs="宋体"/>
          <w:b/>
          <w:i w:val="0"/>
          <w:iCs w:val="0"/>
          <w:color w:val="auto"/>
          <w:sz w:val="22"/>
          <w:szCs w:val="22"/>
          <w:highlight w:val="none"/>
          <w:u w:val="none"/>
          <w:lang w:val="en-US" w:eastAsia="zh-CN"/>
        </w:rPr>
        <w:t xml:space="preserve">服务类项目</w:t>
      </w:r>
      <w:r>
        <w:rPr>
          <w:rFonts w:hint="eastAsia" w:ascii="宋体" w:hAnsi="宋体" w:eastAsia="宋体" w:cs="宋体"/>
          <w:b/>
          <w:i w:val="0"/>
          <w:iCs w:val="0"/>
          <w:color w:val="auto"/>
          <w:sz w:val="22"/>
          <w:szCs w:val="22"/>
          <w:highlight w:val="none"/>
          <w:u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79" w:name="_Toc150519795"/>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b/>
          <w:i w:val="0"/>
          <w:iCs w:val="0"/>
          <w:color w:val="auto"/>
          <w:sz w:val="21"/>
          <w:szCs w:val="21"/>
          <w:highlight w:val="none"/>
          <w:u w:val="single"/>
          <w:lang w:val="en"/>
        </w:rPr>
        <w:t xml:space="preserve">（</w:t>
      </w:r>
      <w:r>
        <w:rPr>
          <w:rFonts w:hint="eastAsia" w:ascii="宋体" w:hAnsi="宋体" w:eastAsia="宋体" w:cs="宋体"/>
          <w:b/>
          <w:i w:val="0"/>
          <w:iCs w:val="0"/>
          <w:color w:val="auto"/>
          <w:sz w:val="21"/>
          <w:szCs w:val="21"/>
          <w:highlight w:val="none"/>
          <w:u w:val="single"/>
          <w:lang w:val="en-US" w:eastAsia="zh-CN"/>
        </w:rPr>
        <w:t xml:space="preserve">其他未列明行业</w:t>
      </w:r>
      <w:r>
        <w:rPr>
          <w:rFonts w:hint="eastAsia" w:ascii="宋体" w:hAnsi="宋体" w:eastAsia="宋体" w:cs="宋体"/>
          <w:b/>
          <w:i w:val="0"/>
          <w:iCs w:val="0"/>
          <w:color w:val="auto"/>
          <w:sz w:val="21"/>
          <w:szCs w:val="21"/>
          <w:highlight w:val="none"/>
          <w:u w:val="single"/>
          <w:lang w:val="en"/>
        </w:rPr>
        <w:t xml:space="preserve">）</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eastAsia="en-US"/>
        </w:rPr>
        <w:fldChar w:fldCharType="begin"/>
      </w:r>
      <w:r>
        <w:rPr>
          <w:rFonts w:hint="eastAsia" w:ascii="宋体" w:hAnsi="宋体" w:eastAsia="宋体" w:cs="宋体"/>
          <w:color w:val="auto"/>
          <w:spacing w:val="-1"/>
          <w:sz w:val="21"/>
          <w:szCs w:val="21"/>
          <w:highlight w:val="none"/>
          <w:vertAlign w:val="superscript"/>
        </w:rPr>
        <w:instrText xml:space="preserve"> HYPERLINK \l "br1" </w:instrText>
      </w:r>
      <w:r>
        <w:rPr>
          <w:rFonts w:hint="eastAsia" w:ascii="宋体" w:hAnsi="宋体" w:eastAsia="宋体" w:cs="宋体"/>
          <w:color w:val="auto"/>
          <w:sz w:val="21"/>
          <w:szCs w:val="21"/>
          <w:highlight w:val="none"/>
          <w:lang w:eastAsia="en-US"/>
        </w:rPr>
        <w:fldChar w:fldCharType="separate"/>
      </w:r>
      <w:r>
        <w:rPr>
          <w:rFonts w:hint="eastAsia" w:ascii="宋体" w:hAnsi="宋体" w:eastAsia="宋体" w:cs="宋体"/>
          <w:color w:val="auto"/>
          <w:spacing w:val="-1"/>
          <w:sz w:val="21"/>
          <w:szCs w:val="21"/>
          <w:highlight w:val="none"/>
          <w:vertAlign w:val="superscript"/>
        </w:rPr>
        <w:t xml:space="preserve">1</w:t>
      </w:r>
      <w:r>
        <w:rPr>
          <w:rFonts w:hint="eastAsia" w:ascii="宋体" w:hAnsi="宋体" w:eastAsia="宋体" w:cs="宋体"/>
          <w:color w:val="auto"/>
          <w:sz w:val="21"/>
          <w:szCs w:val="21"/>
          <w:highlight w:val="none"/>
          <w:lang w:eastAsia="en-US"/>
        </w:rPr>
        <w:fldChar w:fldCharType="end"/>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b/>
          <w:i w:val="0"/>
          <w:iCs w:val="0"/>
          <w:color w:val="auto"/>
          <w:sz w:val="21"/>
          <w:szCs w:val="21"/>
          <w:highlight w:val="none"/>
          <w:u w:val="single"/>
          <w:lang w:val="en"/>
        </w:rPr>
        <w:t xml:space="preserve">（</w:t>
      </w:r>
      <w:r>
        <w:rPr>
          <w:rFonts w:hint="eastAsia" w:ascii="宋体" w:hAnsi="宋体" w:eastAsia="宋体" w:cs="宋体"/>
          <w:b/>
          <w:i w:val="0"/>
          <w:iCs w:val="0"/>
          <w:color w:val="auto"/>
          <w:sz w:val="21"/>
          <w:szCs w:val="21"/>
          <w:highlight w:val="none"/>
          <w:u w:val="single"/>
          <w:lang w:val="en-US" w:eastAsia="zh-CN"/>
        </w:rPr>
        <w:t xml:space="preserve">其他未列明行业</w:t>
      </w:r>
      <w:r>
        <w:rPr>
          <w:rFonts w:hint="eastAsia" w:ascii="宋体" w:hAnsi="宋体" w:eastAsia="宋体" w:cs="宋体"/>
          <w:b/>
          <w:i w:val="0"/>
          <w:iCs w:val="0"/>
          <w:color w:val="auto"/>
          <w:sz w:val="21"/>
          <w:szCs w:val="21"/>
          <w:highlight w:val="none"/>
          <w:u w:val="single"/>
          <w:lang w:val="en"/>
        </w:rPr>
        <w:t xml:space="preserve">）</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ind w:firstLine="420"/>
        <w:jc w:val="righ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日 期：</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1.从业人员、营业收入、资产总额填报上一年度数据，无上一年度数据的新成立企业可不填报。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2.专门面向中小企业采购的项目，供应商如不提供此声明函，则不能通过资格审查；非专门面向中小企业采购的项目，供应商如不提供此声明函，价格将不做相应扣除。</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3.供应商应对照《工业和信息化部、国家统计局、国家发展和改革委员会、</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财政部关于印发中小企业划型标准规定的通知》(工信部联企业</w:t>
      </w:r>
      <w:r>
        <w:rPr>
          <w:rFonts w:hint="eastAsia" w:ascii="宋体" w:hAnsi="宋体" w:eastAsia="宋体" w:cs="宋体"/>
          <w:color w:val="auto"/>
          <w:sz w:val="21"/>
          <w:szCs w:val="21"/>
          <w:highlight w:val="none"/>
          <w:lang w:eastAsia="zh-CN"/>
        </w:rPr>
        <w:t xml:space="preserve">〔2011〕300号）</w:t>
      </w:r>
      <w:r>
        <w:rPr>
          <w:rFonts w:hint="eastAsia" w:ascii="宋体" w:hAnsi="宋体" w:eastAsia="宋体" w:cs="宋体"/>
          <w:color w:val="auto"/>
          <w:sz w:val="21"/>
          <w:szCs w:val="21"/>
          <w:highlight w:val="none"/>
        </w:rPr>
        <w:t xml:space="preserve">《国家统计局关于印发〈统计上大中小微型企业划分办法（2017）〉的通知》（国统字〔2017〕213号）的规定，自行勾选制造商的企业规模类型。    </w:t>
      </w:r>
      <w:r/>
    </w:p>
    <w:p>
      <w:pPr>
        <w:pStyle w:val="1207"/>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bCs/>
          <w:color w:val="auto"/>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1"/>
          <w:szCs w:val="21"/>
          <w:highlight w:val="none"/>
        </w:rPr>
        <w:t xml:space="preserve">中小微企业划型标准</w:t>
      </w:r>
      <w:bookmarkEnd w:id="79"/>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中小微企业划型标准如下：</w:t>
      </w:r>
      <w:r/>
    </w:p>
    <w:tbl>
      <w:tblPr>
        <w:tblStyle w:val="1192"/>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X＜10</w:t>
            </w:r>
            <w:r/>
          </w:p>
        </w:tc>
      </w:tr>
    </w:tbl>
    <w:p>
      <w:pPr>
        <w:ind w:firstLine="810"/>
        <w:jc w:val="left"/>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说明：上述标准参照《关于印发中小企业划型标准规定的通知》（工信部联企业</w:t>
      </w:r>
      <w:r>
        <w:rPr>
          <w:rFonts w:hint="eastAsia" w:ascii="宋体" w:hAnsi="宋体" w:eastAsia="宋体" w:cs="宋体"/>
          <w:b/>
          <w:color w:val="auto"/>
          <w:sz w:val="21"/>
          <w:szCs w:val="21"/>
          <w:highlight w:val="none"/>
          <w:lang w:eastAsia="zh-CN"/>
        </w:rPr>
        <w:t xml:space="preserve">〔2011〕300号</w:t>
      </w:r>
      <w:r>
        <w:rPr>
          <w:rFonts w:hint="eastAsia" w:ascii="宋体" w:hAnsi="宋体" w:eastAsia="宋体" w:cs="宋体"/>
          <w:b/>
          <w:color w:val="auto"/>
          <w:sz w:val="21"/>
          <w:szCs w:val="21"/>
          <w:highlight w:val="none"/>
        </w:rPr>
        <w:t xml:space="preserve">），大型、中型和小型企业须同时满足所列指标的下限，否则下划一档；微型企业只</w:t>
      </w:r>
      <w:r>
        <w:rPr>
          <w:rFonts w:hint="eastAsia" w:ascii="宋体" w:hAnsi="宋体" w:eastAsia="宋体" w:cs="宋体"/>
          <w:b/>
          <w:color w:val="auto"/>
          <w:sz w:val="21"/>
          <w:szCs w:val="21"/>
          <w:highlight w:val="none"/>
          <w:lang w:eastAsia="zh-CN"/>
        </w:rPr>
        <w:t xml:space="preserve">需</w:t>
      </w:r>
      <w:r>
        <w:rPr>
          <w:rFonts w:hint="eastAsia" w:ascii="宋体" w:hAnsi="宋体" w:eastAsia="宋体" w:cs="宋体"/>
          <w:b/>
          <w:color w:val="auto"/>
          <w:sz w:val="21"/>
          <w:szCs w:val="21"/>
          <w:highlight w:val="none"/>
        </w:rPr>
        <w:t xml:space="preserve">满足所列指标中的一项即可。</w:t>
      </w:r>
      <w:r/>
    </w:p>
    <w:p>
      <w:pP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24"/>
          <w:szCs w:val="21"/>
          <w:highlight w:val="none"/>
        </w:rPr>
        <w:t xml:space="preserve">附件12</w:t>
      </w:r>
      <w:r/>
    </w:p>
    <w:p>
      <w:pPr>
        <w:ind w:right="0" w:firstLine="482"/>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残疾人福利性单位声明函</w:t>
      </w:r>
      <w:r>
        <w:rPr>
          <w:rFonts w:hint="eastAsia" w:ascii="宋体" w:hAnsi="宋体" w:eastAsia="宋体" w:cs="宋体"/>
          <w:b/>
          <w:i w:val="0"/>
          <w:iCs w:val="0"/>
          <w:color w:val="auto"/>
          <w:sz w:val="24"/>
          <w:szCs w:val="24"/>
          <w:highlight w:val="none"/>
          <w:u w:val="none"/>
          <w:lang w:eastAsia="zh-CN"/>
        </w:rPr>
        <w:t xml:space="preserve">（</w:t>
      </w:r>
      <w:r>
        <w:rPr>
          <w:rFonts w:hint="eastAsia" w:ascii="宋体" w:hAnsi="宋体" w:eastAsia="宋体" w:cs="宋体"/>
          <w:b/>
          <w:i w:val="0"/>
          <w:iCs w:val="0"/>
          <w:color w:val="auto"/>
          <w:sz w:val="24"/>
          <w:szCs w:val="24"/>
          <w:highlight w:val="none"/>
          <w:u w:val="none"/>
          <w:lang w:val="en-US" w:eastAsia="zh-CN"/>
        </w:rPr>
        <w:t xml:space="preserve">服务类项目</w:t>
      </w:r>
      <w:r>
        <w:rPr>
          <w:rFonts w:hint="eastAsia" w:ascii="宋体" w:hAnsi="宋体" w:eastAsia="宋体" w:cs="宋体"/>
          <w:b/>
          <w:i w:val="0"/>
          <w:iCs w:val="0"/>
          <w:color w:val="auto"/>
          <w:sz w:val="24"/>
          <w:szCs w:val="24"/>
          <w:highlight w:val="none"/>
          <w:u w:val="none"/>
          <w:lang w:eastAsia="zh-CN"/>
        </w:rPr>
        <w:t xml:space="preserve">）</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lang w:eastAsia="zh-CN"/>
        </w:rPr>
        <w:t xml:space="preserve">〔2017〕141号</w:t>
      </w:r>
      <w:r>
        <w:rPr>
          <w:rFonts w:hint="eastAsia" w:ascii="宋体" w:hAnsi="宋体" w:eastAsia="宋体" w:cs="宋体"/>
          <w:color w:val="auto"/>
          <w:sz w:val="21"/>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项目采购活动提供本单位制造的</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，或者提供其他残疾人福利性单位制造的</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（不包括使用非残疾人福利性单位注册商标的</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rPr>
        <w:t xml:space="preserve">）。</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1.专门面向中小企业采购的项目，供应商为残疾人福利性单位并提供本单位制造的货物，或者提供其他残疾人福利性单位制造的货物，必须提供此声明函，否则将不能通过资格审查。</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非专门面向中小企业采购的项目，供应商如不提供此声明函，价格将不做相应扣除。</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3.中标/成交供应商为残疾人福利性单位的，此声明函将随中标/成交结果同时公告，接受社会监督。</w:t>
      </w:r>
      <w:r/>
    </w:p>
    <w:p>
      <w:pPr>
        <w:ind w:right="0" w:firstLine="444"/>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44"/>
        <w:jc w:val="right"/>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             </w:t>
      </w:r>
      <w:r>
        <w:rPr>
          <w:rFonts w:hint="eastAsia" w:ascii="宋体" w:hAnsi="宋体" w:eastAsia="宋体" w:cs="宋体"/>
          <w:color w:val="auto"/>
          <w:sz w:val="21"/>
          <w:szCs w:val="21"/>
          <w:highlight w:val="none"/>
        </w:rPr>
        <w:t xml:space="preserve">        供应商全称（加盖CA电子公章）：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  期：</w:t>
      </w:r>
      <w:r/>
    </w:p>
    <w:p>
      <w:pPr>
        <w:jc w:val="center"/>
        <w:spacing w:line="5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56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center"/>
        <w:spacing w:line="56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center"/>
        <w:spacing w:line="56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center"/>
        <w:spacing w:line="56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jc w:val="left"/>
        <w:spacing w:line="560" w:lineRule="exact"/>
        <w:rPr>
          <w:rFonts w:hint="eastAsia" w:ascii="宋体" w:hAnsi="宋体" w:eastAsia="宋体" w:cs="宋体"/>
          <w:b/>
          <w:color w:val="auto"/>
          <w:sz w:val="24"/>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1"/>
          <w:highlight w:val="none"/>
        </w:rPr>
      </w:r>
      <w:r/>
    </w:p>
    <w:p>
      <w:pPr>
        <w:jc w:val="left"/>
        <w:spacing w:line="560" w:lineRule="exact"/>
        <w:rPr>
          <w:rFonts w:hint="eastAsia" w:ascii="宋体" w:hAnsi="宋体" w:eastAsia="宋体" w:cs="宋体"/>
          <w:b/>
          <w:color w:val="auto"/>
          <w:sz w:val="22"/>
          <w:szCs w:val="22"/>
          <w:highlight w:val="none"/>
        </w:rPr>
      </w:pPr>
      <w:r>
        <w:rPr>
          <w:rFonts w:hint="eastAsia" w:ascii="宋体" w:hAnsi="宋体" w:eastAsia="宋体" w:cs="宋体"/>
          <w:b/>
          <w:color w:val="auto"/>
          <w:sz w:val="24"/>
          <w:szCs w:val="21"/>
          <w:highlight w:val="none"/>
        </w:rPr>
        <w:t xml:space="preserve">附件13 </w:t>
      </w:r>
      <w:r/>
    </w:p>
    <w:p>
      <w:pPr>
        <w:jc w:val="cente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联合体协议（参考格式）</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645"/>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自愿组成联合体，参加江苏省政府代理机构组织的采购编号为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项目（分包号：**）的政府采购活动，我联合体指定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645"/>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45"/>
        <w:jc w:val="right"/>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jc w:val="right"/>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联合体中各供应商全称（加盖CA电子公章）：     </w:t>
      </w:r>
      <w:r/>
    </w:p>
    <w:p>
      <w:pPr>
        <w:ind w:firstLine="645"/>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w:t>
      </w:r>
      <w:r/>
    </w:p>
    <w:p>
      <w:pPr>
        <w:ind w:firstLine="645"/>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rPr>
          <w:rFonts w:hint="eastAsia" w:ascii="宋体" w:hAnsi="宋体" w:eastAsia="宋体" w:cs="宋体"/>
          <w:b/>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cs="宋体"/>
          <w:b/>
          <w:color w:val="auto"/>
          <w:sz w:val="24"/>
          <w:szCs w:val="24"/>
          <w:highlight w:val="none"/>
          <w:lang w:val="en-US" w:eastAsia="zh-CN"/>
        </w:rPr>
        <w:t xml:space="preserve">14</w:t>
      </w:r>
      <w:r>
        <w:rPr>
          <w:rFonts w:hint="eastAsia" w:ascii="宋体" w:hAnsi="宋体" w:eastAsia="宋体" w:cs="宋体"/>
          <w:b/>
          <w:color w:val="auto"/>
          <w:sz w:val="24"/>
          <w:szCs w:val="24"/>
          <w:highlight w:val="none"/>
        </w:rPr>
        <w:t xml:space="preserve">            </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实质性要求响应及偏离表</w:t>
      </w:r>
      <w:r/>
    </w:p>
    <w:p>
      <w:pPr>
        <w:pStyle w:val="119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1192"/>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p>
        </w:tc>
        <w:tc>
          <w:tcPr>
            <w:tcW w:w="3317"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609"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17"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6"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609"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317"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6"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45"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9"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317"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6"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附件14-1 证明材料1，证明材料2，……</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必须对技术要求和商务要求中的实质性要求</w:t>
      </w:r>
      <w:r>
        <w:rPr>
          <w:rFonts w:hint="eastAsia" w:ascii="宋体" w:hAnsi="宋体" w:eastAsia="宋体" w:cs="宋体"/>
          <w:b/>
          <w:bCs/>
          <w:i/>
          <w:iCs/>
          <w:color w:val="auto"/>
          <w:sz w:val="21"/>
          <w:szCs w:val="21"/>
          <w:highlight w:val="none"/>
          <w:u w:val="none"/>
        </w:rPr>
        <w:t xml:space="preserve">（斜体且有下划线部分）</w:t>
      </w:r>
      <w:r>
        <w:rPr>
          <w:rFonts w:hint="eastAsia" w:ascii="宋体" w:hAnsi="宋体" w:eastAsia="宋体" w:cs="宋体"/>
          <w:color w:val="auto"/>
          <w:sz w:val="21"/>
          <w:szCs w:val="21"/>
          <w:highlight w:val="none"/>
        </w:rPr>
        <w:t xml:space="preserve">逐条做出明确响应。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必须将证明材料列于该表之下。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未对实质性要求逐条作出明确响应的，或未按招标文件要求提供证明材料的，该采购包作无效投标处理。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9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r/>
      <w:r/>
    </w:p>
    <w:sectPr>
      <w:footerReference w:type="default" r:id="rId20"/>
      <w:footerReference w:type="first" r:id="rId2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rPr>
        <w:rStyle w:val="1210"/>
      </w:rPr>
      <w:framePr w:wrap="around" w:vAnchor="text" w:hAnchor="margin" w:xAlign="center" w:y="1"/>
    </w:pPr>
    <w:r>
      <w:fldChar w:fldCharType="begin"/>
    </w:r>
    <w:r>
      <w:rPr>
        <w:rStyle w:val="1210"/>
      </w:rPr>
      <w:instrText xml:space="preserve">PAGE  </w:instrText>
    </w:r>
    <w:r>
      <w:fldChar w:fldCharType="separate"/>
    </w:r>
    <w:r>
      <w:rPr>
        <w:rStyle w:val="1210"/>
      </w:rPr>
      <w:t xml:space="preserve">1</w:t>
    </w:r>
    <w:r>
      <w:fldChar w:fldCharType="end"/>
    </w:r>
    <w:r/>
  </w:p>
  <w:p>
    <w:pPr>
      <w:pStyle w:val="12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5"/>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5"/>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95"/>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95"/>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left"/>
      <w:tabs>
        <w:tab w:val="left" w:pos="2019" w:leader="none"/>
      </w:tabs>
      <w:rPr>
        <w:rFonts w:hint="eastAsia" w:eastAsia="宋体"/>
        <w:lang w:eastAsia="zh-CN"/>
      </w:rPr>
      <w:pBdr>
        <w:bottom w:val="single" w:color="auto" w:sz="4" w:space="0"/>
      </w:pBdr>
    </w:pPr>
    <w:r>
      <w:rPr>
        <w:rFonts w:hint="eastAsia" w:ascii="宋体" w:hAnsi="宋体" w:cs="宋体"/>
        <w:highlight w:val="none"/>
        <w:lang w:eastAsia="zh-CN"/>
      </w:rPr>
      <w:t xml:space="preserve">JSZC-321002-JSYR-G2026-0004</w:t>
    </w:r>
    <w:r>
      <w:rPr>
        <w:rFonts w:hint="eastAsia" w:ascii="宋体" w:hAnsi="宋体" w:eastAsia="宋体" w:cs="宋体"/>
        <w:lang w:val="en-US" w:eastAsia="zh-CN"/>
      </w:rPr>
      <w:t xml:space="preserve">   </w:t>
    </w:r>
    <w:r>
      <w:rPr>
        <w:rFonts w:hint="eastAsia"/>
        <w:lang w:val="en-US" w:eastAsia="zh-CN"/>
      </w:rPr>
      <w:t xml:space="preserve">                                </w:t>
    </w:r>
    <w:r>
      <w:rPr>
        <w:rFonts w:hint="eastAsia"/>
        <w:lang w:eastAsia="zh-CN"/>
      </w:rPr>
      <w:t xml:space="preserve">江苏远锐工程管理咨询有限公司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ind w:firstLine="360"/>
      <w:jc w:val="left"/>
    </w:pPr>
    <w:r>
      <w:rPr>
        <w:rFonts w:hint="eastAsia" w:ascii="宋体" w:hAnsi="宋体" w:cs="宋体"/>
        <w:highlight w:val="none"/>
        <w:lang w:eastAsia="zh-CN"/>
      </w:rPr>
      <w:t xml:space="preserve">JSZC-321002-JSYR-G2026-0004</w:t>
    </w:r>
    <w:r>
      <w:rPr>
        <w:rFonts w:hint="eastAsia" w:ascii="宋体" w:hAnsi="宋体" w:eastAsia="宋体" w:cs="宋体"/>
        <w:highlight w:val="none"/>
        <w:lang w:val="en-US" w:eastAsia="zh-CN"/>
      </w:rPr>
      <w:t xml:space="preserve"> </w:t>
    </w:r>
    <w:r>
      <w:rPr>
        <w:rFonts w:hint="eastAsia" w:ascii="宋体" w:hAnsi="宋体" w:eastAsia="宋体" w:cs="宋体"/>
        <w:lang w:val="en-US" w:eastAsia="zh-CN"/>
      </w:rPr>
      <w:t xml:space="preserve">  </w:t>
    </w:r>
    <w:r>
      <w:rPr>
        <w:rFonts w:hint="eastAsia"/>
        <w:lang w:val="en-US" w:eastAsia="zh-CN"/>
      </w:rPr>
      <w:t xml:space="preserve">                            </w:t>
    </w:r>
    <w:r>
      <w:rPr>
        <w:rFonts w:hint="eastAsia"/>
        <w:lang w:eastAsia="zh-CN"/>
      </w:rPr>
      <w:t xml:space="preserve">江苏远锐工程管理咨询有限公司</w:t>
    </w:r>
    <w:r/>
  </w:p>
  <w:p>
    <w:pPr>
      <w:pStyle w:val="119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left"/>
      <w:spacing w:line="360" w:lineRule="auto"/>
      <w:widowControl w:val="off"/>
      <w:tabs>
        <w:tab w:val="left" w:pos="2019" w:leader="none"/>
      </w:tabs>
      <w:rPr>
        <w:rFonts w:hint="eastAsia" w:eastAsia="宋体"/>
        <w:lang w:eastAsia="zh-CN"/>
      </w:rPr>
      <w:pBdr>
        <w:top w:val="none" w:color="auto" w:sz="0" w:space="1"/>
        <w:left w:val="none" w:color="auto" w:sz="0" w:space="4"/>
        <w:bottom w:val="single" w:color="auto" w:sz="4" w:space="1"/>
        <w:right w:val="none" w:color="auto" w:sz="0" w:space="4"/>
        <w:between w:val="none" w:color="auto" w:sz="0" w:space="0"/>
      </w:pBdr>
    </w:pPr>
    <w:r>
      <w:rPr>
        <w:rFonts w:hint="eastAsia" w:ascii="宋体" w:hAnsi="宋体" w:cs="宋体"/>
        <w:highlight w:val="none"/>
        <w:lang w:eastAsia="zh-CN"/>
      </w:rPr>
      <w:t xml:space="preserve">JSZC-321002-JSYR-G2026-0004</w:t>
    </w:r>
    <w:r>
      <w:rPr>
        <w:rFonts w:hint="eastAsia" w:ascii="宋体" w:hAnsi="宋体" w:eastAsia="宋体" w:cs="宋体"/>
        <w:lang w:val="en-US" w:eastAsia="zh-CN"/>
      </w:rPr>
      <w:t xml:space="preserve">  </w:t>
    </w:r>
    <w:r>
      <w:rPr>
        <w:rFonts w:hint="eastAsia"/>
        <w:lang w:val="en-US" w:eastAsia="zh-CN"/>
      </w:rPr>
      <w:t xml:space="preserve">                           </w:t>
    </w:r>
    <w:r>
      <w:rPr>
        <w:rFonts w:hint="eastAsia"/>
        <w:lang w:eastAsia="zh-CN"/>
      </w:rPr>
      <w:t xml:space="preserve">江苏远锐工程管理咨询有限公司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left"/>
      <w:spacing w:line="360" w:lineRule="auto"/>
      <w:widowControl w:val="off"/>
      <w:tabs>
        <w:tab w:val="left" w:pos="2019" w:leader="none"/>
      </w:tabs>
      <w:rPr>
        <w:rFonts w:hint="eastAsia" w:eastAsia="宋体"/>
        <w:lang w:eastAsia="zh-CN"/>
      </w:rPr>
      <w:pBdr>
        <w:top w:val="none" w:color="auto" w:sz="0" w:space="1"/>
        <w:left w:val="none" w:color="auto" w:sz="0" w:space="4"/>
        <w:bottom w:val="single" w:color="auto" w:sz="4" w:space="1"/>
        <w:right w:val="none" w:color="auto" w:sz="0" w:space="4"/>
        <w:between w:val="none" w:color="auto" w:sz="0" w:space="0"/>
      </w:pBdr>
    </w:pPr>
    <w:r>
      <w:rPr>
        <w:rFonts w:hint="eastAsia" w:ascii="宋体" w:hAnsi="宋体" w:cs="宋体"/>
        <w:highlight w:val="none"/>
        <w:lang w:eastAsia="zh-CN"/>
      </w:rPr>
      <w:t xml:space="preserve">JSZC-321002-JSYR-G2026-0004</w:t>
    </w:r>
    <w:r>
      <w:rPr>
        <w:rFonts w:hint="eastAsia" w:ascii="宋体" w:hAnsi="宋体" w:eastAsia="宋体" w:cs="宋体"/>
        <w:highlight w:val="none"/>
        <w:lang w:val="en-US" w:eastAsia="zh-CN"/>
      </w:rPr>
      <w:t xml:space="preserve"> </w:t>
    </w:r>
    <w:r>
      <w:rPr>
        <w:rFonts w:hint="eastAsia"/>
        <w:highlight w:val="none"/>
        <w:lang w:val="en-US" w:eastAsia="zh-CN"/>
      </w:rPr>
      <w:t xml:space="preserve">    </w:t>
    </w:r>
    <w:r>
      <w:rPr>
        <w:rFonts w:hint="eastAsia"/>
        <w:lang w:val="en-US" w:eastAsia="zh-CN"/>
      </w:rPr>
      <w:t xml:space="preserve">                                                                                      </w:t>
    </w:r>
    <w:r>
      <w:rPr>
        <w:rFonts w:hint="eastAsia"/>
        <w:lang w:eastAsia="zh-CN"/>
      </w:rPr>
      <w:t xml:space="preserve">江苏远锐工程管理咨询有限公司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ind w:left="5940" w:hanging="5940"/>
      <w:jc w:val="left"/>
      <w:spacing w:line="360" w:lineRule="auto"/>
      <w:widowControl w:val="off"/>
      <w:tabs>
        <w:tab w:val="left" w:pos="2019" w:leader="none"/>
      </w:tabs>
      <w:rPr>
        <w:rFonts w:hint="eastAsia" w:eastAsia="宋体"/>
        <w:lang w:eastAsia="zh-CN"/>
      </w:rPr>
      <w:pBdr>
        <w:top w:val="none" w:color="auto" w:sz="0" w:space="1"/>
        <w:left w:val="none" w:color="auto" w:sz="0" w:space="4"/>
        <w:bottom w:val="single" w:color="auto" w:sz="4" w:space="1"/>
        <w:right w:val="none" w:color="auto" w:sz="0" w:space="4"/>
        <w:between w:val="none" w:color="auto" w:sz="0" w:space="0"/>
      </w:pBdr>
    </w:pPr>
    <w:r>
      <w:rPr>
        <w:rFonts w:hint="eastAsia" w:ascii="宋体" w:hAnsi="宋体" w:cs="宋体"/>
        <w:highlight w:val="none"/>
        <w:lang w:eastAsia="zh-CN"/>
      </w:rPr>
      <w:t xml:space="preserve">JSZC-321002-JSYR-G2026-0004</w:t>
    </w:r>
    <w:r>
      <w:rPr>
        <w:rFonts w:hint="eastAsia" w:ascii="宋体" w:hAnsi="宋体" w:cs="宋体"/>
        <w:highlight w:val="none"/>
        <w:lang w:val="en-US" w:eastAsia="zh-CN"/>
      </w:rPr>
      <w:t xml:space="preserve">                                  </w:t>
    </w:r>
    <w:r>
      <w:rPr>
        <w:rFonts w:hint="eastAsia"/>
        <w:highlight w:val="none"/>
        <w:lang w:eastAsia="zh-CN"/>
      </w:rPr>
      <w:t xml:space="preserve">江苏远锐</w:t>
    </w:r>
    <w:r>
      <w:rPr>
        <w:rFonts w:hint="eastAsia"/>
        <w:lang w:eastAsia="zh-CN"/>
      </w:rPr>
      <w:t xml:space="preserve">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0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17">
    <w:name w:val="Heading 1 Char"/>
    <w:basedOn w:val="1191"/>
    <w:link w:val="1190"/>
    <w:uiPriority w:val="9"/>
    <w:rPr>
      <w:rFonts w:ascii="Arial" w:hAnsi="Arial" w:eastAsia="Arial" w:cs="Arial"/>
      <w:sz w:val="40"/>
      <w:szCs w:val="40"/>
    </w:rPr>
  </w:style>
  <w:style w:type="paragraph" w:styleId="1018">
    <w:name w:val="Heading 2"/>
    <w:basedOn w:val="1189"/>
    <w:next w:val="1189"/>
    <w:link w:val="1019"/>
    <w:uiPriority w:val="9"/>
    <w:unhideWhenUsed/>
    <w:qFormat/>
    <w:pPr>
      <w:keepLines/>
      <w:keepNext/>
      <w:spacing w:before="360" w:after="200"/>
      <w:outlineLvl w:val="1"/>
    </w:pPr>
    <w:rPr>
      <w:rFonts w:ascii="Arial" w:hAnsi="Arial" w:eastAsia="Arial" w:cs="Arial"/>
      <w:sz w:val="34"/>
    </w:rPr>
  </w:style>
  <w:style w:type="character" w:styleId="1019">
    <w:name w:val="Heading 2 Char"/>
    <w:basedOn w:val="1191"/>
    <w:link w:val="1018"/>
    <w:uiPriority w:val="9"/>
    <w:rPr>
      <w:rFonts w:ascii="Arial" w:hAnsi="Arial" w:eastAsia="Arial" w:cs="Arial"/>
      <w:sz w:val="34"/>
    </w:rPr>
  </w:style>
  <w:style w:type="paragraph" w:styleId="1020">
    <w:name w:val="Heading 3"/>
    <w:basedOn w:val="1189"/>
    <w:next w:val="1189"/>
    <w:link w:val="1021"/>
    <w:uiPriority w:val="9"/>
    <w:unhideWhenUsed/>
    <w:qFormat/>
    <w:pPr>
      <w:keepLines/>
      <w:keepNext/>
      <w:spacing w:before="320" w:after="200"/>
      <w:outlineLvl w:val="2"/>
    </w:pPr>
    <w:rPr>
      <w:rFonts w:ascii="Arial" w:hAnsi="Arial" w:eastAsia="Arial" w:cs="Arial"/>
      <w:sz w:val="30"/>
      <w:szCs w:val="30"/>
    </w:rPr>
  </w:style>
  <w:style w:type="character" w:styleId="1021">
    <w:name w:val="Heading 3 Char"/>
    <w:basedOn w:val="1191"/>
    <w:link w:val="1020"/>
    <w:uiPriority w:val="9"/>
    <w:rPr>
      <w:rFonts w:ascii="Arial" w:hAnsi="Arial" w:eastAsia="Arial" w:cs="Arial"/>
      <w:sz w:val="30"/>
      <w:szCs w:val="30"/>
    </w:rPr>
  </w:style>
  <w:style w:type="paragraph" w:styleId="1022">
    <w:name w:val="Heading 4"/>
    <w:basedOn w:val="1189"/>
    <w:next w:val="1189"/>
    <w:link w:val="1023"/>
    <w:uiPriority w:val="9"/>
    <w:unhideWhenUsed/>
    <w:qFormat/>
    <w:pPr>
      <w:keepLines/>
      <w:keepNext/>
      <w:spacing w:before="320" w:after="200"/>
      <w:outlineLvl w:val="3"/>
    </w:pPr>
    <w:rPr>
      <w:rFonts w:ascii="Arial" w:hAnsi="Arial" w:eastAsia="Arial" w:cs="Arial"/>
      <w:b/>
      <w:bCs/>
      <w:sz w:val="26"/>
      <w:szCs w:val="26"/>
    </w:rPr>
  </w:style>
  <w:style w:type="character" w:styleId="1023">
    <w:name w:val="Heading 4 Char"/>
    <w:basedOn w:val="1191"/>
    <w:link w:val="1022"/>
    <w:uiPriority w:val="9"/>
    <w:rPr>
      <w:rFonts w:ascii="Arial" w:hAnsi="Arial" w:eastAsia="Arial" w:cs="Arial"/>
      <w:b/>
      <w:bCs/>
      <w:sz w:val="26"/>
      <w:szCs w:val="26"/>
    </w:rPr>
  </w:style>
  <w:style w:type="paragraph" w:styleId="1024">
    <w:name w:val="Heading 5"/>
    <w:basedOn w:val="1189"/>
    <w:next w:val="1189"/>
    <w:link w:val="1025"/>
    <w:uiPriority w:val="9"/>
    <w:unhideWhenUsed/>
    <w:qFormat/>
    <w:pPr>
      <w:keepLines/>
      <w:keepNext/>
      <w:spacing w:before="320" w:after="200"/>
      <w:outlineLvl w:val="4"/>
    </w:pPr>
    <w:rPr>
      <w:rFonts w:ascii="Arial" w:hAnsi="Arial" w:eastAsia="Arial" w:cs="Arial"/>
      <w:b/>
      <w:bCs/>
      <w:sz w:val="24"/>
      <w:szCs w:val="24"/>
    </w:rPr>
  </w:style>
  <w:style w:type="character" w:styleId="1025">
    <w:name w:val="Heading 5 Char"/>
    <w:basedOn w:val="1191"/>
    <w:link w:val="1024"/>
    <w:uiPriority w:val="9"/>
    <w:rPr>
      <w:rFonts w:ascii="Arial" w:hAnsi="Arial" w:eastAsia="Arial" w:cs="Arial"/>
      <w:b/>
      <w:bCs/>
      <w:sz w:val="24"/>
      <w:szCs w:val="24"/>
    </w:rPr>
  </w:style>
  <w:style w:type="paragraph" w:styleId="1026">
    <w:name w:val="Heading 6"/>
    <w:basedOn w:val="1189"/>
    <w:next w:val="1189"/>
    <w:link w:val="1027"/>
    <w:uiPriority w:val="9"/>
    <w:unhideWhenUsed/>
    <w:qFormat/>
    <w:pPr>
      <w:keepLines/>
      <w:keepNext/>
      <w:spacing w:before="320" w:after="200"/>
      <w:outlineLvl w:val="5"/>
    </w:pPr>
    <w:rPr>
      <w:rFonts w:ascii="Arial" w:hAnsi="Arial" w:eastAsia="Arial" w:cs="Arial"/>
      <w:b/>
      <w:bCs/>
      <w:sz w:val="22"/>
      <w:szCs w:val="22"/>
    </w:rPr>
  </w:style>
  <w:style w:type="character" w:styleId="1027">
    <w:name w:val="Heading 6 Char"/>
    <w:basedOn w:val="1191"/>
    <w:link w:val="1026"/>
    <w:uiPriority w:val="9"/>
    <w:rPr>
      <w:rFonts w:ascii="Arial" w:hAnsi="Arial" w:eastAsia="Arial" w:cs="Arial"/>
      <w:b/>
      <w:bCs/>
      <w:sz w:val="22"/>
      <w:szCs w:val="22"/>
    </w:rPr>
  </w:style>
  <w:style w:type="paragraph" w:styleId="1028">
    <w:name w:val="Heading 7"/>
    <w:basedOn w:val="1189"/>
    <w:next w:val="1189"/>
    <w:link w:val="1029"/>
    <w:uiPriority w:val="9"/>
    <w:unhideWhenUsed/>
    <w:qFormat/>
    <w:pPr>
      <w:keepLines/>
      <w:keepNext/>
      <w:spacing w:before="320" w:after="200"/>
      <w:outlineLvl w:val="6"/>
    </w:pPr>
    <w:rPr>
      <w:rFonts w:ascii="Arial" w:hAnsi="Arial" w:eastAsia="Arial" w:cs="Arial"/>
      <w:b/>
      <w:bCs/>
      <w:i/>
      <w:iCs/>
      <w:sz w:val="22"/>
      <w:szCs w:val="22"/>
    </w:rPr>
  </w:style>
  <w:style w:type="character" w:styleId="1029">
    <w:name w:val="Heading 7 Char"/>
    <w:basedOn w:val="1191"/>
    <w:link w:val="1028"/>
    <w:uiPriority w:val="9"/>
    <w:rPr>
      <w:rFonts w:ascii="Arial" w:hAnsi="Arial" w:eastAsia="Arial" w:cs="Arial"/>
      <w:b/>
      <w:bCs/>
      <w:i/>
      <w:iCs/>
      <w:sz w:val="22"/>
      <w:szCs w:val="22"/>
    </w:rPr>
  </w:style>
  <w:style w:type="paragraph" w:styleId="1030">
    <w:name w:val="Heading 8"/>
    <w:basedOn w:val="1189"/>
    <w:next w:val="1189"/>
    <w:link w:val="1031"/>
    <w:uiPriority w:val="9"/>
    <w:unhideWhenUsed/>
    <w:qFormat/>
    <w:pPr>
      <w:keepLines/>
      <w:keepNext/>
      <w:spacing w:before="320" w:after="200"/>
      <w:outlineLvl w:val="7"/>
    </w:pPr>
    <w:rPr>
      <w:rFonts w:ascii="Arial" w:hAnsi="Arial" w:eastAsia="Arial" w:cs="Arial"/>
      <w:i/>
      <w:iCs/>
      <w:sz w:val="22"/>
      <w:szCs w:val="22"/>
    </w:rPr>
  </w:style>
  <w:style w:type="character" w:styleId="1031">
    <w:name w:val="Heading 8 Char"/>
    <w:basedOn w:val="1191"/>
    <w:link w:val="1030"/>
    <w:uiPriority w:val="9"/>
    <w:rPr>
      <w:rFonts w:ascii="Arial" w:hAnsi="Arial" w:eastAsia="Arial" w:cs="Arial"/>
      <w:i/>
      <w:iCs/>
      <w:sz w:val="22"/>
      <w:szCs w:val="22"/>
    </w:rPr>
  </w:style>
  <w:style w:type="paragraph" w:styleId="1032">
    <w:name w:val="Heading 9"/>
    <w:basedOn w:val="1189"/>
    <w:next w:val="1189"/>
    <w:link w:val="1033"/>
    <w:uiPriority w:val="9"/>
    <w:unhideWhenUsed/>
    <w:qFormat/>
    <w:pPr>
      <w:keepLines/>
      <w:keepNext/>
      <w:spacing w:before="320" w:after="200"/>
      <w:outlineLvl w:val="8"/>
    </w:pPr>
    <w:rPr>
      <w:rFonts w:ascii="Arial" w:hAnsi="Arial" w:eastAsia="Arial" w:cs="Arial"/>
      <w:i/>
      <w:iCs/>
      <w:sz w:val="21"/>
      <w:szCs w:val="21"/>
    </w:rPr>
  </w:style>
  <w:style w:type="character" w:styleId="1033">
    <w:name w:val="Heading 9 Char"/>
    <w:basedOn w:val="1191"/>
    <w:link w:val="1032"/>
    <w:uiPriority w:val="9"/>
    <w:rPr>
      <w:rFonts w:ascii="Arial" w:hAnsi="Arial" w:eastAsia="Arial" w:cs="Arial"/>
      <w:i/>
      <w:iCs/>
      <w:sz w:val="21"/>
      <w:szCs w:val="21"/>
    </w:rPr>
  </w:style>
  <w:style w:type="paragraph" w:styleId="1034">
    <w:name w:val="List Paragraph"/>
    <w:basedOn w:val="1189"/>
    <w:uiPriority w:val="34"/>
    <w:qFormat/>
    <w:pPr>
      <w:contextualSpacing/>
      <w:ind w:left="720"/>
    </w:pPr>
  </w:style>
  <w:style w:type="paragraph" w:styleId="1035">
    <w:name w:val="No Spacing"/>
    <w:uiPriority w:val="1"/>
    <w:qFormat/>
    <w:pPr>
      <w:spacing w:before="0" w:after="0" w:line="240" w:lineRule="auto"/>
    </w:pPr>
  </w:style>
  <w:style w:type="paragraph" w:styleId="1036">
    <w:name w:val="Title"/>
    <w:basedOn w:val="1189"/>
    <w:next w:val="1189"/>
    <w:link w:val="1037"/>
    <w:uiPriority w:val="10"/>
    <w:qFormat/>
    <w:pPr>
      <w:contextualSpacing/>
      <w:spacing w:before="300" w:after="200"/>
    </w:pPr>
    <w:rPr>
      <w:sz w:val="48"/>
      <w:szCs w:val="48"/>
    </w:rPr>
  </w:style>
  <w:style w:type="character" w:styleId="1037">
    <w:name w:val="Title Char"/>
    <w:basedOn w:val="1191"/>
    <w:link w:val="1036"/>
    <w:uiPriority w:val="10"/>
    <w:rPr>
      <w:sz w:val="48"/>
      <w:szCs w:val="48"/>
    </w:rPr>
  </w:style>
  <w:style w:type="paragraph" w:styleId="1038">
    <w:name w:val="Subtitle"/>
    <w:basedOn w:val="1189"/>
    <w:next w:val="1189"/>
    <w:link w:val="1039"/>
    <w:uiPriority w:val="11"/>
    <w:qFormat/>
    <w:pPr>
      <w:spacing w:before="200" w:after="200"/>
    </w:pPr>
    <w:rPr>
      <w:sz w:val="24"/>
      <w:szCs w:val="24"/>
    </w:rPr>
  </w:style>
  <w:style w:type="character" w:styleId="1039">
    <w:name w:val="Subtitle Char"/>
    <w:basedOn w:val="1191"/>
    <w:link w:val="1038"/>
    <w:uiPriority w:val="11"/>
    <w:rPr>
      <w:sz w:val="24"/>
      <w:szCs w:val="24"/>
    </w:rPr>
  </w:style>
  <w:style w:type="paragraph" w:styleId="1040">
    <w:name w:val="Quote"/>
    <w:basedOn w:val="1189"/>
    <w:next w:val="1189"/>
    <w:link w:val="1041"/>
    <w:uiPriority w:val="29"/>
    <w:qFormat/>
    <w:pPr>
      <w:ind w:left="720" w:right="720"/>
    </w:pPr>
    <w:rPr>
      <w:i/>
    </w:rPr>
  </w:style>
  <w:style w:type="character" w:styleId="1041">
    <w:name w:val="Quote Char"/>
    <w:link w:val="1040"/>
    <w:uiPriority w:val="29"/>
    <w:rPr>
      <w:i/>
    </w:rPr>
  </w:style>
  <w:style w:type="paragraph" w:styleId="1042">
    <w:name w:val="Intense Quote"/>
    <w:basedOn w:val="1189"/>
    <w:next w:val="1189"/>
    <w:link w:val="10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3">
    <w:name w:val="Intense Quote Char"/>
    <w:link w:val="1042"/>
    <w:uiPriority w:val="30"/>
    <w:rPr>
      <w:i/>
    </w:rPr>
  </w:style>
  <w:style w:type="character" w:styleId="1044">
    <w:name w:val="Header Char"/>
    <w:basedOn w:val="1191"/>
    <w:link w:val="1196"/>
    <w:uiPriority w:val="99"/>
  </w:style>
  <w:style w:type="character" w:styleId="1045">
    <w:name w:val="Footer Char"/>
    <w:basedOn w:val="1191"/>
    <w:link w:val="1195"/>
    <w:uiPriority w:val="99"/>
  </w:style>
  <w:style w:type="paragraph" w:styleId="1046">
    <w:name w:val="Caption"/>
    <w:basedOn w:val="1189"/>
    <w:next w:val="1189"/>
    <w:uiPriority w:val="35"/>
    <w:semiHidden/>
    <w:unhideWhenUsed/>
    <w:qFormat/>
    <w:pPr>
      <w:spacing w:line="276" w:lineRule="auto"/>
    </w:pPr>
    <w:rPr>
      <w:b/>
      <w:bCs/>
      <w:color w:val="4f81bd" w:themeColor="accent1"/>
      <w:sz w:val="18"/>
      <w:szCs w:val="18"/>
    </w:rPr>
  </w:style>
  <w:style w:type="character" w:styleId="1047">
    <w:name w:val="Caption Char"/>
    <w:basedOn w:val="1046"/>
    <w:link w:val="1195"/>
    <w:uiPriority w:val="99"/>
  </w:style>
  <w:style w:type="table" w:styleId="1048">
    <w:name w:val="Table Grid Light"/>
    <w:basedOn w:val="11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9">
    <w:name w:val="Plain Table 1"/>
    <w:basedOn w:val="11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0">
    <w:name w:val="Plain Table 2"/>
    <w:basedOn w:val="11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1">
    <w:name w:val="Plain Table 3"/>
    <w:basedOn w:val="11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2">
    <w:name w:val="Plain Table 4"/>
    <w:basedOn w:val="11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3">
    <w:name w:val="Plain Table 5"/>
    <w:basedOn w:val="11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4">
    <w:name w:val="Grid Table 1 Light"/>
    <w:basedOn w:val="11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5">
    <w:name w:val="Grid Table 1 Light - Accent 1"/>
    <w:basedOn w:val="11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6">
    <w:name w:val="Grid Table 1 Light - Accent 2"/>
    <w:basedOn w:val="11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7">
    <w:name w:val="Grid Table 1 Light - Accent 3"/>
    <w:basedOn w:val="11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8">
    <w:name w:val="Grid Table 1 Light - Accent 4"/>
    <w:basedOn w:val="11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9">
    <w:name w:val="Grid Table 1 Light - Accent 5"/>
    <w:basedOn w:val="11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60">
    <w:name w:val="Grid Table 1 Light - Accent 6"/>
    <w:basedOn w:val="11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61">
    <w:name w:val="Grid Table 2"/>
    <w:basedOn w:val="11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62">
    <w:name w:val="Grid Table 2 - Accent 1"/>
    <w:basedOn w:val="11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63">
    <w:name w:val="Grid Table 2 - Accent 2"/>
    <w:basedOn w:val="11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4">
    <w:name w:val="Grid Table 2 - Accent 3"/>
    <w:basedOn w:val="11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5">
    <w:name w:val="Grid Table 2 - Accent 4"/>
    <w:basedOn w:val="11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6">
    <w:name w:val="Grid Table 2 - Accent 5"/>
    <w:basedOn w:val="11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7">
    <w:name w:val="Grid Table 2 - Accent 6"/>
    <w:basedOn w:val="11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8">
    <w:name w:val="Grid Table 3"/>
    <w:basedOn w:val="11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9">
    <w:name w:val="Grid Table 3 - Accent 1"/>
    <w:basedOn w:val="11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0">
    <w:name w:val="Grid Table 3 - Accent 2"/>
    <w:basedOn w:val="11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1">
    <w:name w:val="Grid Table 3 - Accent 3"/>
    <w:basedOn w:val="11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2">
    <w:name w:val="Grid Table 3 - Accent 4"/>
    <w:basedOn w:val="11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3">
    <w:name w:val="Grid Table 3 - Accent 5"/>
    <w:basedOn w:val="11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4">
    <w:name w:val="Grid Table 3 - Accent 6"/>
    <w:basedOn w:val="11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5">
    <w:name w:val="Grid Table 4"/>
    <w:basedOn w:val="11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6">
    <w:name w:val="Grid Table 4 - Accent 1"/>
    <w:basedOn w:val="11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7">
    <w:name w:val="Grid Table 4 - Accent 2"/>
    <w:basedOn w:val="11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8">
    <w:name w:val="Grid Table 4 - Accent 3"/>
    <w:basedOn w:val="11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9">
    <w:name w:val="Grid Table 4 - Accent 4"/>
    <w:basedOn w:val="11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80">
    <w:name w:val="Grid Table 4 - Accent 5"/>
    <w:basedOn w:val="11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81">
    <w:name w:val="Grid Table 4 - Accent 6"/>
    <w:basedOn w:val="11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82">
    <w:name w:val="Grid Table 5 Dark"/>
    <w:basedOn w:val="11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3">
    <w:name w:val="Grid Table 5 Dark- Accent 1"/>
    <w:basedOn w:val="11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84">
    <w:name w:val="Grid Table 5 Dark - Accent 2"/>
    <w:basedOn w:val="11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85">
    <w:name w:val="Grid Table 5 Dark - Accent 3"/>
    <w:basedOn w:val="11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86">
    <w:name w:val="Grid Table 5 Dark- Accent 4"/>
    <w:basedOn w:val="11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87">
    <w:name w:val="Grid Table 5 Dark - Accent 5"/>
    <w:basedOn w:val="11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88">
    <w:name w:val="Grid Table 5 Dark - Accent 6"/>
    <w:basedOn w:val="11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89">
    <w:name w:val="Grid Table 6 Colorful"/>
    <w:basedOn w:val="11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90">
    <w:name w:val="Grid Table 6 Colorful - Accent 1"/>
    <w:basedOn w:val="11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91">
    <w:name w:val="Grid Table 6 Colorful - Accent 2"/>
    <w:basedOn w:val="11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92">
    <w:name w:val="Grid Table 6 Colorful - Accent 3"/>
    <w:basedOn w:val="11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93">
    <w:name w:val="Grid Table 6 Colorful - Accent 4"/>
    <w:basedOn w:val="11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94">
    <w:name w:val="Grid Table 6 Colorful - Accent 5"/>
    <w:basedOn w:val="11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95">
    <w:name w:val="Grid Table 6 Colorful - Accent 6"/>
    <w:basedOn w:val="11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96">
    <w:name w:val="Grid Table 7 Colorful"/>
    <w:basedOn w:val="11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7">
    <w:name w:val="Grid Table 7 Colorful - Accent 1"/>
    <w:basedOn w:val="11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8">
    <w:name w:val="Grid Table 7 Colorful - Accent 2"/>
    <w:basedOn w:val="11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9">
    <w:name w:val="Grid Table 7 Colorful - Accent 3"/>
    <w:basedOn w:val="11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00">
    <w:name w:val="Grid Table 7 Colorful - Accent 4"/>
    <w:basedOn w:val="11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01">
    <w:name w:val="Grid Table 7 Colorful - Accent 5"/>
    <w:basedOn w:val="11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02">
    <w:name w:val="Grid Table 7 Colorful - Accent 6"/>
    <w:basedOn w:val="11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03">
    <w:name w:val="List Table 1 Light"/>
    <w:basedOn w:val="11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4">
    <w:name w:val="List Table 1 Light - Accent 1"/>
    <w:basedOn w:val="119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5">
    <w:name w:val="List Table 1 Light - Accent 2"/>
    <w:basedOn w:val="119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6">
    <w:name w:val="List Table 1 Light - Accent 3"/>
    <w:basedOn w:val="119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7">
    <w:name w:val="List Table 1 Light - Accent 4"/>
    <w:basedOn w:val="119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8">
    <w:name w:val="List Table 1 Light - Accent 5"/>
    <w:basedOn w:val="119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9">
    <w:name w:val="List Table 1 Light - Accent 6"/>
    <w:basedOn w:val="119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0">
    <w:name w:val="List Table 2"/>
    <w:basedOn w:val="11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1">
    <w:name w:val="List Table 2 - Accent 1"/>
    <w:basedOn w:val="11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12">
    <w:name w:val="List Table 2 - Accent 2"/>
    <w:basedOn w:val="11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13">
    <w:name w:val="List Table 2 - Accent 3"/>
    <w:basedOn w:val="11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4">
    <w:name w:val="List Table 2 - Accent 4"/>
    <w:basedOn w:val="11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5">
    <w:name w:val="List Table 2 - Accent 5"/>
    <w:basedOn w:val="11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6">
    <w:name w:val="List Table 2 - Accent 6"/>
    <w:basedOn w:val="11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7">
    <w:name w:val="List Table 3"/>
    <w:basedOn w:val="11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8">
    <w:name w:val="List Table 3 - Accent 1"/>
    <w:basedOn w:val="11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19">
    <w:name w:val="List Table 3 - Accent 2"/>
    <w:basedOn w:val="11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20">
    <w:name w:val="List Table 3 - Accent 3"/>
    <w:basedOn w:val="11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21">
    <w:name w:val="List Table 3 - Accent 4"/>
    <w:basedOn w:val="11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22">
    <w:name w:val="List Table 3 - Accent 5"/>
    <w:basedOn w:val="11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23">
    <w:name w:val="List Table 3 - Accent 6"/>
    <w:basedOn w:val="11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24">
    <w:name w:val="List Table 4"/>
    <w:basedOn w:val="11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5">
    <w:name w:val="List Table 4 - Accent 1"/>
    <w:basedOn w:val="11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26">
    <w:name w:val="List Table 4 - Accent 2"/>
    <w:basedOn w:val="11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27">
    <w:name w:val="List Table 4 - Accent 3"/>
    <w:basedOn w:val="11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28">
    <w:name w:val="List Table 4 - Accent 4"/>
    <w:basedOn w:val="11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29">
    <w:name w:val="List Table 4 - Accent 5"/>
    <w:basedOn w:val="11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30">
    <w:name w:val="List Table 4 - Accent 6"/>
    <w:basedOn w:val="11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31">
    <w:name w:val="List Table 5 Dark"/>
    <w:basedOn w:val="11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2">
    <w:name w:val="List Table 5 Dark - Accent 1"/>
    <w:basedOn w:val="11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3">
    <w:name w:val="List Table 5 Dark - Accent 2"/>
    <w:basedOn w:val="11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4">
    <w:name w:val="List Table 5 Dark - Accent 3"/>
    <w:basedOn w:val="11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5">
    <w:name w:val="List Table 5 Dark - Accent 4"/>
    <w:basedOn w:val="11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6">
    <w:name w:val="List Table 5 Dark - Accent 5"/>
    <w:basedOn w:val="11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7">
    <w:name w:val="List Table 5 Dark - Accent 6"/>
    <w:basedOn w:val="11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8">
    <w:name w:val="List Table 6 Colorful"/>
    <w:basedOn w:val="11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9">
    <w:name w:val="List Table 6 Colorful - Accent 1"/>
    <w:basedOn w:val="11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40">
    <w:name w:val="List Table 6 Colorful - Accent 2"/>
    <w:basedOn w:val="11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41">
    <w:name w:val="List Table 6 Colorful - Accent 3"/>
    <w:basedOn w:val="11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42">
    <w:name w:val="List Table 6 Colorful - Accent 4"/>
    <w:basedOn w:val="11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43">
    <w:name w:val="List Table 6 Colorful - Accent 5"/>
    <w:basedOn w:val="11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44">
    <w:name w:val="List Table 6 Colorful - Accent 6"/>
    <w:basedOn w:val="11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45">
    <w:name w:val="List Table 7 Colorful"/>
    <w:basedOn w:val="11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6">
    <w:name w:val="List Table 7 Colorful - Accent 1"/>
    <w:basedOn w:val="11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47">
    <w:name w:val="List Table 7 Colorful - Accent 2"/>
    <w:basedOn w:val="11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48">
    <w:name w:val="List Table 7 Colorful - Accent 3"/>
    <w:basedOn w:val="11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49">
    <w:name w:val="List Table 7 Colorful - Accent 4"/>
    <w:basedOn w:val="11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50">
    <w:name w:val="List Table 7 Colorful - Accent 5"/>
    <w:basedOn w:val="11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51">
    <w:name w:val="List Table 7 Colorful - Accent 6"/>
    <w:basedOn w:val="11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52">
    <w:name w:val="Lined - Accent"/>
    <w:basedOn w:val="11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3">
    <w:name w:val="Lined - Accent 1"/>
    <w:basedOn w:val="11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54">
    <w:name w:val="Lined - Accent 2"/>
    <w:basedOn w:val="11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55">
    <w:name w:val="Lined - Accent 3"/>
    <w:basedOn w:val="11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56">
    <w:name w:val="Lined - Accent 4"/>
    <w:basedOn w:val="11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57">
    <w:name w:val="Lined - Accent 5"/>
    <w:basedOn w:val="11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58">
    <w:name w:val="Lined - Accent 6"/>
    <w:basedOn w:val="11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59">
    <w:name w:val="Bordered &amp; Lined - Accent"/>
    <w:basedOn w:val="11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0">
    <w:name w:val="Bordered &amp; Lined - Accent 1"/>
    <w:basedOn w:val="11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61">
    <w:name w:val="Bordered &amp; Lined - Accent 2"/>
    <w:basedOn w:val="11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62">
    <w:name w:val="Bordered &amp; Lined - Accent 3"/>
    <w:basedOn w:val="11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63">
    <w:name w:val="Bordered &amp; Lined - Accent 4"/>
    <w:basedOn w:val="11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64">
    <w:name w:val="Bordered &amp; Lined - Accent 5"/>
    <w:basedOn w:val="11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65">
    <w:name w:val="Bordered &amp; Lined - Accent 6"/>
    <w:basedOn w:val="11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66">
    <w:name w:val="Bordered"/>
    <w:basedOn w:val="11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7">
    <w:name w:val="Bordered - Accent 1"/>
    <w:basedOn w:val="11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8">
    <w:name w:val="Bordered - Accent 2"/>
    <w:basedOn w:val="11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9">
    <w:name w:val="Bordered - Accent 3"/>
    <w:basedOn w:val="11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70">
    <w:name w:val="Bordered - Accent 4"/>
    <w:basedOn w:val="11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71">
    <w:name w:val="Bordered - Accent 5"/>
    <w:basedOn w:val="11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72">
    <w:name w:val="Bordered - Accent 6"/>
    <w:basedOn w:val="11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73">
    <w:name w:val="footnote text"/>
    <w:basedOn w:val="1189"/>
    <w:link w:val="1174"/>
    <w:uiPriority w:val="99"/>
    <w:semiHidden/>
    <w:unhideWhenUsed/>
    <w:pPr>
      <w:spacing w:after="40" w:line="240" w:lineRule="auto"/>
    </w:pPr>
    <w:rPr>
      <w:sz w:val="18"/>
    </w:rPr>
  </w:style>
  <w:style w:type="character" w:styleId="1174">
    <w:name w:val="Footnote Text Char"/>
    <w:link w:val="1173"/>
    <w:uiPriority w:val="99"/>
    <w:rPr>
      <w:sz w:val="18"/>
    </w:rPr>
  </w:style>
  <w:style w:type="character" w:styleId="1175">
    <w:name w:val="footnote reference"/>
    <w:basedOn w:val="1191"/>
    <w:uiPriority w:val="99"/>
    <w:unhideWhenUsed/>
    <w:rPr>
      <w:vertAlign w:val="superscript"/>
    </w:rPr>
  </w:style>
  <w:style w:type="paragraph" w:styleId="1176">
    <w:name w:val="endnote text"/>
    <w:basedOn w:val="1189"/>
    <w:link w:val="1177"/>
    <w:uiPriority w:val="99"/>
    <w:semiHidden/>
    <w:unhideWhenUsed/>
    <w:pPr>
      <w:spacing w:after="0" w:line="240" w:lineRule="auto"/>
    </w:pPr>
    <w:rPr>
      <w:sz w:val="20"/>
    </w:rPr>
  </w:style>
  <w:style w:type="character" w:styleId="1177">
    <w:name w:val="Endnote Text Char"/>
    <w:link w:val="1176"/>
    <w:uiPriority w:val="99"/>
    <w:rPr>
      <w:sz w:val="20"/>
    </w:rPr>
  </w:style>
  <w:style w:type="character" w:styleId="1178">
    <w:name w:val="endnote reference"/>
    <w:basedOn w:val="1191"/>
    <w:uiPriority w:val="99"/>
    <w:semiHidden/>
    <w:unhideWhenUsed/>
    <w:rPr>
      <w:vertAlign w:val="superscript"/>
    </w:rPr>
  </w:style>
  <w:style w:type="paragraph" w:styleId="1179">
    <w:name w:val="toc 2"/>
    <w:basedOn w:val="1189"/>
    <w:next w:val="1189"/>
    <w:uiPriority w:val="39"/>
    <w:unhideWhenUsed/>
    <w:pPr>
      <w:ind w:left="283" w:right="0" w:firstLine="0"/>
      <w:spacing w:after="57"/>
    </w:pPr>
  </w:style>
  <w:style w:type="paragraph" w:styleId="1180">
    <w:name w:val="toc 3"/>
    <w:basedOn w:val="1189"/>
    <w:next w:val="1189"/>
    <w:uiPriority w:val="39"/>
    <w:unhideWhenUsed/>
    <w:pPr>
      <w:ind w:left="567" w:right="0" w:firstLine="0"/>
      <w:spacing w:after="57"/>
    </w:pPr>
  </w:style>
  <w:style w:type="paragraph" w:styleId="1181">
    <w:name w:val="toc 4"/>
    <w:basedOn w:val="1189"/>
    <w:next w:val="1189"/>
    <w:uiPriority w:val="39"/>
    <w:unhideWhenUsed/>
    <w:pPr>
      <w:ind w:left="850" w:right="0" w:firstLine="0"/>
      <w:spacing w:after="57"/>
    </w:pPr>
  </w:style>
  <w:style w:type="paragraph" w:styleId="1182">
    <w:name w:val="toc 5"/>
    <w:basedOn w:val="1189"/>
    <w:next w:val="1189"/>
    <w:uiPriority w:val="39"/>
    <w:unhideWhenUsed/>
    <w:pPr>
      <w:ind w:left="1134" w:right="0" w:firstLine="0"/>
      <w:spacing w:after="57"/>
    </w:pPr>
  </w:style>
  <w:style w:type="paragraph" w:styleId="1183">
    <w:name w:val="toc 6"/>
    <w:basedOn w:val="1189"/>
    <w:next w:val="1189"/>
    <w:uiPriority w:val="39"/>
    <w:unhideWhenUsed/>
    <w:pPr>
      <w:ind w:left="1417" w:right="0" w:firstLine="0"/>
      <w:spacing w:after="57"/>
    </w:pPr>
  </w:style>
  <w:style w:type="paragraph" w:styleId="1184">
    <w:name w:val="toc 7"/>
    <w:basedOn w:val="1189"/>
    <w:next w:val="1189"/>
    <w:uiPriority w:val="39"/>
    <w:unhideWhenUsed/>
    <w:pPr>
      <w:ind w:left="1701" w:right="0" w:firstLine="0"/>
      <w:spacing w:after="57"/>
    </w:pPr>
  </w:style>
  <w:style w:type="paragraph" w:styleId="1185">
    <w:name w:val="toc 8"/>
    <w:basedOn w:val="1189"/>
    <w:next w:val="1189"/>
    <w:uiPriority w:val="39"/>
    <w:unhideWhenUsed/>
    <w:pPr>
      <w:ind w:left="1984" w:right="0" w:firstLine="0"/>
      <w:spacing w:after="57"/>
    </w:pPr>
  </w:style>
  <w:style w:type="paragraph" w:styleId="1186">
    <w:name w:val="toc 9"/>
    <w:basedOn w:val="1189"/>
    <w:next w:val="1189"/>
    <w:uiPriority w:val="39"/>
    <w:unhideWhenUsed/>
    <w:pPr>
      <w:ind w:left="2268" w:right="0" w:firstLine="0"/>
      <w:spacing w:after="57"/>
    </w:pPr>
  </w:style>
  <w:style w:type="paragraph" w:styleId="1187">
    <w:name w:val="TOC Heading"/>
    <w:uiPriority w:val="39"/>
    <w:unhideWhenUsed/>
  </w:style>
  <w:style w:type="paragraph" w:styleId="1188">
    <w:name w:val="table of figures"/>
    <w:basedOn w:val="1189"/>
    <w:next w:val="1189"/>
    <w:uiPriority w:val="99"/>
    <w:unhideWhenUsed/>
    <w:pPr>
      <w:spacing w:after="0" w:afterAutospacing="0"/>
    </w:pPr>
  </w:style>
  <w:style w:type="paragraph" w:styleId="1189" w:default="1">
    <w:name w:val="Normal"/>
    <w:link w:val="1210"/>
    <w:uiPriority w:val="0"/>
    <w:qFormat/>
    <w:pPr>
      <w:jc w:val="both"/>
      <w:spacing w:line="360" w:lineRule="auto"/>
      <w:widowControl w:val="off"/>
    </w:pPr>
    <w:rPr>
      <w:rFonts w:hint="default" w:ascii="Times New Roman" w:hAnsi="Times New Roman" w:eastAsia="宋体" w:cs="Times New Roman"/>
      <w:sz w:val="21"/>
      <w:szCs w:val="21"/>
      <w:lang w:val="en-US" w:eastAsia="zh-CN" w:bidi="ar-SA"/>
    </w:rPr>
  </w:style>
  <w:style w:type="paragraph" w:styleId="1190">
    <w:name w:val="Heading 1"/>
    <w:basedOn w:val="1189"/>
    <w:next w:val="1189"/>
    <w:uiPriority w:val="9"/>
    <w:qFormat/>
    <w:pPr>
      <w:jc w:val="center"/>
      <w:keepLines/>
      <w:keepNext/>
      <w:outlineLvl w:val="0"/>
    </w:pPr>
    <w:rPr>
      <w:rFonts w:ascii="Arial" w:hAnsi="Arial" w:cs="Arial"/>
      <w:b/>
      <w:sz w:val="36"/>
      <w:szCs w:val="40"/>
    </w:rPr>
  </w:style>
  <w:style w:type="character" w:styleId="1191" w:default="1">
    <w:name w:val="Default Paragraph Font"/>
    <w:uiPriority w:val="0"/>
    <w:semiHidden/>
  </w:style>
  <w:style w:type="table" w:styleId="1192" w:default="1">
    <w:name w:val="Normal Table"/>
    <w:uiPriority w:val="0"/>
    <w:semiHidden/>
    <w:tblPr>
      <w:tblCellMar>
        <w:left w:w="108" w:type="dxa"/>
        <w:top w:w="0" w:type="dxa"/>
        <w:right w:w="108" w:type="dxa"/>
        <w:bottom w:w="0" w:type="dxa"/>
      </w:tblCellMar>
    </w:tblPr>
  </w:style>
  <w:style w:type="paragraph" w:styleId="1193">
    <w:name w:val="Normal Indent"/>
    <w:basedOn w:val="1189"/>
    <w:next w:val="1189"/>
    <w:uiPriority w:val="0"/>
    <w:unhideWhenUsed/>
    <w:qFormat/>
    <w:pPr>
      <w:ind w:firstLine="420"/>
    </w:pPr>
  </w:style>
  <w:style w:type="paragraph" w:styleId="1194">
    <w:name w:val="Body Text"/>
    <w:basedOn w:val="1189"/>
    <w:next w:val="1189"/>
    <w:uiPriority w:val="0"/>
    <w:qFormat/>
    <w:rPr>
      <w:rFonts w:ascii="楷体_GB2312" w:hAnsi="Arial" w:eastAsia="楷体_GB2312"/>
      <w:sz w:val="28"/>
      <w:szCs w:val="28"/>
    </w:rPr>
  </w:style>
  <w:style w:type="paragraph" w:styleId="1195">
    <w:name w:val="Footer"/>
    <w:basedOn w:val="1189"/>
    <w:uiPriority w:val="99"/>
    <w:unhideWhenUsed/>
    <w:qFormat/>
    <w:pPr>
      <w:spacing w:after="0" w:line="240" w:lineRule="auto"/>
      <w:tabs>
        <w:tab w:val="center" w:pos="7143" w:leader="none"/>
        <w:tab w:val="right" w:pos="14287" w:leader="none"/>
      </w:tabs>
    </w:pPr>
  </w:style>
  <w:style w:type="paragraph" w:styleId="1196">
    <w:name w:val="Header"/>
    <w:basedOn w:val="1189"/>
    <w:uiPriority w:val="99"/>
    <w:unhideWhenUsed/>
    <w:qFormat/>
    <w:pPr>
      <w:spacing w:after="0" w:line="240" w:lineRule="auto"/>
      <w:tabs>
        <w:tab w:val="center" w:pos="7143" w:leader="none"/>
        <w:tab w:val="right" w:pos="14287" w:leader="none"/>
      </w:tabs>
    </w:pPr>
  </w:style>
  <w:style w:type="paragraph" w:styleId="1197">
    <w:name w:val="toc 1"/>
    <w:basedOn w:val="1189"/>
    <w:next w:val="1189"/>
    <w:uiPriority w:val="39"/>
    <w:unhideWhenUsed/>
    <w:qFormat/>
    <w:pPr>
      <w:ind w:left="0" w:right="0" w:firstLine="0"/>
      <w:spacing w:line="480" w:lineRule="auto"/>
    </w:pPr>
    <w:rPr>
      <w:b/>
      <w:sz w:val="28"/>
    </w:rPr>
  </w:style>
  <w:style w:type="paragraph" w:styleId="1198">
    <w:name w:val="Normal (Web)"/>
    <w:basedOn w:val="1189"/>
    <w:uiPriority w:val="99"/>
    <w:semiHidden/>
    <w:unhideWhenUsed/>
    <w:qFormat/>
    <w:pPr>
      <w:ind w:left="0" w:right="0"/>
      <w:jc w:val="left"/>
      <w:spacing w:before="0" w:beforeAutospacing="1" w:after="0" w:afterAutospacing="1"/>
    </w:pPr>
    <w:rPr>
      <w:sz w:val="24"/>
      <w:lang w:val="en-US" w:eastAsia="zh-CN" w:bidi="ar"/>
    </w:rPr>
  </w:style>
  <w:style w:type="paragraph" w:styleId="1199">
    <w:name w:val="Body Text First Indent"/>
    <w:basedOn w:val="1194"/>
    <w:uiPriority w:val="0"/>
    <w:unhideWhenUsed/>
    <w:qFormat/>
    <w:pPr>
      <w:ind w:firstLine="420"/>
      <w:jc w:val="both"/>
      <w:spacing w:after="120"/>
      <w:widowControl w:val="off"/>
    </w:pPr>
    <w:rPr>
      <w:rFonts w:ascii="Times New Roman" w:hAnsi="Times New Roman" w:eastAsia="宋体" w:cs="Times New Roman"/>
      <w:sz w:val="21"/>
      <w:szCs w:val="21"/>
      <w:lang w:val="en-US" w:eastAsia="zh-CN" w:bidi="ar-SA"/>
    </w:rPr>
  </w:style>
  <w:style w:type="table" w:styleId="12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01">
    <w:name w:val="Hyperlink"/>
    <w:uiPriority w:val="99"/>
    <w:unhideWhenUsed/>
    <w:qFormat/>
    <w:rPr>
      <w:color w:val="0026e5" w:themeColor="hyperlink"/>
      <w:u w:val="single"/>
      <w14:textFill>
        <w14:solidFill>
          <w14:schemeClr w14:val="hlink"/>
        </w14:solidFill>
      </w14:textFill>
    </w:rPr>
  </w:style>
  <w:style w:type="paragraph" w:styleId="1202" w:customStyle="1">
    <w:name w:val="普通正文"/>
    <w:basedOn w:val="1189"/>
    <w:uiPriority w:val="0"/>
    <w:qFormat/>
    <w:pPr>
      <w:ind w:firstLine="480"/>
      <w:jc w:val="left"/>
      <w:spacing w:before="120" w:after="120" w:line="360" w:lineRule="auto"/>
    </w:pPr>
    <w:rPr>
      <w:rFonts w:ascii="Arial" w:hAnsi="Arial"/>
      <w:sz w:val="24"/>
      <w:szCs w:val="24"/>
    </w:rPr>
  </w:style>
  <w:style w:type="paragraph" w:styleId="1203" w:customStyle="1">
    <w:name w:val="标题 11"/>
    <w:basedOn w:val="1189"/>
    <w:next w:val="1189"/>
    <w:uiPriority w:val="0"/>
    <w:qFormat/>
    <w:pPr>
      <w:jc w:val="center"/>
      <w:keepNext/>
      <w:outlineLvl w:val="0"/>
    </w:pPr>
    <w:rPr>
      <w:rFonts w:ascii="楷体_GB2312" w:eastAsia="楷体_GB2312"/>
      <w:sz w:val="28"/>
      <w:szCs w:val="28"/>
    </w:rPr>
  </w:style>
  <w:style w:type="paragraph" w:styleId="1204" w:customStyle="1">
    <w:name w:val="ListBullet21"/>
    <w:basedOn w:val="1189"/>
    <w:uiPriority w:val="0"/>
    <w:qFormat/>
    <w:pPr>
      <w:numPr>
        <w:ilvl w:val="0"/>
        <w:numId w:val="1"/>
      </w:numPr>
      <w:tabs>
        <w:tab w:val="decimal" w:pos="780" w:leader="none"/>
      </w:tabs>
    </w:pPr>
  </w:style>
  <w:style w:type="paragraph" w:styleId="1205" w:customStyle="1">
    <w:name w:val="正文_0"/>
    <w:uiPriority w:val="0"/>
    <w:qFormat/>
    <w:rPr>
      <w:rFonts w:ascii="Times New Roman" w:hAnsi="Times New Roman" w:eastAsia="宋体" w:cs="Times New Roman"/>
      <w:lang w:val="en-US" w:eastAsia="zh-CN" w:bidi="ar-SA"/>
    </w:rPr>
  </w:style>
  <w:style w:type="paragraph" w:styleId="1206" w:customStyle="1">
    <w:name w:val="正文1"/>
    <w:basedOn w:val="1189"/>
    <w:uiPriority w:val="0"/>
    <w:qFormat/>
    <w:pPr>
      <w:jc w:val="left"/>
      <w:spacing w:line="360" w:lineRule="atLeast"/>
    </w:pPr>
    <w:rPr>
      <w:rFonts w:ascii="宋体" w:hAnsi="Calibri" w:eastAsia="宋体" w:cs="Times New Roman"/>
      <w:sz w:val="24"/>
      <w:szCs w:val="20"/>
    </w:rPr>
  </w:style>
  <w:style w:type="paragraph" w:styleId="1207" w:customStyle="1">
    <w:name w:val="正文（缩进）"/>
    <w:basedOn w:val="1189"/>
    <w:uiPriority w:val="0"/>
    <w:qFormat/>
    <w:pPr>
      <w:ind w:firstLine="480"/>
    </w:pPr>
  </w:style>
  <w:style w:type="paragraph" w:styleId="1208" w:customStyle="1">
    <w:name w:val="页眉1"/>
    <w:basedOn w:val="1189"/>
    <w:uiPriority w:val="0"/>
    <w:qFormat/>
    <w:pPr>
      <w:jc w:val="center"/>
      <w:tabs>
        <w:tab w:val="center" w:pos="4153" w:leader="none"/>
        <w:tab w:val="right" w:pos="8306" w:leader="none"/>
      </w:tabs>
      <w:pBdr>
        <w:bottom w:val="single" w:color="000000" w:sz="6" w:space="1"/>
      </w:pBdr>
    </w:pPr>
    <w:rPr>
      <w:sz w:val="18"/>
      <w:szCs w:val="18"/>
    </w:rPr>
  </w:style>
  <w:style w:type="paragraph" w:styleId="1209" w:customStyle="1">
    <w:name w:val="页脚1"/>
    <w:basedOn w:val="1189"/>
    <w:uiPriority w:val="0"/>
    <w:qFormat/>
    <w:pPr>
      <w:jc w:val="left"/>
      <w:tabs>
        <w:tab w:val="center" w:pos="4153" w:leader="none"/>
        <w:tab w:val="right" w:pos="8306" w:leader="none"/>
      </w:tabs>
    </w:pPr>
    <w:rPr>
      <w:sz w:val="18"/>
      <w:szCs w:val="18"/>
    </w:rPr>
  </w:style>
  <w:style w:type="character" w:styleId="1210" w:customStyle="1">
    <w:name w:val="页码1"/>
    <w:link w:val="1189"/>
    <w:uiPriority w:val="0"/>
    <w:qFormat/>
    <w:rPr>
      <w:rFonts w:hint="default" w:ascii="Times New Roman" w:hAnsi="Times New Roman" w:eastAsia="宋体" w:cs="Times New Roman"/>
      <w:sz w:val="21"/>
      <w:szCs w:val="21"/>
      <w:lang w:val="en-US" w:eastAsia="zh-CN" w:bidi="ar-SA"/>
    </w:rPr>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臧臧</dc:creator>
  <cp:lastModifiedBy>韩信</cp:lastModifiedBy>
  <cp:revision>4</cp:revision>
  <dcterms:created xsi:type="dcterms:W3CDTF">2026-06-26T01:14:00Z</dcterms:created>
  <dcterms:modified xsi:type="dcterms:W3CDTF">2026-06-26T02:29:07Z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3B5E4FABB5CA407B8F0C80F708A9A113_11</vt:lpwstr>
  </property>
  <property fmtid="{D5CDD505-2E9C-101B-9397-08002B2CF9AE}" pid="4" name="KSOTemplateDocerSaveRecord">
    <vt:lpwstr>eyJoZGlkIjoiYzBlZmM0MmU0MGNlYTQ2ODBlYTdhNzM3ZmEyMjdlNjciLCJ1c2VySWQiOiIzMDYxNjIwNjQifQ==</vt:lpwstr>
  </property>
</Properties>
</file>