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1285"/>
        <w:spacing w:before="240" w:after="240" w:line="560" w:lineRule="exac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hint="eastAsia" w:ascii="宋体" w:hAnsi="宋体" w:cs="宋体"/>
          <w:b/>
          <w:color w:val="000000"/>
          <w:sz w:val="32"/>
          <w:lang w:eastAsia="zh-CN"/>
        </w:rPr>
        <w:t xml:space="preserve">扬州市邗江区机关事务管理局全区公共机构能源费用托管项目</w:t>
      </w:r>
      <w:r/>
    </w:p>
    <w:p>
      <w:pPr>
        <w:ind w:firstLine="1287"/>
        <w:spacing w:line="560" w:lineRule="exact"/>
        <w:rPr>
          <w:rFonts w:hint="eastAsia" w:ascii="宋体" w:hAnsi="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宋体" w:hAnsi="宋体" w:cs="宋体"/>
          <w:b/>
          <w:color w:val="000000"/>
          <w:sz w:val="32"/>
          <w:lang w:eastAsia="zh-CN"/>
        </w:rPr>
        <w:t xml:space="preserve">JSZC-321003-JZCG-G2026-0008</w:t>
      </w:r>
      <w:r/>
    </w:p>
    <w:p>
      <w:pPr>
        <w:ind w:firstLine="1287"/>
        <w:spacing w:line="560" w:lineRule="exact"/>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rPr>
          <w:rFonts w:hint="eastAsia"/>
          <w:b/>
          <w:bCs/>
          <w:sz w:val="32"/>
        </w:rPr>
        <w:t xml:space="preserve">邗江分中心</w:t>
      </w:r>
      <w:r/>
    </w:p>
    <w:p>
      <w:pPr>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2026</w:t>
      </w:r>
      <w:r>
        <w:rPr>
          <w:rFonts w:ascii="宋体" w:hAnsi="宋体" w:cs="宋体"/>
          <w:b/>
          <w:color w:val="000000"/>
          <w:sz w:val="32"/>
        </w:rPr>
        <w:t xml:space="preserve">年</w:t>
      </w:r>
      <w:r>
        <w:rPr>
          <w:rFonts w:hint="eastAsia" w:ascii="宋体" w:hAnsi="宋体" w:cs="宋体"/>
          <w:b/>
          <w:color w:val="000000"/>
          <w:sz w:val="32"/>
          <w:lang w:val="en-US" w:eastAsia="zh-CN"/>
        </w:rPr>
        <w:t xml:space="preserve">6</w:t>
      </w:r>
      <w:r>
        <w:rPr>
          <w:rFonts w:ascii="宋体" w:hAnsi="宋体" w:cs="宋体"/>
          <w:b/>
          <w:color w:val="000000"/>
          <w:sz w:val="32"/>
        </w:rPr>
        <w:t xml:space="preserve">月</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投标邀请……………………………………3</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6</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w:t>
      </w:r>
      <w:r>
        <w:rPr>
          <w:rFonts w:hint="eastAsia" w:ascii="黑体" w:hAnsi="黑体" w:eastAsia="黑体" w:cs="黑体"/>
          <w:color w:val="000000"/>
          <w:sz w:val="36"/>
          <w:lang w:val="en-US" w:eastAsia="zh-CN"/>
        </w:rPr>
        <w:t xml:space="preserve">5</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rPr>
          <w:rFonts w:hint="eastAsia" w:ascii="黑体" w:hAnsi="黑体" w:eastAsia="黑体" w:cs="黑体"/>
          <w:color w:val="000000"/>
          <w:sz w:val="36"/>
          <w:lang w:val="en-US" w:eastAsia="zh-CN"/>
        </w:rPr>
        <w:t xml:space="preserve">23</w:t>
      </w:r>
      <w:bookmarkStart w:id="9" w:name="_GoBack"/>
      <w:r/>
      <w:bookmarkEnd w:id="9"/>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48</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51</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92"/>
        <w:rPr>
          <w:rFonts w:ascii="宋体" w:hAnsi="宋体" w:cs="宋体"/>
          <w:color w:val="000000"/>
        </w:rPr>
      </w:pPr>
      <w:r>
        <w:rPr>
          <w:rFonts w:ascii="宋体" w:hAnsi="宋体" w:cs="宋体"/>
          <w:color w:val="000000"/>
        </w:rPr>
      </w:r>
      <w:r/>
    </w:p>
    <w:p>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
    </w:p>
    <w:p>
      <w:pPr>
        <w:pStyle w:val="993"/>
      </w:pPr>
      <w:r>
        <w:rPr>
          <w:rStyle w:val="1028"/>
          <w:rFonts w:ascii="黑体" w:hAnsi="黑体" w:cs="黑体"/>
        </w:rPr>
        <w:t xml:space="preserve">第一章 投标邀请</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hint="eastAsia" w:ascii="宋体" w:hAnsi="宋体" w:cs="宋体"/>
          <w:color w:val="000000"/>
          <w:sz w:val="24"/>
          <w:lang w:eastAsia="zh-CN"/>
        </w:rPr>
        <w:t xml:space="preserve">扬州市邗江区机关事务管理局</w:t>
      </w:r>
      <w:r>
        <w:rPr>
          <w:rFonts w:ascii="宋体" w:hAnsi="宋体" w:cs="宋体"/>
          <w:color w:val="000000"/>
          <w:sz w:val="24"/>
        </w:rPr>
        <w:t xml:space="preserve">]的委托，扬州市公共资源交易中心</w:t>
      </w:r>
      <w:r>
        <w:rPr>
          <w:rFonts w:hint="eastAsia" w:ascii="宋体" w:hAnsi="宋体" w:cs="宋体"/>
          <w:color w:val="000000"/>
          <w:sz w:val="24"/>
        </w:rPr>
        <w:t xml:space="preserve">邗江分中心</w:t>
      </w:r>
      <w:r>
        <w:rPr>
          <w:rFonts w:ascii="宋体" w:hAnsi="宋体" w:cs="宋体"/>
          <w:color w:val="000000"/>
          <w:sz w:val="24"/>
        </w:rPr>
        <w:t xml:space="preserve">就[</w:t>
      </w:r>
      <w:r>
        <w:rPr>
          <w:rFonts w:hint="eastAsia" w:ascii="宋体" w:hAnsi="宋体" w:cs="宋体"/>
          <w:color w:val="000000"/>
          <w:sz w:val="24"/>
          <w:lang w:eastAsia="zh-CN"/>
        </w:rPr>
        <w:t xml:space="preserve">扬州市邗江区机关事务管理局全区公共机构能源费用托管项目</w:t>
      </w:r>
      <w:r>
        <w:rPr>
          <w:rFonts w:ascii="宋体" w:hAnsi="宋体" w:cs="宋体"/>
          <w:color w:val="000000"/>
          <w:sz w:val="24"/>
        </w:rPr>
        <w:t xml:space="preserve">](</w:t>
      </w:r>
      <w:r>
        <w:rPr>
          <w:rFonts w:hint="eastAsia" w:ascii="宋体" w:hAnsi="宋体" w:cs="宋体"/>
          <w:color w:val="000000"/>
          <w:sz w:val="24"/>
          <w:lang w:eastAsia="zh-CN"/>
        </w:rPr>
        <w:t xml:space="preserve">JSZC-321003-JZCG-G2026-000</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w:t>
      </w:r>
      <w:r>
        <w:rPr>
          <w:rFonts w:ascii="宋体" w:hAnsi="宋体" w:cs="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w:t>
      </w:r>
      <w:r>
        <w:rPr>
          <w:rFonts w:hint="eastAsia" w:ascii="宋体" w:hAnsi="宋体" w:cs="宋体"/>
          <w:color w:val="000000"/>
          <w:sz w:val="24"/>
          <w:u w:val="single"/>
          <w:lang w:eastAsia="zh-CN"/>
        </w:rPr>
        <w:t xml:space="preserve">扬州市邗江区机关事务管理局全区公共机构能源费用托管项目</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“江苏政府采购网”“扬州市政府采购网”“扬州市</w:t>
      </w:r>
      <w:r>
        <w:rPr>
          <w:rFonts w:hint="eastAsia" w:ascii="宋体" w:hAnsi="宋体" w:cs="宋体"/>
          <w:color w:val="000000"/>
          <w:sz w:val="24"/>
          <w:u w:val="single"/>
        </w:rPr>
        <w:t xml:space="preserve">邗江区</w:t>
      </w:r>
      <w:r>
        <w:rPr>
          <w:rFonts w:ascii="宋体" w:hAnsi="宋体" w:cs="宋体"/>
          <w:color w:val="000000"/>
          <w:sz w:val="24"/>
          <w:u w:val="single"/>
        </w:rPr>
        <w:t xml:space="preserve">政府采购网”</w:t>
      </w:r>
      <w:r>
        <w:rPr>
          <w:rFonts w:ascii="宋体" w:hAnsi="宋体" w:cs="宋体"/>
          <w:color w:val="000000"/>
          <w:sz w:val="24"/>
        </w:rPr>
        <w:t xml:space="preserve">自行免费下载招标文件，并于</w:t>
      </w:r>
      <w:r>
        <w:rPr>
          <w:rFonts w:hint="eastAsia" w:ascii="宋体" w:hAnsi="宋体" w:cs="宋体"/>
          <w:color w:val="auto"/>
          <w:sz w:val="24"/>
          <w:u w:val="single"/>
        </w:rPr>
        <w:t xml:space="preserve">2026</w:t>
      </w:r>
      <w:r>
        <w:rPr>
          <w:rFonts w:ascii="宋体" w:hAnsi="宋体" w:cs="宋体"/>
          <w:color w:val="auto"/>
          <w:sz w:val="24"/>
          <w:u w:val="single"/>
        </w:rPr>
        <w:t xml:space="preserve">年</w:t>
      </w:r>
      <w:r>
        <w:rPr>
          <w:rFonts w:hint="eastAsia" w:ascii="宋体" w:hAnsi="宋体" w:cs="宋体"/>
          <w:color w:val="auto"/>
          <w:sz w:val="24"/>
          <w:u w:val="single"/>
          <w:lang w:val="en-US" w:eastAsia="zh-CN"/>
        </w:rPr>
        <w:t xml:space="preserve">7</w:t>
      </w:r>
      <w:r>
        <w:rPr>
          <w:rFonts w:ascii="宋体" w:hAnsi="宋体" w:cs="宋体"/>
          <w:color w:val="auto"/>
          <w:sz w:val="24"/>
          <w:u w:val="single"/>
        </w:rPr>
        <w:t xml:space="preserve">月</w:t>
      </w:r>
      <w:r>
        <w:rPr>
          <w:rFonts w:hint="eastAsia" w:ascii="宋体" w:hAnsi="宋体" w:cs="宋体"/>
          <w:color w:val="auto"/>
          <w:sz w:val="24"/>
          <w:u w:val="single"/>
          <w:lang w:val="en-US" w:eastAsia="zh-CN"/>
        </w:rPr>
        <w:t xml:space="preserve">21</w:t>
      </w:r>
      <w:r>
        <w:rPr>
          <w:rFonts w:ascii="宋体" w:hAnsi="宋体" w:cs="宋体"/>
          <w:color w:val="auto"/>
          <w:sz w:val="24"/>
          <w:u w:val="single"/>
        </w:rPr>
        <w:t xml:space="preserve">日9点</w:t>
      </w:r>
      <w:r>
        <w:rPr>
          <w:rFonts w:hint="eastAsia" w:ascii="宋体" w:hAnsi="宋体" w:cs="宋体"/>
          <w:color w:val="auto"/>
          <w:sz w:val="24"/>
          <w:u w:val="single"/>
        </w:rPr>
        <w:t xml:space="preserve">3</w:t>
      </w:r>
      <w:r>
        <w:rPr>
          <w:rFonts w:ascii="宋体" w:hAnsi="宋体" w:cs="宋体"/>
          <w:color w:val="auto"/>
          <w:sz w:val="24"/>
          <w:u w:val="single"/>
        </w:rPr>
        <w:t xml:space="preserve">0分</w:t>
      </w:r>
      <w:r>
        <w:rPr>
          <w:rFonts w:ascii="宋体" w:hAnsi="宋体" w:cs="宋体"/>
          <w:sz w:val="24"/>
          <w:u w:val="single"/>
        </w:rPr>
        <w:t xml:space="preserve">（</w:t>
      </w:r>
      <w:r>
        <w:rPr>
          <w:rFonts w:ascii="宋体" w:hAnsi="宋体" w:cs="宋体"/>
          <w:color w:val="000000"/>
          <w:sz w:val="24"/>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hint="eastAsia" w:ascii="宋体" w:hAnsi="宋体" w:cs="宋体"/>
          <w:color w:val="000000"/>
          <w:sz w:val="24"/>
        </w:rPr>
        <w:t xml:space="preserve">：</w:t>
      </w:r>
      <w:r>
        <w:rPr>
          <w:rFonts w:hint="eastAsia" w:ascii="宋体" w:hAnsi="宋体" w:cs="宋体"/>
          <w:color w:val="000000"/>
          <w:sz w:val="24"/>
          <w:lang w:eastAsia="zh-CN"/>
        </w:rPr>
        <w:t xml:space="preserve">JSZC-321003-JZCG-G2026-0008</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宋体" w:hAnsi="宋体" w:cs="宋体"/>
          <w:color w:val="000000"/>
          <w:sz w:val="24"/>
          <w:lang w:eastAsia="zh-CN"/>
        </w:rPr>
        <w:t xml:space="preserve">扬州市邗江区机关事务管理局全区公共机构能源费用托管项目</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bookmarkStart w:id="0" w:name="_Hlk161165874"/>
      <w:r>
        <w:rPr>
          <w:rFonts w:hint="eastAsia" w:ascii="宋体" w:hAnsi="宋体" w:cs="宋体"/>
          <w:color w:val="000000"/>
          <w:sz w:val="24"/>
        </w:rPr>
        <w:t xml:space="preserve">人民币</w:t>
      </w:r>
      <w:bookmarkEnd w:id="0"/>
      <w:r>
        <w:rPr>
          <w:rFonts w:hint="eastAsia" w:ascii="宋体" w:hAnsi="宋体" w:cs="宋体"/>
          <w:color w:val="000000"/>
          <w:sz w:val="24"/>
          <w:lang w:val="en-US" w:eastAsia="zh-CN"/>
        </w:rPr>
        <w:t xml:space="preserve">29400.00万元</w:t>
      </w:r>
      <w:r/>
    </w:p>
    <w:tbl>
      <w:tblPr>
        <w:tblStyle w:val="825"/>
        <w:tblW w:w="8940" w:type="dxa"/>
        <w:tblInd w:w="12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7766"/>
      </w:tblGrid>
      <w:tr>
        <w:trPr>
          <w:trHeight w:val="9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6" w:type="dxa"/>
            <w:textDirection w:val="lrTb"/>
            <w:noWrap w:val="false"/>
          </w:tcPr>
          <w:p>
            <w:pPr>
              <w:jc w:val="center"/>
              <w:spacing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29400.00</w:t>
            </w:r>
            <w:r/>
          </w:p>
        </w:tc>
      </w:tr>
    </w:tbl>
    <w:p>
      <w:pPr>
        <w:ind w:firstLine="480"/>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4.</w:t>
      </w:r>
      <w:r>
        <w:rPr>
          <w:rFonts w:ascii="宋体" w:hAnsi="宋体" w:cs="宋体"/>
          <w:color w:val="000000"/>
          <w:sz w:val="24"/>
        </w:rPr>
        <w:t xml:space="preserve">最高限价：</w:t>
      </w:r>
      <w:r>
        <w:rPr>
          <w:rFonts w:hint="eastAsia" w:ascii="宋体" w:hAnsi="宋体" w:cs="宋体"/>
          <w:color w:val="000000"/>
          <w:sz w:val="24"/>
        </w:rPr>
        <w:t xml:space="preserve">人民币</w:t>
      </w:r>
      <w:r>
        <w:rPr>
          <w:rFonts w:hint="eastAsia" w:ascii="宋体" w:hAnsi="宋体" w:cs="宋体"/>
          <w:color w:val="000000"/>
          <w:sz w:val="24"/>
          <w:lang w:val="en-US" w:eastAsia="zh-CN"/>
        </w:rPr>
        <w:t xml:space="preserve">26632.51449万元</w:t>
      </w:r>
      <w:r/>
    </w:p>
    <w:tbl>
      <w:tblPr>
        <w:tblStyle w:val="825"/>
        <w:tblpPr w:horzAnchor="page" w:tblpX="1467" w:vertAnchor="text" w:tblpY="139" w:leftFromText="180" w:topFromText="0" w:rightFromText="180" w:bottomFromText="0"/>
        <w:tblW w:w="896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3397"/>
        <w:gridCol w:w="44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9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w:t>
            </w:r>
            <w:r>
              <w:rPr>
                <w:rFonts w:hint="eastAsia" w:ascii="宋体" w:hAnsi="宋体" w:cs="宋体"/>
                <w:color w:val="000000"/>
                <w:sz w:val="24"/>
                <w:lang w:val="en-US" w:eastAsia="zh-CN"/>
              </w:rPr>
              <w:t xml:space="preserve">万元</w:t>
            </w:r>
            <w:r>
              <w:rPr>
                <w:rFonts w:ascii="宋体" w:hAnsi="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15" w:type="dxa"/>
            <w:textDirection w:val="lrTb"/>
            <w:noWrap w:val="false"/>
          </w:tcPr>
          <w:p>
            <w:pPr>
              <w:jc w:val="center"/>
              <w:spacing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26632.51449</w:t>
            </w:r>
            <w:r/>
          </w:p>
        </w:tc>
      </w:tr>
    </w:tbl>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ascii="宋体" w:hAnsi="宋体" w:cs="宋体"/>
          <w:color w:val="000000"/>
          <w:sz w:val="24"/>
        </w:rPr>
        <w:t xml:space="preserve">采购需求（简介）：</w:t>
      </w:r>
      <w:r>
        <w:rPr>
          <w:rFonts w:hint="eastAsia" w:ascii="宋体" w:hAnsi="宋体" w:cs="宋体"/>
          <w:color w:val="000000"/>
          <w:sz w:val="24"/>
          <w:lang w:eastAsia="zh-CN"/>
        </w:rPr>
        <w:t xml:space="preserve">扬州市邗江区机关事务管理局全区公共机构能源费用托管项目</w:t>
      </w:r>
      <w:r>
        <w:rPr>
          <w:rFonts w:ascii="宋体" w:hAnsi="宋体" w:cs="宋体"/>
          <w:color w:val="000000"/>
          <w:sz w:val="24"/>
        </w:rPr>
        <w:t xml:space="preserve">（详细内容见本招标文件第四章）</w:t>
      </w:r>
      <w:r>
        <w:rPr>
          <w:rFonts w:hint="eastAsia" w:ascii="宋体" w:hAnsi="宋体" w:cs="宋体"/>
          <w:color w:val="000000"/>
          <w:sz w:val="24"/>
        </w:rPr>
        <w:t xml:space="preserve">。</w:t>
      </w:r>
      <w:r/>
    </w:p>
    <w:p>
      <w:pPr>
        <w:ind w:firstLine="480"/>
        <w:spacing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cs="宋体"/>
          <w:color w:val="000000"/>
          <w:sz w:val="24"/>
        </w:rPr>
        <w:t xml:space="preserve">：从项目验收之日起的次月1日进入托管期，托管年限七年</w:t>
      </w:r>
      <w:r>
        <w:rPr>
          <w:rFonts w:hint="eastAsia" w:ascii="宋体" w:hAnsi="宋体" w:cs="宋体"/>
          <w:color w:val="000000"/>
          <w:sz w:val="24"/>
          <w:lang w:eastAsia="zh-CN"/>
        </w:rPr>
        <w:t xml:space="preserve">。</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w:t>
      </w:r>
      <w:r>
        <w:rPr>
          <w:rFonts w:hint="eastAsia" w:ascii="宋体" w:hAnsi="宋体" w:cs="宋体"/>
          <w:color w:val="000000"/>
          <w:sz w:val="24"/>
          <w:lang w:val="en-US" w:eastAsia="zh-CN"/>
        </w:rPr>
        <w:t xml:space="preserve">上一</w:t>
      </w:r>
      <w:r>
        <w:rPr>
          <w:rFonts w:ascii="宋体" w:hAnsi="宋体" w:cs="宋体"/>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rPr>
          <w:rFonts w:ascii="宋体" w:hAnsi="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1.6供应商信用承诺函。</w:t>
      </w:r>
      <w:r>
        <w:rPr>
          <w:rFonts w:ascii="宋体" w:hAnsi="宋体" w:cs="宋体"/>
          <w:color w:val="000000"/>
          <w:sz w:val="24"/>
          <w:szCs w:val="24"/>
        </w:rPr>
      </w:r>
      <w:r/>
    </w:p>
    <w:p>
      <w:pPr>
        <w:ind w:firstLine="0"/>
        <w:spacing w:line="400" w:lineRule="atLeast"/>
        <w:rPr>
          <w:rFonts w:ascii="宋体" w:hAnsi="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1.7</w:t>
      </w:r>
      <w:r>
        <w:rPr>
          <w:rFonts w:ascii="宋体" w:hAnsi="宋体" w:cs="宋体"/>
          <w:color w:val="000000"/>
          <w:sz w:val="24"/>
          <w:szCs w:val="24"/>
        </w:rPr>
        <w:t xml:space="preserve">供应商联合体投标，须提供</w:t>
      </w:r>
      <w:r>
        <w:rPr>
          <w:rFonts w:ascii="宋体" w:hAnsi="宋体" w:cs="宋体"/>
          <w:color w:val="000000"/>
          <w:sz w:val="24"/>
          <w:szCs w:val="24"/>
        </w:rPr>
        <w:t xml:space="preserve">联合体协议。</w:t>
      </w:r>
      <w:r>
        <w:rPr>
          <w:rFonts w:ascii="宋体" w:hAnsi="宋体" w:cs="宋体"/>
          <w:color w:val="000000"/>
          <w:sz w:val="24"/>
          <w:szCs w:val="24"/>
        </w:r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w:t>
      </w:r>
      <w:r>
        <w:rPr>
          <w:rFonts w:hint="eastAsia" w:ascii="宋体" w:hAnsi="宋体"/>
          <w:b/>
          <w:bCs/>
          <w:sz w:val="24"/>
          <w:szCs w:val="24"/>
          <w:lang w:val="en-US" w:eastAsia="zh-CN"/>
        </w:rPr>
        <w:t xml:space="preserve">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825"/>
        <w:tblW w:w="8925" w:type="dxa"/>
        <w:tblInd w:w="9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4"/>
        <w:gridCol w:w="3496"/>
        <w:gridCol w:w="43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9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6" w:type="dxa"/>
            <w:textDirection w:val="lrTb"/>
            <w:noWrap w:val="false"/>
          </w:tcPr>
          <w:p>
            <w:pPr>
              <w:jc w:val="center"/>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5" w:type="dxa"/>
            <w:textDirection w:val="lrTb"/>
            <w:noWrap w:val="false"/>
          </w:tcPr>
          <w:p>
            <w:pPr>
              <w:jc w:val="center"/>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825"/>
        <w:tblW w:w="8940" w:type="dxa"/>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7924"/>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2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tbl>
      <w:tblPr>
        <w:tblStyle w:val="800"/>
        <w:tblpPr w:horzAnchor="page" w:tblpX="1495" w:vertAnchor="text" w:tblpY="598" w:leftFromText="180" w:topFromText="0" w:rightFromText="180" w:bottomFromText="0"/>
        <w:tblW w:w="88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7830"/>
      </w:tblGrid>
      <w:tr>
        <w:trPr/>
        <w:tc>
          <w:tcPr>
            <w:tcW w:w="106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7830" w:type="dxa"/>
            <w:textDirection w:val="lrTb"/>
            <w:noWrap w:val="false"/>
          </w:tcPr>
          <w:p>
            <w:pPr>
              <w:ind w:firstLine="480"/>
              <w:jc w:val="left"/>
              <w:spacing w:line="400" w:lineRule="exact"/>
              <w:rPr>
                <w:rFonts w:ascii="宋体" w:hAnsi="宋体"/>
                <w:sz w:val="24"/>
                <w:szCs w:val="24"/>
              </w:rPr>
            </w:pPr>
            <w:r>
              <w:rPr>
                <w:rFonts w:hint="eastAsia" w:ascii="宋体" w:hAnsi="宋体"/>
                <w:sz w:val="24"/>
                <w:szCs w:val="24"/>
              </w:rPr>
              <w:t xml:space="preserve">                          无</w:t>
            </w:r>
            <w:r/>
          </w:p>
        </w:tc>
      </w:tr>
    </w:tbl>
    <w:p>
      <w:pPr>
        <w:numPr>
          <w:ilvl w:val="0"/>
          <w:numId w:val="0"/>
        </w:numPr>
        <w:ind w:firstLine="240"/>
        <w:spacing w:line="400" w:lineRule="atLeast"/>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1"/>
          <w:szCs w:val="21"/>
          <w:lang w:val="en-US" w:eastAsia="zh-CN" w:bidi="ar-SA"/>
        </w:rPr>
        <w:t xml:space="preserve">（二）</w:t>
      </w:r>
      <w:r>
        <w:rPr>
          <w:rFonts w:ascii="宋体" w:hAnsi="宋体" w:cs="宋体"/>
          <w:color w:val="000000"/>
          <w:sz w:val="24"/>
        </w:rPr>
        <w:t xml:space="preserve">本项目的特定资格要求</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480"/>
        <w:keepLines w:val="0"/>
        <w:keepNext w:val="0"/>
        <w:pageBreakBefore w:val="0"/>
        <w:spacing w:line="360" w:lineRule="exact"/>
        <w:widowControl w:val="off"/>
        <w:rPr>
          <w:rFonts w:ascii="宋体" w:hAnsi="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2.方式：在“江苏政府采购网、扬州市政府采购网</w:t>
      </w:r>
      <w:r>
        <w:rPr>
          <w:rFonts w:hint="eastAsia" w:ascii="宋体" w:hAnsi="宋体" w:cs="宋体"/>
          <w:color w:val="000000"/>
          <w:sz w:val="24"/>
        </w:rPr>
        <w:t xml:space="preserve">、</w:t>
      </w:r>
      <w:r>
        <w:rPr>
          <w:rFonts w:ascii="宋体" w:hAnsi="宋体" w:cs="宋体"/>
          <w:color w:val="000000"/>
          <w:sz w:val="24"/>
        </w:rPr>
        <w:t xml:space="preserve">扬州市</w:t>
      </w:r>
      <w:r>
        <w:rPr>
          <w:rFonts w:hint="eastAsia" w:ascii="宋体" w:hAnsi="宋体" w:cs="宋体"/>
          <w:color w:val="000000"/>
          <w:sz w:val="24"/>
        </w:rPr>
        <w:t xml:space="preserve">邗江区</w:t>
      </w:r>
      <w:r>
        <w:rPr>
          <w:rFonts w:ascii="宋体" w:hAnsi="宋体" w:cs="宋体"/>
          <w:color w:val="000000"/>
          <w:sz w:val="24"/>
        </w:rPr>
        <w:t xml:space="preserve">政府采购网”自行免费下载招标文件。</w:t>
      </w:r>
      <w:r/>
    </w:p>
    <w:p>
      <w:pPr>
        <w:ind w:firstLine="498"/>
        <w:keepLines w:val="0"/>
        <w:keepNext w:val="0"/>
        <w:pageBreakBefore w:val="0"/>
        <w:spacing w:before="145" w:after="145"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b/>
          <w:color w:val="000000"/>
          <w:sz w:val="32"/>
        </w:rPr>
        <w:t xml:space="preserve">四、提交投标文件截止时间、开标时间和地点</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1.202</w:t>
      </w:r>
      <w:r>
        <w:rPr>
          <w:rFonts w:hint="eastAsia" w:ascii="宋体" w:hAnsi="宋体" w:cs="宋体"/>
          <w:color w:val="000000"/>
          <w:sz w:val="24"/>
        </w:rPr>
        <w:t xml:space="preserve">6</w:t>
      </w:r>
      <w:r>
        <w:rPr>
          <w:rFonts w:ascii="宋体" w:hAnsi="宋体" w:cs="宋体"/>
          <w:color w:val="000000"/>
          <w:sz w:val="24"/>
        </w:rPr>
        <w:t xml:space="preserve">年</w:t>
      </w:r>
      <w:r>
        <w:rPr>
          <w:rFonts w:hint="eastAsia" w:ascii="宋体" w:hAnsi="宋体" w:cs="宋体"/>
          <w:color w:val="000000"/>
          <w:sz w:val="24"/>
          <w:lang w:val="en-US" w:eastAsia="zh-CN"/>
        </w:rPr>
        <w:t xml:space="preserve">7</w:t>
      </w:r>
      <w:r>
        <w:rPr>
          <w:rFonts w:ascii="宋体" w:hAnsi="宋体" w:cs="宋体"/>
          <w:color w:val="000000"/>
          <w:sz w:val="24"/>
        </w:rPr>
        <w:t xml:space="preserve">月</w:t>
      </w:r>
      <w:r>
        <w:rPr>
          <w:rFonts w:hint="eastAsia" w:ascii="宋体" w:hAnsi="宋体" w:cs="宋体"/>
          <w:color w:val="000000"/>
          <w:sz w:val="24"/>
          <w:lang w:val="en-US" w:eastAsia="zh-CN"/>
        </w:rPr>
        <w:t xml:space="preserve">21</w:t>
      </w:r>
      <w:r>
        <w:rPr>
          <w:rFonts w:ascii="宋体" w:hAnsi="宋体" w:cs="宋体"/>
          <w:color w:val="000000"/>
          <w:sz w:val="24"/>
        </w:rPr>
        <w:t xml:space="preserve">日</w:t>
      </w:r>
      <w:r>
        <w:rPr>
          <w:rFonts w:hint="eastAsia" w:ascii="宋体" w:hAnsi="宋体" w:cs="宋体"/>
          <w:color w:val="000000"/>
          <w:sz w:val="24"/>
        </w:rPr>
        <w:t xml:space="preserve">9</w:t>
      </w:r>
      <w:r>
        <w:rPr>
          <w:rFonts w:ascii="宋体" w:hAnsi="宋体" w:cs="宋体"/>
          <w:color w:val="000000"/>
          <w:sz w:val="24"/>
        </w:rPr>
        <w:t xml:space="preserve">点</w:t>
      </w:r>
      <w:r>
        <w:rPr>
          <w:rFonts w:hint="eastAsia" w:ascii="宋体" w:hAnsi="宋体" w:cs="宋体"/>
          <w:color w:val="000000"/>
          <w:sz w:val="24"/>
        </w:rPr>
        <w:t xml:space="preserve">30</w:t>
      </w:r>
      <w:r>
        <w:rPr>
          <w:rFonts w:ascii="宋体" w:hAnsi="宋体" w:cs="宋体"/>
          <w:color w:val="000000"/>
          <w:sz w:val="24"/>
        </w:rPr>
        <w:t xml:space="preserve">分（北京时间）</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8"/>
        <w:keepLines w:val="0"/>
        <w:keepNext w:val="0"/>
        <w:pageBreakBefore w:val="0"/>
        <w:spacing w:before="145" w:after="145"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b/>
          <w:color w:val="000000"/>
          <w:sz w:val="32"/>
        </w:rPr>
        <w:t xml:space="preserve">五、公告期限</w:t>
      </w:r>
      <w:r/>
    </w:p>
    <w:p>
      <w:pPr>
        <w:ind w:firstLine="480"/>
        <w:keepLines w:val="0"/>
        <w:keepNext w:val="0"/>
        <w:pageBreakBefore w:val="0"/>
        <w:spacing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自本公告发布之日起5个工作日。</w:t>
      </w:r>
      <w:r/>
    </w:p>
    <w:p>
      <w:pPr>
        <w:ind w:firstLine="498"/>
        <w:keepLines w:val="0"/>
        <w:keepNext w:val="0"/>
        <w:pageBreakBefore w:val="0"/>
        <w:spacing w:before="145" w:after="145"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b/>
          <w:color w:val="000000"/>
          <w:sz w:val="32"/>
        </w:rPr>
        <w:t xml:space="preserve">六、其他补充事宜</w:t>
      </w:r>
      <w:r/>
    </w:p>
    <w:p>
      <w:pPr>
        <w:ind w:firstLine="480"/>
        <w:keepLines w:val="0"/>
        <w:keepNext w:val="0"/>
        <w:pageBreakBefore w:val="0"/>
        <w:spacing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无</w:t>
      </w:r>
      <w:r/>
    </w:p>
    <w:p>
      <w:pPr>
        <w:ind w:firstLine="498"/>
        <w:keepLines w:val="0"/>
        <w:keepNext w:val="0"/>
        <w:pageBreakBefore w:val="0"/>
        <w:spacing w:before="145" w:after="145"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b/>
          <w:color w:val="000000"/>
          <w:sz w:val="32"/>
        </w:rPr>
        <w:t xml:space="preserve">七、本次招标联系方式</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1.采购人信息</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bookmarkStart w:id="1" w:name="_Toc28359086"/>
      <w:r/>
      <w:bookmarkStart w:id="2" w:name="_Toc28359009"/>
      <w:r>
        <w:rPr>
          <w:rFonts w:hint="eastAsia" w:ascii="宋体" w:hAnsi="宋体" w:cs="宋体"/>
          <w:color w:val="000000"/>
          <w:sz w:val="24"/>
        </w:rPr>
        <w:t xml:space="preserve">名 称：</w:t>
      </w:r>
      <w:r>
        <w:rPr>
          <w:rFonts w:hint="eastAsia" w:ascii="宋体" w:hAnsi="宋体" w:cs="宋体"/>
          <w:color w:val="000000"/>
          <w:sz w:val="24"/>
          <w:lang w:eastAsia="zh-CN"/>
        </w:rPr>
        <w:t xml:space="preserve">扬州市邗江区机关事务管理局</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地址：江苏省扬州市邗江区</w:t>
      </w:r>
      <w:r>
        <w:rPr>
          <w:rFonts w:hint="eastAsia" w:ascii="宋体" w:hAnsi="宋体" w:cs="宋体"/>
          <w:color w:val="000000"/>
          <w:sz w:val="24"/>
          <w:lang w:val="en-US" w:eastAsia="zh-CN"/>
        </w:rPr>
        <w:t xml:space="preserve">兴城西路170</w:t>
      </w:r>
      <w:r>
        <w:rPr>
          <w:rFonts w:hint="eastAsia" w:ascii="宋体" w:hAnsi="宋体" w:cs="宋体"/>
          <w:color w:val="000000"/>
          <w:sz w:val="24"/>
        </w:rPr>
        <w:t xml:space="preserve">号　</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w:t>
      </w:r>
      <w:r>
        <w:rPr>
          <w:rFonts w:hint="eastAsia" w:ascii="宋体" w:hAnsi="宋体" w:cs="宋体"/>
          <w:color w:val="000000"/>
          <w:sz w:val="24"/>
          <w:lang w:val="en-US" w:eastAsia="zh-CN"/>
        </w:rPr>
        <w:t xml:space="preserve">张</w:t>
      </w:r>
      <w:r>
        <w:rPr>
          <w:rFonts w:hint="eastAsia" w:ascii="宋体" w:hAnsi="宋体" w:cs="宋体"/>
          <w:color w:val="000000"/>
          <w:sz w:val="24"/>
        </w:rPr>
        <w:t xml:space="preserve">主任 </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联系方式：0514-87862012　</w:t>
      </w:r>
      <w:bookmarkEnd w:id="1"/>
      <w:r/>
      <w:bookmarkEnd w:id="2"/>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2.扬州市公共资源交易中心邗江分中心信息</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bookmarkStart w:id="3" w:name="_Toc28359010"/>
      <w:r/>
      <w:bookmarkStart w:id="4" w:name="_Toc28359087"/>
      <w:r>
        <w:rPr>
          <w:rFonts w:hint="eastAsia" w:ascii="宋体" w:hAnsi="宋体" w:cs="宋体"/>
          <w:color w:val="000000"/>
          <w:sz w:val="24"/>
        </w:rPr>
        <w:t xml:space="preserve">地　址：扬州市邗江区国展路28号恒通AI科创大厦三楼　</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联系人：姚红俊 </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联系方式：0514-82882275　</w:t>
      </w:r>
      <w:bookmarkEnd w:id="3"/>
      <w:r/>
      <w:bookmarkEnd w:id="4"/>
      <w:r/>
      <w:r/>
    </w:p>
    <w:p>
      <w:pPr>
        <w:ind w:firstLine="498"/>
        <w:keepLines w:val="0"/>
        <w:keepNext w:val="0"/>
        <w:pageBreakBefore w:val="0"/>
        <w:spacing w:before="145" w:after="145"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b/>
          <w:color w:val="000000"/>
          <w:sz w:val="32"/>
        </w:rPr>
        <w:t xml:space="preserve">八、其他</w:t>
      </w:r>
      <w:r/>
    </w:p>
    <w:p>
      <w:pPr>
        <w:ind w:firstLine="482"/>
        <w:keepLines w:val="0"/>
        <w:keepNext w:val="0"/>
        <w:pageBreakBefore w:val="0"/>
        <w:spacing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2"/>
        <w:keepLines w:val="0"/>
        <w:keepNext w:val="0"/>
        <w:pageBreakBefore w:val="0"/>
        <w:spacing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领取CA和办理电子签章（请至扬州市文昌东路9号广陵新城市民中心1号楼5楼办理，具体联系方式：18952716110）。</w:t>
      </w:r>
      <w:r/>
    </w:p>
    <w:p>
      <w:pPr>
        <w:ind w:firstLine="482"/>
        <w:keepLines w:val="0"/>
        <w:keepNext w:val="0"/>
        <w:pageBreakBefore w:val="0"/>
        <w:spacing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2.有关本次招标的事项若存在变动或修改，敬请及时关注扬州市公共资源交易中心在“江苏政府采购网”、“扬州市政府采购网”“扬州市</w:t>
      </w:r>
      <w:r>
        <w:rPr>
          <w:rFonts w:hint="eastAsia" w:ascii="宋体" w:hAnsi="宋体" w:cs="宋体"/>
          <w:color w:val="000000"/>
          <w:sz w:val="24"/>
        </w:rPr>
        <w:t xml:space="preserve">邗江区</w:t>
      </w:r>
      <w:r>
        <w:rPr>
          <w:rFonts w:ascii="宋体" w:hAnsi="宋体" w:cs="宋体"/>
          <w:color w:val="000000"/>
          <w:sz w:val="24"/>
        </w:rPr>
        <w:t xml:space="preserve">政府采购网”发布的更正公告。</w:t>
      </w:r>
      <w:r/>
    </w:p>
    <w:p>
      <w:pPr>
        <w:ind w:firstLine="482"/>
        <w:keepLines w:val="0"/>
        <w:keepNext w:val="0"/>
        <w:pageBreakBefore w:val="0"/>
        <w:spacing w:line="360" w:lineRule="exact"/>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3.本次招标不收取投标保证金。</w:t>
      </w:r>
      <w:r/>
    </w:p>
    <w:p>
      <w:pPr>
        <w:ind w:right="840"/>
        <w:pBdr>
          <w:top w:val="none" w:color="000000" w:sz="0" w:space="0"/>
          <w:left w:val="none" w:color="000000" w:sz="0" w:space="0"/>
          <w:bottom w:val="none" w:color="000000" w:sz="0" w:space="0"/>
          <w:right w:val="none" w:color="000000" w:sz="0" w:space="0"/>
        </w:pBdr>
      </w:pPr>
      <w:r>
        <w:br w:type="page" w:clear="all"/>
      </w:r>
      <w:r/>
    </w:p>
    <w:p>
      <w:pPr>
        <w:pStyle w:val="790"/>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4.1投标人应自行承担所有与参加投标有关的费用，无论投标过程中的做法和结果如何，扬州市公共资源交易中心</w:t>
      </w:r>
      <w:r>
        <w:rPr>
          <w:rFonts w:hint="eastAsia" w:ascii="宋体" w:hAnsi="宋体" w:cs="宋体"/>
          <w:color w:val="000000"/>
          <w:sz w:val="24"/>
        </w:rPr>
        <w:t xml:space="preserve">邗江分中心</w:t>
      </w:r>
      <w:r>
        <w:rPr>
          <w:rFonts w:ascii="宋体" w:hAnsi="宋体" w:cs="宋体"/>
          <w:color w:val="000000"/>
          <w:sz w:val="24"/>
        </w:rPr>
        <w:t xml:space="preserve">（以下简称交易中心）在任何情况下均无义务和责任承担这些费用。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7.3招标文件的修改将在江苏政府采购网、扬州市政府采购网</w:t>
      </w:r>
      <w:r>
        <w:rPr>
          <w:rFonts w:hint="eastAsia" w:ascii="宋体" w:hAnsi="宋体" w:cs="宋体"/>
          <w:color w:val="000000"/>
          <w:sz w:val="24"/>
          <w:lang w:eastAsia="zh-CN"/>
        </w:rPr>
        <w:t xml:space="preserve">、</w:t>
      </w:r>
      <w:r>
        <w:rPr>
          <w:rFonts w:ascii="宋体" w:hAnsi="宋体" w:cs="宋体"/>
          <w:color w:val="000000"/>
          <w:sz w:val="24"/>
        </w:rPr>
        <w:t xml:space="preserve">扬州市</w:t>
      </w:r>
      <w:r>
        <w:rPr>
          <w:rFonts w:hint="eastAsia" w:ascii="宋体" w:hAnsi="宋体" w:cs="宋体"/>
          <w:color w:val="000000"/>
          <w:sz w:val="24"/>
          <w:lang w:val="en-US" w:eastAsia="zh-CN"/>
        </w:rPr>
        <w:t xml:space="preserve">邗江区</w:t>
      </w:r>
      <w:r>
        <w:rPr>
          <w:rFonts w:ascii="宋体" w:hAnsi="宋体" w:cs="宋体"/>
          <w:color w:val="000000"/>
          <w:sz w:val="24"/>
        </w:rPr>
        <w:t xml:space="preserve">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9.2如标书制作工具中格式和内容与“江苏政府采购网、扬州市政府采购网</w:t>
      </w:r>
      <w:r>
        <w:rPr>
          <w:rFonts w:hint="eastAsia" w:ascii="宋体" w:hAnsi="宋体" w:cs="宋体"/>
          <w:color w:val="ff0000"/>
          <w:sz w:val="24"/>
        </w:rPr>
        <w:t xml:space="preserve">、</w:t>
      </w:r>
      <w:r>
        <w:rPr>
          <w:rFonts w:ascii="宋体" w:hAnsi="宋体" w:cs="宋体"/>
          <w:color w:val="ff0000"/>
          <w:sz w:val="24"/>
        </w:rPr>
        <w:t xml:space="preserve">扬州市</w:t>
      </w:r>
      <w:r>
        <w:rPr>
          <w:rFonts w:hint="eastAsia" w:ascii="宋体" w:hAnsi="宋体" w:cs="宋体"/>
          <w:color w:val="ff0000"/>
          <w:sz w:val="24"/>
        </w:rPr>
        <w:t xml:space="preserve">邗江区</w:t>
      </w:r>
      <w:r>
        <w:rPr>
          <w:rFonts w:ascii="宋体" w:hAnsi="宋体" w:cs="宋体"/>
          <w:color w:val="ff0000"/>
          <w:sz w:val="24"/>
        </w:rPr>
        <w:t xml:space="preserve">政府采购网”发布的招标文件不一致，请以“江苏政府采购网、扬州市政府采购网</w:t>
      </w:r>
      <w:r>
        <w:rPr>
          <w:rFonts w:hint="eastAsia" w:ascii="宋体" w:hAnsi="宋体" w:cs="宋体"/>
          <w:color w:val="ff0000"/>
          <w:sz w:val="24"/>
        </w:rPr>
        <w:t xml:space="preserve">、</w:t>
      </w:r>
      <w:r>
        <w:rPr>
          <w:rFonts w:ascii="宋体" w:hAnsi="宋体" w:cs="宋体"/>
          <w:color w:val="ff0000"/>
          <w:sz w:val="24"/>
        </w:rPr>
        <w:t xml:space="preserve">扬州市</w:t>
      </w:r>
      <w:r>
        <w:rPr>
          <w:rFonts w:hint="eastAsia" w:ascii="宋体" w:hAnsi="宋体" w:cs="宋体"/>
          <w:color w:val="ff0000"/>
          <w:sz w:val="24"/>
        </w:rPr>
        <w:t xml:space="preserve">邗江区</w:t>
      </w:r>
      <w:r>
        <w:rPr>
          <w:rFonts w:ascii="宋体" w:hAnsi="宋体" w:cs="宋体"/>
          <w:color w:val="ff0000"/>
          <w:sz w:val="24"/>
        </w:rPr>
        <w:t xml:space="preserve">政府采购网”发布的招标文件为准。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rPr>
          <w:rFonts w:ascii="黑体" w:hAnsi="黑体" w:eastAsia="黑体" w:cs="黑体"/>
          <w:color w:val="000000"/>
          <w:sz w:val="28"/>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21.1开标后，交易中心将立即组织评标委员会（以下简称评委会）进行评标。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21.2评委会由采购人代表和有关技术、经济等方面的专家组成，且人员构成符合政府采购有关规定。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21.3评委会独立工作，负责评审所有投标文件并确定中标侯选人。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22.4采用综合评分法的项目，未中标的投标人可于中标结果公告期限届满之日起通过苏采云系统查看自己的评审得分及排序情况。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23.1评标期间，评委会对投标文件中含义不明确、同类问题表述不一致或者有明显文字和计算错误的内容</w:t>
      </w:r>
      <w:r>
        <w:rPr>
          <w:rFonts w:hint="eastAsia" w:ascii="宋体" w:hAnsi="宋体" w:cs="宋体"/>
          <w:color w:val="000000"/>
          <w:sz w:val="24"/>
        </w:rPr>
        <w:t xml:space="preserve">，</w:t>
      </w:r>
      <w:r>
        <w:rPr>
          <w:rFonts w:ascii="宋体" w:hAnsi="宋体" w:cs="宋体"/>
          <w:color w:val="000000"/>
          <w:sz w:val="24"/>
        </w:rPr>
        <w:t xml:space="preserve">有权要求投标人作出必要的澄清、说明或者补正。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评委会并非对每个投标人都做澄清要求。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25.1.7不符合招标文件中规定的实质性要求的</w:t>
      </w:r>
      <w:r>
        <w:rPr>
          <w:rFonts w:ascii="宋体" w:hAnsi="宋体" w:cs="宋体"/>
          <w:b/>
          <w:color w:val="000000"/>
          <w:sz w:val="24"/>
        </w:rPr>
        <w:t xml:space="preserve">（本招标文件中</w:t>
      </w:r>
      <w:r>
        <w:rPr>
          <w:rFonts w:ascii="宋体" w:hAnsi="宋体" w:cs="宋体"/>
          <w:b/>
          <w:i/>
          <w:color w:val="000000"/>
          <w:sz w:val="24"/>
          <w:u w:val="single"/>
        </w:rPr>
        <w:t xml:space="preserve">斜体且有下划线部分</w:t>
      </w:r>
      <w:r>
        <w:rPr>
          <w:rFonts w:ascii="宋体" w:hAnsi="宋体" w:cs="宋体"/>
          <w:b/>
          <w:color w:val="000000"/>
          <w:sz w:val="24"/>
        </w:rPr>
        <w:t xml:space="preserve">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投标人被“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25.1.9投标文件含有采购人不能接受的附加条件的。</w:t>
      </w:r>
      <w:r/>
    </w:p>
    <w:p>
      <w:pPr>
        <w:ind w:firstLine="480"/>
        <w:spacing w:line="400" w:lineRule="exact"/>
        <w:rPr>
          <w:rFonts w:ascii="宋体" w:hAnsi="宋体"/>
          <w:bCs/>
          <w:color w:val="ff0000"/>
          <w:sz w:val="24"/>
          <w:szCs w:val="24"/>
        </w:rPr>
      </w:pPr>
      <w:r>
        <w:rPr>
          <w:rFonts w:hint="eastAsia" w:ascii="宋体" w:hAnsi="宋体"/>
          <w:bCs/>
          <w:color w:val="ff0000"/>
          <w:sz w:val="24"/>
          <w:szCs w:val="24"/>
        </w:rPr>
        <w:t xml:space="preserve">2</w:t>
      </w:r>
      <w:r>
        <w:rPr>
          <w:rFonts w:ascii="宋体" w:hAnsi="宋体"/>
          <w:bCs/>
          <w:color w:val="ff0000"/>
          <w:sz w:val="24"/>
          <w:szCs w:val="24"/>
        </w:rPr>
        <w:t xml:space="preserve">5</w:t>
      </w:r>
      <w:r>
        <w:rPr>
          <w:rFonts w:hint="eastAsia" w:ascii="宋体" w:hAnsi="宋体"/>
          <w:bCs/>
          <w:color w:val="ff0000"/>
          <w:sz w:val="24"/>
          <w:szCs w:val="24"/>
        </w:rPr>
        <w:t xml:space="preserve">.1.10 异常低价投标（响应）</w:t>
      </w:r>
      <w:r/>
    </w:p>
    <w:p>
      <w:pPr>
        <w:ind w:firstLine="480"/>
        <w:spacing w:line="400" w:lineRule="exact"/>
        <w:rPr>
          <w:rFonts w:ascii="宋体" w:hAnsi="宋体"/>
          <w:bCs/>
          <w:color w:val="ff0000"/>
          <w:sz w:val="24"/>
          <w:szCs w:val="24"/>
        </w:rPr>
      </w:pPr>
      <w:r>
        <w:rPr>
          <w:rFonts w:hint="eastAsia" w:ascii="宋体" w:hAnsi="宋体"/>
          <w:bCs/>
          <w:color w:val="ff0000"/>
          <w:sz w:val="24"/>
          <w:szCs w:val="24"/>
        </w:rPr>
        <w:t xml:space="preserve">2</w:t>
      </w:r>
      <w:r>
        <w:rPr>
          <w:rFonts w:ascii="宋体" w:hAnsi="宋体"/>
          <w:bCs/>
          <w:color w:val="ff0000"/>
          <w:sz w:val="24"/>
          <w:szCs w:val="24"/>
        </w:rPr>
        <w:t xml:space="preserve">5</w:t>
      </w:r>
      <w:r>
        <w:rPr>
          <w:rFonts w:hint="eastAsia" w:ascii="宋体" w:hAnsi="宋体"/>
          <w:bCs/>
          <w:color w:val="ff0000"/>
          <w:sz w:val="24"/>
          <w:szCs w:val="24"/>
        </w:rPr>
        <w:t xml:space="preserve">.1.10.1投标（响应）报价低于全部通过符合性审查供应商投标（响应）报价平均值50%的，即投标（响应）报价&lt;全部通过符合性审查供应商投标（响应）报价平均值×50%；</w:t>
      </w:r>
      <w:r/>
    </w:p>
    <w:p>
      <w:pPr>
        <w:ind w:firstLine="480"/>
        <w:spacing w:line="400" w:lineRule="exact"/>
        <w:rPr>
          <w:rFonts w:ascii="宋体" w:hAnsi="宋体"/>
          <w:bCs/>
          <w:color w:val="ff0000"/>
          <w:sz w:val="24"/>
          <w:szCs w:val="24"/>
        </w:rPr>
      </w:pPr>
      <w:r>
        <w:rPr>
          <w:rFonts w:hint="eastAsia" w:ascii="宋体" w:hAnsi="宋体"/>
          <w:bCs/>
          <w:color w:val="ff0000"/>
          <w:sz w:val="24"/>
          <w:szCs w:val="24"/>
        </w:rPr>
        <w:t xml:space="preserve">2</w:t>
      </w:r>
      <w:r>
        <w:rPr>
          <w:rFonts w:ascii="宋体" w:hAnsi="宋体"/>
          <w:bCs/>
          <w:color w:val="ff0000"/>
          <w:sz w:val="24"/>
          <w:szCs w:val="24"/>
        </w:rPr>
        <w:t xml:space="preserve">5</w:t>
      </w:r>
      <w:r>
        <w:rPr>
          <w:rFonts w:hint="eastAsia" w:ascii="宋体" w:hAnsi="宋体"/>
          <w:bCs/>
          <w:color w:val="ff0000"/>
          <w:sz w:val="24"/>
          <w:szCs w:val="24"/>
        </w:rPr>
        <w:t xml:space="preserve">.1.10.2投标（响应）报价低于通过符合性审查的次低报价供应商投标（响应）报价50%的，即投标（响应）报价&lt;通过符合性审查的次低报价供应商投标（响应）报价×50%；</w:t>
      </w:r>
      <w:r/>
    </w:p>
    <w:p>
      <w:pPr>
        <w:ind w:firstLine="480"/>
        <w:spacing w:line="400" w:lineRule="exact"/>
        <w:rPr>
          <w:rFonts w:ascii="宋体" w:hAnsi="宋体"/>
          <w:bCs/>
          <w:color w:val="ff0000"/>
          <w:sz w:val="24"/>
          <w:szCs w:val="24"/>
        </w:rPr>
      </w:pPr>
      <w:r>
        <w:rPr>
          <w:rFonts w:hint="eastAsia" w:ascii="宋体" w:hAnsi="宋体"/>
          <w:bCs/>
          <w:color w:val="ff0000"/>
          <w:sz w:val="24"/>
          <w:szCs w:val="24"/>
        </w:rPr>
        <w:t xml:space="preserve">2</w:t>
      </w:r>
      <w:r>
        <w:rPr>
          <w:rFonts w:ascii="宋体" w:hAnsi="宋体"/>
          <w:bCs/>
          <w:color w:val="ff0000"/>
          <w:sz w:val="24"/>
          <w:szCs w:val="24"/>
        </w:rPr>
        <w:t xml:space="preserve">5</w:t>
      </w:r>
      <w:r>
        <w:rPr>
          <w:rFonts w:hint="eastAsia" w:ascii="宋体" w:hAnsi="宋体"/>
          <w:bCs/>
          <w:color w:val="ff0000"/>
          <w:sz w:val="24"/>
          <w:szCs w:val="24"/>
        </w:rPr>
        <w:t xml:space="preserve">.1.10.3投标（响应）报价低于采购项目最高限价45%的，即投标（响应）报价&lt;采购项目最高限价×45% ；</w:t>
      </w:r>
      <w:r/>
    </w:p>
    <w:p>
      <w:pPr>
        <w:ind w:firstLine="480"/>
        <w:spacing w:line="400" w:lineRule="exact"/>
        <w:rPr>
          <w:rFonts w:ascii="宋体" w:hAnsi="宋体"/>
          <w:bCs/>
          <w:color w:val="ff0000"/>
          <w:sz w:val="24"/>
          <w:szCs w:val="24"/>
        </w:rPr>
      </w:pPr>
      <w:r>
        <w:rPr>
          <w:rFonts w:hint="eastAsia" w:ascii="宋体" w:hAnsi="宋体"/>
          <w:bCs/>
          <w:color w:val="ff0000"/>
          <w:sz w:val="24"/>
          <w:szCs w:val="24"/>
        </w:rPr>
        <w:t xml:space="preserve">2</w:t>
      </w:r>
      <w:r>
        <w:rPr>
          <w:rFonts w:ascii="宋体" w:hAnsi="宋体"/>
          <w:bCs/>
          <w:color w:val="ff0000"/>
          <w:sz w:val="24"/>
          <w:szCs w:val="24"/>
        </w:rPr>
        <w:t xml:space="preserve">5</w:t>
      </w:r>
      <w:r>
        <w:rPr>
          <w:rFonts w:hint="eastAsia" w:ascii="宋体" w:hAnsi="宋体"/>
          <w:bCs/>
          <w:color w:val="ff0000"/>
          <w:sz w:val="24"/>
          <w:szCs w:val="24"/>
        </w:rPr>
        <w:t xml:space="preserve">.1.10.4评审委员会认定的供应商报价过低、有可能影响产品质量或者不能诚信履约的其他情形。</w:t>
      </w:r>
      <w:r/>
    </w:p>
    <w:p>
      <w:pPr>
        <w:ind w:firstLine="480"/>
        <w:spacing w:line="400" w:lineRule="exact"/>
        <w:rPr>
          <w:rFonts w:ascii="宋体" w:hAnsi="宋体"/>
          <w:bCs/>
          <w:color w:val="ff0000"/>
          <w:sz w:val="24"/>
          <w:szCs w:val="24"/>
        </w:rPr>
      </w:pPr>
      <w:r>
        <w:rPr>
          <w:rFonts w:hint="eastAsia" w:ascii="宋体" w:hAnsi="宋体"/>
          <w:bCs/>
          <w:color w:val="ff0000"/>
          <w:sz w:val="24"/>
          <w:szCs w:val="24"/>
        </w:rPr>
        <w:t xml:space="preserve">2</w:t>
      </w:r>
      <w:r>
        <w:rPr>
          <w:rFonts w:ascii="宋体" w:hAnsi="宋体"/>
          <w:bCs/>
          <w:color w:val="ff0000"/>
          <w:sz w:val="24"/>
          <w:szCs w:val="24"/>
        </w:rPr>
        <w:t xml:space="preserve">5</w:t>
      </w:r>
      <w:r>
        <w:rPr>
          <w:rFonts w:hint="eastAsia" w:ascii="宋体" w:hAnsi="宋体"/>
          <w:bCs/>
          <w:color w:val="ff0000"/>
          <w:sz w:val="24"/>
          <w:szCs w:val="24"/>
        </w:rPr>
        <w:t xml:space="preserve">.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ascii="宋体" w:hAnsi="宋体"/>
          <w:bCs/>
          <w:color w:val="ff0000"/>
          <w:sz w:val="24"/>
          <w:szCs w:val="24"/>
        </w:rPr>
      </w:pPr>
      <w:r>
        <w:rPr>
          <w:rFonts w:hint="eastAsia" w:ascii="宋体" w:hAnsi="宋体"/>
          <w:bCs/>
          <w:color w:val="ff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bCs/>
          <w:color w:val="ff0000"/>
          <w:sz w:val="24"/>
          <w:szCs w:val="24"/>
        </w:rPr>
      </w:pPr>
      <w:r>
        <w:rPr>
          <w:rFonts w:hint="eastAsia" w:ascii="宋体" w:hAnsi="宋体"/>
          <w:bCs/>
          <w:color w:val="ff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25.2.5因苏采云系统系统故障原因造成开标不成功的。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w:t>
      </w:r>
      <w:r>
        <w:rPr>
          <w:rFonts w:hint="eastAsia" w:ascii="黑体" w:hAnsi="黑体" w:eastAsia="黑体" w:cs="黑体"/>
          <w:color w:val="000000"/>
          <w:sz w:val="30"/>
        </w:rPr>
        <w:t xml:space="preserve">  </w:t>
      </w:r>
      <w:r>
        <w:rPr>
          <w:rFonts w:ascii="黑体" w:hAnsi="黑体" w:eastAsia="黑体" w:cs="黑体"/>
          <w:color w:val="000000"/>
          <w:sz w:val="30"/>
        </w:rPr>
        <w:t xml:space="preserve">26、确定中标单位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26.3交易中心将在“江苏政府采购网、扬州市政府采购网、扬州市邗江区政府采购网”发布中标公告，公告期限为1个工作日。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26.5.1不同投标人的投标文件由同一单位或者个人编制。</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签订合同后，中标供应商不得将合同标的进行转包。未经采购人同意，中标供应商也不得采用分包的形式履行合同，否则采购人有权终止合同。转包或分包造成采购人损失的，中标供应商应承担相应赔偿责任。</w:t>
      </w:r>
      <w:r/>
    </w:p>
    <w:p>
      <w:pPr>
        <w:numPr>
          <w:ilvl w:val="0"/>
          <w:numId w:val="5"/>
        </w:numPr>
        <w:ind w:firstLine="600"/>
        <w:spacing w:line="400" w:lineRule="atLeast"/>
        <w:rPr>
          <w:rFonts w:ascii="黑体" w:hAnsi="黑体" w:eastAsia="黑体" w:cs="黑体"/>
          <w:color w:val="000000"/>
          <w:sz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政府采购履约资金扶持政策</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pStyle w:val="790"/>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w:t>
      </w:r>
      <w:r>
        <w:rPr>
          <w:rFonts w:hint="eastAsia" w:ascii="黑体" w:hAnsi="黑体" w:eastAsia="黑体" w:cs="黑体"/>
          <w:b/>
          <w:color w:val="000000"/>
          <w:sz w:val="44"/>
          <w:lang w:val="en-US" w:eastAsia="zh-CN"/>
        </w:rPr>
        <w:t xml:space="preserve"> </w:t>
      </w:r>
      <w:r>
        <w:rPr>
          <w:rFonts w:ascii="黑体" w:hAnsi="黑体" w:eastAsia="黑体" w:cs="黑体"/>
          <w:b/>
          <w:color w:val="000000"/>
          <w:sz w:val="44"/>
        </w:rPr>
        <w:t xml:space="preserve">合同文本</w:t>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1" w:lineRule="auto"/>
        <w:rPr>
          <w:rFonts w:ascii="Arial"/>
          <w:sz w:val="21"/>
        </w:rPr>
      </w:pPr>
      <w:r>
        <w:rPr>
          <w:rFonts w:ascii="Arial"/>
          <w:sz w:val="21"/>
        </w:rPr>
      </w:r>
      <w:r/>
    </w:p>
    <w:p>
      <w:pPr>
        <w:jc w:val="center"/>
        <w:spacing w:line="251" w:lineRule="auto"/>
        <w:rPr>
          <w:rFonts w:ascii="Arial"/>
          <w:sz w:val="21"/>
        </w:rPr>
      </w:pPr>
      <w:r>
        <w:rPr>
          <w:rFonts w:hint="eastAsia" w:ascii="Arial"/>
          <w:b/>
          <w:bCs/>
          <w:sz w:val="40"/>
          <w:szCs w:val="40"/>
        </w:rPr>
        <w:t xml:space="preserve">整县(市、区)公共机构能源费用托管合同书</w:t>
      </w:r>
      <w:r/>
    </w:p>
    <w:p>
      <w:pPr>
        <w:jc w:val="center"/>
        <w:spacing w:before="257" w:line="219" w:lineRule="auto"/>
        <w:rPr>
          <w:rFonts w:ascii="宋体" w:hAnsi="宋体" w:eastAsia="宋体" w:cs="宋体"/>
          <w:sz w:val="32"/>
          <w:szCs w:val="32"/>
        </w:rPr>
        <w:outlineLvl w:val="0"/>
      </w:pPr>
      <w:r>
        <w:rPr>
          <w:rFonts w:ascii="宋体" w:hAnsi="宋体" w:eastAsia="宋体" w:cs="宋体"/>
          <w:b/>
          <w:bCs/>
          <w:spacing w:val="-1"/>
          <w:sz w:val="32"/>
          <w:szCs w:val="32"/>
        </w:rPr>
        <w:t xml:space="preserve">(参考模板)</w:t>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ind w:left="249"/>
        <w:spacing w:before="111" w:line="360" w:lineRule="auto"/>
        <w:rPr>
          <w:rFonts w:hint="default" w:ascii="宋体" w:hAnsi="宋体" w:eastAsia="宋体" w:cs="宋体"/>
          <w:spacing w:val="17"/>
          <w:sz w:val="24"/>
          <w:szCs w:val="24"/>
          <w:u w:val="single"/>
          <w:lang w:val="en-US" w:eastAsia="zh-CN"/>
        </w:rPr>
      </w:pPr>
      <w:r>
        <w:rPr>
          <w:rFonts w:hint="eastAsia" w:ascii="宋体" w:hAnsi="宋体" w:eastAsia="宋体" w:cs="宋体"/>
          <w:spacing w:val="17"/>
          <w:sz w:val="24"/>
          <w:szCs w:val="24"/>
        </w:rPr>
        <w:t xml:space="preserve">项目名称： </w:t>
      </w:r>
      <w:r>
        <w:rPr>
          <w:rFonts w:hint="eastAsia" w:ascii="宋体" w:hAnsi="宋体" w:eastAsia="宋体" w:cs="宋体"/>
          <w:spacing w:val="17"/>
          <w:sz w:val="24"/>
          <w:szCs w:val="24"/>
          <w:u w:val="single"/>
          <w:lang w:val="en-US" w:eastAsia="zh-CN"/>
        </w:rPr>
        <w:t xml:space="preserve">  </w:t>
      </w:r>
      <w:r>
        <w:rPr>
          <w:rFonts w:hint="eastAsia" w:ascii="宋体" w:hAnsi="宋体" w:cs="宋体"/>
          <w:spacing w:val="17"/>
          <w:sz w:val="24"/>
          <w:szCs w:val="24"/>
          <w:u w:val="single"/>
          <w:lang w:val="en-US" w:eastAsia="zh-CN"/>
        </w:rPr>
        <w:t xml:space="preserve">扬州市邗江区机关事务管理局全区公共机构能源费用托管项目</w:t>
      </w:r>
      <w:r>
        <w:rPr>
          <w:rFonts w:hint="eastAsia" w:ascii="宋体" w:hAnsi="宋体" w:eastAsia="宋体" w:cs="宋体"/>
          <w:spacing w:val="17"/>
          <w:sz w:val="24"/>
          <w:szCs w:val="24"/>
          <w:u w:val="single"/>
          <w:lang w:val="en-US" w:eastAsia="zh-CN"/>
        </w:rPr>
        <w:t xml:space="preserve">    </w:t>
      </w:r>
      <w:r/>
    </w:p>
    <w:p>
      <w:pPr>
        <w:ind w:left="249"/>
        <w:jc w:val="left"/>
        <w:spacing w:before="111" w:line="360" w:lineRule="auto"/>
        <w:rPr>
          <w:rFonts w:hint="eastAsia" w:ascii="宋体" w:hAnsi="宋体" w:eastAsia="宋体" w:cs="宋体"/>
          <w:spacing w:val="17"/>
          <w:sz w:val="24"/>
          <w:szCs w:val="24"/>
        </w:rPr>
      </w:pPr>
      <w:r>
        <w:rPr>
          <w:rFonts w:hint="eastAsia" w:ascii="宋体" w:hAnsi="宋体" w:eastAsia="宋体" w:cs="宋体"/>
          <w:spacing w:val="17"/>
          <w:sz w:val="24"/>
          <w:szCs w:val="24"/>
        </w:rPr>
        <w:t xml:space="preserve">项目编号： </w:t>
      </w:r>
      <w:r>
        <w:rPr>
          <w:rFonts w:hint="eastAsia" w:ascii="宋体" w:hAnsi="宋体" w:eastAsia="宋体" w:cs="宋体"/>
          <w:spacing w:val="17"/>
          <w:sz w:val="24"/>
          <w:szCs w:val="24"/>
          <w:u w:val="single"/>
        </w:rPr>
        <w:t xml:space="preserve">                            </w:t>
      </w:r>
      <w:r>
        <w:rPr>
          <w:rFonts w:hint="eastAsia" w:ascii="宋体" w:hAnsi="宋体" w:eastAsia="宋体" w:cs="宋体"/>
          <w:spacing w:val="17"/>
          <w:sz w:val="24"/>
          <w:szCs w:val="24"/>
          <w:u w:val="single"/>
          <w:lang w:val="en-US" w:eastAsia="zh-CN"/>
        </w:rPr>
        <w:t xml:space="preserve">      </w:t>
      </w:r>
      <w:r>
        <w:rPr>
          <w:rFonts w:hint="eastAsia" w:ascii="宋体" w:hAnsi="宋体" w:eastAsia="宋体" w:cs="宋体"/>
          <w:spacing w:val="17"/>
          <w:sz w:val="24"/>
          <w:szCs w:val="24"/>
          <w:u w:val="single"/>
        </w:rPr>
        <w:t xml:space="preserve"> </w:t>
      </w:r>
      <w:r>
        <w:rPr>
          <w:rFonts w:hint="eastAsia" w:ascii="宋体" w:hAnsi="宋体" w:eastAsia="宋体" w:cs="宋体"/>
          <w:spacing w:val="17"/>
          <w:sz w:val="24"/>
          <w:szCs w:val="24"/>
        </w:rPr>
        <w:t xml:space="preserve">                                     甲    方： </w:t>
      </w:r>
      <w:r>
        <w:rPr>
          <w:rFonts w:hint="eastAsia" w:ascii="宋体" w:hAnsi="宋体" w:eastAsia="宋体" w:cs="宋体"/>
          <w:spacing w:val="17"/>
          <w:sz w:val="24"/>
          <w:szCs w:val="24"/>
          <w:u w:val="single"/>
        </w:rPr>
        <w:t xml:space="preserve">   扬州市邗江区机关事务管理局  </w:t>
      </w:r>
      <w:r>
        <w:rPr>
          <w:rFonts w:hint="eastAsia" w:ascii="宋体" w:hAnsi="宋体" w:eastAsia="宋体" w:cs="宋体"/>
          <w:spacing w:val="17"/>
          <w:sz w:val="24"/>
          <w:szCs w:val="24"/>
          <w:u w:val="single"/>
          <w:lang w:val="en-US" w:eastAsia="zh-CN"/>
        </w:rPr>
        <w:t xml:space="preserve">    </w:t>
      </w:r>
      <w:r>
        <w:rPr>
          <w:rFonts w:hint="eastAsia" w:ascii="宋体" w:hAnsi="宋体" w:eastAsia="宋体" w:cs="宋体"/>
          <w:spacing w:val="17"/>
          <w:sz w:val="24"/>
          <w:szCs w:val="24"/>
          <w:u w:val="single"/>
        </w:rPr>
        <w:t xml:space="preserve"> </w:t>
      </w:r>
      <w:r>
        <w:rPr>
          <w:rFonts w:hint="eastAsia" w:ascii="宋体" w:hAnsi="宋体" w:eastAsia="宋体" w:cs="宋体"/>
          <w:spacing w:val="17"/>
          <w:sz w:val="24"/>
          <w:szCs w:val="24"/>
        </w:rPr>
        <w:t xml:space="preserve"> </w:t>
      </w:r>
      <w:r/>
    </w:p>
    <w:p>
      <w:pPr>
        <w:ind w:left="249"/>
        <w:spacing w:before="111" w:line="360" w:lineRule="auto"/>
        <w:rPr>
          <w:rFonts w:hint="default" w:ascii="宋体" w:hAnsi="宋体" w:eastAsia="宋体" w:cs="宋体"/>
          <w:spacing w:val="17"/>
          <w:sz w:val="24"/>
          <w:szCs w:val="24"/>
          <w:u w:val="single"/>
          <w:lang w:val="en-US" w:eastAsia="zh-CN"/>
        </w:rPr>
      </w:pPr>
      <w:r>
        <w:rPr>
          <w:rFonts w:hint="eastAsia" w:ascii="宋体" w:hAnsi="宋体" w:eastAsia="宋体" w:cs="宋体"/>
          <w:spacing w:val="17"/>
          <w:sz w:val="24"/>
          <w:szCs w:val="24"/>
        </w:rPr>
        <w:t xml:space="preserve">乙    方： </w:t>
      </w:r>
      <w:r>
        <w:rPr>
          <w:rFonts w:hint="eastAsia" w:ascii="宋体" w:hAnsi="宋体" w:eastAsia="宋体" w:cs="宋体"/>
          <w:spacing w:val="17"/>
          <w:sz w:val="24"/>
          <w:szCs w:val="24"/>
          <w:u w:val="single"/>
        </w:rPr>
        <w:t xml:space="preserve">   </w:t>
      </w:r>
      <w:r>
        <w:rPr>
          <w:rFonts w:hint="eastAsia" w:ascii="宋体" w:hAnsi="宋体" w:eastAsia="宋体" w:cs="宋体"/>
          <w:spacing w:val="17"/>
          <w:sz w:val="24"/>
          <w:szCs w:val="24"/>
          <w:u w:val="single"/>
          <w:lang w:val="en-US" w:eastAsia="zh-CN"/>
        </w:rPr>
        <w:t xml:space="preserve">             </w:t>
      </w:r>
      <w:r>
        <w:rPr>
          <w:rFonts w:hint="eastAsia" w:ascii="宋体" w:hAnsi="宋体" w:eastAsia="宋体" w:cs="宋体"/>
          <w:spacing w:val="17"/>
          <w:sz w:val="24"/>
          <w:szCs w:val="24"/>
          <w:u w:val="single"/>
        </w:rPr>
        <w:t xml:space="preserve">(联合体牵头人)  </w:t>
      </w:r>
      <w:r>
        <w:rPr>
          <w:rFonts w:hint="eastAsia" w:ascii="宋体" w:hAnsi="宋体" w:eastAsia="宋体" w:cs="宋体"/>
          <w:spacing w:val="17"/>
          <w:sz w:val="24"/>
          <w:szCs w:val="24"/>
          <w:u w:val="single"/>
          <w:lang w:val="en-US" w:eastAsia="zh-CN"/>
        </w:rPr>
        <w:t xml:space="preserve">   </w:t>
      </w:r>
      <w:r/>
    </w:p>
    <w:p>
      <w:pPr>
        <w:ind w:left="249"/>
        <w:spacing w:before="111" w:line="360" w:lineRule="auto"/>
        <w:rPr>
          <w:rFonts w:hint="eastAsia" w:ascii="宋体" w:hAnsi="宋体" w:eastAsia="宋体" w:cs="宋体"/>
          <w:spacing w:val="17"/>
          <w:sz w:val="24"/>
          <w:szCs w:val="24"/>
          <w:u w:val="single"/>
          <w:lang w:val="en-US" w:eastAsia="zh-CN"/>
        </w:rPr>
      </w:pPr>
      <w:r>
        <w:rPr>
          <w:rFonts w:hint="eastAsia" w:ascii="宋体" w:hAnsi="宋体" w:eastAsia="宋体" w:cs="宋体"/>
          <w:spacing w:val="17"/>
          <w:sz w:val="24"/>
          <w:szCs w:val="24"/>
          <w:u w:val="none"/>
          <w:lang w:val="en-US" w:eastAsia="zh-CN"/>
        </w:rPr>
        <w:t xml:space="preserve">          </w:t>
      </w:r>
      <w:r>
        <w:rPr>
          <w:rFonts w:hint="eastAsia" w:ascii="宋体" w:hAnsi="宋体" w:eastAsia="宋体" w:cs="宋体"/>
          <w:spacing w:val="17"/>
          <w:sz w:val="24"/>
          <w:szCs w:val="24"/>
          <w:u w:val="single"/>
          <w:lang w:val="en-US" w:eastAsia="zh-CN"/>
        </w:rPr>
        <w:t xml:space="preserve">                  （联合体成员单位）</w:t>
      </w:r>
      <w:r/>
    </w:p>
    <w:p>
      <w:pPr>
        <w:ind w:left="249"/>
        <w:spacing w:before="111" w:line="360" w:lineRule="auto"/>
        <w:rPr>
          <w:rFonts w:hint="default" w:ascii="宋体" w:hAnsi="宋体" w:eastAsia="宋体" w:cs="宋体"/>
          <w:spacing w:val="17"/>
          <w:sz w:val="24"/>
          <w:szCs w:val="24"/>
          <w:u w:val="single"/>
          <w:lang w:val="en-US" w:eastAsia="zh-CN"/>
        </w:rPr>
      </w:pPr>
      <w:r>
        <w:rPr>
          <w:rFonts w:hint="eastAsia" w:ascii="宋体" w:hAnsi="宋体" w:eastAsia="宋体" w:cs="宋体"/>
          <w:spacing w:val="17"/>
          <w:sz w:val="24"/>
          <w:szCs w:val="24"/>
          <w:u w:val="none"/>
          <w:lang w:val="en-US" w:eastAsia="zh-CN"/>
        </w:rPr>
        <w:t xml:space="preserve">          </w:t>
      </w:r>
      <w:r>
        <w:rPr>
          <w:rFonts w:hint="eastAsia" w:ascii="宋体" w:hAnsi="宋体" w:eastAsia="宋体" w:cs="宋体"/>
          <w:spacing w:val="17"/>
          <w:sz w:val="24"/>
          <w:szCs w:val="24"/>
          <w:u w:val="single"/>
          <w:lang w:val="en-US" w:eastAsia="zh-CN"/>
        </w:rPr>
        <w:t xml:space="preserve">                  （联合体成员单位） </w:t>
      </w:r>
      <w:r/>
    </w:p>
    <w:p>
      <w:pPr>
        <w:ind w:left="249"/>
        <w:spacing w:before="111" w:line="219" w:lineRule="auto"/>
        <w:rPr>
          <w:rFonts w:hint="eastAsia" w:ascii="宋体" w:hAnsi="宋体" w:eastAsia="宋体" w:cs="宋体"/>
          <w:spacing w:val="17"/>
          <w:sz w:val="24"/>
          <w:szCs w:val="24"/>
        </w:rPr>
      </w:pPr>
      <w:r>
        <w:rPr>
          <w:rFonts w:hint="eastAsia" w:ascii="宋体" w:hAnsi="宋体" w:eastAsia="宋体" w:cs="宋体"/>
          <w:spacing w:val="17"/>
          <w:sz w:val="24"/>
          <w:szCs w:val="24"/>
          <w:lang w:val="en-US" w:eastAsia="zh-CN"/>
        </w:rPr>
        <w:t xml:space="preserve">    </w:t>
      </w:r>
      <w:r/>
    </w:p>
    <w:p>
      <w:pPr>
        <w:ind w:left="249"/>
        <w:spacing w:before="111" w:line="219" w:lineRule="auto"/>
        <w:rPr>
          <w:rFonts w:hint="default" w:ascii="宋体" w:hAnsi="宋体" w:eastAsia="宋体" w:cs="宋体"/>
          <w:spacing w:val="17"/>
          <w:sz w:val="24"/>
          <w:szCs w:val="24"/>
          <w:u w:val="single"/>
          <w:lang w:val="en-US" w:eastAsia="zh-CN"/>
        </w:rPr>
      </w:pPr>
      <w:r>
        <w:rPr>
          <w:rFonts w:hint="eastAsia" w:ascii="宋体" w:hAnsi="宋体" w:eastAsia="宋体" w:cs="宋体"/>
          <w:spacing w:val="17"/>
          <w:sz w:val="24"/>
          <w:szCs w:val="24"/>
        </w:rPr>
        <w:t xml:space="preserve">签订地：</w:t>
      </w:r>
      <w:r>
        <w:rPr>
          <w:rFonts w:hint="eastAsia" w:ascii="宋体" w:hAnsi="宋体" w:eastAsia="宋体" w:cs="宋体"/>
          <w:spacing w:val="17"/>
          <w:sz w:val="24"/>
          <w:szCs w:val="24"/>
          <w:u w:val="single"/>
        </w:rPr>
        <w:t xml:space="preserve">   </w:t>
      </w:r>
      <w:r>
        <w:rPr>
          <w:rFonts w:hint="eastAsia" w:ascii="宋体" w:hAnsi="宋体" w:eastAsia="宋体" w:cs="宋体"/>
          <w:spacing w:val="17"/>
          <w:sz w:val="24"/>
          <w:szCs w:val="24"/>
          <w:u w:val="single"/>
          <w:lang w:val="en-US" w:eastAsia="zh-CN"/>
        </w:rPr>
        <w:t xml:space="preserve">                </w:t>
      </w:r>
      <w:r/>
    </w:p>
    <w:p>
      <w:pPr>
        <w:ind w:left="249"/>
        <w:spacing w:before="111" w:line="219" w:lineRule="auto"/>
        <w:rPr>
          <w:rFonts w:hint="eastAsia" w:ascii="宋体" w:hAnsi="宋体" w:eastAsia="宋体" w:cs="宋体"/>
          <w:spacing w:val="17"/>
          <w:sz w:val="24"/>
          <w:szCs w:val="24"/>
        </w:rPr>
      </w:pPr>
      <w:r>
        <w:rPr>
          <w:rFonts w:hint="eastAsia" w:ascii="宋体" w:hAnsi="宋体" w:eastAsia="宋体" w:cs="宋体"/>
          <w:spacing w:val="17"/>
          <w:sz w:val="24"/>
          <w:szCs w:val="24"/>
        </w:rPr>
      </w:r>
      <w:r/>
    </w:p>
    <w:p>
      <w:pPr>
        <w:ind w:left="249"/>
        <w:spacing w:before="111" w:line="219" w:lineRule="auto"/>
        <w:rPr>
          <w:rFonts w:ascii="宋体" w:hAnsi="宋体" w:eastAsia="宋体" w:cs="宋体"/>
          <w:sz w:val="24"/>
          <w:szCs w:val="24"/>
        </w:rPr>
      </w:pPr>
      <w:r>
        <w:rPr>
          <w:rFonts w:hint="eastAsia" w:ascii="宋体" w:hAnsi="宋体" w:eastAsia="宋体" w:cs="宋体"/>
          <w:spacing w:val="17"/>
          <w:sz w:val="24"/>
          <w:szCs w:val="24"/>
        </w:rPr>
        <w:t xml:space="preserve">签订日期：</w:t>
      </w:r>
      <w:r>
        <w:rPr>
          <w:rFonts w:hint="eastAsia" w:ascii="宋体" w:hAnsi="宋体" w:eastAsia="宋体" w:cs="宋体"/>
          <w:spacing w:val="17"/>
          <w:sz w:val="24"/>
          <w:szCs w:val="24"/>
          <w:u w:val="single"/>
          <w:lang w:val="en-US" w:eastAsia="zh-CN"/>
        </w:rPr>
        <w:t xml:space="preserve">         </w:t>
      </w:r>
      <w:r>
        <w:rPr>
          <w:rFonts w:hint="eastAsia" w:ascii="宋体" w:hAnsi="宋体" w:eastAsia="宋体" w:cs="宋体"/>
          <w:spacing w:val="17"/>
          <w:sz w:val="24"/>
          <w:szCs w:val="24"/>
        </w:rPr>
        <w:t xml:space="preserve">年</w:t>
      </w:r>
      <w:r>
        <w:rPr>
          <w:rFonts w:hint="eastAsia" w:ascii="宋体" w:hAnsi="宋体" w:eastAsia="宋体" w:cs="宋体"/>
          <w:spacing w:val="17"/>
          <w:sz w:val="24"/>
          <w:szCs w:val="24"/>
          <w:u w:val="single"/>
        </w:rPr>
        <w:t xml:space="preserve">   </w:t>
      </w:r>
      <w:r>
        <w:rPr>
          <w:rFonts w:hint="eastAsia" w:ascii="宋体" w:hAnsi="宋体" w:eastAsia="宋体" w:cs="宋体"/>
          <w:spacing w:val="17"/>
          <w:sz w:val="24"/>
          <w:szCs w:val="24"/>
        </w:rPr>
        <w:t xml:space="preserve">月</w:t>
      </w:r>
      <w:r>
        <w:rPr>
          <w:rFonts w:hint="eastAsia" w:ascii="宋体" w:hAnsi="宋体" w:eastAsia="宋体" w:cs="宋体"/>
          <w:spacing w:val="17"/>
          <w:sz w:val="24"/>
          <w:szCs w:val="24"/>
          <w:u w:val="single"/>
          <w:lang w:val="en-US" w:eastAsia="zh-CN"/>
        </w:rPr>
        <w:t xml:space="preserve">   </w:t>
      </w:r>
      <w:r>
        <w:rPr>
          <w:rFonts w:hint="eastAsia" w:ascii="宋体" w:hAnsi="宋体" w:eastAsia="宋体" w:cs="宋体"/>
          <w:spacing w:val="17"/>
          <w:sz w:val="24"/>
          <w:szCs w:val="24"/>
        </w:rPr>
        <w:t xml:space="preserve">日</w:t>
      </w:r>
      <w:r/>
    </w:p>
    <w:p>
      <w:pPr>
        <w:spacing w:line="219" w:lineRule="auto"/>
        <w:rPr>
          <w:rFonts w:ascii="宋体" w:hAnsi="宋体" w:eastAsia="宋体" w:cs="宋体"/>
          <w:sz w:val="24"/>
          <w:szCs w:val="24"/>
        </w:rPr>
        <w:sectPr>
          <w:footnotePr/>
          <w:endnotePr/>
          <w:type w:val="nextPage"/>
          <w:pgSz w:w="12270" w:h="17090" w:orient="portrait"/>
          <w:pgMar w:top="1440" w:right="1800" w:bottom="1440" w:left="1800" w:header="0" w:footer="945" w:gutter="0"/>
          <w:cols w:num="1" w:sep="0" w:space="720" w:equalWidth="1"/>
          <w:docGrid w:linePitch="360"/>
        </w:sectPr>
      </w:pPr>
      <w:r>
        <w:rPr>
          <w:rFonts w:ascii="宋体" w:hAnsi="宋体" w:eastAsia="宋体" w:cs="宋体"/>
          <w:sz w:val="24"/>
          <w:szCs w:val="24"/>
        </w:rPr>
      </w:r>
      <w:r/>
    </w:p>
    <w:tbl>
      <w:tblPr>
        <w:tblStyle w:val="1112"/>
        <w:tblpPr w:horzAnchor="page" w:tblpX="1002" w:vertAnchor="text" w:tblpY="78" w:leftFromText="180" w:topFromText="0" w:rightFromText="180" w:bottomFromText="0"/>
        <w:tblW w:w="99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95"/>
        <w:gridCol w:w="2325"/>
        <w:gridCol w:w="1395"/>
        <w:gridCol w:w="1785"/>
        <w:gridCol w:w="2790"/>
      </w:tblGrid>
      <w:tr>
        <w:trPr>
          <w:trHeight w:val="375"/>
        </w:trPr>
        <w:tc>
          <w:tcPr>
            <w:tcBorders>
              <w:bottom w:val="none" w:color="000000" w:sz="4" w:space="0"/>
            </w:tcBorders>
            <w:tcW w:w="1695" w:type="dxa"/>
            <w:vAlign w:val="top"/>
            <w:vMerge w:val="restart"/>
            <w:textDirection w:val="lrTb"/>
            <w:noWrap w:val="false"/>
          </w:tcPr>
          <w:p>
            <w:pPr>
              <w:pStyle w:val="1111"/>
              <w:spacing w:line="244" w:lineRule="auto"/>
            </w:pPr>
            <w:r/>
            <w:r/>
          </w:p>
          <w:p>
            <w:pPr>
              <w:pStyle w:val="1111"/>
              <w:spacing w:line="244" w:lineRule="auto"/>
            </w:pPr>
            <w:r/>
            <w:r/>
          </w:p>
          <w:p>
            <w:pPr>
              <w:pStyle w:val="1111"/>
              <w:spacing w:line="244" w:lineRule="auto"/>
            </w:pPr>
            <w:r/>
            <w:r/>
          </w:p>
          <w:p>
            <w:pPr>
              <w:pStyle w:val="1111"/>
              <w:spacing w:line="244" w:lineRule="auto"/>
            </w:pPr>
            <w:r/>
            <w:r/>
          </w:p>
          <w:p>
            <w:pPr>
              <w:pStyle w:val="1111"/>
              <w:spacing w:line="244" w:lineRule="auto"/>
            </w:pPr>
            <w:r/>
            <w:r/>
          </w:p>
          <w:p>
            <w:pPr>
              <w:pStyle w:val="1111"/>
              <w:spacing w:line="245" w:lineRule="auto"/>
            </w:pPr>
            <w:r/>
            <w:r/>
          </w:p>
          <w:p>
            <w:pPr>
              <w:ind w:left="13" w:right="223" w:hanging="9"/>
              <w:spacing w:before="68" w:line="223" w:lineRule="auto"/>
              <w:rPr>
                <w:rFonts w:ascii="宋体" w:hAnsi="宋体" w:eastAsia="宋体" w:cs="宋体"/>
                <w:sz w:val="21"/>
                <w:szCs w:val="21"/>
              </w:rPr>
            </w:pPr>
            <w:r>
              <w:rPr>
                <w:rFonts w:hint="eastAsia" w:ascii="宋体" w:hAnsi="宋体" w:eastAsia="宋体" w:cs="宋体"/>
                <w:spacing w:val="-5"/>
                <w:sz w:val="21"/>
                <w:szCs w:val="21"/>
                <w:lang w:val="en-US" w:eastAsia="zh-CN"/>
              </w:rPr>
              <w:t xml:space="preserve">委</w:t>
            </w:r>
            <w:r>
              <w:rPr>
                <w:rFonts w:ascii="宋体" w:hAnsi="宋体" w:eastAsia="宋体" w:cs="宋体"/>
                <w:spacing w:val="-5"/>
                <w:sz w:val="21"/>
                <w:szCs w:val="21"/>
              </w:rPr>
              <w:t xml:space="preserve">托方</w:t>
            </w:r>
            <w:r>
              <w:rPr>
                <w:rFonts w:hint="eastAsia" w:ascii="宋体" w:hAnsi="宋体" w:eastAsia="宋体" w:cs="宋体"/>
                <w:sz w:val="21"/>
                <w:szCs w:val="21"/>
                <w:lang w:eastAsia="zh-CN"/>
              </w:rPr>
              <w:t xml:space="preserve">（</w:t>
            </w:r>
            <w:r>
              <w:rPr>
                <w:rFonts w:ascii="宋体" w:hAnsi="宋体" w:eastAsia="宋体" w:cs="宋体"/>
                <w:spacing w:val="13"/>
                <w:sz w:val="21"/>
                <w:szCs w:val="21"/>
              </w:rPr>
              <w:t xml:space="preserve">甲方)</w:t>
            </w:r>
            <w:r/>
          </w:p>
        </w:tc>
        <w:tc>
          <w:tcPr>
            <w:tcW w:w="2325" w:type="dxa"/>
            <w:vAlign w:val="top"/>
            <w:textDirection w:val="lrTb"/>
            <w:noWrap w:val="false"/>
          </w:tcPr>
          <w:p>
            <w:pPr>
              <w:jc w:val="center"/>
              <w:spacing w:before="82" w:line="220" w:lineRule="auto"/>
              <w:rPr>
                <w:rFonts w:ascii="宋体" w:hAnsi="宋体" w:eastAsia="宋体" w:cs="宋体"/>
                <w:sz w:val="21"/>
                <w:szCs w:val="21"/>
              </w:rPr>
            </w:pPr>
            <w:r>
              <w:rPr>
                <w:rFonts w:ascii="宋体" w:hAnsi="宋体" w:eastAsia="宋体" w:cs="宋体"/>
                <w:spacing w:val="2"/>
                <w:sz w:val="21"/>
                <w:szCs w:val="21"/>
              </w:rPr>
              <w:t xml:space="preserve">单位名称</w:t>
            </w:r>
            <w:r/>
          </w:p>
        </w:tc>
        <w:tc>
          <w:tcPr>
            <w:gridSpan w:val="3"/>
            <w:tcW w:w="5970" w:type="dxa"/>
            <w:vAlign w:val="top"/>
            <w:textDirection w:val="lrTb"/>
            <w:noWrap w:val="false"/>
          </w:tcPr>
          <w:p>
            <w:pPr>
              <w:pStyle w:val="1111"/>
              <w:jc w:val="center"/>
            </w:pPr>
            <w:r/>
            <w:r/>
          </w:p>
        </w:tc>
      </w:tr>
      <w:tr>
        <w:trPr>
          <w:trHeight w:val="370"/>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75" w:line="219" w:lineRule="auto"/>
              <w:rPr>
                <w:rFonts w:ascii="宋体" w:hAnsi="宋体" w:eastAsia="宋体" w:cs="宋体"/>
                <w:sz w:val="21"/>
                <w:szCs w:val="21"/>
              </w:rPr>
            </w:pPr>
            <w:r>
              <w:rPr>
                <w:rFonts w:ascii="宋体" w:hAnsi="宋体" w:eastAsia="宋体" w:cs="宋体"/>
                <w:spacing w:val="1"/>
                <w:sz w:val="21"/>
                <w:szCs w:val="21"/>
              </w:rPr>
              <w:t xml:space="preserve">统一社会信用代码</w:t>
            </w:r>
            <w:r/>
          </w:p>
        </w:tc>
        <w:tc>
          <w:tcPr>
            <w:gridSpan w:val="3"/>
            <w:tcW w:w="5970" w:type="dxa"/>
            <w:vAlign w:val="top"/>
            <w:textDirection w:val="lrTb"/>
            <w:noWrap w:val="false"/>
          </w:tcPr>
          <w:p>
            <w:pPr>
              <w:pStyle w:val="1111"/>
              <w:jc w:val="center"/>
            </w:pPr>
            <w:r/>
            <w:r/>
          </w:p>
        </w:tc>
      </w:tr>
      <w:tr>
        <w:trPr>
          <w:trHeight w:val="360"/>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77" w:line="220" w:lineRule="auto"/>
              <w:rPr>
                <w:rFonts w:ascii="宋体" w:hAnsi="宋体" w:eastAsia="宋体" w:cs="宋体"/>
                <w:sz w:val="21"/>
                <w:szCs w:val="21"/>
              </w:rPr>
            </w:pPr>
            <w:r>
              <w:rPr>
                <w:rFonts w:ascii="宋体" w:hAnsi="宋体" w:eastAsia="宋体" w:cs="宋体"/>
                <w:spacing w:val="1"/>
                <w:sz w:val="21"/>
                <w:szCs w:val="21"/>
              </w:rPr>
              <w:t xml:space="preserve">约定送达地址</w:t>
            </w:r>
            <w:r/>
          </w:p>
        </w:tc>
        <w:tc>
          <w:tcPr>
            <w:gridSpan w:val="3"/>
            <w:tcW w:w="5970" w:type="dxa"/>
            <w:vAlign w:val="top"/>
            <w:textDirection w:val="lrTb"/>
            <w:noWrap w:val="false"/>
          </w:tcPr>
          <w:p>
            <w:pPr>
              <w:pStyle w:val="1111"/>
              <w:jc w:val="center"/>
            </w:pPr>
            <w:r/>
            <w:r/>
          </w:p>
        </w:tc>
      </w:tr>
      <w:tr>
        <w:trPr>
          <w:trHeight w:val="369"/>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76" w:line="219" w:lineRule="auto"/>
              <w:rPr>
                <w:rFonts w:ascii="宋体" w:hAnsi="宋体" w:eastAsia="宋体" w:cs="宋体"/>
                <w:sz w:val="21"/>
                <w:szCs w:val="21"/>
              </w:rPr>
            </w:pPr>
            <w:r>
              <w:rPr>
                <w:rFonts w:ascii="宋体" w:hAnsi="宋体" w:eastAsia="宋体" w:cs="宋体"/>
                <w:spacing w:val="-2"/>
                <w:sz w:val="21"/>
                <w:szCs w:val="21"/>
              </w:rPr>
              <w:t xml:space="preserve">法定代表人</w:t>
            </w:r>
            <w:r/>
          </w:p>
        </w:tc>
        <w:tc>
          <w:tcPr>
            <w:tcW w:w="1395" w:type="dxa"/>
            <w:vAlign w:val="top"/>
            <w:textDirection w:val="lrTb"/>
            <w:noWrap w:val="false"/>
          </w:tcPr>
          <w:p>
            <w:pPr>
              <w:pStyle w:val="1111"/>
              <w:jc w:val="center"/>
            </w:pPr>
            <w:r/>
            <w:r/>
          </w:p>
        </w:tc>
        <w:tc>
          <w:tcPr>
            <w:tcW w:w="1785" w:type="dxa"/>
            <w:vAlign w:val="top"/>
            <w:textDirection w:val="lrTb"/>
            <w:noWrap w:val="false"/>
          </w:tcPr>
          <w:p>
            <w:pPr>
              <w:ind w:left="636"/>
              <w:jc w:val="center"/>
              <w:spacing w:before="76" w:line="219" w:lineRule="auto"/>
              <w:rPr>
                <w:rFonts w:ascii="宋体" w:hAnsi="宋体" w:eastAsia="宋体" w:cs="宋体"/>
                <w:sz w:val="21"/>
                <w:szCs w:val="21"/>
              </w:rPr>
            </w:pPr>
            <w:r>
              <w:rPr>
                <w:rFonts w:ascii="宋体" w:hAnsi="宋体" w:eastAsia="宋体" w:cs="宋体"/>
                <w:spacing w:val="-2"/>
                <w:sz w:val="21"/>
                <w:szCs w:val="21"/>
              </w:rPr>
              <w:t xml:space="preserve">授权代表</w:t>
            </w:r>
            <w:r/>
          </w:p>
        </w:tc>
        <w:tc>
          <w:tcPr>
            <w:tcW w:w="2790" w:type="dxa"/>
            <w:vAlign w:val="top"/>
            <w:textDirection w:val="lrTb"/>
            <w:noWrap w:val="false"/>
          </w:tcPr>
          <w:p>
            <w:pPr>
              <w:pStyle w:val="1111"/>
              <w:jc w:val="center"/>
            </w:pPr>
            <w:r/>
            <w:r/>
          </w:p>
        </w:tc>
      </w:tr>
      <w:tr>
        <w:trPr>
          <w:trHeight w:val="340"/>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70" w:line="221" w:lineRule="auto"/>
              <w:rPr>
                <w:rFonts w:ascii="宋体" w:hAnsi="宋体" w:eastAsia="宋体" w:cs="宋体"/>
                <w:sz w:val="21"/>
                <w:szCs w:val="21"/>
              </w:rPr>
            </w:pPr>
            <w:r>
              <w:rPr>
                <w:rFonts w:ascii="宋体" w:hAnsi="宋体" w:eastAsia="宋体" w:cs="宋体"/>
                <w:spacing w:val="-3"/>
                <w:sz w:val="21"/>
                <w:szCs w:val="21"/>
              </w:rPr>
              <w:t xml:space="preserve">联系人</w:t>
            </w:r>
            <w:r/>
          </w:p>
        </w:tc>
        <w:tc>
          <w:tcPr>
            <w:tcW w:w="1395" w:type="dxa"/>
            <w:vAlign w:val="top"/>
            <w:textDirection w:val="lrTb"/>
            <w:noWrap w:val="false"/>
          </w:tcPr>
          <w:p>
            <w:pPr>
              <w:pStyle w:val="1111"/>
              <w:jc w:val="center"/>
            </w:pPr>
            <w:r/>
            <w:r/>
          </w:p>
        </w:tc>
        <w:tc>
          <w:tcPr>
            <w:tcW w:w="1785" w:type="dxa"/>
            <w:vAlign w:val="top"/>
            <w:textDirection w:val="lrTb"/>
            <w:noWrap w:val="false"/>
          </w:tcPr>
          <w:p>
            <w:pPr>
              <w:ind w:left="1055"/>
              <w:jc w:val="center"/>
              <w:spacing w:before="70" w:line="221" w:lineRule="auto"/>
              <w:rPr>
                <w:rFonts w:ascii="宋体" w:hAnsi="宋体" w:eastAsia="宋体" w:cs="宋体"/>
                <w:sz w:val="21"/>
                <w:szCs w:val="21"/>
              </w:rPr>
            </w:pPr>
            <w:r>
              <w:rPr>
                <w:rFonts w:ascii="宋体" w:hAnsi="宋体" w:eastAsia="宋体" w:cs="宋体"/>
                <w:spacing w:val="4"/>
                <w:sz w:val="21"/>
                <w:szCs w:val="21"/>
              </w:rPr>
              <w:t xml:space="preserve">电话</w:t>
            </w:r>
            <w:r/>
          </w:p>
        </w:tc>
        <w:tc>
          <w:tcPr>
            <w:tcW w:w="2790" w:type="dxa"/>
            <w:vAlign w:val="top"/>
            <w:textDirection w:val="lrTb"/>
            <w:noWrap w:val="false"/>
          </w:tcPr>
          <w:p>
            <w:pPr>
              <w:pStyle w:val="1111"/>
              <w:jc w:val="center"/>
            </w:pPr>
            <w:r/>
            <w:r/>
          </w:p>
        </w:tc>
      </w:tr>
      <w:tr>
        <w:trPr>
          <w:trHeight w:val="350"/>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67" w:line="219" w:lineRule="auto"/>
              <w:rPr>
                <w:rFonts w:ascii="宋体" w:hAnsi="宋体" w:eastAsia="宋体" w:cs="宋体"/>
                <w:sz w:val="21"/>
                <w:szCs w:val="21"/>
              </w:rPr>
            </w:pPr>
            <w:r>
              <w:rPr>
                <w:rFonts w:ascii="宋体" w:hAnsi="宋体" w:eastAsia="宋体" w:cs="宋体"/>
                <w:spacing w:val="2"/>
                <w:sz w:val="21"/>
                <w:szCs w:val="21"/>
              </w:rPr>
              <w:t xml:space="preserve">邮政编码</w:t>
            </w:r>
            <w:r/>
          </w:p>
        </w:tc>
        <w:tc>
          <w:tcPr>
            <w:tcW w:w="1395" w:type="dxa"/>
            <w:vAlign w:val="top"/>
            <w:textDirection w:val="lrTb"/>
            <w:noWrap w:val="false"/>
          </w:tcPr>
          <w:p>
            <w:pPr>
              <w:pStyle w:val="1111"/>
              <w:jc w:val="center"/>
            </w:pPr>
            <w:r/>
            <w:r/>
          </w:p>
        </w:tc>
        <w:tc>
          <w:tcPr>
            <w:tcW w:w="1785" w:type="dxa"/>
            <w:vAlign w:val="top"/>
            <w:textDirection w:val="lrTb"/>
            <w:noWrap w:val="false"/>
          </w:tcPr>
          <w:p>
            <w:pPr>
              <w:ind w:left="1056"/>
              <w:jc w:val="center"/>
              <w:spacing w:before="66" w:line="219" w:lineRule="auto"/>
              <w:rPr>
                <w:rFonts w:ascii="宋体" w:hAnsi="宋体" w:eastAsia="宋体" w:cs="宋体"/>
                <w:sz w:val="21"/>
                <w:szCs w:val="21"/>
              </w:rPr>
            </w:pPr>
            <w:r>
              <w:rPr>
                <w:rFonts w:ascii="宋体" w:hAnsi="宋体" w:eastAsia="宋体" w:cs="宋体"/>
                <w:spacing w:val="-2"/>
                <w:sz w:val="21"/>
                <w:szCs w:val="21"/>
              </w:rPr>
              <w:t xml:space="preserve">传真</w:t>
            </w:r>
            <w:r/>
          </w:p>
        </w:tc>
        <w:tc>
          <w:tcPr>
            <w:tcW w:w="2790" w:type="dxa"/>
            <w:vAlign w:val="top"/>
            <w:textDirection w:val="lrTb"/>
            <w:noWrap w:val="false"/>
          </w:tcPr>
          <w:p>
            <w:pPr>
              <w:pStyle w:val="1111"/>
              <w:jc w:val="center"/>
            </w:pPr>
            <w:r/>
            <w:r/>
          </w:p>
        </w:tc>
      </w:tr>
      <w:tr>
        <w:trPr>
          <w:trHeight w:val="370"/>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78" w:line="220" w:lineRule="auto"/>
              <w:rPr>
                <w:rFonts w:ascii="宋体" w:hAnsi="宋体" w:eastAsia="宋体" w:cs="宋体"/>
                <w:sz w:val="21"/>
                <w:szCs w:val="21"/>
              </w:rPr>
            </w:pPr>
            <w:r>
              <w:rPr>
                <w:rFonts w:ascii="宋体" w:hAnsi="宋体" w:eastAsia="宋体" w:cs="宋体"/>
                <w:spacing w:val="-2"/>
                <w:sz w:val="21"/>
                <w:szCs w:val="21"/>
              </w:rPr>
              <w:t xml:space="preserve">开户银行</w:t>
            </w:r>
            <w:r/>
          </w:p>
        </w:tc>
        <w:tc>
          <w:tcPr>
            <w:gridSpan w:val="3"/>
            <w:tcW w:w="5970" w:type="dxa"/>
            <w:vAlign w:val="top"/>
            <w:textDirection w:val="lrTb"/>
            <w:noWrap w:val="false"/>
          </w:tcPr>
          <w:p>
            <w:pPr>
              <w:pStyle w:val="1111"/>
              <w:jc w:val="center"/>
            </w:pPr>
            <w:r/>
            <w:r/>
          </w:p>
        </w:tc>
      </w:tr>
      <w:tr>
        <w:trPr>
          <w:trHeight w:val="359"/>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78" w:line="220" w:lineRule="auto"/>
              <w:rPr>
                <w:rFonts w:ascii="宋体" w:hAnsi="宋体" w:eastAsia="宋体" w:cs="宋体"/>
                <w:sz w:val="21"/>
                <w:szCs w:val="21"/>
              </w:rPr>
            </w:pPr>
            <w:r>
              <w:rPr>
                <w:rFonts w:ascii="宋体" w:hAnsi="宋体" w:eastAsia="宋体" w:cs="宋体"/>
                <w:spacing w:val="-2"/>
                <w:sz w:val="21"/>
                <w:szCs w:val="21"/>
              </w:rPr>
              <w:t xml:space="preserve">开户名称</w:t>
            </w:r>
            <w:r/>
          </w:p>
        </w:tc>
        <w:tc>
          <w:tcPr>
            <w:gridSpan w:val="3"/>
            <w:tcW w:w="5970" w:type="dxa"/>
            <w:vAlign w:val="top"/>
            <w:textDirection w:val="lrTb"/>
            <w:noWrap w:val="false"/>
          </w:tcPr>
          <w:p>
            <w:pPr>
              <w:pStyle w:val="1111"/>
              <w:jc w:val="center"/>
            </w:pPr>
            <w:r/>
            <w:r/>
          </w:p>
        </w:tc>
      </w:tr>
      <w:tr>
        <w:trPr>
          <w:trHeight w:val="350"/>
        </w:trPr>
        <w:tc>
          <w:tcPr>
            <w:tcBorders>
              <w:top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69" w:line="220" w:lineRule="auto"/>
              <w:rPr>
                <w:rFonts w:ascii="宋体" w:hAnsi="宋体" w:eastAsia="宋体" w:cs="宋体"/>
                <w:sz w:val="21"/>
                <w:szCs w:val="21"/>
              </w:rPr>
            </w:pPr>
            <w:r>
              <w:rPr>
                <w:rFonts w:ascii="宋体" w:hAnsi="宋体" w:eastAsia="宋体" w:cs="宋体"/>
                <w:spacing w:val="3"/>
                <w:sz w:val="21"/>
                <w:szCs w:val="21"/>
              </w:rPr>
              <w:t xml:space="preserve">开户账号</w:t>
            </w:r>
            <w:r/>
          </w:p>
        </w:tc>
        <w:tc>
          <w:tcPr>
            <w:gridSpan w:val="3"/>
            <w:tcW w:w="5970" w:type="dxa"/>
            <w:vAlign w:val="top"/>
            <w:textDirection w:val="lrTb"/>
            <w:noWrap w:val="false"/>
          </w:tcPr>
          <w:p>
            <w:pPr>
              <w:pStyle w:val="1111"/>
              <w:jc w:val="center"/>
            </w:pPr>
            <w:r/>
            <w:r/>
          </w:p>
        </w:tc>
      </w:tr>
      <w:tr>
        <w:trPr>
          <w:trHeight w:val="360"/>
        </w:trPr>
        <w:tc>
          <w:tcPr>
            <w:tcBorders>
              <w:bottom w:val="none" w:color="000000" w:sz="4" w:space="0"/>
            </w:tcBorders>
            <w:tcW w:w="1695" w:type="dxa"/>
            <w:vAlign w:val="top"/>
            <w:vMerge w:val="restart"/>
            <w:textDirection w:val="lrTb"/>
            <w:noWrap w:val="false"/>
          </w:tcPr>
          <w:p>
            <w:pPr>
              <w:pStyle w:val="1111"/>
              <w:spacing w:line="264" w:lineRule="auto"/>
            </w:pPr>
            <w:r/>
            <w:r/>
          </w:p>
          <w:p>
            <w:pPr>
              <w:pStyle w:val="1111"/>
              <w:spacing w:line="265" w:lineRule="auto"/>
            </w:pPr>
            <w:r/>
            <w:r/>
          </w:p>
          <w:p>
            <w:pPr>
              <w:pStyle w:val="1111"/>
              <w:spacing w:line="265" w:lineRule="auto"/>
            </w:pPr>
            <w:r/>
            <w:r/>
          </w:p>
          <w:p>
            <w:pPr>
              <w:pStyle w:val="1111"/>
              <w:spacing w:line="265" w:lineRule="auto"/>
            </w:pPr>
            <w:r/>
            <w:r/>
          </w:p>
          <w:p>
            <w:pPr>
              <w:pStyle w:val="1111"/>
              <w:spacing w:line="265" w:lineRule="auto"/>
            </w:pPr>
            <w:r/>
            <w:r/>
          </w:p>
          <w:p>
            <w:pPr>
              <w:ind w:left="14"/>
              <w:spacing w:line="219" w:lineRule="auto"/>
              <w:rPr>
                <w:rFonts w:ascii="宋体" w:hAnsi="宋体" w:eastAsia="宋体" w:cs="宋体"/>
                <w:sz w:val="21"/>
                <w:szCs w:val="21"/>
              </w:rPr>
            </w:pPr>
            <w:r>
              <w:rPr>
                <w:rFonts w:hint="eastAsia" w:ascii="宋体" w:hAnsi="宋体" w:eastAsia="宋体" w:cs="宋体"/>
                <w:spacing w:val="5"/>
                <w:sz w:val="21"/>
                <w:szCs w:val="21"/>
                <w:lang w:val="en-US" w:eastAsia="zh-CN"/>
              </w:rPr>
              <w:t xml:space="preserve">受托</w:t>
            </w:r>
            <w:r>
              <w:rPr>
                <w:rFonts w:ascii="宋体" w:hAnsi="宋体" w:eastAsia="宋体" w:cs="宋体"/>
                <w:spacing w:val="5"/>
                <w:sz w:val="21"/>
                <w:szCs w:val="21"/>
              </w:rPr>
              <w:t xml:space="preserve">方(</w:t>
            </w:r>
            <w:r>
              <w:rPr>
                <w:rFonts w:hint="eastAsia" w:ascii="宋体" w:hAnsi="宋体" w:eastAsia="宋体" w:cs="宋体"/>
                <w:spacing w:val="5"/>
                <w:sz w:val="21"/>
                <w:szCs w:val="21"/>
                <w:lang w:val="en-US" w:eastAsia="zh-CN"/>
              </w:rPr>
              <w:t xml:space="preserve">乙方）</w:t>
            </w:r>
            <w:r>
              <w:rPr>
                <w:rFonts w:ascii="宋体" w:hAnsi="宋体" w:eastAsia="宋体" w:cs="宋体"/>
                <w:sz w:val="21"/>
                <w:szCs w:val="21"/>
              </w:rPr>
              <w:t xml:space="preserve"> </w:t>
            </w:r>
            <w:r>
              <w:rPr>
                <w:rFonts w:ascii="宋体" w:hAnsi="宋体" w:eastAsia="宋体" w:cs="宋体"/>
                <w:spacing w:val="4"/>
                <w:sz w:val="21"/>
                <w:szCs w:val="21"/>
              </w:rPr>
              <w:t xml:space="preserve">(</w:t>
            </w:r>
            <w:r>
              <w:rPr>
                <w:rFonts w:hint="eastAsia" w:ascii="宋体" w:hAnsi="宋体" w:eastAsia="宋体" w:cs="宋体"/>
                <w:spacing w:val="4"/>
                <w:sz w:val="21"/>
                <w:szCs w:val="21"/>
                <w:lang w:val="en-US" w:eastAsia="zh-CN"/>
              </w:rPr>
              <w:t xml:space="preserve">联合体牵头人</w:t>
            </w:r>
            <w:r>
              <w:rPr>
                <w:rFonts w:ascii="宋体" w:hAnsi="宋体" w:eastAsia="宋体" w:cs="宋体"/>
                <w:spacing w:val="10"/>
                <w:sz w:val="21"/>
                <w:szCs w:val="21"/>
              </w:rPr>
              <w:t xml:space="preserve">)</w:t>
            </w:r>
            <w:r/>
          </w:p>
        </w:tc>
        <w:tc>
          <w:tcPr>
            <w:tcW w:w="2325" w:type="dxa"/>
            <w:vAlign w:val="top"/>
            <w:textDirection w:val="lrTb"/>
            <w:noWrap w:val="false"/>
          </w:tcPr>
          <w:p>
            <w:pPr>
              <w:jc w:val="center"/>
              <w:spacing w:before="79" w:line="220" w:lineRule="auto"/>
              <w:rPr>
                <w:rFonts w:ascii="宋体" w:hAnsi="宋体" w:eastAsia="宋体" w:cs="宋体"/>
                <w:sz w:val="21"/>
                <w:szCs w:val="21"/>
              </w:rPr>
            </w:pPr>
            <w:r>
              <w:rPr>
                <w:rFonts w:ascii="宋体" w:hAnsi="宋体" w:eastAsia="宋体" w:cs="宋体"/>
                <w:spacing w:val="2"/>
                <w:sz w:val="21"/>
                <w:szCs w:val="21"/>
              </w:rPr>
              <w:t xml:space="preserve">单位名称</w:t>
            </w:r>
            <w:r/>
          </w:p>
        </w:tc>
        <w:tc>
          <w:tcPr>
            <w:gridSpan w:val="3"/>
            <w:tcW w:w="5970" w:type="dxa"/>
            <w:vAlign w:val="top"/>
            <w:textDirection w:val="lrTb"/>
            <w:noWrap w:val="false"/>
          </w:tcPr>
          <w:p>
            <w:pPr>
              <w:pStyle w:val="1111"/>
              <w:jc w:val="center"/>
            </w:pPr>
            <w:r/>
            <w:r/>
          </w:p>
        </w:tc>
      </w:tr>
      <w:tr>
        <w:trPr>
          <w:trHeight w:val="350"/>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67" w:line="219" w:lineRule="auto"/>
              <w:rPr>
                <w:rFonts w:ascii="宋体" w:hAnsi="宋体" w:eastAsia="宋体" w:cs="宋体"/>
                <w:sz w:val="21"/>
                <w:szCs w:val="21"/>
              </w:rPr>
            </w:pPr>
            <w:r>
              <w:rPr>
                <w:rFonts w:ascii="宋体" w:hAnsi="宋体" w:eastAsia="宋体" w:cs="宋体"/>
                <w:spacing w:val="1"/>
                <w:sz w:val="21"/>
                <w:szCs w:val="21"/>
              </w:rPr>
              <w:t xml:space="preserve">统一社会信用代码</w:t>
            </w:r>
            <w:r/>
          </w:p>
        </w:tc>
        <w:tc>
          <w:tcPr>
            <w:gridSpan w:val="3"/>
            <w:tcW w:w="5970" w:type="dxa"/>
            <w:vAlign w:val="top"/>
            <w:textDirection w:val="lrTb"/>
            <w:noWrap w:val="false"/>
          </w:tcPr>
          <w:p>
            <w:pPr>
              <w:pStyle w:val="1111"/>
              <w:jc w:val="center"/>
            </w:pPr>
            <w:r/>
            <w:r/>
          </w:p>
        </w:tc>
      </w:tr>
      <w:tr>
        <w:trPr>
          <w:trHeight w:val="350"/>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69" w:line="220" w:lineRule="auto"/>
              <w:rPr>
                <w:rFonts w:ascii="宋体" w:hAnsi="宋体" w:eastAsia="宋体" w:cs="宋体"/>
                <w:sz w:val="21"/>
                <w:szCs w:val="21"/>
              </w:rPr>
            </w:pPr>
            <w:r>
              <w:rPr>
                <w:rFonts w:ascii="宋体" w:hAnsi="宋体" w:eastAsia="宋体" w:cs="宋体"/>
                <w:spacing w:val="1"/>
                <w:sz w:val="21"/>
                <w:szCs w:val="21"/>
              </w:rPr>
              <w:t xml:space="preserve">约定送达地址</w:t>
            </w:r>
            <w:r/>
          </w:p>
        </w:tc>
        <w:tc>
          <w:tcPr>
            <w:gridSpan w:val="3"/>
            <w:tcW w:w="5970" w:type="dxa"/>
            <w:vAlign w:val="top"/>
            <w:textDirection w:val="lrTb"/>
            <w:noWrap w:val="false"/>
          </w:tcPr>
          <w:p>
            <w:pPr>
              <w:pStyle w:val="1111"/>
              <w:jc w:val="center"/>
            </w:pPr>
            <w:r/>
            <w:r/>
          </w:p>
        </w:tc>
      </w:tr>
      <w:tr>
        <w:trPr>
          <w:trHeight w:val="359"/>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78" w:line="219" w:lineRule="auto"/>
              <w:rPr>
                <w:rFonts w:ascii="宋体" w:hAnsi="宋体" w:eastAsia="宋体" w:cs="宋体"/>
                <w:sz w:val="21"/>
                <w:szCs w:val="21"/>
              </w:rPr>
            </w:pPr>
            <w:r>
              <w:rPr>
                <w:rFonts w:ascii="宋体" w:hAnsi="宋体" w:eastAsia="宋体" w:cs="宋体"/>
                <w:spacing w:val="-2"/>
                <w:sz w:val="21"/>
                <w:szCs w:val="21"/>
              </w:rPr>
              <w:t xml:space="preserve">法定代表人</w:t>
            </w:r>
            <w:r/>
          </w:p>
        </w:tc>
        <w:tc>
          <w:tcPr>
            <w:tcW w:w="1395" w:type="dxa"/>
            <w:vAlign w:val="top"/>
            <w:textDirection w:val="lrTb"/>
            <w:noWrap w:val="false"/>
          </w:tcPr>
          <w:p>
            <w:pPr>
              <w:pStyle w:val="1111"/>
              <w:jc w:val="center"/>
            </w:pPr>
            <w:r/>
            <w:r/>
          </w:p>
        </w:tc>
        <w:tc>
          <w:tcPr>
            <w:tcW w:w="1785" w:type="dxa"/>
            <w:vAlign w:val="top"/>
            <w:textDirection w:val="lrTb"/>
            <w:noWrap w:val="false"/>
          </w:tcPr>
          <w:p>
            <w:pPr>
              <w:ind w:left="636"/>
              <w:jc w:val="center"/>
              <w:spacing w:before="78" w:line="219" w:lineRule="auto"/>
              <w:rPr>
                <w:rFonts w:ascii="宋体" w:hAnsi="宋体" w:eastAsia="宋体" w:cs="宋体"/>
                <w:sz w:val="21"/>
                <w:szCs w:val="21"/>
              </w:rPr>
            </w:pPr>
            <w:r>
              <w:rPr>
                <w:rFonts w:ascii="宋体" w:hAnsi="宋体" w:eastAsia="宋体" w:cs="宋体"/>
                <w:spacing w:val="-2"/>
                <w:sz w:val="21"/>
                <w:szCs w:val="21"/>
              </w:rPr>
              <w:t xml:space="preserve">授权代表</w:t>
            </w:r>
            <w:r/>
          </w:p>
        </w:tc>
        <w:tc>
          <w:tcPr>
            <w:tcW w:w="2790" w:type="dxa"/>
            <w:vAlign w:val="top"/>
            <w:textDirection w:val="lrTb"/>
            <w:noWrap w:val="false"/>
          </w:tcPr>
          <w:p>
            <w:pPr>
              <w:pStyle w:val="1111"/>
              <w:jc w:val="center"/>
            </w:pPr>
            <w:r/>
            <w:r/>
          </w:p>
        </w:tc>
      </w:tr>
      <w:tr>
        <w:trPr>
          <w:trHeight w:val="350"/>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72" w:line="221" w:lineRule="auto"/>
              <w:rPr>
                <w:rFonts w:ascii="宋体" w:hAnsi="宋体" w:eastAsia="宋体" w:cs="宋体"/>
                <w:sz w:val="21"/>
                <w:szCs w:val="21"/>
              </w:rPr>
            </w:pPr>
            <w:r>
              <w:rPr>
                <w:rFonts w:ascii="宋体" w:hAnsi="宋体" w:eastAsia="宋体" w:cs="宋体"/>
                <w:spacing w:val="-3"/>
                <w:sz w:val="21"/>
                <w:szCs w:val="21"/>
              </w:rPr>
              <w:t xml:space="preserve">联系人</w:t>
            </w:r>
            <w:r/>
          </w:p>
        </w:tc>
        <w:tc>
          <w:tcPr>
            <w:tcW w:w="1395" w:type="dxa"/>
            <w:vAlign w:val="top"/>
            <w:textDirection w:val="lrTb"/>
            <w:noWrap w:val="false"/>
          </w:tcPr>
          <w:p>
            <w:pPr>
              <w:pStyle w:val="1111"/>
              <w:jc w:val="center"/>
            </w:pPr>
            <w:r/>
            <w:r/>
          </w:p>
        </w:tc>
        <w:tc>
          <w:tcPr>
            <w:tcW w:w="1785" w:type="dxa"/>
            <w:vAlign w:val="top"/>
            <w:textDirection w:val="lrTb"/>
            <w:noWrap w:val="false"/>
          </w:tcPr>
          <w:p>
            <w:pPr>
              <w:ind w:left="1055"/>
              <w:jc w:val="center"/>
              <w:spacing w:before="72" w:line="221" w:lineRule="auto"/>
              <w:rPr>
                <w:rFonts w:ascii="宋体" w:hAnsi="宋体" w:eastAsia="宋体" w:cs="宋体"/>
                <w:sz w:val="21"/>
                <w:szCs w:val="21"/>
              </w:rPr>
            </w:pPr>
            <w:r>
              <w:rPr>
                <w:rFonts w:ascii="宋体" w:hAnsi="宋体" w:eastAsia="宋体" w:cs="宋体"/>
                <w:spacing w:val="4"/>
                <w:sz w:val="21"/>
                <w:szCs w:val="21"/>
              </w:rPr>
              <w:t xml:space="preserve">电话</w:t>
            </w:r>
            <w:r/>
          </w:p>
        </w:tc>
        <w:tc>
          <w:tcPr>
            <w:tcW w:w="2790" w:type="dxa"/>
            <w:vAlign w:val="top"/>
            <w:textDirection w:val="lrTb"/>
            <w:noWrap w:val="false"/>
          </w:tcPr>
          <w:p>
            <w:pPr>
              <w:pStyle w:val="1111"/>
              <w:jc w:val="center"/>
            </w:pPr>
            <w:r/>
            <w:r/>
          </w:p>
        </w:tc>
      </w:tr>
      <w:tr>
        <w:trPr>
          <w:trHeight w:val="350"/>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69" w:line="219" w:lineRule="auto"/>
              <w:rPr>
                <w:rFonts w:ascii="宋体" w:hAnsi="宋体" w:eastAsia="宋体" w:cs="宋体"/>
                <w:sz w:val="21"/>
                <w:szCs w:val="21"/>
              </w:rPr>
            </w:pPr>
            <w:r>
              <w:rPr>
                <w:rFonts w:ascii="宋体" w:hAnsi="宋体" w:eastAsia="宋体" w:cs="宋体"/>
                <w:spacing w:val="2"/>
                <w:sz w:val="21"/>
                <w:szCs w:val="21"/>
              </w:rPr>
              <w:t xml:space="preserve">邮政编码</w:t>
            </w:r>
            <w:r/>
          </w:p>
        </w:tc>
        <w:tc>
          <w:tcPr>
            <w:tcW w:w="1395" w:type="dxa"/>
            <w:vAlign w:val="top"/>
            <w:textDirection w:val="lrTb"/>
            <w:noWrap w:val="false"/>
          </w:tcPr>
          <w:p>
            <w:pPr>
              <w:pStyle w:val="1111"/>
              <w:jc w:val="center"/>
            </w:pPr>
            <w:r/>
            <w:r/>
          </w:p>
        </w:tc>
        <w:tc>
          <w:tcPr>
            <w:tcW w:w="1785" w:type="dxa"/>
            <w:vAlign w:val="top"/>
            <w:textDirection w:val="lrTb"/>
            <w:noWrap w:val="false"/>
          </w:tcPr>
          <w:p>
            <w:pPr>
              <w:ind w:left="1056"/>
              <w:jc w:val="center"/>
              <w:spacing w:before="68" w:line="219" w:lineRule="auto"/>
              <w:rPr>
                <w:rFonts w:ascii="宋体" w:hAnsi="宋体" w:eastAsia="宋体" w:cs="宋体"/>
                <w:sz w:val="21"/>
                <w:szCs w:val="21"/>
              </w:rPr>
            </w:pPr>
            <w:r>
              <w:rPr>
                <w:rFonts w:ascii="宋体" w:hAnsi="宋体" w:eastAsia="宋体" w:cs="宋体"/>
                <w:spacing w:val="-2"/>
                <w:sz w:val="21"/>
                <w:szCs w:val="21"/>
              </w:rPr>
              <w:t xml:space="preserve">传真</w:t>
            </w:r>
            <w:r/>
          </w:p>
        </w:tc>
        <w:tc>
          <w:tcPr>
            <w:tcW w:w="2790" w:type="dxa"/>
            <w:vAlign w:val="top"/>
            <w:textDirection w:val="lrTb"/>
            <w:noWrap w:val="false"/>
          </w:tcPr>
          <w:p>
            <w:pPr>
              <w:pStyle w:val="1111"/>
              <w:jc w:val="center"/>
            </w:pPr>
            <w:r/>
            <w:r/>
          </w:p>
        </w:tc>
      </w:tr>
      <w:tr>
        <w:trPr>
          <w:trHeight w:val="340"/>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70" w:line="220" w:lineRule="auto"/>
              <w:rPr>
                <w:rFonts w:ascii="宋体" w:hAnsi="宋体" w:eastAsia="宋体" w:cs="宋体"/>
                <w:sz w:val="21"/>
                <w:szCs w:val="21"/>
              </w:rPr>
            </w:pPr>
            <w:r>
              <w:rPr>
                <w:rFonts w:ascii="宋体" w:hAnsi="宋体" w:eastAsia="宋体" w:cs="宋体"/>
                <w:spacing w:val="-2"/>
                <w:sz w:val="21"/>
                <w:szCs w:val="21"/>
              </w:rPr>
              <w:t xml:space="preserve">开户银行</w:t>
            </w:r>
            <w:r/>
          </w:p>
        </w:tc>
        <w:tc>
          <w:tcPr>
            <w:gridSpan w:val="3"/>
            <w:tcW w:w="5970" w:type="dxa"/>
            <w:vAlign w:val="top"/>
            <w:textDirection w:val="lrTb"/>
            <w:noWrap w:val="false"/>
          </w:tcPr>
          <w:p>
            <w:pPr>
              <w:pStyle w:val="1111"/>
              <w:jc w:val="center"/>
            </w:pPr>
            <w:r/>
            <w:r/>
          </w:p>
        </w:tc>
      </w:tr>
      <w:tr>
        <w:trPr>
          <w:trHeight w:val="360"/>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80" w:line="220" w:lineRule="auto"/>
              <w:rPr>
                <w:rFonts w:ascii="宋体" w:hAnsi="宋体" w:eastAsia="宋体" w:cs="宋体"/>
                <w:sz w:val="21"/>
                <w:szCs w:val="21"/>
              </w:rPr>
            </w:pPr>
            <w:r>
              <w:rPr>
                <w:rFonts w:ascii="宋体" w:hAnsi="宋体" w:eastAsia="宋体" w:cs="宋体"/>
                <w:spacing w:val="-2"/>
                <w:sz w:val="21"/>
                <w:szCs w:val="21"/>
              </w:rPr>
              <w:t xml:space="preserve">开户名称</w:t>
            </w:r>
            <w:r/>
          </w:p>
        </w:tc>
        <w:tc>
          <w:tcPr>
            <w:gridSpan w:val="3"/>
            <w:tcW w:w="5970" w:type="dxa"/>
            <w:vAlign w:val="top"/>
            <w:textDirection w:val="lrTb"/>
            <w:noWrap w:val="false"/>
          </w:tcPr>
          <w:p>
            <w:pPr>
              <w:pStyle w:val="1111"/>
              <w:jc w:val="center"/>
            </w:pPr>
            <w:r/>
            <w:r/>
          </w:p>
        </w:tc>
      </w:tr>
      <w:tr>
        <w:trPr>
          <w:trHeight w:val="350"/>
        </w:trPr>
        <w:tc>
          <w:tcPr>
            <w:tcBorders>
              <w:top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70" w:line="220" w:lineRule="auto"/>
              <w:rPr>
                <w:rFonts w:ascii="宋体" w:hAnsi="宋体" w:eastAsia="宋体" w:cs="宋体"/>
                <w:sz w:val="21"/>
                <w:szCs w:val="21"/>
              </w:rPr>
            </w:pPr>
            <w:r>
              <w:rPr>
                <w:rFonts w:ascii="宋体" w:hAnsi="宋体" w:eastAsia="宋体" w:cs="宋体"/>
                <w:spacing w:val="3"/>
                <w:sz w:val="21"/>
                <w:szCs w:val="21"/>
              </w:rPr>
              <w:t xml:space="preserve">开户账号</w:t>
            </w:r>
            <w:r/>
          </w:p>
        </w:tc>
        <w:tc>
          <w:tcPr>
            <w:gridSpan w:val="3"/>
            <w:tcW w:w="5970" w:type="dxa"/>
            <w:vAlign w:val="top"/>
            <w:textDirection w:val="lrTb"/>
            <w:noWrap w:val="false"/>
          </w:tcPr>
          <w:p>
            <w:pPr>
              <w:pStyle w:val="1111"/>
              <w:jc w:val="center"/>
            </w:pPr>
            <w:r/>
            <w:r/>
          </w:p>
        </w:tc>
      </w:tr>
      <w:tr>
        <w:trPr>
          <w:trHeight w:val="359"/>
        </w:trPr>
        <w:tc>
          <w:tcPr>
            <w:tcBorders>
              <w:bottom w:val="none" w:color="000000" w:sz="4" w:space="0"/>
            </w:tcBorders>
            <w:tcW w:w="1695" w:type="dxa"/>
            <w:vAlign w:val="top"/>
            <w:vMerge w:val="restart"/>
            <w:textDirection w:val="lrTb"/>
            <w:noWrap w:val="false"/>
          </w:tcPr>
          <w:p>
            <w:pPr>
              <w:pStyle w:val="1111"/>
              <w:spacing w:line="264" w:lineRule="auto"/>
            </w:pPr>
            <w:r/>
            <w:r/>
          </w:p>
          <w:p>
            <w:pPr>
              <w:pStyle w:val="1111"/>
              <w:spacing w:line="264" w:lineRule="auto"/>
            </w:pPr>
            <w:r/>
            <w:r/>
          </w:p>
          <w:p>
            <w:pPr>
              <w:pStyle w:val="1111"/>
              <w:spacing w:line="265" w:lineRule="auto"/>
            </w:pPr>
            <w:r/>
            <w:r/>
          </w:p>
          <w:p>
            <w:pPr>
              <w:pStyle w:val="1111"/>
              <w:spacing w:line="265" w:lineRule="auto"/>
            </w:pPr>
            <w:r/>
            <w:r/>
          </w:p>
          <w:p>
            <w:pPr>
              <w:pStyle w:val="1111"/>
              <w:spacing w:line="265" w:lineRule="auto"/>
            </w:pPr>
            <w:r/>
            <w:r/>
          </w:p>
          <w:p>
            <w:pPr>
              <w:ind w:left="4" w:right="132" w:firstLine="150"/>
              <w:jc w:val="both"/>
              <w:spacing w:before="68" w:line="217" w:lineRule="auto"/>
              <w:rPr>
                <w:rFonts w:ascii="宋体" w:hAnsi="宋体" w:eastAsia="宋体" w:cs="宋体"/>
                <w:sz w:val="21"/>
                <w:szCs w:val="21"/>
              </w:rPr>
            </w:pPr>
            <w:r>
              <w:rPr>
                <w:rFonts w:hint="eastAsia" w:ascii="宋体" w:hAnsi="宋体" w:eastAsia="宋体" w:cs="宋体"/>
                <w:spacing w:val="5"/>
                <w:sz w:val="21"/>
                <w:szCs w:val="21"/>
                <w:lang w:val="en-US" w:eastAsia="zh-CN"/>
              </w:rPr>
              <w:t xml:space="preserve">受托</w:t>
            </w:r>
            <w:r>
              <w:rPr>
                <w:rFonts w:ascii="宋体" w:hAnsi="宋体" w:eastAsia="宋体" w:cs="宋体"/>
                <w:spacing w:val="5"/>
                <w:sz w:val="21"/>
                <w:szCs w:val="21"/>
              </w:rPr>
              <w:t xml:space="preserve">方(</w:t>
            </w:r>
            <w:r>
              <w:rPr>
                <w:rFonts w:hint="eastAsia" w:ascii="宋体" w:hAnsi="宋体" w:eastAsia="宋体" w:cs="宋体"/>
                <w:spacing w:val="5"/>
                <w:sz w:val="21"/>
                <w:szCs w:val="21"/>
                <w:lang w:val="en-US" w:eastAsia="zh-CN"/>
              </w:rPr>
              <w:t xml:space="preserve">乙方）</w:t>
            </w:r>
            <w:r>
              <w:rPr>
                <w:rFonts w:ascii="宋体" w:hAnsi="宋体" w:eastAsia="宋体" w:cs="宋体"/>
                <w:spacing w:val="4"/>
                <w:sz w:val="21"/>
                <w:szCs w:val="21"/>
              </w:rPr>
              <w:t xml:space="preserve">(</w:t>
            </w:r>
            <w:r>
              <w:rPr>
                <w:rFonts w:hint="eastAsia" w:ascii="宋体" w:hAnsi="宋体" w:eastAsia="宋体" w:cs="宋体"/>
                <w:spacing w:val="4"/>
                <w:sz w:val="21"/>
                <w:szCs w:val="21"/>
                <w:lang w:val="en-US" w:eastAsia="zh-CN"/>
              </w:rPr>
              <w:t xml:space="preserve">联合体成员</w:t>
            </w:r>
            <w:r>
              <w:rPr>
                <w:rFonts w:ascii="宋体" w:hAnsi="宋体" w:eastAsia="宋体" w:cs="宋体"/>
                <w:spacing w:val="10"/>
                <w:sz w:val="21"/>
                <w:szCs w:val="21"/>
              </w:rPr>
              <w:t xml:space="preserve">)</w:t>
            </w:r>
            <w:r/>
          </w:p>
        </w:tc>
        <w:tc>
          <w:tcPr>
            <w:tcW w:w="2325" w:type="dxa"/>
            <w:vAlign w:val="top"/>
            <w:textDirection w:val="lrTb"/>
            <w:noWrap w:val="false"/>
          </w:tcPr>
          <w:p>
            <w:pPr>
              <w:jc w:val="center"/>
              <w:spacing w:before="80" w:line="220" w:lineRule="auto"/>
              <w:rPr>
                <w:rFonts w:ascii="宋体" w:hAnsi="宋体" w:eastAsia="宋体" w:cs="宋体"/>
                <w:sz w:val="21"/>
                <w:szCs w:val="21"/>
              </w:rPr>
            </w:pPr>
            <w:r>
              <w:rPr>
                <w:rFonts w:ascii="宋体" w:hAnsi="宋体" w:eastAsia="宋体" w:cs="宋体"/>
                <w:spacing w:val="2"/>
                <w:sz w:val="21"/>
                <w:szCs w:val="21"/>
              </w:rPr>
              <w:t xml:space="preserve">单位名称</w:t>
            </w:r>
            <w:r/>
          </w:p>
        </w:tc>
        <w:tc>
          <w:tcPr>
            <w:gridSpan w:val="3"/>
            <w:tcW w:w="5970" w:type="dxa"/>
            <w:vAlign w:val="top"/>
            <w:textDirection w:val="lrTb"/>
            <w:noWrap w:val="false"/>
          </w:tcPr>
          <w:p>
            <w:pPr>
              <w:pStyle w:val="1111"/>
              <w:jc w:val="center"/>
            </w:pPr>
            <w:r/>
            <w:r/>
          </w:p>
        </w:tc>
      </w:tr>
      <w:tr>
        <w:trPr>
          <w:trHeight w:val="359"/>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79" w:line="219" w:lineRule="auto"/>
              <w:rPr>
                <w:rFonts w:ascii="宋体" w:hAnsi="宋体" w:eastAsia="宋体" w:cs="宋体"/>
                <w:sz w:val="21"/>
                <w:szCs w:val="21"/>
              </w:rPr>
            </w:pPr>
            <w:r>
              <w:rPr>
                <w:rFonts w:ascii="宋体" w:hAnsi="宋体" w:eastAsia="宋体" w:cs="宋体"/>
                <w:spacing w:val="1"/>
                <w:sz w:val="21"/>
                <w:szCs w:val="21"/>
              </w:rPr>
              <w:t xml:space="preserve">统一社会信用代码</w:t>
            </w:r>
            <w:r/>
          </w:p>
        </w:tc>
        <w:tc>
          <w:tcPr>
            <w:gridSpan w:val="3"/>
            <w:tcW w:w="5970" w:type="dxa"/>
            <w:vAlign w:val="top"/>
            <w:textDirection w:val="lrTb"/>
            <w:noWrap w:val="false"/>
          </w:tcPr>
          <w:p>
            <w:pPr>
              <w:pStyle w:val="1111"/>
              <w:jc w:val="center"/>
            </w:pPr>
            <w:r/>
            <w:r/>
          </w:p>
        </w:tc>
      </w:tr>
      <w:tr>
        <w:trPr>
          <w:trHeight w:val="340"/>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72" w:line="220" w:lineRule="auto"/>
              <w:rPr>
                <w:rFonts w:ascii="宋体" w:hAnsi="宋体" w:eastAsia="宋体" w:cs="宋体"/>
                <w:sz w:val="21"/>
                <w:szCs w:val="21"/>
              </w:rPr>
            </w:pPr>
            <w:r>
              <w:rPr>
                <w:rFonts w:ascii="宋体" w:hAnsi="宋体" w:eastAsia="宋体" w:cs="宋体"/>
                <w:spacing w:val="1"/>
                <w:sz w:val="21"/>
                <w:szCs w:val="21"/>
              </w:rPr>
              <w:t xml:space="preserve">约定送达地址</w:t>
            </w:r>
            <w:r/>
          </w:p>
        </w:tc>
        <w:tc>
          <w:tcPr>
            <w:gridSpan w:val="3"/>
            <w:tcW w:w="5970" w:type="dxa"/>
            <w:vAlign w:val="top"/>
            <w:textDirection w:val="lrTb"/>
            <w:noWrap w:val="false"/>
          </w:tcPr>
          <w:p>
            <w:pPr>
              <w:pStyle w:val="1111"/>
              <w:jc w:val="center"/>
            </w:pPr>
            <w:r/>
            <w:r/>
          </w:p>
        </w:tc>
      </w:tr>
      <w:tr>
        <w:trPr>
          <w:trHeight w:val="360"/>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81" w:line="219" w:lineRule="auto"/>
              <w:rPr>
                <w:rFonts w:ascii="宋体" w:hAnsi="宋体" w:eastAsia="宋体" w:cs="宋体"/>
                <w:sz w:val="21"/>
                <w:szCs w:val="21"/>
              </w:rPr>
            </w:pPr>
            <w:r>
              <w:rPr>
                <w:rFonts w:ascii="宋体" w:hAnsi="宋体" w:eastAsia="宋体" w:cs="宋体"/>
                <w:spacing w:val="-2"/>
                <w:sz w:val="21"/>
                <w:szCs w:val="21"/>
              </w:rPr>
              <w:t xml:space="preserve">法定代表人</w:t>
            </w:r>
            <w:r/>
          </w:p>
        </w:tc>
        <w:tc>
          <w:tcPr>
            <w:tcW w:w="1395" w:type="dxa"/>
            <w:vAlign w:val="top"/>
            <w:textDirection w:val="lrTb"/>
            <w:noWrap w:val="false"/>
          </w:tcPr>
          <w:p>
            <w:pPr>
              <w:pStyle w:val="1111"/>
              <w:jc w:val="center"/>
            </w:pPr>
            <w:r/>
            <w:r/>
          </w:p>
        </w:tc>
        <w:tc>
          <w:tcPr>
            <w:tcW w:w="1785" w:type="dxa"/>
            <w:vAlign w:val="top"/>
            <w:textDirection w:val="lrTb"/>
            <w:noWrap w:val="false"/>
          </w:tcPr>
          <w:p>
            <w:pPr>
              <w:ind w:left="636"/>
              <w:jc w:val="center"/>
              <w:spacing w:before="81" w:line="219" w:lineRule="auto"/>
              <w:rPr>
                <w:rFonts w:ascii="宋体" w:hAnsi="宋体" w:eastAsia="宋体" w:cs="宋体"/>
                <w:sz w:val="21"/>
                <w:szCs w:val="21"/>
              </w:rPr>
            </w:pPr>
            <w:r>
              <w:rPr>
                <w:rFonts w:ascii="宋体" w:hAnsi="宋体" w:eastAsia="宋体" w:cs="宋体"/>
                <w:spacing w:val="-2"/>
                <w:sz w:val="21"/>
                <w:szCs w:val="21"/>
              </w:rPr>
              <w:t xml:space="preserve">授权代表</w:t>
            </w:r>
            <w:r/>
          </w:p>
        </w:tc>
        <w:tc>
          <w:tcPr>
            <w:tcW w:w="2790" w:type="dxa"/>
            <w:vAlign w:val="top"/>
            <w:textDirection w:val="lrTb"/>
            <w:noWrap w:val="false"/>
          </w:tcPr>
          <w:p>
            <w:pPr>
              <w:pStyle w:val="1111"/>
              <w:jc w:val="center"/>
            </w:pPr>
            <w:r/>
            <w:r/>
          </w:p>
        </w:tc>
      </w:tr>
      <w:tr>
        <w:trPr>
          <w:trHeight w:val="339"/>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74" w:line="221" w:lineRule="auto"/>
              <w:rPr>
                <w:rFonts w:ascii="宋体" w:hAnsi="宋体" w:eastAsia="宋体" w:cs="宋体"/>
                <w:sz w:val="21"/>
                <w:szCs w:val="21"/>
              </w:rPr>
            </w:pPr>
            <w:r>
              <w:rPr>
                <w:rFonts w:ascii="宋体" w:hAnsi="宋体" w:eastAsia="宋体" w:cs="宋体"/>
                <w:spacing w:val="-3"/>
                <w:sz w:val="21"/>
                <w:szCs w:val="21"/>
              </w:rPr>
              <w:t xml:space="preserve">联系人</w:t>
            </w:r>
            <w:r/>
          </w:p>
        </w:tc>
        <w:tc>
          <w:tcPr>
            <w:tcW w:w="1395" w:type="dxa"/>
            <w:vAlign w:val="top"/>
            <w:textDirection w:val="lrTb"/>
            <w:noWrap w:val="false"/>
          </w:tcPr>
          <w:p>
            <w:pPr>
              <w:pStyle w:val="1111"/>
              <w:jc w:val="center"/>
            </w:pPr>
            <w:r/>
            <w:r/>
          </w:p>
        </w:tc>
        <w:tc>
          <w:tcPr>
            <w:tcW w:w="1785" w:type="dxa"/>
            <w:vAlign w:val="top"/>
            <w:textDirection w:val="lrTb"/>
            <w:noWrap w:val="false"/>
          </w:tcPr>
          <w:p>
            <w:pPr>
              <w:ind w:left="1055"/>
              <w:jc w:val="center"/>
              <w:spacing w:before="74" w:line="221" w:lineRule="auto"/>
              <w:rPr>
                <w:rFonts w:ascii="宋体" w:hAnsi="宋体" w:eastAsia="宋体" w:cs="宋体"/>
                <w:sz w:val="21"/>
                <w:szCs w:val="21"/>
              </w:rPr>
            </w:pPr>
            <w:r>
              <w:rPr>
                <w:rFonts w:ascii="宋体" w:hAnsi="宋体" w:eastAsia="宋体" w:cs="宋体"/>
                <w:spacing w:val="4"/>
                <w:sz w:val="21"/>
                <w:szCs w:val="21"/>
              </w:rPr>
              <w:t xml:space="preserve">电话</w:t>
            </w:r>
            <w:r/>
          </w:p>
        </w:tc>
        <w:tc>
          <w:tcPr>
            <w:tcW w:w="2790" w:type="dxa"/>
            <w:vAlign w:val="top"/>
            <w:textDirection w:val="lrTb"/>
            <w:noWrap w:val="false"/>
          </w:tcPr>
          <w:p>
            <w:pPr>
              <w:pStyle w:val="1111"/>
              <w:jc w:val="center"/>
            </w:pPr>
            <w:r/>
            <w:r/>
          </w:p>
        </w:tc>
      </w:tr>
      <w:tr>
        <w:trPr>
          <w:trHeight w:val="360"/>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82" w:line="219" w:lineRule="auto"/>
              <w:rPr>
                <w:rFonts w:ascii="宋体" w:hAnsi="宋体" w:eastAsia="宋体" w:cs="宋体"/>
                <w:sz w:val="21"/>
                <w:szCs w:val="21"/>
              </w:rPr>
            </w:pPr>
            <w:r>
              <w:rPr>
                <w:rFonts w:ascii="宋体" w:hAnsi="宋体" w:eastAsia="宋体" w:cs="宋体"/>
                <w:spacing w:val="2"/>
                <w:sz w:val="21"/>
                <w:szCs w:val="21"/>
              </w:rPr>
              <w:t xml:space="preserve">邮政编码</w:t>
            </w:r>
            <w:r/>
          </w:p>
        </w:tc>
        <w:tc>
          <w:tcPr>
            <w:tcW w:w="1395" w:type="dxa"/>
            <w:vAlign w:val="top"/>
            <w:textDirection w:val="lrTb"/>
            <w:noWrap w:val="false"/>
          </w:tcPr>
          <w:p>
            <w:pPr>
              <w:pStyle w:val="1111"/>
              <w:jc w:val="center"/>
            </w:pPr>
            <w:r/>
            <w:r/>
          </w:p>
        </w:tc>
        <w:tc>
          <w:tcPr>
            <w:tcW w:w="1785" w:type="dxa"/>
            <w:vAlign w:val="top"/>
            <w:textDirection w:val="lrTb"/>
            <w:noWrap w:val="false"/>
          </w:tcPr>
          <w:p>
            <w:pPr>
              <w:ind w:left="1056"/>
              <w:jc w:val="center"/>
              <w:spacing w:before="81" w:line="219" w:lineRule="auto"/>
              <w:rPr>
                <w:rFonts w:ascii="宋体" w:hAnsi="宋体" w:eastAsia="宋体" w:cs="宋体"/>
                <w:sz w:val="21"/>
                <w:szCs w:val="21"/>
              </w:rPr>
            </w:pPr>
            <w:r>
              <w:rPr>
                <w:rFonts w:ascii="宋体" w:hAnsi="宋体" w:eastAsia="宋体" w:cs="宋体"/>
                <w:spacing w:val="-2"/>
                <w:sz w:val="21"/>
                <w:szCs w:val="21"/>
              </w:rPr>
              <w:t xml:space="preserve">传真</w:t>
            </w:r>
            <w:r/>
          </w:p>
        </w:tc>
        <w:tc>
          <w:tcPr>
            <w:tcW w:w="2790" w:type="dxa"/>
            <w:vAlign w:val="top"/>
            <w:textDirection w:val="lrTb"/>
            <w:noWrap w:val="false"/>
          </w:tcPr>
          <w:p>
            <w:pPr>
              <w:pStyle w:val="1111"/>
              <w:jc w:val="center"/>
            </w:pPr>
            <w:r/>
            <w:r/>
          </w:p>
        </w:tc>
      </w:tr>
      <w:tr>
        <w:trPr>
          <w:trHeight w:val="350"/>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73" w:line="220" w:lineRule="auto"/>
              <w:rPr>
                <w:rFonts w:ascii="宋体" w:hAnsi="宋体" w:eastAsia="宋体" w:cs="宋体"/>
                <w:sz w:val="21"/>
                <w:szCs w:val="21"/>
              </w:rPr>
            </w:pPr>
            <w:r>
              <w:rPr>
                <w:rFonts w:ascii="宋体" w:hAnsi="宋体" w:eastAsia="宋体" w:cs="宋体"/>
                <w:spacing w:val="-2"/>
                <w:sz w:val="21"/>
                <w:szCs w:val="21"/>
              </w:rPr>
              <w:t xml:space="preserve">开户银行</w:t>
            </w:r>
            <w:r/>
          </w:p>
        </w:tc>
        <w:tc>
          <w:tcPr>
            <w:gridSpan w:val="3"/>
            <w:tcW w:w="5970" w:type="dxa"/>
            <w:vAlign w:val="top"/>
            <w:textDirection w:val="lrTb"/>
            <w:noWrap w:val="false"/>
          </w:tcPr>
          <w:p>
            <w:pPr>
              <w:pStyle w:val="1111"/>
              <w:jc w:val="center"/>
            </w:pPr>
            <w:r/>
            <w:r/>
          </w:p>
        </w:tc>
      </w:tr>
      <w:tr>
        <w:trPr>
          <w:trHeight w:val="339"/>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73" w:line="220" w:lineRule="auto"/>
              <w:rPr>
                <w:rFonts w:ascii="宋体" w:hAnsi="宋体" w:eastAsia="宋体" w:cs="宋体"/>
                <w:sz w:val="21"/>
                <w:szCs w:val="21"/>
              </w:rPr>
            </w:pPr>
            <w:r>
              <w:rPr>
                <w:rFonts w:ascii="宋体" w:hAnsi="宋体" w:eastAsia="宋体" w:cs="宋体"/>
                <w:spacing w:val="-2"/>
                <w:sz w:val="21"/>
                <w:szCs w:val="21"/>
              </w:rPr>
              <w:t xml:space="preserve">开户名称</w:t>
            </w:r>
            <w:r/>
          </w:p>
        </w:tc>
        <w:tc>
          <w:tcPr>
            <w:gridSpan w:val="3"/>
            <w:tcW w:w="5970" w:type="dxa"/>
            <w:vAlign w:val="top"/>
            <w:textDirection w:val="lrTb"/>
            <w:noWrap w:val="false"/>
          </w:tcPr>
          <w:p>
            <w:pPr>
              <w:pStyle w:val="1111"/>
              <w:jc w:val="center"/>
            </w:pPr>
            <w:r/>
            <w:r/>
          </w:p>
        </w:tc>
      </w:tr>
      <w:tr>
        <w:trPr>
          <w:trHeight w:val="350"/>
        </w:trPr>
        <w:tc>
          <w:tcPr>
            <w:tcBorders>
              <w:top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74" w:line="220" w:lineRule="auto"/>
              <w:rPr>
                <w:rFonts w:ascii="宋体" w:hAnsi="宋体" w:eastAsia="宋体" w:cs="宋体"/>
                <w:sz w:val="21"/>
                <w:szCs w:val="21"/>
              </w:rPr>
            </w:pPr>
            <w:r>
              <w:rPr>
                <w:rFonts w:ascii="宋体" w:hAnsi="宋体" w:eastAsia="宋体" w:cs="宋体"/>
                <w:spacing w:val="3"/>
                <w:sz w:val="21"/>
                <w:szCs w:val="21"/>
              </w:rPr>
              <w:t xml:space="preserve">开户账号</w:t>
            </w:r>
            <w:r/>
          </w:p>
        </w:tc>
        <w:tc>
          <w:tcPr>
            <w:gridSpan w:val="3"/>
            <w:tcW w:w="5970" w:type="dxa"/>
            <w:vAlign w:val="top"/>
            <w:textDirection w:val="lrTb"/>
            <w:noWrap w:val="false"/>
          </w:tcPr>
          <w:p>
            <w:pPr>
              <w:pStyle w:val="1111"/>
              <w:jc w:val="center"/>
            </w:pPr>
            <w:r/>
            <w:r/>
          </w:p>
        </w:tc>
      </w:tr>
      <w:tr>
        <w:trPr>
          <w:trHeight w:val="360"/>
        </w:trPr>
        <w:tc>
          <w:tcPr>
            <w:tcBorders>
              <w:bottom w:val="none" w:color="000000" w:sz="4" w:space="0"/>
            </w:tcBorders>
            <w:tcW w:w="1695" w:type="dxa"/>
            <w:vAlign w:val="top"/>
            <w:vMerge w:val="restart"/>
            <w:textDirection w:val="lrTb"/>
            <w:noWrap w:val="false"/>
          </w:tcPr>
          <w:p>
            <w:pPr>
              <w:pStyle w:val="1111"/>
              <w:spacing w:line="267" w:lineRule="auto"/>
            </w:pPr>
            <w:r/>
            <w:r/>
          </w:p>
          <w:p>
            <w:pPr>
              <w:pStyle w:val="1111"/>
              <w:spacing w:line="268" w:lineRule="auto"/>
            </w:pPr>
            <w:r/>
            <w:r/>
          </w:p>
          <w:p>
            <w:pPr>
              <w:pStyle w:val="1111"/>
              <w:spacing w:line="268" w:lineRule="auto"/>
            </w:pPr>
            <w:r/>
            <w:r/>
          </w:p>
          <w:p>
            <w:pPr>
              <w:pStyle w:val="1111"/>
              <w:spacing w:line="268" w:lineRule="auto"/>
            </w:pPr>
            <w:r/>
            <w:r/>
          </w:p>
          <w:p>
            <w:pPr>
              <w:pStyle w:val="1111"/>
              <w:spacing w:line="268" w:lineRule="auto"/>
            </w:pPr>
            <w:r/>
            <w:r/>
          </w:p>
          <w:p>
            <w:pPr>
              <w:ind w:left="264" w:right="159" w:hanging="149"/>
              <w:spacing w:before="1" w:line="206" w:lineRule="auto"/>
              <w:rPr>
                <w:rFonts w:ascii="宋体" w:hAnsi="宋体" w:eastAsia="宋体" w:cs="宋体"/>
                <w:sz w:val="21"/>
                <w:szCs w:val="21"/>
              </w:rPr>
            </w:pPr>
            <w:r>
              <w:rPr>
                <w:rFonts w:hint="eastAsia" w:ascii="宋体" w:hAnsi="宋体" w:eastAsia="宋体" w:cs="宋体"/>
                <w:spacing w:val="5"/>
                <w:sz w:val="21"/>
                <w:szCs w:val="21"/>
                <w:lang w:val="en-US" w:eastAsia="zh-CN"/>
              </w:rPr>
              <w:t xml:space="preserve">受托</w:t>
            </w:r>
            <w:r>
              <w:rPr>
                <w:rFonts w:ascii="宋体" w:hAnsi="宋体" w:eastAsia="宋体" w:cs="宋体"/>
                <w:spacing w:val="5"/>
                <w:sz w:val="21"/>
                <w:szCs w:val="21"/>
              </w:rPr>
              <w:t xml:space="preserve">方(</w:t>
            </w:r>
            <w:r>
              <w:rPr>
                <w:rFonts w:hint="eastAsia" w:ascii="宋体" w:hAnsi="宋体" w:eastAsia="宋体" w:cs="宋体"/>
                <w:spacing w:val="5"/>
                <w:sz w:val="21"/>
                <w:szCs w:val="21"/>
                <w:lang w:val="en-US" w:eastAsia="zh-CN"/>
              </w:rPr>
              <w:t xml:space="preserve">乙方）</w:t>
            </w:r>
            <w:r>
              <w:rPr>
                <w:rFonts w:ascii="宋体" w:hAnsi="宋体" w:eastAsia="宋体" w:cs="宋体"/>
                <w:spacing w:val="4"/>
                <w:sz w:val="21"/>
                <w:szCs w:val="21"/>
              </w:rPr>
              <w:t xml:space="preserve">(</w:t>
            </w:r>
            <w:r>
              <w:rPr>
                <w:rFonts w:hint="eastAsia" w:ascii="宋体" w:hAnsi="宋体" w:eastAsia="宋体" w:cs="宋体"/>
                <w:spacing w:val="4"/>
                <w:sz w:val="21"/>
                <w:szCs w:val="21"/>
                <w:lang w:val="en-US" w:eastAsia="zh-CN"/>
              </w:rPr>
              <w:t xml:space="preserve">联合体成员</w:t>
            </w:r>
            <w:r>
              <w:rPr>
                <w:rFonts w:ascii="宋体" w:hAnsi="宋体" w:eastAsia="宋体" w:cs="宋体"/>
                <w:spacing w:val="10"/>
                <w:sz w:val="21"/>
                <w:szCs w:val="21"/>
              </w:rPr>
              <w:t xml:space="preserve">)</w:t>
            </w:r>
            <w:r/>
          </w:p>
        </w:tc>
        <w:tc>
          <w:tcPr>
            <w:tcW w:w="2325" w:type="dxa"/>
            <w:vAlign w:val="top"/>
            <w:textDirection w:val="lrTb"/>
            <w:noWrap w:val="false"/>
          </w:tcPr>
          <w:p>
            <w:pPr>
              <w:jc w:val="center"/>
              <w:spacing w:before="84" w:line="220" w:lineRule="auto"/>
              <w:rPr>
                <w:rFonts w:ascii="宋体" w:hAnsi="宋体" w:eastAsia="宋体" w:cs="宋体"/>
                <w:sz w:val="21"/>
                <w:szCs w:val="21"/>
              </w:rPr>
            </w:pPr>
            <w:r>
              <w:rPr>
                <w:rFonts w:ascii="宋体" w:hAnsi="宋体" w:eastAsia="宋体" w:cs="宋体"/>
                <w:spacing w:val="2"/>
                <w:sz w:val="21"/>
                <w:szCs w:val="21"/>
              </w:rPr>
              <w:t xml:space="preserve">单位名称</w:t>
            </w:r>
            <w:r/>
          </w:p>
        </w:tc>
        <w:tc>
          <w:tcPr>
            <w:gridSpan w:val="3"/>
            <w:tcW w:w="5970" w:type="dxa"/>
            <w:vAlign w:val="top"/>
            <w:textDirection w:val="lrTb"/>
            <w:noWrap w:val="false"/>
          </w:tcPr>
          <w:p>
            <w:pPr>
              <w:pStyle w:val="1111"/>
              <w:jc w:val="center"/>
            </w:pPr>
            <w:r/>
            <w:r/>
          </w:p>
        </w:tc>
      </w:tr>
      <w:tr>
        <w:trPr>
          <w:trHeight w:val="359"/>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82" w:line="219" w:lineRule="auto"/>
              <w:rPr>
                <w:rFonts w:ascii="宋体" w:hAnsi="宋体" w:eastAsia="宋体" w:cs="宋体"/>
                <w:sz w:val="21"/>
                <w:szCs w:val="21"/>
              </w:rPr>
            </w:pPr>
            <w:r>
              <w:rPr>
                <w:rFonts w:ascii="宋体" w:hAnsi="宋体" w:eastAsia="宋体" w:cs="宋体"/>
                <w:spacing w:val="1"/>
                <w:sz w:val="21"/>
                <w:szCs w:val="21"/>
              </w:rPr>
              <w:t xml:space="preserve">统一社会信用代码</w:t>
            </w:r>
            <w:r/>
          </w:p>
        </w:tc>
        <w:tc>
          <w:tcPr>
            <w:gridSpan w:val="3"/>
            <w:tcW w:w="5970" w:type="dxa"/>
            <w:vAlign w:val="top"/>
            <w:textDirection w:val="lrTb"/>
            <w:noWrap w:val="false"/>
          </w:tcPr>
          <w:p>
            <w:pPr>
              <w:pStyle w:val="1111"/>
              <w:jc w:val="center"/>
            </w:pPr>
            <w:r/>
            <w:r/>
          </w:p>
        </w:tc>
      </w:tr>
      <w:tr>
        <w:trPr>
          <w:trHeight w:val="360"/>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85" w:line="220" w:lineRule="auto"/>
              <w:rPr>
                <w:rFonts w:ascii="宋体" w:hAnsi="宋体" w:eastAsia="宋体" w:cs="宋体"/>
                <w:sz w:val="21"/>
                <w:szCs w:val="21"/>
              </w:rPr>
            </w:pPr>
            <w:r>
              <w:rPr>
                <w:rFonts w:ascii="宋体" w:hAnsi="宋体" w:eastAsia="宋体" w:cs="宋体"/>
                <w:spacing w:val="1"/>
                <w:sz w:val="21"/>
                <w:szCs w:val="21"/>
              </w:rPr>
              <w:t xml:space="preserve">约定送达地址</w:t>
            </w:r>
            <w:r/>
          </w:p>
        </w:tc>
        <w:tc>
          <w:tcPr>
            <w:gridSpan w:val="3"/>
            <w:tcW w:w="5970" w:type="dxa"/>
            <w:vAlign w:val="top"/>
            <w:textDirection w:val="lrTb"/>
            <w:noWrap w:val="false"/>
          </w:tcPr>
          <w:p>
            <w:pPr>
              <w:pStyle w:val="1111"/>
              <w:jc w:val="center"/>
            </w:pPr>
            <w:r/>
            <w:r/>
          </w:p>
        </w:tc>
      </w:tr>
      <w:tr>
        <w:trPr>
          <w:trHeight w:val="329"/>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64" w:line="219" w:lineRule="auto"/>
              <w:rPr>
                <w:rFonts w:ascii="宋体" w:hAnsi="宋体" w:eastAsia="宋体" w:cs="宋体"/>
                <w:sz w:val="21"/>
                <w:szCs w:val="21"/>
              </w:rPr>
            </w:pPr>
            <w:r>
              <w:rPr>
                <w:rFonts w:ascii="宋体" w:hAnsi="宋体" w:eastAsia="宋体" w:cs="宋体"/>
                <w:spacing w:val="-2"/>
                <w:sz w:val="21"/>
                <w:szCs w:val="21"/>
              </w:rPr>
              <w:t xml:space="preserve">法定代表人</w:t>
            </w:r>
            <w:r/>
          </w:p>
        </w:tc>
        <w:tc>
          <w:tcPr>
            <w:tcW w:w="1395" w:type="dxa"/>
            <w:vAlign w:val="top"/>
            <w:textDirection w:val="lrTb"/>
            <w:noWrap w:val="false"/>
          </w:tcPr>
          <w:p>
            <w:pPr>
              <w:pStyle w:val="1111"/>
              <w:jc w:val="center"/>
            </w:pPr>
            <w:r/>
            <w:r/>
          </w:p>
        </w:tc>
        <w:tc>
          <w:tcPr>
            <w:tcW w:w="1785" w:type="dxa"/>
            <w:vAlign w:val="top"/>
            <w:textDirection w:val="lrTb"/>
            <w:noWrap w:val="false"/>
          </w:tcPr>
          <w:p>
            <w:pPr>
              <w:ind w:left="636"/>
              <w:jc w:val="center"/>
              <w:spacing w:before="64" w:line="219" w:lineRule="auto"/>
              <w:rPr>
                <w:rFonts w:ascii="宋体" w:hAnsi="宋体" w:eastAsia="宋体" w:cs="宋体"/>
                <w:sz w:val="21"/>
                <w:szCs w:val="21"/>
              </w:rPr>
            </w:pPr>
            <w:r>
              <w:rPr>
                <w:rFonts w:ascii="宋体" w:hAnsi="宋体" w:eastAsia="宋体" w:cs="宋体"/>
                <w:spacing w:val="-2"/>
                <w:sz w:val="21"/>
                <w:szCs w:val="21"/>
              </w:rPr>
              <w:t xml:space="preserve">授权代表</w:t>
            </w:r>
            <w:r/>
          </w:p>
        </w:tc>
        <w:tc>
          <w:tcPr>
            <w:tcW w:w="2790" w:type="dxa"/>
            <w:vAlign w:val="top"/>
            <w:textDirection w:val="lrTb"/>
            <w:noWrap w:val="false"/>
          </w:tcPr>
          <w:p>
            <w:pPr>
              <w:pStyle w:val="1111"/>
              <w:jc w:val="center"/>
            </w:pPr>
            <w:r/>
            <w:r/>
          </w:p>
        </w:tc>
      </w:tr>
      <w:tr>
        <w:trPr>
          <w:trHeight w:val="359"/>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88" w:line="221" w:lineRule="auto"/>
              <w:rPr>
                <w:rFonts w:ascii="宋体" w:hAnsi="宋体" w:eastAsia="宋体" w:cs="宋体"/>
                <w:sz w:val="21"/>
                <w:szCs w:val="21"/>
              </w:rPr>
            </w:pPr>
            <w:r>
              <w:rPr>
                <w:rFonts w:ascii="宋体" w:hAnsi="宋体" w:eastAsia="宋体" w:cs="宋体"/>
                <w:spacing w:val="-3"/>
                <w:sz w:val="21"/>
                <w:szCs w:val="21"/>
              </w:rPr>
              <w:t xml:space="preserve">联系人</w:t>
            </w:r>
            <w:r/>
          </w:p>
        </w:tc>
        <w:tc>
          <w:tcPr>
            <w:tcW w:w="1395" w:type="dxa"/>
            <w:vAlign w:val="top"/>
            <w:textDirection w:val="lrTb"/>
            <w:noWrap w:val="false"/>
          </w:tcPr>
          <w:p>
            <w:pPr>
              <w:pStyle w:val="1111"/>
              <w:jc w:val="center"/>
            </w:pPr>
            <w:r/>
            <w:r/>
          </w:p>
        </w:tc>
        <w:tc>
          <w:tcPr>
            <w:tcW w:w="1785" w:type="dxa"/>
            <w:vAlign w:val="top"/>
            <w:textDirection w:val="lrTb"/>
            <w:noWrap w:val="false"/>
          </w:tcPr>
          <w:p>
            <w:pPr>
              <w:ind w:left="1055"/>
              <w:jc w:val="center"/>
              <w:spacing w:before="88" w:line="221" w:lineRule="auto"/>
              <w:rPr>
                <w:rFonts w:ascii="宋体" w:hAnsi="宋体" w:eastAsia="宋体" w:cs="宋体"/>
                <w:sz w:val="21"/>
                <w:szCs w:val="21"/>
              </w:rPr>
            </w:pPr>
            <w:r>
              <w:rPr>
                <w:rFonts w:ascii="宋体" w:hAnsi="宋体" w:eastAsia="宋体" w:cs="宋体"/>
                <w:spacing w:val="4"/>
                <w:sz w:val="21"/>
                <w:szCs w:val="21"/>
              </w:rPr>
              <w:t xml:space="preserve">电话</w:t>
            </w:r>
            <w:r/>
          </w:p>
        </w:tc>
        <w:tc>
          <w:tcPr>
            <w:tcW w:w="2790" w:type="dxa"/>
            <w:vAlign w:val="top"/>
            <w:textDirection w:val="lrTb"/>
            <w:noWrap w:val="false"/>
          </w:tcPr>
          <w:p>
            <w:pPr>
              <w:pStyle w:val="1111"/>
              <w:jc w:val="center"/>
            </w:pPr>
            <w:r/>
            <w:r/>
          </w:p>
        </w:tc>
      </w:tr>
      <w:tr>
        <w:trPr>
          <w:trHeight w:val="340"/>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76" w:line="219" w:lineRule="auto"/>
              <w:rPr>
                <w:rFonts w:ascii="宋体" w:hAnsi="宋体" w:eastAsia="宋体" w:cs="宋体"/>
                <w:sz w:val="21"/>
                <w:szCs w:val="21"/>
              </w:rPr>
            </w:pPr>
            <w:r>
              <w:rPr>
                <w:rFonts w:ascii="宋体" w:hAnsi="宋体" w:eastAsia="宋体" w:cs="宋体"/>
                <w:spacing w:val="2"/>
                <w:sz w:val="21"/>
                <w:szCs w:val="21"/>
              </w:rPr>
              <w:t xml:space="preserve">邮政编码</w:t>
            </w:r>
            <w:r/>
          </w:p>
        </w:tc>
        <w:tc>
          <w:tcPr>
            <w:tcW w:w="1395" w:type="dxa"/>
            <w:vAlign w:val="top"/>
            <w:textDirection w:val="lrTb"/>
            <w:noWrap w:val="false"/>
          </w:tcPr>
          <w:p>
            <w:pPr>
              <w:pStyle w:val="1111"/>
              <w:jc w:val="center"/>
            </w:pPr>
            <w:r/>
            <w:r/>
          </w:p>
        </w:tc>
        <w:tc>
          <w:tcPr>
            <w:tcW w:w="1785" w:type="dxa"/>
            <w:vAlign w:val="top"/>
            <w:textDirection w:val="lrTb"/>
            <w:noWrap w:val="false"/>
          </w:tcPr>
          <w:p>
            <w:pPr>
              <w:ind w:left="1056"/>
              <w:jc w:val="center"/>
              <w:spacing w:before="75" w:line="219" w:lineRule="auto"/>
              <w:rPr>
                <w:rFonts w:ascii="宋体" w:hAnsi="宋体" w:eastAsia="宋体" w:cs="宋体"/>
                <w:sz w:val="21"/>
                <w:szCs w:val="21"/>
              </w:rPr>
            </w:pPr>
            <w:r>
              <w:rPr>
                <w:rFonts w:ascii="宋体" w:hAnsi="宋体" w:eastAsia="宋体" w:cs="宋体"/>
                <w:spacing w:val="-2"/>
                <w:sz w:val="21"/>
                <w:szCs w:val="21"/>
              </w:rPr>
              <w:t xml:space="preserve">传真</w:t>
            </w:r>
            <w:r/>
          </w:p>
        </w:tc>
        <w:tc>
          <w:tcPr>
            <w:tcW w:w="2790" w:type="dxa"/>
            <w:vAlign w:val="top"/>
            <w:textDirection w:val="lrTb"/>
            <w:noWrap w:val="false"/>
          </w:tcPr>
          <w:p>
            <w:pPr>
              <w:pStyle w:val="1111"/>
              <w:jc w:val="center"/>
            </w:pPr>
            <w:r/>
            <w:r/>
          </w:p>
        </w:tc>
      </w:tr>
      <w:tr>
        <w:trPr>
          <w:trHeight w:val="359"/>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87" w:line="220" w:lineRule="auto"/>
              <w:rPr>
                <w:rFonts w:ascii="宋体" w:hAnsi="宋体" w:eastAsia="宋体" w:cs="宋体"/>
                <w:sz w:val="21"/>
                <w:szCs w:val="21"/>
              </w:rPr>
            </w:pPr>
            <w:r>
              <w:rPr>
                <w:rFonts w:ascii="宋体" w:hAnsi="宋体" w:eastAsia="宋体" w:cs="宋体"/>
                <w:spacing w:val="-2"/>
                <w:sz w:val="21"/>
                <w:szCs w:val="21"/>
              </w:rPr>
              <w:t xml:space="preserve">开户银行</w:t>
            </w:r>
            <w:r/>
          </w:p>
        </w:tc>
        <w:tc>
          <w:tcPr>
            <w:gridSpan w:val="3"/>
            <w:tcW w:w="5970" w:type="dxa"/>
            <w:vAlign w:val="top"/>
            <w:textDirection w:val="lrTb"/>
            <w:noWrap w:val="false"/>
          </w:tcPr>
          <w:p>
            <w:pPr>
              <w:pStyle w:val="1111"/>
              <w:jc w:val="center"/>
            </w:pPr>
            <w:r/>
            <w:r/>
          </w:p>
        </w:tc>
      </w:tr>
      <w:tr>
        <w:trPr>
          <w:trHeight w:val="360"/>
        </w:trPr>
        <w:tc>
          <w:tcPr>
            <w:tcBorders>
              <w:top w:val="none" w:color="000000" w:sz="4" w:space="0"/>
              <w:bottom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88" w:line="220" w:lineRule="auto"/>
              <w:rPr>
                <w:rFonts w:ascii="宋体" w:hAnsi="宋体" w:eastAsia="宋体" w:cs="宋体"/>
                <w:sz w:val="21"/>
                <w:szCs w:val="21"/>
              </w:rPr>
            </w:pPr>
            <w:r>
              <w:rPr>
                <w:rFonts w:ascii="宋体" w:hAnsi="宋体" w:eastAsia="宋体" w:cs="宋体"/>
                <w:spacing w:val="-2"/>
                <w:sz w:val="21"/>
                <w:szCs w:val="21"/>
              </w:rPr>
              <w:t xml:space="preserve">开户名称</w:t>
            </w:r>
            <w:r/>
          </w:p>
        </w:tc>
        <w:tc>
          <w:tcPr>
            <w:gridSpan w:val="3"/>
            <w:tcW w:w="5970" w:type="dxa"/>
            <w:vAlign w:val="top"/>
            <w:textDirection w:val="lrTb"/>
            <w:noWrap w:val="false"/>
          </w:tcPr>
          <w:p>
            <w:pPr>
              <w:pStyle w:val="1111"/>
              <w:jc w:val="center"/>
            </w:pPr>
            <w:r/>
            <w:r/>
          </w:p>
        </w:tc>
      </w:tr>
      <w:tr>
        <w:trPr>
          <w:trHeight w:val="354"/>
        </w:trPr>
        <w:tc>
          <w:tcPr>
            <w:tcBorders>
              <w:top w:val="none" w:color="000000" w:sz="4" w:space="0"/>
            </w:tcBorders>
            <w:tcW w:w="1695" w:type="dxa"/>
            <w:vAlign w:val="top"/>
            <w:vMerge w:val="continue"/>
            <w:textDirection w:val="lrTb"/>
            <w:noWrap w:val="false"/>
          </w:tcPr>
          <w:p>
            <w:pPr>
              <w:pStyle w:val="1111"/>
            </w:pPr>
            <w:r/>
            <w:r/>
          </w:p>
        </w:tc>
        <w:tc>
          <w:tcPr>
            <w:tcW w:w="2325" w:type="dxa"/>
            <w:vAlign w:val="top"/>
            <w:textDirection w:val="lrTb"/>
            <w:noWrap w:val="false"/>
          </w:tcPr>
          <w:p>
            <w:pPr>
              <w:jc w:val="center"/>
              <w:spacing w:before="78" w:line="220" w:lineRule="auto"/>
              <w:rPr>
                <w:rFonts w:ascii="宋体" w:hAnsi="宋体" w:eastAsia="宋体" w:cs="宋体"/>
                <w:sz w:val="21"/>
                <w:szCs w:val="21"/>
              </w:rPr>
            </w:pPr>
            <w:r>
              <w:rPr>
                <w:rFonts w:ascii="宋体" w:hAnsi="宋体" w:eastAsia="宋体" w:cs="宋体"/>
                <w:spacing w:val="3"/>
                <w:sz w:val="21"/>
                <w:szCs w:val="21"/>
              </w:rPr>
              <w:t xml:space="preserve">开户账号</w:t>
            </w:r>
            <w:r/>
          </w:p>
        </w:tc>
        <w:tc>
          <w:tcPr>
            <w:gridSpan w:val="3"/>
            <w:tcW w:w="5970" w:type="dxa"/>
            <w:vAlign w:val="top"/>
            <w:textDirection w:val="lrTb"/>
            <w:noWrap w:val="false"/>
          </w:tcPr>
          <w:p>
            <w:pPr>
              <w:pStyle w:val="1111"/>
              <w:jc w:val="center"/>
            </w:pPr>
            <w:r/>
            <w:r/>
          </w:p>
        </w:tc>
      </w:tr>
    </w:tbl>
    <w:p>
      <w:pPr>
        <w:spacing w:line="404" w:lineRule="auto"/>
        <w:rPr>
          <w:rFonts w:ascii="Arial"/>
          <w:sz w:val="21"/>
        </w:rPr>
      </w:pPr>
      <w:r>
        <w:rPr>
          <w:rFonts w:ascii="Arial"/>
          <w:sz w:val="21"/>
        </w:rPr>
      </w:r>
      <w:r/>
    </w:p>
    <w:p>
      <w:pPr>
        <w:spacing w:line="218" w:lineRule="exact"/>
        <w:rPr>
          <w:rFonts w:ascii="Arial"/>
          <w:sz w:val="19"/>
        </w:rPr>
      </w:pPr>
      <w:r>
        <w:rPr>
          <w:rFonts w:ascii="Arial"/>
          <w:sz w:val="19"/>
        </w:rPr>
      </w:r>
      <w:r/>
    </w:p>
    <w:p>
      <w:pPr>
        <w:spacing w:line="218" w:lineRule="exact"/>
        <w:rPr>
          <w:rFonts w:ascii="Arial" w:hAnsi="Arial" w:eastAsia="Arial" w:cs="Arial"/>
          <w:sz w:val="19"/>
          <w:szCs w:val="19"/>
        </w:rPr>
        <w:sectPr>
          <w:footerReference w:type="default" r:id="rId13"/>
          <w:footnotePr/>
          <w:endnotePr/>
          <w:type w:val="nextPage"/>
          <w:pgSz w:w="11900" w:h="16830" w:orient="portrait"/>
          <w:pgMar w:top="1440" w:right="1800" w:bottom="1440" w:left="1800" w:header="0" w:footer="1084" w:gutter="0"/>
          <w:cols w:num="1" w:sep="0" w:space="720" w:equalWidth="1"/>
          <w:docGrid w:linePitch="360"/>
        </w:sectPr>
      </w:pPr>
      <w:r>
        <w:rPr>
          <w:rFonts w:ascii="Arial" w:hAnsi="Arial" w:eastAsia="Arial" w:cs="Arial"/>
          <w:sz w:val="19"/>
          <w:szCs w:val="19"/>
        </w:rPr>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日 ，</w:t>
      </w:r>
      <w:r>
        <w:rPr>
          <w:rFonts w:hint="eastAsia" w:ascii="宋体" w:hAnsi="宋体" w:cs="宋体"/>
          <w:color w:val="000000"/>
          <w:sz w:val="24"/>
          <w:u w:val="single"/>
        </w:rPr>
        <w:t xml:space="preserve">扬州市邗江区机关事务管理局</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以</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公开招标</w:t>
      </w:r>
      <w:r>
        <w:rPr>
          <w:rFonts w:hint="eastAsia" w:ascii="宋体" w:hAnsi="宋体" w:cs="宋体"/>
          <w:color w:val="000000"/>
          <w:sz w:val="24"/>
          <w:u w:val="single"/>
        </w:rPr>
        <w:t xml:space="preserve">招标采购方式 </w:t>
      </w:r>
      <w:r>
        <w:rPr>
          <w:rFonts w:hint="eastAsia" w:ascii="宋体" w:hAnsi="宋体" w:cs="宋体"/>
          <w:color w:val="000000"/>
          <w:sz w:val="24"/>
        </w:rPr>
        <w:t xml:space="preserve">对</w:t>
      </w:r>
      <w:r>
        <w:rPr>
          <w:rFonts w:hint="eastAsia" w:ascii="宋体" w:hAnsi="宋体" w:cs="宋体"/>
          <w:color w:val="000000"/>
          <w:sz w:val="24"/>
          <w:u w:val="single"/>
        </w:rPr>
        <w:t xml:space="preserve"> </w:t>
      </w:r>
      <w:r>
        <w:rPr>
          <w:rFonts w:hint="eastAsia" w:ascii="宋体" w:hAnsi="宋体" w:cs="宋体"/>
          <w:color w:val="000000"/>
          <w:sz w:val="24"/>
          <w:u w:val="single"/>
          <w:lang w:eastAsia="zh-CN"/>
        </w:rPr>
        <w:t xml:space="preserve">扬州市邗江区机关事务管理局全区公共机构能源费用托管项目</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进行了采购。经评标委员会评审，</w:t>
      </w:r>
      <w:r>
        <w:rPr>
          <w:rFonts w:hint="eastAsia" w:ascii="宋体" w:hAnsi="宋体" w:cs="宋体"/>
          <w:color w:val="000000"/>
          <w:sz w:val="24"/>
          <w:u w:val="single"/>
        </w:rPr>
        <w:t xml:space="preserve">扬州市邗江区机关事务管理局</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确定</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(联合体牵头人)、</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(联合体成员单位)、</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(联合体成员单位)为该项目中标供应商。现于中标通知书发出之日起三十日内，按照采购文件确定的事项签订本合同。</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根据《中华人民共和国民法典》、《中华人民共和国政府采购法》等相关法律法规之规定.按照平等、自愿、公平和诚 实信用的原则，经</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扬州市邗江区机关事务管理局</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(以下简称：甲方 )和</w:t>
      </w:r>
      <w:r>
        <w:rPr>
          <w:rFonts w:hint="eastAsia" w:ascii="宋体" w:hAnsi="宋体" w:cs="宋体"/>
          <w:color w:val="000000"/>
          <w:sz w:val="24"/>
          <w:lang w:val="en-US" w:eastAsia="zh-CN"/>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(联合体牵头人)、</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(联合体成员单位)、</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(联合体成员单位)(以下简称：乙方) 协商一致，约定以下合同条款，以兹共同遵守、全面履行。</w:t>
      </w:r>
      <w:r/>
    </w:p>
    <w:p>
      <w:pPr>
        <w:ind w:firstLine="482"/>
        <w:rPr>
          <w:rFonts w:hint="eastAsia"/>
          <w:b/>
          <w:bCs/>
          <w:sz w:val="24"/>
          <w:szCs w:val="24"/>
        </w:rPr>
      </w:pPr>
      <w:r>
        <w:rPr>
          <w:rFonts w:hint="eastAsia"/>
          <w:b/>
          <w:bCs/>
          <w:sz w:val="24"/>
          <w:szCs w:val="24"/>
        </w:rPr>
        <w:t xml:space="preserve">1、术语和定义</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双方确定，本合同及相关附件中所涉及的有关名词和技术术语，其定义和解释如下：</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1.1合同能源管理：指甲乙双方以契约形式约定项目节能目标，乙方为实现节能目标向甲方提供服务，甲方以合同约定的节能效益、节能服务费或能源托管费支付乙方的投入及合理利润的节能服务机制。</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1.2能源费用托管：指用能单位委托节能服务公司，进行电、气、煤、油、市政热力、水等能源资源系统的运行、管理、维护和改造，用能单位将根据能源基准确定的费用支付给节能服务公司作为托管费用，节能服务公司通过科学的管理运行和节能技术的应用达到节约能源资源、减少费用支出等目的，获取合理的利润的一种合同能源管理形式。</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1.3 能源托管费用：指甲乙双方签订能源费用托管项目合同后，甲方支付给乙方的能源托管款项。本合同能源托管费用 可包括：□电费、□蒸汽费、□燃气费、□水费、□运维费。</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1.4 能源托管期：指乙方向甲方提供能源费用托管服务，甲方向乙方支付能源托管费用的期限。</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1.5节能设备：指本项目下所有由乙方采购并安装的设备、没施和仪器等设备财产。</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1.6甲方现有设备：指与项目建设或运行相关的，甲方自有的除乙方节能设备之外的其他所有设备设施及仪器等财产。</w:t>
      </w:r>
      <w:r/>
    </w:p>
    <w:p>
      <w:pPr>
        <w:ind w:firstLine="482"/>
        <w:rPr>
          <w:rFonts w:hint="eastAsia"/>
          <w:b/>
          <w:bCs/>
          <w:sz w:val="24"/>
          <w:szCs w:val="24"/>
        </w:rPr>
      </w:pPr>
      <w:r>
        <w:rPr>
          <w:rFonts w:hint="eastAsia"/>
          <w:b/>
          <w:bCs/>
          <w:sz w:val="24"/>
          <w:szCs w:val="24"/>
        </w:rPr>
        <w:t xml:space="preserve">2、合同组成部分</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下列文件为本合同的组成部分，并构成一个整体，需综合解释、相互补充。如果下列文件内容出现不一致的情形，那么在保证按照采购文件确定的事项的前提下，组成本合同的多个 文件的优先适用顺序如下：</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2.1 本合同及其补充合同、变更协议；</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2.2  中标通知书；</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2.3  投标文件(含澄清或者说明文件);</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2.4招标文件(含澄清或者修改文件);</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2.5其他相关采购纹件。</w:t>
      </w:r>
      <w:r/>
    </w:p>
    <w:p>
      <w:pPr>
        <w:ind w:firstLine="482"/>
        <w:rPr>
          <w:rFonts w:hint="eastAsia"/>
          <w:b/>
          <w:bCs/>
          <w:sz w:val="24"/>
          <w:szCs w:val="24"/>
        </w:rPr>
      </w:pPr>
      <w:r>
        <w:rPr>
          <w:rFonts w:hint="eastAsia"/>
          <w:b/>
          <w:bCs/>
          <w:sz w:val="24"/>
          <w:szCs w:val="24"/>
        </w:rPr>
        <w:t xml:space="preserve">3、标的</w:t>
      </w:r>
      <w:r/>
    </w:p>
    <w:p>
      <w:pPr>
        <w:ind w:firstLine="480"/>
        <w:spacing w:line="400" w:lineRule="atLeast"/>
        <w:rPr>
          <w:rFonts w:hint="eastAsia"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3.1 标的名称：</w:t>
      </w:r>
      <w:r>
        <w:rPr>
          <w:rFonts w:hint="eastAsia" w:ascii="宋体" w:hAnsi="宋体" w:cs="宋体"/>
          <w:color w:val="000000"/>
          <w:sz w:val="24"/>
          <w:u w:val="single"/>
          <w:lang w:val="en-US" w:eastAsia="zh-CN"/>
        </w:rPr>
        <w:t xml:space="preserve">扬州市邗江区机关事务管理局全区公共机构能源费用托管项目 ；</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3.2 标的数量： </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 ；</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托管任务具体包括：全区公共机构能源管理“一张网”平台建设、各公共机构现场能源管理计量系统与能源控制系统建设、对公共机构进行节能改造、对公共机构开展精细化能源运维管理、建设节能示范项目  个、完成省级示范项目验收工作。</w:t>
      </w:r>
      <w:r/>
    </w:p>
    <w:p>
      <w:pPr>
        <w:ind w:firstLine="480"/>
        <w:spacing w:line="400" w:lineRule="atLeast"/>
        <w:rPr>
          <w:rFonts w:hint="eastAsia"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3.3 标的质量：(1)</w:t>
      </w:r>
      <w:r>
        <w:rPr>
          <w:rFonts w:hint="eastAsia" w:ascii="宋体" w:hAnsi="宋体" w:cs="宋体"/>
          <w:color w:val="000000"/>
          <w:sz w:val="24"/>
          <w:u w:val="single"/>
          <w:lang w:val="en-US" w:eastAsia="zh-CN"/>
        </w:rPr>
        <w:t xml:space="preserve">  实施范围内的公共机构预期实现年度综合节能率6%（含）以上，节能改造设备其能效标准均须达到二级及以上水平。 </w:t>
      </w:r>
      <w:r>
        <w:rPr>
          <w:rFonts w:hint="eastAsia" w:ascii="宋体" w:hAnsi="宋体" w:cs="宋体"/>
          <w:color w:val="000000"/>
          <w:sz w:val="24"/>
          <w:u w:val="none"/>
          <w:lang w:val="en-US" w:eastAsia="zh-CN"/>
        </w:rPr>
        <w:t xml:space="preserve">考核结算方式从次年的托管费用中扣除，结算时间为次年</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月份前。</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(2)乙方应按照合同约定完成所有建设内容，并协助甲方完成省级示范项目验收的所有技术工作，包括：验收报告的编制，一张网平台的技术规范书、节能技改通用规范书、公共机构能源托管运营标准、试运行期运行测试报告、示范项目建设与总结报告、整区(县)托管模式经验总结等。</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(3)乙方应为公共机构提供良好技术服务和运维服务，保障设备系统安全运行，保障公共机构正常的室内环境水平和使用条件。</w:t>
      </w:r>
      <w:r/>
    </w:p>
    <w:p>
      <w:pPr>
        <w:pStyle w:val="803"/>
        <w:ind w:firstLine="358"/>
        <w:jc w:val="both"/>
        <w:spacing w:before="5" w:line="360" w:lineRule="auto"/>
        <w:rPr>
          <w:rFonts w:hint="eastAsia" w:ascii="宋体" w:hAnsi="宋体" w:eastAsia="宋体" w:cs="宋体"/>
          <w:b/>
          <w:bCs/>
          <w:spacing w:val="-31"/>
          <w:sz w:val="24"/>
          <w:szCs w:val="24"/>
          <w:highlight w:val="none"/>
        </w:rPr>
      </w:pPr>
      <w:r>
        <w:rPr>
          <w:rFonts w:hint="eastAsia" w:ascii="宋体" w:hAnsi="宋体" w:eastAsia="宋体" w:cs="宋体"/>
          <w:b/>
          <w:bCs/>
          <w:spacing w:val="-31"/>
          <w:sz w:val="24"/>
          <w:szCs w:val="24"/>
          <w:highlight w:val="none"/>
        </w:rPr>
        <w:t xml:space="preserve">4、价 款</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本合同总价为：¥ </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万元(人民币大写：</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万元整 ),此价格仅为暂估价。</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分项价格：</w:t>
      </w:r>
      <w:r/>
    </w:p>
    <w:tbl>
      <w:tblPr>
        <w:tblStyle w:val="1112"/>
        <w:tblW w:w="8879" w:type="dxa"/>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3"/>
        <w:gridCol w:w="4586"/>
        <w:gridCol w:w="3390"/>
      </w:tblGrid>
      <w:tr>
        <w:trPr>
          <w:trHeight w:val="443"/>
        </w:trPr>
        <w:tc>
          <w:tcPr>
            <w:tcW w:w="903" w:type="dxa"/>
            <w:vAlign w:val="top"/>
            <w:textDirection w:val="lrTb"/>
            <w:noWrap w:val="false"/>
          </w:tcPr>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序号</w:t>
            </w:r>
            <w:r/>
          </w:p>
        </w:tc>
        <w:tc>
          <w:tcPr>
            <w:tcW w:w="4586" w:type="dxa"/>
            <w:vAlign w:val="top"/>
            <w:textDirection w:val="lrTb"/>
            <w:noWrap w:val="false"/>
          </w:tcPr>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分项名称</w:t>
            </w:r>
            <w:r/>
          </w:p>
        </w:tc>
        <w:tc>
          <w:tcPr>
            <w:tcW w:w="3390" w:type="dxa"/>
            <w:vAlign w:val="top"/>
            <w:textDirection w:val="lrTb"/>
            <w:noWrap w:val="false"/>
          </w:tcPr>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分项价格</w:t>
            </w:r>
            <w:r/>
          </w:p>
        </w:tc>
      </w:tr>
      <w:tr>
        <w:trPr>
          <w:trHeight w:val="1252"/>
        </w:trPr>
        <w:tc>
          <w:tcPr>
            <w:tcBorders>
              <w:bottom w:val="none" w:color="000000" w:sz="4" w:space="0"/>
            </w:tcBorders>
            <w:tcW w:w="903" w:type="dxa"/>
            <w:vAlign w:val="top"/>
            <w:textDirection w:val="lrTb"/>
            <w:noWrap w:val="false"/>
          </w:tcPr>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r>
            <w:r/>
          </w:p>
        </w:tc>
        <w:tc>
          <w:tcPr>
            <w:tcW w:w="4586" w:type="dxa"/>
            <w:vAlign w:val="top"/>
            <w:textDirection w:val="lrTb"/>
            <w:noWrap w:val="false"/>
          </w:tcPr>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r>
            <w:r/>
          </w:p>
        </w:tc>
        <w:tc>
          <w:tcPr>
            <w:tcBorders>
              <w:bottom w:val="none" w:color="000000" w:sz="4" w:space="0"/>
            </w:tcBorders>
            <w:tcW w:w="3390" w:type="dxa"/>
            <w:vAlign w:val="top"/>
            <w:textDirection w:val="lrTb"/>
            <w:noWrap w:val="false"/>
          </w:tcPr>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(元/年)</w:t>
            </w:r>
            <w:r/>
          </w:p>
        </w:tc>
      </w:tr>
      <w:tr>
        <w:trPr>
          <w:trHeight w:val="348"/>
        </w:trPr>
        <w:tc>
          <w:tcPr>
            <w:gridSpan w:val="2"/>
            <w:tcBorders>
              <w:bottom w:val="none" w:color="000000" w:sz="4" w:space="0"/>
            </w:tcBorders>
            <w:tcW w:w="5489" w:type="dxa"/>
            <w:vAlign w:val="top"/>
            <w:vMerge w:val="restart"/>
            <w:textDirection w:val="lrTb"/>
            <w:noWrap w:val="false"/>
          </w:tcPr>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总价(元)</w:t>
            </w:r>
            <w:r/>
          </w:p>
        </w:tc>
        <w:tc>
          <w:tcPr>
            <w:tcW w:w="3390" w:type="dxa"/>
            <w:vAlign w:val="top"/>
            <w:textDirection w:val="lrTb"/>
            <w:noWrap w:val="false"/>
          </w:tcPr>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(七年)</w:t>
            </w:r>
            <w:r/>
          </w:p>
        </w:tc>
      </w:tr>
      <w:tr>
        <w:trPr>
          <w:trHeight w:val="104"/>
        </w:trPr>
        <w:tc>
          <w:tcPr>
            <w:gridSpan w:val="2"/>
            <w:tcBorders>
              <w:top w:val="none" w:color="000000" w:sz="4" w:space="0"/>
            </w:tcBorders>
            <w:tcW w:w="5489" w:type="dxa"/>
            <w:vAlign w:val="top"/>
            <w:vMerge w:val="continue"/>
            <w:textDirection w:val="lrTb"/>
            <w:noWrap w:val="false"/>
          </w:tcPr>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r>
            <w:r/>
          </w:p>
        </w:tc>
        <w:tc>
          <w:tcPr>
            <w:tcW w:w="3390" w:type="dxa"/>
            <w:vAlign w:val="top"/>
            <w:textDirection w:val="lrTb"/>
            <w:noWrap w:val="false"/>
          </w:tcPr>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r>
            <w:r/>
          </w:p>
        </w:tc>
      </w:tr>
    </w:tbl>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sectPr>
          <w:footerReference w:type="default" r:id="rId14"/>
          <w:footnotePr/>
          <w:endnotePr/>
          <w:type w:val="nextPage"/>
          <w:pgSz w:w="12240" w:h="17070" w:orient="portrait"/>
          <w:pgMar w:top="1440" w:right="1800" w:bottom="1440" w:left="1800" w:header="0" w:footer="1414" w:gutter="0"/>
          <w:cols w:num="1" w:sep="0" w:space="720" w:equalWidth="1"/>
          <w:docGrid w:linePitch="360"/>
        </w:sectPr>
      </w:pPr>
      <w:r>
        <w:rPr>
          <w:rFonts w:hint="eastAsia" w:ascii="宋体" w:hAnsi="宋体" w:cs="宋体"/>
          <w:color w:val="000000"/>
          <w:sz w:val="24"/>
          <w:u w:val="none"/>
          <w:lang w:val="en-US" w:eastAsia="zh-CN"/>
        </w:rPr>
      </w:r>
      <w:r/>
    </w:p>
    <w:p>
      <w:pPr>
        <w:ind w:firstLine="482"/>
        <w:rPr>
          <w:rFonts w:hint="eastAsia"/>
          <w:b/>
          <w:bCs/>
          <w:sz w:val="24"/>
          <w:szCs w:val="24"/>
        </w:rPr>
      </w:pPr>
      <w:r>
        <w:rPr>
          <w:rFonts w:hint="eastAsia"/>
          <w:b/>
          <w:bCs/>
          <w:sz w:val="24"/>
          <w:szCs w:val="24"/>
        </w:rPr>
        <w:t xml:space="preserve">5、付款方式和发票开具方式</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5.1付款方式：</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(1)财政拨付采用□分散支付制，□统收统付制，□分散支付制与部分统收统付制结合方法。</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(2)各个公共机构能源费用由其自</w:t>
      </w:r>
      <w:r>
        <w:rPr>
          <w:rFonts w:hint="eastAsia" w:ascii="宋体" w:hAnsi="宋体" w:cs="宋体"/>
          <w:color w:val="000000"/>
          <w:sz w:val="24"/>
          <w:u w:val="none"/>
          <w:lang w:val="en-US" w:eastAsia="zh-CN"/>
        </w:rPr>
        <w:t xml:space="preserve">行缴费。合同签订后，甲方支付第一年节能费用总价（按6%基数计算）30%的预付款。节能服务费每3个月结算一次，中标单位按月出具当月节能服务费报告，节能服务费含税金额=（当月托管基准量-当月实际用量）*当月能源销售单价，中标单位每3个月汇总后开具节能服务费发票给托管单位，托管单位应在收到发票的10个工作日内支付相应的费用。年节能率超过6%，由托管单位向中标单位支付服务费用外，超出部分的节能收益由托管单位、中标单位按照三七比例分享。（每次付款前乙方向甲方开具正规税务发票，甲方自收到发票之日起10个工作日内支付。）</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托管期内若发生设备增减等用能边界变化，双方依据《公共机构能源费用托管实施规程》（JS/T301-2024），由甲方聘请第三方能源审计单位进行核定，出具用能边界变化核定报告，双方据实调整结算。</w:t>
      </w:r>
      <w:r/>
    </w:p>
    <w:p>
      <w:pPr>
        <w:ind w:firstLine="480"/>
        <w:spacing w:line="400" w:lineRule="atLeast"/>
        <w:rPr>
          <w:rFonts w:hint="eastAsia" w:ascii="宋体" w:hAnsi="宋体" w:cs="宋体"/>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项目托管期间，因市场及政策原因导致能源单价调整时，应相应地调整能源托管费用基数。以项目基准能源单价为参考，能源价格上涨时，按照【上涨月能源用量×（上涨月能源单价-基准单价）】计算费用，补偿给中标单位；能源价格下降时，按照【下降月能源用量×（基准单价-下降月能源单价）】计算费用，由中标单位退还给托管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6、履约保证金</w:t>
      </w:r>
      <w:r/>
    </w:p>
    <w:p>
      <w:pPr>
        <w:ind w:firstLine="480"/>
        <w:spacing w:line="400" w:lineRule="atLeast"/>
        <w:rPr>
          <w:rFonts w:hint="eastAsia" w:ascii="宋体" w:hAnsi="宋体" w:cs="宋体"/>
          <w:color w:val="000000"/>
          <w:sz w:val="24"/>
          <w:szCs w:val="24"/>
          <w:u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u w:val="none"/>
          <w:lang w:val="en-US" w:eastAsia="zh-CN"/>
        </w:rPr>
        <w:t xml:space="preserve">6.1乙方交纳人民币___零______元作为本合同的履约保证金。（不得超过合同金额的10%）</w:t>
      </w:r>
      <w:r>
        <w:rPr>
          <w:rFonts w:hint="eastAsia" w:ascii="宋体" w:hAnsi="宋体" w:cs="宋体"/>
          <w:color w:val="000000"/>
          <w:sz w:val="24"/>
          <w:szCs w:val="24"/>
          <w:u w:val="none"/>
          <w:lang w:val="en-US" w:eastAsia="zh-CN"/>
        </w:rPr>
      </w:r>
      <w:r/>
    </w:p>
    <w:p>
      <w:pPr>
        <w:ind w:firstLine="480"/>
        <w:spacing w:line="400" w:lineRule="atLeast"/>
        <w:rPr>
          <w:rFonts w:hint="eastAsia" w:ascii="宋体" w:hAnsi="宋体" w:cs="宋体"/>
          <w:color w:val="000000"/>
          <w:sz w:val="24"/>
          <w:szCs w:val="24"/>
          <w:u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u w:val="none"/>
          <w:lang w:val="en-US" w:eastAsia="zh-CN"/>
        </w:rPr>
        <w:t xml:space="preserve">6.2合同履行结束后，甲方应及时退还交纳的履约保证金。</w:t>
      </w:r>
      <w:r>
        <w:rPr>
          <w:rFonts w:hint="eastAsia" w:ascii="宋体" w:hAnsi="宋体" w:cs="宋体"/>
          <w:color w:val="000000"/>
          <w:sz w:val="24"/>
          <w:szCs w:val="24"/>
          <w:u w:val="none"/>
          <w:lang w:val="en-US" w:eastAsia="zh-CN"/>
        </w:rPr>
      </w:r>
      <w:r/>
    </w:p>
    <w:p>
      <w:pPr>
        <w:ind w:firstLine="480"/>
        <w:spacing w:line="400" w:lineRule="atLeast"/>
        <w:rPr>
          <w:rFonts w:hint="eastAsia" w:ascii="宋体" w:hAnsi="宋体" w:cs="宋体"/>
          <w:color w:val="000000"/>
          <w:sz w:val="24"/>
          <w:szCs w:val="24"/>
          <w:u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u w:val="none"/>
          <w:lang w:val="en-US" w:eastAsia="zh-CN"/>
        </w:rPr>
        <w:t xml:space="preserve">6.2.1履约保证金退还方式：无</w:t>
      </w:r>
      <w:r>
        <w:rPr>
          <w:rFonts w:hint="eastAsia" w:ascii="宋体" w:hAnsi="宋体" w:cs="宋体"/>
          <w:color w:val="000000"/>
          <w:sz w:val="24"/>
          <w:szCs w:val="24"/>
          <w:u w:val="none"/>
          <w:lang w:val="en-US" w:eastAsia="zh-CN"/>
        </w:rPr>
      </w:r>
      <w:r/>
    </w:p>
    <w:p>
      <w:pPr>
        <w:ind w:firstLine="480"/>
        <w:spacing w:line="400" w:lineRule="atLeast"/>
        <w:rPr>
          <w:rFonts w:hint="eastAsia" w:ascii="宋体" w:hAnsi="宋体" w:cs="宋体"/>
          <w:color w:val="000000"/>
          <w:sz w:val="24"/>
          <w:szCs w:val="24"/>
          <w:u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u w:val="none"/>
          <w:lang w:val="en-US" w:eastAsia="zh-CN"/>
        </w:rPr>
        <w:t xml:space="preserve">6.2.2履约保证金退还时间：无</w:t>
      </w:r>
      <w:r>
        <w:rPr>
          <w:rFonts w:hint="eastAsia" w:ascii="宋体" w:hAnsi="宋体" w:cs="宋体"/>
          <w:color w:val="000000"/>
          <w:sz w:val="24"/>
          <w:szCs w:val="24"/>
          <w:u w:val="none"/>
          <w:lang w:val="en-US" w:eastAsia="zh-CN"/>
        </w:rPr>
      </w:r>
      <w:r/>
    </w:p>
    <w:p>
      <w:pPr>
        <w:ind w:firstLine="480"/>
        <w:spacing w:line="400" w:lineRule="atLeast"/>
        <w:rPr>
          <w:rFonts w:hint="eastAsia" w:ascii="宋体" w:hAnsi="宋体" w:cs="宋体"/>
          <w:color w:val="000000"/>
          <w:sz w:val="24"/>
          <w:szCs w:val="24"/>
          <w:u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u w:val="none"/>
          <w:lang w:val="en-US" w:eastAsia="zh-CN"/>
        </w:rPr>
        <w:t xml:space="preserve">6.2.3履约保证金退还条件：无</w:t>
      </w:r>
      <w:r>
        <w:rPr>
          <w:rFonts w:hint="eastAsia" w:ascii="宋体" w:hAnsi="宋体" w:cs="宋体"/>
          <w:color w:val="000000"/>
          <w:sz w:val="24"/>
          <w:szCs w:val="24"/>
          <w:u w:val="none"/>
          <w:lang w:val="en-US" w:eastAsia="zh-CN"/>
        </w:rPr>
      </w:r>
      <w:r/>
    </w:p>
    <w:p>
      <w:pPr>
        <w:ind w:firstLine="480"/>
        <w:spacing w:line="400" w:lineRule="atLeast"/>
        <w:rPr>
          <w:rFonts w:hint="eastAsia" w:ascii="宋体" w:hAnsi="宋体" w:cs="宋体"/>
          <w:color w:val="000000"/>
          <w:sz w:val="24"/>
          <w:szCs w:val="24"/>
          <w:u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u w:val="none"/>
          <w:lang w:val="en-US" w:eastAsia="zh-CN"/>
        </w:rPr>
        <w:t xml:space="preserve">6.2.4履约保证金不予退还的情形：无</w:t>
      </w:r>
      <w:r>
        <w:rPr>
          <w:rFonts w:hint="eastAsia" w:ascii="宋体" w:hAnsi="宋体" w:cs="宋体"/>
          <w:color w:val="000000"/>
          <w:sz w:val="24"/>
          <w:szCs w:val="24"/>
          <w:u w:val="none"/>
          <w:lang w:val="en-US" w:eastAsia="zh-CN"/>
        </w:rPr>
      </w:r>
      <w:r/>
    </w:p>
    <w:p>
      <w:pPr>
        <w:ind w:firstLine="480"/>
        <w:spacing w:line="400" w:lineRule="atLeast"/>
        <w:rPr>
          <w:rFonts w:hint="eastAsia" w:ascii="宋体" w:hAnsi="宋体" w:cs="宋体"/>
          <w:color w:val="000000"/>
          <w:sz w:val="24"/>
          <w:szCs w:val="24"/>
          <w:u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u w:val="none"/>
          <w:lang w:val="en-US" w:eastAsia="zh-CN"/>
        </w:rPr>
        <w:t xml:space="preserve">6.2.5履约保证金逾期退还的违约责任：无</w:t>
      </w:r>
      <w:r>
        <w:rPr>
          <w:rFonts w:hint="eastAsia" w:ascii="宋体" w:hAnsi="宋体" w:cs="宋体"/>
          <w:color w:val="000000"/>
          <w:sz w:val="24"/>
          <w:szCs w:val="24"/>
          <w:u w:val="none"/>
          <w:lang w:val="en-US" w:eastAsia="zh-CN"/>
        </w:rPr>
      </w:r>
      <w:r/>
    </w:p>
    <w:p>
      <w:pPr>
        <w:ind w:firstLine="482"/>
        <w:rPr>
          <w:rFonts w:hint="eastAsia"/>
          <w:b/>
          <w:bCs/>
          <w:sz w:val="24"/>
          <w:szCs w:val="24"/>
        </w:rPr>
      </w:pPr>
      <w:r>
        <w:rPr>
          <w:rFonts w:hint="eastAsia"/>
          <w:b/>
          <w:bCs/>
          <w:sz w:val="24"/>
          <w:szCs w:val="24"/>
        </w:rPr>
        <w:t xml:space="preserve">7、履行期限、地点和方式</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7.1 履行期限：</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(1)本项目托管期为自项且能源管理一张网平台建设验收完成之日起</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 年。</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(2)能源托管期包括节能改造项目建设和运行管理两个阶段。节能改造项目建设包含能源管理一张网平台建设和节能改造，其中能源管理一张网平台建设期为合同签订后</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个日历天内完成。验收通过后次月，项目正式进入托管运行期；节能改造期为合同签订后</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月内完成.进行项目整体验收。在项目建设期内，非因乙方原因造成工程延误的，则工期相应顺延。</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(3)验收标准和期限：甲乙双方按照甲方根据国家有关规定、招投标文件以及合同约定的内容组织验收。具体验收办法详见《江苏省政府采购履约验收管理办法》（苏财规〔2024〕7号），自乙方提请验收之日起，甲方在</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日内组织并完成验收、提供验收合格报告给乙方。如因甲方原因未能在上述时间内提供验收报告的，视同验收合格。</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7.2 履行地点：扬州市邗江区。</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7.3 履行方式：</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(1)本项目的能源费用托管类型为水、电、气整体能源费用托管。本项目托管基准基期为</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年</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月至</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年</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月，具体用能量由甲方组织对全区公共机构进行能源审计出具能源审计报告和用能基准核定报告，作为能源托管结算量的依据。能源审计费用由甲方承担。</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(2)乙方负责将</w:t>
      </w:r>
      <w:r>
        <w:rPr>
          <w:rFonts w:hint="eastAsia" w:ascii="宋体" w:hAnsi="宋体" w:cs="宋体"/>
          <w:color w:val="000000"/>
          <w:sz w:val="24"/>
          <w:u w:val="single"/>
          <w:lang w:val="en-US" w:eastAsia="zh-CN"/>
        </w:rPr>
        <w:t xml:space="preserve">扬州市邗江区</w:t>
      </w:r>
      <w:r>
        <w:rPr>
          <w:rFonts w:hint="eastAsia" w:ascii="宋体" w:hAnsi="宋体" w:cs="宋体"/>
          <w:color w:val="000000"/>
          <w:sz w:val="24"/>
          <w:u w:val="none"/>
          <w:lang w:val="en-US" w:eastAsia="zh-CN"/>
        </w:rPr>
        <w:t xml:space="preserve">能源管理“一张网”平台部署在</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 ，“一张网”平台须满足信息系统安全等级保护第三级要求。“一张网”的功能要求为：对所有公共机构实施用能总计量、重点用能场景计量、供暖空调等建筑设备的自动控制。在项目托管期间，相关政府部门如提出的安全管理和信创适配要求，乙方须配合完成安全和信创适配整改。</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(3)乙方负责投资项目改造的全部工作，包括节能改造、提高能源效率、降低能源费用，</w:t>
      </w:r>
      <w:r>
        <w:rPr>
          <w:rFonts w:hint="eastAsia" w:ascii="宋体" w:hAnsi="宋体" w:cs="宋体"/>
          <w:color w:val="000000"/>
          <w:sz w:val="24"/>
          <w:u w:val="single"/>
          <w:lang w:val="en-US" w:eastAsia="zh-CN"/>
        </w:rPr>
        <w:t xml:space="preserve">对托管项目□电费、□蒸汽费、 口燃气费、□水费、□运维费等费用进行承包</w:t>
      </w:r>
      <w:r>
        <w:rPr>
          <w:rFonts w:hint="eastAsia" w:ascii="宋体" w:hAnsi="宋体" w:cs="宋体"/>
          <w:color w:val="000000"/>
          <w:sz w:val="24"/>
          <w:u w:val="none"/>
          <w:lang w:val="en-US" w:eastAsia="zh-CN"/>
        </w:rPr>
        <w:t xml:space="preserve">。改造项且的投资规模由乙方自行控制，须拿出</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 年托管期总节能量费用的</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 用于节能改造，节能改造包括现场能源管理计量与控制系统建设、供能系统、用能系统进行节能改造等。托管期内的经 济效益风险由乙方自行承担。</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(4)乙方通过现场调研编制节能改造方案，由甲方组织专家对解决方案和审计报告(含：基准核定报告)进行论证(可按批次对多个项目一起论证)。根据专家意见确定托管基准并完善平台和节能技改方案。</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(5)在完成节能改造建设及调试后，乙方应根据设定的节能目标在不影响甲方的正常使用需求的情况下编制运行策略。</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甲方和业主单位应积极配合乙方进行建筑的节能运行，并督导建筑运行管理单位严格执行。乙方应配合甲方对建筑运行管理单位的人员开展节能培训工作，保障机电系统的高效运行，以保证节能量的实现。乙方应以全面节能为目标、结合项目使用功 能情况现状，协助甲方建立完善节能管理体系。</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(6)乙方应在</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 区组建本地化服务团队通过聚合资源、 统筹规划，应制定完备的用能管理制度和运营服务制度，保证公共机构日常运行需求，不得降低日常办公生活舒适度。安排不少于</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名专业能效管家驻场开展精细化能源管理。深入研究楼宇现有能源监控系统、各能源子系统运行管理现状对软、硬件安全、可靠运行、能源系统分析功能提出改进意见，包括但不限于对核心指标、能源网子系统指标以及整体运行情况分析(指标管理、能源指标分析、能源生产运行报告等),并提出优化运行策略进行用能系统的优化运行。</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(7)本项且运行期间，在不影响甲方生产经营的前提下，乙方有权为优化托管方案、提高节能效益对项目进行改造，包括但不限于对相关设备或设施进行添加、替换、去除、改造或者是对相关操作、维护程序和方法进行修改。乙方应编制相关改造方案并在改造方案实施前30日将改造方案书面告知甲方。</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(8)乙方开展能源需求管理、绿电直供、售电等增值能源服务。并将所获收益的   %返回甲方，用于进一步节能改造与管理。</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8、违约责任</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8.1除不可抗力外，如果乙方没有按照本合同约定的期限、地点和方式履行服务，甲方可要求乙方支付违约金，违约金按每迟延履行一日的应提供而未提供服务价格的</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 %计算，最高限额为本合同总价的</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%迟延履行 的违约金计算数额达到前述最高限额之日起，甲方有权在要求乙方支付违约金的同时，书面通知乙方解除本合同；</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8.2除不可抗力外，如果甲方没有按照本合同约定的付款方式付款，那么乙方可要求甲方支付违约金，违约金按每迟延 付款一日的应付而未付款的</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 %计算，最高限额为本合同总价的</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%；迟延付款的违约金计算数额达到前述最高限额之日起，乙方有权在要求甲方支付违约金的同时，书面通知甲 方解除本合同；</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8.3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8.4任何一方按照前述约定要求违约方支付违约金的同时，仍有权要求违约方继续履行合同、采取补救措施，并有权 按照己方实际损失情况要求违约方赔偿损失；任何一方按照前 述约定要求解除本合同的同时，仍有权要求违约方支付违约金 和按照己方实际损失情况要求违约方赔偿损失；且守约方行使 的任何权利救济方式均不视为其放弃了其他法定或者约定的权利救济方式；</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8.5由于乙方提供的服务存在问题和缺陷导致任何人身、财产损害的，乙方应负责承担由此产生的责任，与甲方无关。如造成甲方损失的，甲方有权向乙方追偿(该等损失包括但不限于损害赔偿金、甲方为解决纠纷支付的律师费、诉讼费、差旅费 等合理费用)；</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8.6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8.7如果出现采购监督管理部门在处理投诉事项期间，书面通知甲方暂停采购活动的情形，或者询问或质疑事项可能影响中标结果的，导致甲方中止履行合同的情形，均不视为甲方违约。</w:t>
      </w:r>
      <w:r/>
    </w:p>
    <w:p>
      <w:pPr>
        <w:ind w:firstLine="480"/>
        <w:spacing w:line="400" w:lineRule="atLeast"/>
        <w:rPr>
          <w:rFonts w:hint="eastAsia" w:ascii="宋体" w:hAnsi="宋体" w:cs="宋体"/>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8.8托管过程中，乙方出现重大安全事故，或者节能目标累计</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年未达标，或者服务质量持续出现重大偏差时，甲方有权解除本合同。</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9、合同争议的解决</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9.1本合同履行过程中发生的任何争议，双方当事人均可通过和解或者调解解决；不愿和解、调解或者和解、调解不成 的，可以选择下列第②种方式解决：</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①将争议提交甲方所在地</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仲裁委员会依申请仲裁时 其现行有效的仲裁规则裁决；</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②向甲方所在地</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人民法院起诉。</w:t>
      </w:r>
      <w:r/>
    </w:p>
    <w:p>
      <w:pPr>
        <w:ind w:firstLine="480"/>
        <w:spacing w:line="400" w:lineRule="atLeast"/>
        <w:rPr>
          <w:rFonts w:hint="eastAsia" w:ascii="宋体" w:hAnsi="宋体" w:cs="宋体"/>
          <w:b/>
          <w:bCs/>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10、合同生效</w:t>
      </w:r>
      <w:r>
        <w:rPr>
          <w:b/>
          <w:bCs/>
        </w:rPr>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10.1本合同经甲乙双方代表签字并加盖公章(或合同章)后即生效。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u w:val="none"/>
          <w:lang w:val="en-US" w:eastAsia="zh-CN"/>
        </w:rPr>
        <w:t xml:space="preserve">    10.2</w:t>
      </w:r>
      <w:r>
        <w:rPr>
          <w:rFonts w:ascii="SimSun" w:hAnsi="SimSun" w:eastAsia="SimSun" w:cs="SimSun"/>
          <w:color w:val="000000"/>
          <w:sz w:val="24"/>
        </w:rPr>
        <w:t xml:space="preserve">本合同正本一式两份，具有同等法律效力，甲方、乙方各执一份。</w:t>
      </w:r>
      <w:r/>
    </w:p>
    <w:p>
      <w:pPr>
        <w:ind w:firstLine="480"/>
        <w:spacing w:line="400" w:lineRule="atLeast"/>
        <w:rPr>
          <w:rFonts w:hint="eastAsia" w:ascii="宋体" w:hAnsi="宋体" w:cs="宋体"/>
          <w:color w:val="000000"/>
          <w:sz w:val="24"/>
          <w:szCs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甲方：</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法定代表人或授权代表(签字):</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日 期 ：</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5737225</wp:posOffset>
                </wp:positionH>
                <wp:positionV relativeFrom="paragraph">
                  <wp:posOffset>198755</wp:posOffset>
                </wp:positionV>
                <wp:extent cx="57150" cy="69850"/>
                <wp:effectExtent l="0" t="0" r="0" b="6350"/>
                <wp:wrapNone/>
                <wp:docPr id="3" name="IM 12"/>
                <wp:cNvGraphicFramePr/>
                <a:graphic xmlns:a="http://schemas.openxmlformats.org/drawingml/2006/main">
                  <a:graphicData uri="http://schemas.openxmlformats.org/drawingml/2006/picture">
                    <pic:pic xmlns:pic="http://schemas.openxmlformats.org/drawingml/2006/picture">
                      <pic:nvPicPr>
                        <pic:cNvPr id="12" name="IM 12"/>
                        <pic:cNvPicPr/>
                        <pic:nvPr/>
                      </pic:nvPicPr>
                      <pic:blipFill>
                        <a:blip r:embed="rId18"/>
                        <a:stretch/>
                      </pic:blipFill>
                      <pic:spPr bwMode="auto">
                        <a:xfrm>
                          <a:off x="0" y="0"/>
                          <a:ext cx="57127" cy="6989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451.8pt;mso-position-horizontal:absolute;mso-position-vertical-relative:text;margin-top:15.6pt;mso-position-vertical:absolute;width:4.5pt;height:5.5pt;mso-wrap-distance-left:0.0pt;mso-wrap-distance-top:0.0pt;mso-wrap-distance-right:0.0pt;mso-wrap-distance-bottom:0.0pt;" stroked="false">
                <v:path textboxrect="0,0,0,0"/>
                <v:imagedata r:id="rId18" o:title=""/>
              </v:shape>
            </w:pict>
          </mc:Fallback>
        </mc:AlternateContent>
      </w:r>
      <w:r>
        <w:rPr>
          <w:rFonts w:hint="eastAsia" w:ascii="宋体" w:hAnsi="宋体" w:cs="宋体"/>
          <w:color w:val="000000"/>
          <w:sz w:val="24"/>
          <w:u w:val="none"/>
          <w:lang w:val="en-US" w:eastAsia="zh-CN"/>
        </w:rPr>
        <w:t xml:space="preserve">乙方：      (联合体牵头人) </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法定代表人或授权代表(签字):</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日 期 ：</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乙方：      (联合体成员单位) </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法定代表人或授权代表(签字)：</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日 期 ：</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乙方：    (联合体成员单位) </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法定代表人或授权代表(签字)</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日 期 ：</w:t>
      </w:r>
      <w:r/>
    </w:p>
    <w:p>
      <w:pPr>
        <w:ind w:firstLine="480"/>
        <w:spacing w:before="120" w:after="12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年  月 日</w:t>
      </w:r>
      <w:r>
        <w:rPr>
          <w:rFonts w:hint="eastAsia" w:ascii="宋体" w:hAnsi="宋体" w:eastAsia="宋体" w:cs="宋体"/>
          <w:color w:val="000000"/>
          <w:sz w:val="24"/>
          <w:szCs w:val="24"/>
        </w:rPr>
        <w:br w:type="page" w:clear="all"/>
      </w:r>
      <w:r/>
    </w:p>
    <w:p>
      <w:pPr>
        <w:pStyle w:val="790"/>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w:t>
      </w:r>
      <w:r>
        <w:rPr>
          <w:rFonts w:hint="eastAsia" w:ascii="黑体" w:hAnsi="黑体" w:eastAsia="黑体" w:cs="黑体"/>
          <w:b/>
          <w:color w:val="000000"/>
          <w:sz w:val="44"/>
          <w:lang w:val="en-US" w:eastAsia="zh-CN"/>
        </w:rPr>
        <w:t xml:space="preserve"> </w:t>
      </w:r>
      <w:r>
        <w:rPr>
          <w:rFonts w:ascii="黑体" w:hAnsi="黑体" w:eastAsia="黑体" w:cs="黑体"/>
          <w:b/>
          <w:color w:val="000000"/>
          <w:sz w:val="44"/>
        </w:rPr>
        <w:t xml:space="preserve">采购需求</w:t>
      </w:r>
      <w:r/>
    </w:p>
    <w:p>
      <w:pPr>
        <w:ind w:left="495" w:hanging="4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一、项目属性:服务类项目</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（一） 如本项目采购产品被财政部、国家发改委、生态环境部等列入“节能产品政府采购品目清单”强制采购范围，投标文件中必须提供国家确定的认证机构出具的、处于有效期之内的该节能产品认证证书。</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（二）供应商对于投标产品的包装应按照“财办库〔2020〕123号《关于印发《商品包装政府采购需求标准（试行）》、《快递包装政府采购需求标准（试行）》的通知》”执行。</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（三）采购标的清单</w:t>
      </w:r>
      <w:r/>
    </w:p>
    <w:tbl>
      <w:tblPr>
        <w:tblStyle w:val="825"/>
        <w:tblW w:w="912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4419"/>
        <w:gridCol w:w="36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1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19" w:type="dxa"/>
            <w:vAlign w:val="center"/>
            <w:textDirection w:val="lrTb"/>
            <w:noWrap w:val="false"/>
          </w:tcPr>
          <w:p>
            <w:pPr>
              <w:spacing w:line="400" w:lineRule="atLeast"/>
              <w:rPr>
                <w:bCs/>
                <w:i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扬州市邗江区机关事务管理局全区公共机构能源费用托管项目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50"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bl>
    <w:p>
      <w:pPr>
        <w:ind w:left="495" w:hanging="495"/>
        <w:rPr>
          <w:rFonts w:hint="eastAsia" w:ascii="宋体" w:hAnsi="宋体" w:cs="宋体"/>
          <w:b/>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二</w:t>
      </w:r>
      <w:r>
        <w:rPr>
          <w:rFonts w:hint="eastAsia" w:ascii="宋体" w:hAnsi="宋体" w:cs="宋体"/>
          <w:b/>
          <w:color w:val="000000"/>
          <w:sz w:val="24"/>
          <w:lang w:val="zh-CN" w:eastAsia="zh-CN"/>
        </w:rPr>
        <w:t xml:space="preserve">、</w:t>
      </w:r>
      <w:r>
        <w:rPr>
          <w:rFonts w:ascii="宋体" w:hAnsi="宋体" w:cs="宋体"/>
          <w:b/>
          <w:color w:val="000000"/>
          <w:sz w:val="24"/>
          <w:lang w:val="zh-CN"/>
        </w:rPr>
        <w:t xml:space="preserve">项目概况</w:t>
      </w:r>
      <w:r/>
    </w:p>
    <w:p>
      <w:pPr>
        <w:ind w:firstLine="482"/>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(一)项目名称</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扬州市邗江区机关事务管理局全区公共机构能源费用托管项目</w:t>
      </w:r>
      <w:r/>
    </w:p>
    <w:p>
      <w:pPr>
        <w:ind w:firstLine="482"/>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(二)基本信息</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项目背景：目前邗江区各机关单位存在能源管理系统不健全，建筑用能管理、分析和诊断存在较大困难，存在节能降耗潜力。现拟对本项目采用合同能源管理方式实现节能减碳，利用最新能源及信息技术发展成果，推进建筑能效提升工作，实现楼宇单位面积能耗指标显著降低，以及能源利用高效化、清洁化、智能化、数字化。</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招标范围：本次项目覆盖扬州市邗江区行政办公、教育、医疗、文化、体育、科研等各类公共机构，共计192家，涉及173个独立办公区（其中区级机关31家；镇（街）、园区机关15家；医疗卫生机构17家；教育机构68家，其他独立办公单位42家），总建筑面积约177万平方米。</w:t>
      </w:r>
      <w:r/>
    </w:p>
    <w:p>
      <w:pPr>
        <w:ind w:firstLine="482"/>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(三)预算金额</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人民币 29400.00万元</w:t>
      </w:r>
      <w:r/>
    </w:p>
    <w:p>
      <w:pPr>
        <w:ind w:firstLine="482"/>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(四)最高限价</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人民币26632.51449万元</w:t>
      </w:r>
      <w:r/>
    </w:p>
    <w:p>
      <w:pPr>
        <w:ind w:firstLine="482"/>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(五)能源托管期限</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从项目验收之日起的次月1日进入托管期，托管年限七年。</w:t>
      </w:r>
      <w:r/>
    </w:p>
    <w:p>
      <w:pPr>
        <w:ind w:left="495" w:hanging="495"/>
        <w:rPr>
          <w:rFonts w:hint="eastAsia" w:ascii="宋体" w:hAnsi="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三、采购内容</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本项目采用能源费用托管型合同能源管理模式，由投标人负责投资与实施。主要包括以下内容（包括但不限于以下内容）：</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(一)智慧管理运营平台建设：</w:t>
      </w:r>
      <w:r>
        <w:rPr>
          <w:rFonts w:hint="eastAsia" w:ascii="宋体" w:hAnsi="宋体" w:cs="宋体"/>
          <w:color w:val="000000"/>
          <w:sz w:val="24"/>
          <w:u w:val="none"/>
          <w:lang w:val="en-US" w:eastAsia="zh-CN"/>
        </w:rPr>
        <w:t xml:space="preserve">包括平台软硬件建设及调试、物联网点位建设、一站式服务中心建设、能源管控平台建设、综合监控系统建设、用能设备管理系统建设、智慧用电系统建设、节水管理系统建设等。</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(二)技术节能改造：</w:t>
      </w:r>
      <w:r>
        <w:rPr>
          <w:rFonts w:hint="eastAsia" w:ascii="宋体" w:hAnsi="宋体" w:cs="宋体"/>
          <w:color w:val="000000"/>
          <w:sz w:val="24"/>
          <w:u w:val="none"/>
          <w:lang w:val="en-US" w:eastAsia="zh-CN"/>
        </w:rPr>
        <w:t xml:space="preserve">包括中央空调智控系统及机组更换和增加、分体式空调群控系统及主机更换改造、分散终端设备智能控制系统、用水末端节能改造、智慧照明系统改造、太阳能光伏发电系统建设、雨水回收系统建设、分体空调冷凝水回收系统建设等。</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(三)综合能源服务：</w:t>
      </w:r>
      <w:r>
        <w:rPr>
          <w:rFonts w:hint="eastAsia" w:ascii="宋体" w:hAnsi="宋体" w:cs="宋体"/>
          <w:color w:val="000000"/>
          <w:sz w:val="24"/>
          <w:u w:val="none"/>
          <w:lang w:val="en-US" w:eastAsia="zh-CN"/>
        </w:rPr>
        <w:t xml:space="preserve">托管周期内派遣能源经理提供现场服务，基于智慧管理运营平台开展综合能源现场服务，协助采购人建立健全公共机构智慧运营相关规章制度、工作流程等体系，并协助采购人执行。</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(四)其他：</w:t>
      </w:r>
      <w:r>
        <w:rPr>
          <w:rFonts w:hint="eastAsia" w:ascii="宋体" w:hAnsi="宋体" w:cs="宋体"/>
          <w:color w:val="000000"/>
          <w:sz w:val="24"/>
          <w:u w:val="none"/>
          <w:lang w:val="en-US" w:eastAsia="zh-CN"/>
        </w:rPr>
        <w:t xml:space="preserve">投标人根据现场考察提出的其他合理化节能改造内容。</w:t>
      </w:r>
      <w:r/>
    </w:p>
    <w:p>
      <w:pPr>
        <w:ind w:left="495" w:hanging="495"/>
        <w:rPr>
          <w:rFonts w:hint="eastAsia" w:ascii="宋体" w:hAnsi="宋体" w:cs="宋体"/>
          <w:b/>
          <w:color w:val="000000"/>
          <w:sz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四、</w:t>
      </w:r>
      <w:r>
        <w:rPr>
          <w:rFonts w:hint="eastAsia" w:ascii="宋体" w:hAnsi="宋体" w:cs="宋体"/>
          <w:b/>
          <w:color w:val="000000"/>
          <w:sz w:val="24"/>
          <w:lang w:val="zh-CN" w:eastAsia="zh-CN"/>
        </w:rPr>
        <w:t xml:space="preserve">项目现状</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(一)项目基本情况</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本次项目覆盖扬州市邗江区行政办公、教育、医疗、文化、体育、科研等各类公共机构，共计192家，包括：</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机关办公建筑：共69家（合署办公算1家），主要包括邗江区各级党政机关、事业单位办公机构，建筑面积297539.76平方米，占总审计建筑面积的16.84%，主要分布在邗江区主城区及各街道办公集中区域，用能以办公、会议、日常运营为主。</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文化教育类：共68家，涵盖幼儿园、小学、中学等，建筑面积1232275.19平方米，占总审计建筑面积的69.76%，是辖区公共机构建筑中建筑面积占比最高的类别，用能集中在教学、办公、宿舍、食堂等环节，能耗随学期周期呈现明显波动。</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医疗类：共计17家，包括综合医院、社区卫生服务中心、专科医院等，建筑面积165409.14平方米，占总审计建筑面积的9.35%，用能具有“高稳定性、高负荷”特点，需24小时维持恒温环境及医疗设备运行，特殊用能占比突出。</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公安类建筑：共计18家，建筑面积64336.66平方米，占总审计建筑面积的3.64%，整体能耗相对均衡。</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场馆类：共计1家，为图书馆，建筑面积6800平方米，占总审计建筑面积的0.38%，用能集中在场馆运营、设备运行、展览活动等环节，能耗随开放时间、活动场次波动较大。</w:t>
      </w:r>
      <w:r/>
    </w:p>
    <w:p>
      <w:pPr>
        <w:ind w:firstLine="480"/>
        <w:spacing w:line="400" w:lineRule="atLeast"/>
        <w:rPr>
          <w:rFonts w:ascii="Calibri" w:hAnsi="Calibri" w:eastAsia="宋体" w:cs="宋体"/>
          <w:color w:val="auto"/>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投标人须严格结合本项目全域公共机构用能特点，开展全面、系统、细致、精准的节能现状诊断分析工作，整体诊断工作需符合《公共机构能源审计技术导则》等国家、行业规范标准，全面摸清项目能耗底数、设备现状、管理短板与节能潜力，具体诊断内容包括项目基础概况排查诊断、能源消耗结构与能耗数据诊断分析、重点用能系统与设备工况诊断，投标人需针对各公共机构在用中央空调系统、分体空调设备、冷站机房设备、照明系统、给排水系统、动力终端设备、配电系统等主要耗能设施，开展全覆盖现场工况诊断，梳理各系统设备现存技术短板与能效提升空间。</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(二)能源基准费用</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根据中华人民共和国机关事务行业标准《公共机构能源费用托管实施规程》（JS/T301-2024），公共机构实施能源费用托管前应以托管项目实施前1年至3年为基准期，开展能源审计，确定能源基准。本项目能源审计仅涉及公共机构电量及电费，审计期为 2022年1月- 2025年6月，项目用电量基准值47064087.99kWh；用水量基准值1378035.7m³；用气量基准值634321m³；能源费用基准值3804.644927万元/年。</w:t>
      </w:r>
      <w:r/>
    </w:p>
    <w:p>
      <w:pPr>
        <w:ind w:left="495" w:hanging="495"/>
        <w:rPr>
          <w:rFonts w:hint="eastAsia" w:ascii="宋体" w:hAnsi="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五、项目目标</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由中标人投资进行节能改造和运维服务，中标的年度能源托管费用作为能源托管合同期内支付给中标人的年度能源消费和运维费用。合同履行期满后，中标人将其投资形成的项目资产无偿移交给各公共机构。实施范围内的公共机构预期实现年度综合节能率6%（含）以上，节能改造设备其能效标准均须达到二级及以上水平。</w:t>
      </w:r>
      <w:r/>
    </w:p>
    <w:p>
      <w:pPr>
        <w:ind w:left="495" w:hanging="495"/>
        <w:rPr>
          <w:rFonts w:hint="eastAsia" w:ascii="宋体" w:hAnsi="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六、服务标准</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(一)在确保安全和不降低用能舒适度的前提下，为各公共机构量身定制节能改造方案，完成节能改造协定内容，提供长期稳定的运维服务，切实达成节能降耗的预期目标。</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(二)选择技术先进、经济合理的技术或产品，技术或产品要求技术成熟、稳定可靠。</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(三)使用当前先进、节能的设备替换原有设备的，需要保证新投入设备必须要有符合国家强制规定的证明文件、能效检验文件。</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(四)需要对原有及新增耗能设备进行分项、分类计量，计量数据须接入采购人指定能耗监管平台。</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(五)节能措施应符合国家法律法规、产业政策要求以及工艺、设备等相关标准的规定。产品设计及设备安装应符合《合同能源管理技术通则》（GB/T24915-2020）及国家相关标准、规定。</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(六)保证在中</w:t>
      </w:r>
      <w:r>
        <w:rPr>
          <w:rFonts w:hint="eastAsia" w:ascii="宋体" w:hAnsi="宋体" w:cs="宋体"/>
          <w:color w:val="000000"/>
          <w:sz w:val="24"/>
          <w:u w:val="none"/>
          <w:lang w:val="en-US" w:eastAsia="zh-CN"/>
        </w:rPr>
        <w:t xml:space="preserve">华人民共和国境内使用其提供的标的物或标的物的任何一部分时，免受第三方提起的侵犯其专利权、商标权、著作权或其他产权纠纷，否则由中标人承担一切法律责任。</w:t>
      </w:r>
      <w:r/>
    </w:p>
    <w:p>
      <w:pPr>
        <w:ind w:firstLine="480"/>
        <w:spacing w:line="400" w:lineRule="atLeast"/>
        <w:rPr>
          <w:rFonts w:hint="eastAsia" w:ascii="宋体" w:hAnsi="宋体" w:cs="宋体"/>
          <w:b/>
          <w:bCs/>
          <w:i/>
          <w:iCs/>
          <w:color w:val="000000"/>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i/>
          <w:iCs/>
          <w:color w:val="000000"/>
          <w:sz w:val="24"/>
          <w:u w:val="single"/>
          <w:lang w:val="en-US" w:eastAsia="zh-CN"/>
        </w:rPr>
        <w:t xml:space="preserve">(七)节能改造投资：中标方须承诺拿出七年托管期总节能费用的15%用于节能改造，节能改造包括现场能源管理计量与控制系统建设和供能系统和用能系统进行节能改造等。投标人承诺比例低于15%的，视为未实质性响应招标文件要求，作无效投标处理。（投标文件中须提供承诺函，格式自拟）</w:t>
      </w:r>
      <w:r/>
    </w:p>
    <w:p>
      <w:pPr>
        <w:ind w:left="495" w:hanging="495"/>
        <w:rPr>
          <w:rFonts w:hint="eastAsia" w:ascii="宋体" w:hAnsi="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七、本项目术语和定义</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(一)合同能源管理：</w:t>
      </w:r>
      <w:r>
        <w:rPr>
          <w:rFonts w:hint="eastAsia" w:ascii="宋体" w:hAnsi="宋体" w:cs="宋体"/>
          <w:b w:val="0"/>
          <w:bCs w:val="0"/>
          <w:color w:val="000000"/>
          <w:sz w:val="24"/>
          <w:u w:val="none"/>
          <w:lang w:val="en-US" w:eastAsia="zh-CN"/>
        </w:rPr>
        <w:t xml:space="preserve">投标人与采购人以合同形式约定能源托管项目的实施内容，投标人向采购人提供必要的服务，采购人以能源托管费支付投标人的投入及其合理利润的合同能源管理机制。</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(二)能源费用托管型合同能源管理：</w:t>
      </w:r>
      <w:r>
        <w:rPr>
          <w:rFonts w:hint="eastAsia" w:ascii="宋体" w:hAnsi="宋体" w:cs="宋体"/>
          <w:b w:val="0"/>
          <w:bCs w:val="0"/>
          <w:color w:val="000000"/>
          <w:sz w:val="24"/>
          <w:u w:val="none"/>
          <w:lang w:val="en-US" w:eastAsia="zh-CN"/>
        </w:rPr>
        <w:t xml:space="preserve">合同能源管理的一种形式。由采购人委托投标人进行能源系统的运行、管理、维护或（和）节能改造。采购人根据能源基准确定的能源系统运行、管理、维护和能源使用的费用，支付给投标人作为托管费用。投标人通过科学的管理运行和节能技术的应用达到节约能源，减少费用支出或增加收益，获取合理的利润。托管范围可包括：电、气、市政热力、水等项目所发生的费用，能源系统的运行、管理、维护维修费用（含人工、消耗性材料、工具）。</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(三)综合能源服务公司（即投标人）：</w:t>
      </w:r>
      <w:r>
        <w:rPr>
          <w:rFonts w:hint="eastAsia" w:ascii="宋体" w:hAnsi="宋体" w:cs="宋体"/>
          <w:b w:val="0"/>
          <w:bCs w:val="0"/>
          <w:color w:val="000000"/>
          <w:sz w:val="24"/>
          <w:u w:val="none"/>
          <w:lang w:val="en-US" w:eastAsia="zh-CN"/>
        </w:rPr>
        <w:t xml:space="preserve">提供用能状况诊断、能源托管服务项目设计、融资、改造（施工、设备安装、调试）、运行管理等服务的专业化公司。</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(四)能源基准：</w:t>
      </w:r>
      <w:r>
        <w:rPr>
          <w:rFonts w:hint="eastAsia" w:ascii="宋体" w:hAnsi="宋体" w:cs="宋体"/>
          <w:b w:val="0"/>
          <w:bCs w:val="0"/>
          <w:color w:val="000000"/>
          <w:sz w:val="24"/>
          <w:u w:val="none"/>
          <w:lang w:val="en-US" w:eastAsia="zh-CN"/>
        </w:rPr>
        <w:t xml:space="preserve">用能单位特定时间段的能源消耗量。</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(五)建设期：</w:t>
      </w:r>
      <w:r>
        <w:rPr>
          <w:rFonts w:hint="eastAsia" w:ascii="宋体" w:hAnsi="宋体" w:cs="宋体"/>
          <w:b w:val="0"/>
          <w:bCs w:val="0"/>
          <w:color w:val="000000"/>
          <w:sz w:val="24"/>
          <w:u w:val="none"/>
          <w:lang w:val="en-US" w:eastAsia="zh-CN"/>
        </w:rPr>
        <w:t xml:space="preserve">投标人完成改造（施工、设备安装、调试）并通过采购人验收的期限。</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(六)能源托管期：</w:t>
      </w:r>
      <w:r>
        <w:rPr>
          <w:rFonts w:hint="eastAsia" w:ascii="宋体" w:hAnsi="宋体" w:cs="宋体"/>
          <w:b w:val="0"/>
          <w:bCs w:val="0"/>
          <w:color w:val="000000"/>
          <w:sz w:val="24"/>
          <w:u w:val="none"/>
          <w:lang w:val="en-US" w:eastAsia="zh-CN"/>
        </w:rPr>
        <w:t xml:space="preserve">指投标人向采购人提供能源托管服务，采购人向投标人支付能源托管费用的期限。</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(七)节能设备：</w:t>
      </w:r>
      <w:r>
        <w:rPr>
          <w:rFonts w:hint="eastAsia" w:ascii="宋体" w:hAnsi="宋体" w:cs="宋体"/>
          <w:color w:val="000000"/>
          <w:sz w:val="24"/>
          <w:u w:val="none"/>
          <w:lang w:val="en-US" w:eastAsia="zh-CN"/>
        </w:rPr>
        <w:t xml:space="preserve">指本项目下所有由投标人采购并安装的设备、设施、仪器和系统等财产。</w:t>
      </w:r>
      <w:r/>
    </w:p>
    <w:p>
      <w:pPr>
        <w:ind w:left="495" w:hanging="495"/>
        <w:rPr>
          <w:rFonts w:hint="eastAsia" w:ascii="宋体" w:hAnsi="宋体" w:cs="宋体"/>
          <w:b/>
          <w:color w:val="000000"/>
          <w:sz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八</w:t>
      </w:r>
      <w:r>
        <w:rPr>
          <w:rFonts w:hint="eastAsia" w:ascii="宋体" w:hAnsi="宋体" w:cs="宋体"/>
          <w:b/>
          <w:color w:val="000000"/>
          <w:sz w:val="24"/>
          <w:lang w:val="zh-CN" w:eastAsia="zh-CN"/>
        </w:rPr>
        <w:t xml:space="preserve">、项目需求</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(一)改造范围</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本项目覆盖扬州市邗江区全域公共机构，涵盖行政办公、教育</w:t>
      </w:r>
      <w:r>
        <w:rPr>
          <w:rFonts w:hint="eastAsia" w:ascii="宋体" w:hAnsi="宋体" w:cs="宋体"/>
          <w:color w:val="000000"/>
          <w:sz w:val="24"/>
          <w:u w:val="none"/>
          <w:lang w:val="en-US" w:eastAsia="zh-CN"/>
        </w:rPr>
        <w:t xml:space="preserve">、医疗、文化、体育、科研等多类型场景，共计192家单位、173个独立办公区，总建筑面积约177万平方米，整体体量大、业态广、用能场景复杂。现阶段辖区内各公共机构普遍存在能源管理体系不完善、能耗监测手段薄弱、用能数据台账不健全、精细化管控缺失等问题，建筑用能管理、能耗数据分析、节能问题精准诊断难度较大，整体存在较大的节能降碳改造空间。本项目采用合同能源管理模式实施全域节能减碳升级，依托新一代能源技术、信息化数字化技术，全面提升公共机构建筑能效水平，实现楼宇能耗指标优化、能源利用清洁化、管控智能化、管理数字化。</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(二)能源供应与服务要求</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1.空调集中供冷条件 </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（1）供冷开始条件：室外最高气温连续3天＞28℃或当天＞31℃时； </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（2）供冷结束条件：室外最高气温连续 3天＜27℃或当天＜24℃时； </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（3）供冷时，室内温度范围26℃±2℃。</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2.空调集中供暖条件 </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（1）供暖开始条件：室外最低气温连续3天＜13℃或当天＜10℃；</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（2）供暖结束条件：室外最低气温连续3天＞17℃或当天＞20℃； </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（3）供暖时，室内温度范围18±2℃。  </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3.项目保障 </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协助采购人建立健全公共机构智慧运营相关规章制度、工作流程等体系，并协助采购人执行。</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（三）改造内容</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1.能源综合管理平台</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本项目须配备一套能源综合管理平台（含能耗监测系统），能够满足邗江区全域合同能源管理项目需求，全面适配国产化环境，实现对能耗数据的精确计量、深入分析以及对各类能源设备的科学管控。</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平台须同时满足以下两大方面的要求：（1）平台技术架构与安全合规要求；（2）平台核心功能要求。</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（1）平台技术架构与安全合规要求</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u w:val="none"/>
          <w:lang w:val="en-US" w:eastAsia="zh-CN"/>
        </w:rPr>
        <w:t xml:space="preserve">①</w:t>
      </w:r>
      <w:r>
        <w:rPr>
          <w:rFonts w:hint="eastAsia" w:ascii="宋体" w:hAnsi="宋体" w:cs="宋体"/>
          <w:color w:val="000000"/>
          <w:sz w:val="24"/>
          <w:u w:val="none"/>
          <w:lang w:val="en-US" w:eastAsia="zh-CN"/>
        </w:rPr>
        <w:t xml:space="preserve">系统功能简介</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能源综合管理平台旨在构建一个集数据采集、实时计算、可视化展示、智能分析与预警管控于一体的能源管控平台。通过物联网（IoT）技术对建筑各类能耗（水、电、气、光伏发电等）及相关数据进行采集，并依据国家官方标准进行精准的碳排放核算，实现对建筑碳足迹的透明化、实时化、精细化管理和深度挖掘，为建筑节能降碳、实现碳中和目标提供数据驱动决策支持。</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u w:val="none"/>
          <w:lang w:val="en-US" w:eastAsia="zh-CN"/>
        </w:rPr>
        <w:t xml:space="preserve">②</w:t>
      </w:r>
      <w:r>
        <w:rPr>
          <w:rFonts w:hint="eastAsia" w:ascii="宋体" w:hAnsi="宋体" w:cs="宋体"/>
          <w:color w:val="000000"/>
          <w:sz w:val="24"/>
          <w:u w:val="none"/>
          <w:lang w:val="en-US" w:eastAsia="zh-CN"/>
        </w:rPr>
        <w:t xml:space="preserve">平台技术架构</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A.法律法规符合性</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系统建设与运行须满足《中华人民共和国网络安全法》《中华人民共和国数据安全法》《关键信息基础设施安全保护条例》等相关法律法规的要求。建立覆盖数据采集、传输、存储、使用、共享、备份、销毁等环节的全生命周期安全防护体系。</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B.数据传输安全</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外部系统访问平台、终端与平台之间的数据交互应采用加密协议，防止数据在传输过程中被窃取或篡改。对涉及敏感数据的接口应有访问控制与调用审计机制。</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C.数据存储与访问控制</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在存储环节应实施权限隔离、加密存储及容灾备份：数据库与存储系统须支持数据访问隔离；重要数据、敏感数据应采用数据库加密或存储加密措施；对所有数据应配置备份，保障数据安全与可恢复性。系统应实现基于角色的访问控制，不同层级、不同角色用户访问相应功能与数据。全面记录用户登录、操作和重要数据访问日志，并可追溯。</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D.身份认证与操作日志</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支持与现有统一身份认证/单点登录平台对接，或提供扩展接口以便后续对接。密码策略须符合政务安全规范。关键操作应有二次确认与操作日志。</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E.系统适配</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本项目系统须与采购人国产化终端适配。</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F.客户端适配</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前端系统应支持国产浏览器，保证界面显示和交互功能正常。办公文档导出（如报表、统计结果导出）应兼容国产办公软件。</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G. 第三方组件与自主可控</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系统设计应采用国产组件。第三方组件清单须可追溯，便于安全审查与后期升级替换。</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H.数据与网络接入要求</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数据层面：系统运行期间所产生的全量数据，中标供应商应提供标准化、具备良好兼容性的数据对接接口，实现数据的实时查询与同步功能。同时提供完整的接口对接文档，说明接口调用流程、请求与响应参数、鉴权机制及数据格式规范。</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网络层面：系统传输过程采用加密协议，存储环节实施权限隔离、加密存储及容灾备份，确保全程合规可控。</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u w:val="none"/>
          <w:lang w:val="en-US" w:eastAsia="zh-CN"/>
        </w:rPr>
        <w:t xml:space="preserve">③</w:t>
      </w:r>
      <w:r>
        <w:rPr>
          <w:rFonts w:hint="eastAsia" w:ascii="宋体" w:hAnsi="宋体" w:cs="宋体"/>
          <w:color w:val="000000"/>
          <w:sz w:val="24"/>
          <w:u w:val="none"/>
          <w:lang w:val="en-US" w:eastAsia="zh-CN"/>
        </w:rPr>
        <w:t xml:space="preserve">能耗监测系统建设要求</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为支撑平台数据采集，须建设完善的能耗监测系统，具体要求如下：</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A.计量仪表安装：在各公共机构的重点用能区域安装智能远传电表和智能远传水表。</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B.数据采集与存储：自动收集、存储和分析来自电表、水表、热量表、光伏系统等设备的数据。电表采集频率至少15分钟一次，水表至少一天一次，重点设备可秒级/分钟级采集。</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C.数据深度分析：根据监测数据深度研究分析各用能系统能耗数据变化规律，挖掘节能潜力。</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D.上级平台对接：根据政策要求及时统计各用能单位数据，对接扬州市或江苏省相关节能监管平台，提供标准化数据接口。</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④数据权属与移交要求</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本项目建设过程中产生的所有业务数据、用户数据、操作日志数据及相关衍生数据的所有权、使用权及管理权均归采购人所有。供应商不得以任何形式将上述数据用于与本项目无关的用途，不得向任何第三方泄露。</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本项目到期后，供应商须在采购人指定的政务外网环境中协助完成以下工作：</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A.移交项目涉及的所有硬件设备及软件的使用权及管理权；</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B.提供业务数据库的全量逻辑/物理备份数据（包括附件、图片、报表文件等）的完整备份及其与业务数据之间的关联规则说明，并提交详细的备份与恢复操作说明文档；</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C.提供完整的数据字典文档，包括各业务库的表结构说明、主要字段注释、数据关系说明以及主要统计指标/能耗指标的计算口径说明；</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D.提供项目中已实现的所有对外接口文档，包括接口列表、调用方式、参数说明、返回格式、鉴权机制等。</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上述备份数据和文档应统一存储于采购人指定的政务外网存储节点或备份服务器。供应商有义务配合采购人进行数据备份恢复演练和移交流程确认。未按上述要求完成数据移交或造成采购人数据丢失、泄露、损毁的，供应商须承担相应的法律责任和违约责任。</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（2）平台核心功能要求</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注：必须在项目实施过程中实现以下全部功能。</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①能源驾驶舱：提供能源驾驶舱功能，实现能耗总览以及空调、照明、供水、供配电、光伏等子系统概览。能够分别显示各子系统能耗总量，支持按照日/月/年切换显示数据。</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②能耗展示：实现对水、电、气等多种能源种类数据的实时采集和分析。能够以可视化图表形式显示不同时间维度（小时、日、月、年）下能耗变化等情况。</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③能耗分析：能够按日、月、年显示不同建筑、不同能源分项（空调、照明、动力）、不同用能支路、不同用能单位、不同用能楼层的用能同比、环比变化情况。</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④能源流向与时段分析：支持各项能源分项在任意时间段的能源流向可视化显示；支持能量柱对比分析；支持工作时间、休息时间（或其他自定义时间）能源消耗分析。</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⑤重点用能设备管理：提供重点用能设备管理功能，可掌握设备的能耗及运行状态情况。</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⑥节能分析：提供节能分析功能。能够将选择的日期范围与同比或环比的基期进行计算对比分析，展示节省的能耗量和费用统计数据。</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⑦用能分析报告：系统支持能耗数据采集器/传感器原始数据导出。系统可根据监测数据自动生成用能分析报告，报告支持自由导出为Word/PDF/Excel格式。</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⑧能耗管控；提供能耗管控功能，可根据实际情况（工作日/节假日、峰谷时段、天气条件）切换不同控制策略（如空调温度设定、照明调光方案等）。能够显示各子系统中设备告警情况。</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⑨低碳管理：提供低碳管理功能。依据国家相关政策和标准，计算碳排放的统计信息，并以看板形式展示。</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⑩光伏管理：提供光伏管理功能。支持查看光伏装机容量、实时发电功率信息。按照日/月/年查看系统发电量情况。支持年发电量趋势可视化展示。</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⑪运维管理：提供运维管理功能：支持显示设备告警、电子工单、维保数量等信息；支持电子工单全流程管理（创建、派发、接单、处理、反馈、关闭）；通过智能化分析设备运行参数，预测设备异常和故障，推送预警信息，实现预测性维护。</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⑫权限管理：能源综合管理平台提供灵活的权限管理功能。能够灵活定制分配组织权限（按单位、部门）以及个人用户权限（超级管理员、能耗审计员、设备操作员、只读用户等），实现分级分权精细化管理。</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⑬能耗定额管理：平台具备显示能耗定额功能。根据监测收集到的各用能单位能耗数据，结合江苏省相关定额标准，确定各用能单位能耗信息，判断各单位能耗水平是否达标，生成用能分析报告，对超定额单位提出预警。</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⑭地图与天气展示：提供邗江区区级地图，在地图上以点位标注或名称引注的形式展示所有纳入监管范围的下属单位。点位支持缩放聚合、鼠标悬停提示，点击后进入单位详情。平台首页显示当前本地时间及邗江区实时天气信息。</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⑮设备在线状态与运行监测；系统统计各单位接入平台的采集设备、控制设备的在线状态（在线、离线、异常）。提供设备列表与状态监控界面，可查看设备最后在线时间、所属单位、所属系统。对持续离线或异常设备产生告警并支持追踪处理。</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2.空调系统节能改造要求</w:t>
      </w:r>
      <w:r/>
    </w:p>
    <w:p>
      <w:pPr>
        <w:ind w:firstLine="482"/>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（1）多联机空调集中控制系统</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①</w:t>
      </w:r>
      <w:r>
        <w:rPr>
          <w:rFonts w:hint="eastAsia" w:ascii="宋体" w:hAnsi="宋体" w:cs="宋体"/>
          <w:color w:val="000000"/>
          <w:sz w:val="24"/>
          <w:u w:val="none"/>
          <w:lang w:val="en-US" w:eastAsia="zh-CN"/>
        </w:rPr>
        <w:t xml:space="preserve">VRV机组整体要求</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A.当前项目内的空调控制均为本地控制，需要现场管理人员逐个操作，耗费人力物力。节能改造后各房间的空调控制应增加联网功能，管理人员可通过管控平台实现单独控制、集中控制、定时启闭、实时监控等功能。</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B.加装多联机空调集中控制系统，实现多联机组协同运作，整体群控，通过室内温度传感器及管控平台系统设定，多联机组与室内温度联控，实现多联机空调自动化运行，降低空调系统能耗。</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②VRV机组集控系统功能</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多联机空调（VRV）机组集控系统主要功能应包括：</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A.系统配置管理：对系统所有温控器、数据网关等进行统一配置管理，分配IP地址、端口号等；可同时集成多台多联机机组，不限空调品牌，不限外机部署位置。</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B.设备状态总览：以直观形象的方式总览空调系统运行设备、关闭设备、故障设备等状态。</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C.设备实时监控：实时监控设备运行状态，读取室内温度、室外环境温度、开启台数和运行模式等。</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D.云端远程控制：通过能源管控平台控制空调开关、运行模式、空调风速等。</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E.自动节能运行：根据管理人员设置开关设备要求，设置温控器运行时间。根据室内外温度传感器数据，自动选择性开启相应区域的空调。</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F.“一键式”启停：根据用户需求实现“一键式”全部启动或停止所有设备，也可按楼层、区域等选择启停设备。</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G.实时警报提醒：根据需要设置故障监控点，超过阈值时通过设备状态表显示颜色，通知故障设备地址及参数。</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H.信息统计分析：对温控器各类参数进行存储记录，支持累计运行时间统计，以曲线方式显示运行趋势图。</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（2）分体式空调集中控制系统</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国家节能战略明确要求，公共机构冬季空调温度设置不得高于20℃，夏季不得低于26℃，且运行期间应保持门窗关闭。应采用分体式空调集中控制系统实现对分散空调的集中化控制。</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分体空调集控系统主要功能应包括：</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①通过控制终端，根据工作日、节假日或季节差异，预设空调运行时段，避免漏关忘关造成的能源浪费。</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②</w:t>
      </w:r>
      <w:r>
        <w:rPr>
          <w:rFonts w:hint="eastAsia" w:ascii="宋体" w:hAnsi="宋体" w:cs="宋体"/>
          <w:color w:val="000000"/>
          <w:sz w:val="24"/>
          <w:u w:val="none"/>
          <w:lang w:val="en-US" w:eastAsia="zh-CN"/>
        </w:rPr>
        <w:t xml:space="preserve">系统可以生成能耗报表和运行趋势分析，帮助管理者识别低效设备，为节能优化提供数据支持。</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③</w:t>
      </w:r>
      <w:r>
        <w:rPr>
          <w:rFonts w:hint="eastAsia" w:ascii="宋体" w:hAnsi="宋体" w:cs="宋体"/>
          <w:color w:val="000000"/>
          <w:sz w:val="24"/>
          <w:u w:val="none"/>
          <w:lang w:val="en-US" w:eastAsia="zh-CN"/>
        </w:rPr>
        <w:t xml:space="preserve">集中控制系统可通过监控系统的故障，及时预警，使维修响应时间大幅缩短，延长空调寿命。</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（3）空调机组更换和增加</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本工程中冷热源系统应根据现场踏勘情况确定冷热源主机更换台数和类型。</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①</w:t>
      </w:r>
      <w:r>
        <w:rPr>
          <w:rFonts w:hint="eastAsia" w:ascii="宋体" w:hAnsi="宋体" w:cs="宋体"/>
          <w:color w:val="000000"/>
          <w:sz w:val="24"/>
          <w:u w:val="none"/>
          <w:lang w:val="en-US" w:eastAsia="zh-CN"/>
        </w:rPr>
        <w:t xml:space="preserve">冷水机组改造技术应满足以下要求：</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A.冷水机组应采用磁悬浮机组，能效限定值及能效等级满足《热泵和冷水机组能效限定值及能效等级》（GB19577-2024）中的相关规定，且达到2级标准。</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B.性能系数（COP）的测试值和标注值不低于GB19577-2024中的指标规定值，且达到2级标准。</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C.机组额定噪声值≤85dB(A)。</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D.启动方式：变频启动。</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E.电机防护等级不低于IP54。</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F.每台冷水机组出厂前应按照国家标准进行整机性能检测，并提供检测报告。</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G.整机使用寿命≥20年，轴承及轴封更换周期≥75000小时。</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②</w:t>
      </w:r>
      <w:r>
        <w:rPr>
          <w:rFonts w:hint="eastAsia" w:ascii="宋体" w:hAnsi="宋体" w:cs="宋体"/>
          <w:color w:val="000000"/>
          <w:sz w:val="24"/>
          <w:u w:val="none"/>
          <w:lang w:val="en-US" w:eastAsia="zh-CN"/>
        </w:rPr>
        <w:t xml:space="preserve">风冷热泵改造技术应满足以下要求：</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A.能效限定值及能效等级满足GB19577-2024中的相关规定，且达到2级标准。</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B.性能系数（COP，制热工况）、能效比（EER，制冷工况）的测试值和标注值不低于GB19577-2024中的指标规定值，且达到2级标准。</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C.机组额定噪声值≤85dB(A)。</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D.启动方式：变频启动，具备软启动功能。</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E.电机防护等级不低于IP54。</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F.每台风冷热泵出厂前需完成整机性能检测（含制冷、制热全工况），并提供具有法律效力的第三方检测报告或出厂合格检测报告。</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G.整机使用寿命≥10年。</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3.分散终端设备智能控制系统</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（1）分散终端设备总体要求</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针对诸如开水器、热水器、饮水机等分散终端设备，在下班时间或休息日，诸多设备未切断电源，存在待机能耗。通过加装分散终端智能控制器，统一接入能源管控平台，实现后台集中断电、间隔开启等智能调节。</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（2）分散终端智能控制器要求</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对于开水器、热水器、饮水机、小厨宝等大功率分散终端的智能改造应具备：</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①</w:t>
      </w:r>
      <w:r>
        <w:rPr>
          <w:rFonts w:hint="eastAsia" w:ascii="宋体" w:hAnsi="宋体" w:cs="宋体"/>
          <w:color w:val="000000"/>
          <w:sz w:val="24"/>
          <w:u w:val="none"/>
          <w:lang w:val="en-US" w:eastAsia="zh-CN"/>
        </w:rPr>
        <w:t xml:space="preserve">远程集中控制：统一接入能源管控平台，可单独或批量控制所有智能控制器的通断电。</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②</w:t>
      </w:r>
      <w:r>
        <w:rPr>
          <w:rFonts w:hint="eastAsia" w:ascii="宋体" w:hAnsi="宋体" w:cs="宋体"/>
          <w:color w:val="000000"/>
          <w:sz w:val="24"/>
          <w:u w:val="none"/>
          <w:lang w:val="en-US" w:eastAsia="zh-CN"/>
        </w:rPr>
        <w:t xml:space="preserve">定时任务：预设开关时间，实现自动化运行。</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③</w:t>
      </w:r>
      <w:r>
        <w:rPr>
          <w:rFonts w:hint="eastAsia" w:ascii="宋体" w:hAnsi="宋体" w:cs="宋体"/>
          <w:color w:val="000000"/>
          <w:sz w:val="24"/>
          <w:u w:val="none"/>
          <w:lang w:val="en-US" w:eastAsia="zh-CN"/>
        </w:rPr>
        <w:t xml:space="preserve">安全预警与保护：监测过载、过压、欠压、漏电等异常状态，主动告警和断电，预防电气火灾。</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4.分布式光伏电站建设</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（1）项目建设总体要求</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本项目拟在邗江区公共建筑建设分布式光伏发电系统，光伏系统设计寿命不应低于20年（光伏合同周期为20年，托管期结束后的8-20年，光伏发电量按当期国网代购电价9折卖给各公共机构），须覆盖医院、学校、政府办公建筑等多种公共建筑，项目设计与实施应充分考虑当地气候因素。进行光伏建设前，应针对项目屋面实际情况进行防水评估，若屋面防水性能不符合条件，应先进行屋面防水工程。如涉及建筑经营权不属于采购人的，须由供应商自行与经营权所有人对接处置。</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（2）光伏组件选型要求</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①</w:t>
      </w:r>
      <w:r>
        <w:rPr>
          <w:rFonts w:hint="eastAsia" w:ascii="宋体" w:hAnsi="宋体" w:cs="宋体"/>
          <w:color w:val="000000"/>
          <w:sz w:val="24"/>
          <w:u w:val="none"/>
          <w:lang w:val="en-US" w:eastAsia="zh-CN"/>
        </w:rPr>
        <w:t xml:space="preserve">单组件功率不低于630Wp，转换效率不低于22.65%。</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②</w:t>
      </w:r>
      <w:r>
        <w:rPr>
          <w:rFonts w:hint="eastAsia" w:ascii="宋体" w:hAnsi="宋体" w:cs="宋体"/>
          <w:color w:val="000000"/>
          <w:sz w:val="24"/>
          <w:u w:val="none"/>
          <w:lang w:val="en-US" w:eastAsia="zh-CN"/>
        </w:rPr>
        <w:t xml:space="preserve">首年功率衰降≤3%，25年线性衰减≤0.5%/年。</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③</w:t>
      </w:r>
      <w:r>
        <w:rPr>
          <w:rFonts w:hint="eastAsia" w:ascii="宋体" w:hAnsi="宋体" w:cs="宋体"/>
          <w:color w:val="000000"/>
          <w:sz w:val="24"/>
          <w:u w:val="none"/>
          <w:lang w:val="en-US" w:eastAsia="zh-CN"/>
        </w:rPr>
        <w:t xml:space="preserve">采用先进封装技术，确保耐候性和耐腐蚀性。</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④</w:t>
      </w:r>
      <w:r>
        <w:rPr>
          <w:rFonts w:hint="eastAsia" w:ascii="宋体" w:hAnsi="宋体" w:cs="宋体"/>
          <w:color w:val="000000"/>
          <w:sz w:val="24"/>
          <w:u w:val="none"/>
          <w:lang w:val="en-US" w:eastAsia="zh-CN"/>
        </w:rPr>
        <w:t xml:space="preserve">光伏组件应考虑抗台性能，至少满足抵抗14级台风的要求。</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（3）光伏配件要求</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①</w:t>
      </w:r>
      <w:r>
        <w:rPr>
          <w:rFonts w:hint="eastAsia" w:ascii="宋体" w:hAnsi="宋体" w:cs="宋体"/>
          <w:color w:val="000000"/>
          <w:sz w:val="24"/>
          <w:u w:val="none"/>
          <w:lang w:val="en-US" w:eastAsia="zh-CN"/>
        </w:rPr>
        <w:t xml:space="preserve">逆变器最高效率不低于97%，具备孤岛效应保护、过压过流保护等。</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②</w:t>
      </w:r>
      <w:r>
        <w:rPr>
          <w:rFonts w:hint="eastAsia" w:ascii="宋体" w:hAnsi="宋体" w:cs="宋体"/>
          <w:color w:val="000000"/>
          <w:sz w:val="24"/>
          <w:u w:val="none"/>
          <w:lang w:val="en-US" w:eastAsia="zh-CN"/>
        </w:rPr>
        <w:t xml:space="preserve">并网柜应内置断路器、避雷器、计量装置及数据采集装置，原计量表更换为双向计量表，中性点接地方式与建筑内保持一致（中性点不接地）。</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③</w:t>
      </w:r>
      <w:r>
        <w:rPr>
          <w:rFonts w:hint="eastAsia" w:ascii="宋体" w:hAnsi="宋体" w:cs="宋体"/>
          <w:color w:val="000000"/>
          <w:sz w:val="24"/>
          <w:u w:val="none"/>
          <w:lang w:val="en-US" w:eastAsia="zh-CN"/>
        </w:rPr>
        <w:t xml:space="preserve">电缆压降应控制在3.0%以内。</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（4）光伏系统要求</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①</w:t>
      </w:r>
      <w:r>
        <w:rPr>
          <w:rFonts w:hint="eastAsia" w:ascii="宋体" w:hAnsi="宋体" w:cs="宋体"/>
          <w:color w:val="000000"/>
          <w:sz w:val="24"/>
          <w:u w:val="none"/>
          <w:lang w:val="en-US" w:eastAsia="zh-CN"/>
        </w:rPr>
        <w:t xml:space="preserve">监控系统按“无人值守”原则设计，具备数据采集与处理、安全监测、控制和调整等功能，实时监测设备运行状态和参数，支持远传功能，将数据上传至能源管控平台。</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②</w:t>
      </w:r>
      <w:r>
        <w:rPr>
          <w:rFonts w:hint="eastAsia" w:ascii="宋体" w:hAnsi="宋体" w:cs="宋体"/>
          <w:color w:val="000000"/>
          <w:sz w:val="24"/>
          <w:u w:val="none"/>
          <w:lang w:val="en-US" w:eastAsia="zh-CN"/>
        </w:rPr>
        <w:t xml:space="preserve">计量表具备双向计量功能、分时段计量功能及每月第一天零时零分数据冻结功能，符合江苏电网公司《电能计量装置技术规范》。</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③</w:t>
      </w:r>
      <w:r>
        <w:rPr>
          <w:rFonts w:hint="eastAsia" w:ascii="宋体" w:hAnsi="宋体" w:cs="宋体"/>
          <w:color w:val="000000"/>
          <w:sz w:val="24"/>
          <w:u w:val="none"/>
          <w:lang w:val="en-US" w:eastAsia="zh-CN"/>
        </w:rPr>
        <w:t xml:space="preserve">通信系统具备故障报警、数据传输等功能，支持与其他监控系统兼容。</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5.节水改造要求</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本项目须对邗江区各公共机构实施系统性节水改造，结合各单位用水现状，采用成熟、可靠、经济适用的节水技术与设备，并统一接入能源综合管理平台实现远程监测、智能分析与统一管控。</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（1）节水器具更换</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须考虑将各公共机构内所有不符合国家节水标准的用水器具（水效等级低于2级）更换为一级水效等级的高效节水器具，所有更换的节水器具应具有国家节水认证证书或水效标识，满足节水型公共机构建设标准。</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（2）远程抄表与水系监控分析</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为实现对各公共机构用水的精细化管理，须建设覆盖全域的远程智能水表计量系统：</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①</w:t>
      </w:r>
      <w:r>
        <w:rPr>
          <w:rFonts w:hint="eastAsia" w:ascii="宋体" w:hAnsi="宋体" w:cs="宋体"/>
          <w:color w:val="000000"/>
          <w:sz w:val="24"/>
          <w:u w:val="none"/>
          <w:lang w:val="en-US" w:eastAsia="zh-CN"/>
        </w:rPr>
        <w:t xml:space="preserve">智能远传水表安装：在各建筑总进水管、食堂、浴室、锅炉房、冷却塔、绿化灌溉、景观补水等关键用水支路安装智能远传水表。产品技术标准执行CJ/T 133-2012和GB/T 778.1-2018，基表最大允许误差符合GB/T 778.1 B级表要求。</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②</w:t>
      </w:r>
      <w:r>
        <w:rPr>
          <w:rFonts w:hint="eastAsia" w:ascii="宋体" w:hAnsi="宋体" w:cs="宋体"/>
          <w:color w:val="000000"/>
          <w:sz w:val="24"/>
          <w:u w:val="none"/>
          <w:lang w:val="en-US" w:eastAsia="zh-CN"/>
        </w:rPr>
        <w:t xml:space="preserve">远传水表技术参数：</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通信速率：≥25 Kbps（M-Bus/RS-485或NB-IoT）；</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供电方式：自备3.6V锂电池，电池寿命≥6年；</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耐压强度：1.6 MPa，15min无渗漏；</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压力损失：≤0.1 MPa；</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控制器精度：≤0.1%；</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③</w:t>
      </w:r>
      <w:r>
        <w:rPr>
          <w:rFonts w:hint="eastAsia" w:ascii="宋体" w:hAnsi="宋体" w:cs="宋体"/>
          <w:color w:val="000000"/>
          <w:sz w:val="24"/>
          <w:u w:val="none"/>
          <w:lang w:val="en-US" w:eastAsia="zh-CN"/>
        </w:rPr>
        <w:t xml:space="preserve">数据采集与传输：水表数据实时上传至能源综合管理平台，采集频率不低于1次/天，重点区域可加密至1次/小时。平台自动完成数据存储、异常报警。</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（3）数据权属与移交</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节水改造中产生的所有硬件设备、软件系统、用水数据、分析报告等的所有权、使用权及管理权均归采购人所有。项目到期后，供应商按照</w:t>
      </w:r>
      <w:r>
        <w:rPr>
          <w:rFonts w:hint="eastAsia" w:ascii="宋体" w:hAnsi="宋体" w:cs="宋体"/>
          <w:color w:val="000000"/>
          <w:sz w:val="24"/>
          <w:highlight w:val="none"/>
          <w:u w:val="none"/>
          <w:lang w:val="en-US" w:eastAsia="zh-CN"/>
        </w:rPr>
        <w:t xml:space="preserve">数据权属与移交要求</w:t>
      </w:r>
      <w:r>
        <w:rPr>
          <w:rFonts w:hint="eastAsia" w:ascii="宋体" w:hAnsi="宋体" w:cs="宋体"/>
          <w:color w:val="000000"/>
          <w:sz w:val="24"/>
          <w:u w:val="none"/>
          <w:lang w:val="en-US" w:eastAsia="zh-CN"/>
        </w:rPr>
        <w:t xml:space="preserve">移交相关设备和数据。</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6.照明智能控制系统</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照明系统升级改造项目主要由智能化系统升级改造项目及高效节能灯具更新改造项目组成。项目所采购的灯具必须为高光效节能LED灯具，并搭配智能控制系统进行升级改善。</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照明系统运用智能、大数据、AI等新兴技术，通过将智能感应模块、通信模块集成于LED灯具中，使其将传感、通信融为一体，并通过智能网关接入云端平台，实现单灯及多灯组网感应、远程控制、数据采集、数据统计与分析等功能，有效提升地下停车场及各类公共区域照明系统的智能化水平，在不降低客户体验的前提下实现高效节能、降低人力维护成本。</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系统由部署在云原生集群上的应用微服务容器构成，具备高可用、资源弹性伸缩、负载均衡、故障转移等云原生的特性。平台设备接入层采用多协议报文转换服务，可快速接入各种新设备，并转换成SaaS平台标准报文格式，接入并发可达5000TPS，吞吐量可达GB/s。云端节能策略管理支持机器学习节能算法模型云端下发。数据存储（结构化和非结构化）采用用户隔离模式。终端边缘云用户端全流量可加密。</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系统功能要求如下：</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(1)为公区部分照明配套云平台管理系统，平台需体现能耗数据、环境数据等。</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(2)分权分域管理：可根据不同人员设置不同管理权限，设计不同层级的控制。</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(3)用户行为感知：可感知温湿度、照度等数据作为联动策略的触发器，触发“人走关灯”等动作。</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(4)智能灯具远程控制：支持对智能灯具进行信息查询及远程控制，包括设置亮灯模式、有人亮度分档调节（1-10档或20%-60%）、无人亮度分档调节（0-10档或20%-60%）、延时调节（1-5档或20-600s）、亮灯灭灯速度调节（1-3档或2-6s）、数据转发跳数（0-20跳）控制，支持单灯控制、群组控制、区域控制等功能配置。</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(5)所有智能照明数据应统一接入本项目建设的能源管控平台，实现与其他子系统的联动控制和综合能耗分析。</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7.其他节能改造内容 </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投标人经现场考察后，可提出其他类别节能改造方案合理化建议；改造方案须合理、科学，能够准确地计算出改造后的能耗水平及节能量。</w:t>
      </w:r>
      <w:r/>
    </w:p>
    <w:p>
      <w:pPr>
        <w:ind w:left="495" w:hanging="495"/>
        <w:rPr>
          <w:rFonts w:hint="eastAsia" w:ascii="宋体" w:hAnsi="宋体" w:cs="宋体"/>
          <w:b/>
          <w:color w:val="000000"/>
          <w:sz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九</w:t>
      </w:r>
      <w:r>
        <w:rPr>
          <w:rFonts w:hint="eastAsia" w:ascii="宋体" w:hAnsi="宋体" w:cs="宋体"/>
          <w:b/>
          <w:color w:val="000000"/>
          <w:sz w:val="24"/>
          <w:lang w:val="zh-CN" w:eastAsia="zh-CN"/>
        </w:rPr>
        <w:t xml:space="preserve">、项目实施要求</w:t>
      </w:r>
      <w:r/>
    </w:p>
    <w:p>
      <w:pPr>
        <w:ind w:firstLine="480"/>
        <w:spacing w:line="400" w:lineRule="atLeast"/>
        <w:rPr>
          <w:rFonts w:hint="eastAsia" w:ascii="宋体" w:hAnsi="宋体" w:cs="宋体"/>
          <w:b/>
          <w:bCs/>
          <w:color w:val="000000"/>
          <w:sz w:val="24"/>
          <w:u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（一）</w:t>
      </w:r>
      <w:r>
        <w:rPr>
          <w:rFonts w:hint="eastAsia" w:ascii="宋体" w:hAnsi="宋体" w:cs="宋体"/>
          <w:b/>
          <w:bCs/>
          <w:color w:val="000000"/>
          <w:sz w:val="24"/>
          <w:u w:val="none"/>
          <w:lang w:val="zh-CN" w:eastAsia="zh-CN"/>
        </w:rPr>
        <w:t xml:space="preserve">改造建设周期</w:t>
      </w:r>
      <w:r/>
    </w:p>
    <w:p>
      <w:pPr>
        <w:ind w:firstLine="480"/>
        <w:spacing w:line="400" w:lineRule="atLeast"/>
        <w:rPr>
          <w:rFonts w:hint="eastAsia" w:ascii="宋体" w:hAnsi="宋体" w:cs="宋体"/>
          <w:b/>
          <w:bCs/>
          <w:i/>
          <w:iCs/>
          <w:color w:val="000000"/>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i/>
          <w:iCs/>
          <w:color w:val="000000"/>
          <w:sz w:val="24"/>
          <w:u w:val="single"/>
          <w:lang w:val="en-US" w:eastAsia="zh-CN"/>
        </w:rPr>
        <w:t xml:space="preserve">签订合同之日起360日历天内完成平台部署及节能技术改造建设，改造时不得影响采购人的水电气各系统的使用和正常工作秩序。（投标人应在投标文件中提供承诺函，承诺函格式自拟。） </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（二）施工管理总体要求</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1.统筹制定节能改造计划并报采购人备案，如期完成预定节能改造目标，确保工程质量。</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2.对原有设备进行升级改造的，需要保证原有设备的正常运行。</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3.现场施工不得影响或干扰采购人的正常办公。</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4.因能源改造而新安装的所有设备设施的维护由投标人负责，及时发现并解决故障，保证检修合格率100%，保障设备完好率100%。</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5.保障各设施设备的正常运行，运行设备设施相关区域内各项指标需符合国家相关规定和标准。</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6.如因投标人员责任造成的损失由投标人负责赔偿，投标人负责安全施工，发生安全事故由投标人自行承担。</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7.工作人员在现场作业时，应遵守采购人的相关管理及安全制度，对于不遵守操作规程及安全管理制度等所造成的一切后果及损失均由中标人负责。</w:t>
      </w:r>
      <w:r/>
    </w:p>
    <w:p>
      <w:pPr>
        <w:ind w:firstLine="480"/>
        <w:spacing w:line="400" w:lineRule="atLeast"/>
        <w:rPr>
          <w:rFonts w:hint="eastAsia"/>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（三）项目施工质量控制要求</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1.质量管理制度与组织保障</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投标人需建立专项项目质量管理制度，设立专职质量管理人员，明确项目经理、技术负责人、质量员、施工员、技术员等各岗位质量职责，构建层级清晰、权责分明的质量管理组织架构。落实质量终身责任制，所有施工环节专人监管、专人负责，杜绝质量管理缺位、监管空白等问题。同时建立质量考核、质量奖惩、质量追责机制，将质量管控要求落实到每一道工序、每一位施工人员，从组织体系上保障项目施工质量可控、可靠。</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2.施工前期质量预控管理</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项目开工前，需组织全员开展专项技术交底、质量规范培训与施工方案会审工作，结合本项目空调改造、终端智能改造、光伏建设、照明节水改造等多分项工程特点，梳理各分项施工重难点、质量控制点、施工规范要求及常见质量隐患。提前完成现场勘察、基准复核、管线点位定位、设备适配核验等前期工作，针对新旧系统对接、隐蔽工程施工、智能化设备安装等关键环节制定专项质量预控方案，提前规避施工偏差、设备适配不符、施工工艺不达标等质量问题。</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3.材料与设备进场质量管控</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建立严格的设备、材料进场检验制度，本项目所用的光伏组件、电气设备、智能控制终端、节能设备、管材线缆、照明器具、节水设备等所有进场物资，均需具备合格证书、检测报告、资质证明等完整资料。进场后需按规范要求进行抽样复检、外观核查、参数核验，严禁不合格材料、劣质设备、参数不符设备进场使用。对所有进场物资进行分类存放、规范管理，做好防潮、防尘、防损坏保护，保障施工原材料、核心设备的基础质量。</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4.施工工序全过程质量管控</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严格执行标准化施工工序流程，实行“工序自检、班组互检、专职专检、监理验收”的三检一验制度，上一道工序质量验收合格后方可进入下一道工序施工。针对管线敷设、设备安装、线路接线、系统调试、光伏基础施工、隐蔽工程施工等关键工序、特殊工序，安排专职质量员全程旁站监督，实时记录施工过程质量情况，及时纠正不规范施工行为，杜绝偷工减料、工艺不达标、施工偏差等质量问题，确保每一道施工工序均符合国家及行业规范标准。</w:t>
      </w:r>
      <w:r/>
    </w:p>
    <w:p>
      <w:pPr>
        <w:ind w:firstLine="480"/>
        <w:spacing w:line="400" w:lineRule="atLeast"/>
        <w:rPr>
          <w:rFonts w:hint="eastAsia"/>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（四）项目施工进度保证要求</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1.整体进度规划与节点管控</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投标人需结合项目全部建设内容，科学划分项目施工阶段，明确项目前期筹备、现场勘察、方案落地、材料设备进场、分项工程施工、系统安装调试、整体联调、整改优化、竣工验收、交付移交等全流程施工阶段。细化各阶段、各分项工程的施工工期、起止时间、施工任务与建设目标，制定详细的总进度计划表、阶段性进度计划表、分项工程进度计划表。</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2.专项资源配置进度保障</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根据各阶段施工进度计划，提前做好人力、设备、材料、机械、技术、资金全方位资源保障规划。依据施工强度匹配充足的专业施工人员、技术人员、管理人员；提前梳理所有施工设备、智能化终端采购、生产、运输、进场计划，预留物资进场缓冲周期，杜绝材料短缺、设备滞后进场导致的停工、工期延误问题。同时配套足额施工机械设备、检测调试工具，保障各阶段施工工作高效有序开展，为工期推进提供坚实资源支撑。</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3.交叉施工统筹协调保障</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本项目涵盖光伏建设、智能化安装、节水照明改造、系统集成调试等多专业工程，存在大量交叉施工场景。投标人需制定完善的交叉施工协调方案，合理排布各专业施工顺序、施工区域、施工时段，明确各工种施工衔接流程与交接标准，规避不同工种、不同分项施工相互干扰、现场冲突、工序脱节等问题。建立常态化现场协调机制，定期对接甲方、监理单位及各施工班组，及时解决交叉施工中的衔接难题，保障各分项工程同步推进、互不影响、高效衔接。</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4.常态化进度巡检与动态管控</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建立项目进度日常巡检和月复盘的动态管控机制，每月开展整体工期进度汇总分析，精准把控项目实时施工进度。对进度超前、正常、滞后的施工环节进行分类管控，实时掌握项目整体工期推进状态，提前预判进度风险，杜绝小问题积累导致工期大面积滞后，确保项目整体进度始终处于可控范围。</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（五）项目安全文明施工和环境保护要求</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bookmarkStart w:id="5" w:name="_Toc308513313"/>
      <w:r/>
      <w:bookmarkStart w:id="6" w:name="_Toc448424458"/>
      <w:r/>
      <w:bookmarkStart w:id="7" w:name="_Toc308032008"/>
      <w:r>
        <w:rPr>
          <w:rFonts w:hint="eastAsia" w:ascii="宋体" w:hAnsi="宋体" w:cs="宋体"/>
          <w:b/>
          <w:bCs/>
          <w:color w:val="000000"/>
          <w:sz w:val="24"/>
          <w:u w:val="none"/>
          <w:lang w:val="en-US" w:eastAsia="zh-CN"/>
        </w:rPr>
        <w:t xml:space="preserve">1.安全文明目标</w:t>
      </w:r>
      <w:bookmarkEnd w:id="5"/>
      <w:r/>
      <w:bookmarkEnd w:id="6"/>
      <w:r/>
      <w:bookmarkEnd w:id="7"/>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安全文明施工达到国家和地方有关安全生产的法律、法规、规范、标准和规程等的要求，施工现场不发生安全事故。</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bookmarkStart w:id="8" w:name="_Toc448424460"/>
      <w:r>
        <w:rPr>
          <w:rFonts w:hint="eastAsia" w:ascii="宋体" w:hAnsi="宋体" w:cs="宋体"/>
          <w:b/>
          <w:bCs/>
          <w:color w:val="000000"/>
          <w:sz w:val="24"/>
          <w:u w:val="none"/>
          <w:lang w:val="en-US" w:eastAsia="zh-CN"/>
        </w:rPr>
        <w:t xml:space="preserve">2.安全文明管理</w:t>
      </w:r>
      <w:bookmarkEnd w:id="8"/>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投标人须认真贯彻国家、地方政府和上级劳动保护、安全生产主管部门等颁发的有关安全生产、消防工作的法规、制度、方针、政策，严格执行有关劳动保护法规、条例、规定。</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安全管</w:t>
      </w:r>
      <w:r>
        <w:rPr>
          <w:rFonts w:hint="eastAsia" w:ascii="宋体" w:hAnsi="宋体" w:cs="宋体"/>
          <w:color w:val="000000"/>
          <w:sz w:val="24"/>
          <w:u w:val="none"/>
          <w:lang w:val="en-US" w:eastAsia="zh-CN"/>
        </w:rPr>
        <w:t xml:space="preserve">理采用投标人负责制，投标人对施工现场和生活区的安全全面负责，施工期间投标人须负责参与工程施工的所有工作人员安全管理。投标人应时刻关注和采取适当措施保障所有在场工作人员的安全，保证工程施工安全，现场施工应当保持有条不紊，并建立应急预案；负责已完工部分工程的保护工作；应做好防雷电、防火等的安全防护工作；应负责提供照明、警卫、警告标志等安全防护措施，承担施工现场和施工人员的治安、环境卫生、防疫、外来人员暂住手续等管理工作和相关费用；若发生任何事故，均由投标人全部负责，与采购人无关，如因此造成采购人损失还应予赔偿。</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3.文明环保</w:t>
      </w:r>
      <w:r/>
    </w:p>
    <w:p>
      <w:pPr>
        <w:ind w:firstLine="480"/>
        <w:spacing w:line="400" w:lineRule="atLeast"/>
        <w:rPr>
          <w:rFonts w:hint="eastAsia" w:ascii="宋体" w:hAnsi="宋体" w:cs="宋体"/>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投标人须遵守环保规范性文件，履行环保社会责任，采取合理的环境保护管理措施。</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（六）项目施工组织计划要求</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1.人员组织</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供应商应为本项目配备经验丰富的项目团队，团队骨干成员应有能源系统管理、公共建筑节能改造、空调系统运维等相关经验。供应商应保证项目团队的主要人员的稳定性，在未经过采购人同意的情况下，供应商不得随意更换人员。采购人或供应商认为需要更换项目经理或项目团队成员时，均应提早两周向对方申明原因，供应商应同时提出新的符合合同要求的项目经理或项目团队成员人选，经采购人同意并办理交接手续后方可更换。</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供应商应配备专业技术团队为本项目提供专业技术支持服务，同时专业技术团队应对采购人指派的操作人员进行适当的培训，以使其能承担相应的操作和设施维护要求。合同期内供应商应当确保其工作人员或者其聘请的第三方在项目实施、运行的整个过程中遵守采购人的相关规章制度。</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供应商应配备专业技术团队为本项目提供专业技术支持服务，专业技术人员应来自不同的专业领域，其中运维保障团队应配备相关专业资格证书（如高压电工、低压电工、高处作业等）。</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2.进度管理</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供应商应有详细计划，明确每个阶段的阶段目标、阶段交付物的成果、验收依据、双方的责任和义务等。节能改造实施方案经采购人同意，供应商应按项目方案文件规定的技术标准和要求以及本合同的规定，在规定时间内完成具体项目的方案设计、建设及验收。</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3.风险管理</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实际运行过程中，风险随时可能出现，供应商应根据项目实际情况加强风险管理，做好风险的识别，风险的量化分析，制定风险的应对预案。供应商应当确保其工作人员和其聘请的第三方严格遵守采购人有关施工场地安全和卫生等方面的规定，并听从采购人合理的现场指挥。</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4.服务质量</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供应商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人合理的特有的施工、管理、质量要求。满足采购人对质量的要求。供应商应根据整个项目周期的工作计划，对阶段性工作成果进行审查和测试，并向项目单位提交阶段性工作成果。通过保证各阶段性成果的质量，最终保证整个项目的质量。供应商应针对项目制定详细的质量管理方案。</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（七）项目运维服务要求</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正式托管后，由中标人组建专业运维团队，对项目具体实施过程中的问题进行协调解决，对合同期内其投资建设的设施设备提供运维保障。公共机构可自行或委托第三方机构定期开展项目整体节能效果评估，督促中标人改进管理方式，保证用能舒适度和节能效果。投标人需定期向采购人提供公共机构节能、碳排放的相关数据分析报告。</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1.运维服务具体要求如下：</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①</w:t>
      </w:r>
      <w:r>
        <w:rPr>
          <w:rFonts w:hint="eastAsia" w:ascii="宋体" w:hAnsi="宋体" w:cs="宋体"/>
          <w:b w:val="0"/>
          <w:bCs w:val="0"/>
          <w:color w:val="000000"/>
          <w:sz w:val="24"/>
          <w:u w:val="none"/>
          <w:lang w:val="en-US" w:eastAsia="zh-CN"/>
        </w:rPr>
        <w:t xml:space="preserve">定期对能源管理项目进行巡视，完善档案记录，保证设备安全、正常运行。</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②</w:t>
      </w:r>
      <w:r>
        <w:rPr>
          <w:rFonts w:hint="eastAsia" w:ascii="宋体" w:hAnsi="宋体" w:cs="宋体"/>
          <w:b w:val="0"/>
          <w:bCs w:val="0"/>
          <w:color w:val="000000"/>
          <w:sz w:val="24"/>
          <w:u w:val="none"/>
          <w:lang w:val="en-US" w:eastAsia="zh-CN"/>
        </w:rPr>
        <w:t xml:space="preserve">建立切实可行的设备设施维护制度、完善的售后服务体系。</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③</w:t>
      </w:r>
      <w:r>
        <w:rPr>
          <w:rFonts w:hint="eastAsia" w:ascii="宋体" w:hAnsi="宋体" w:cs="宋体"/>
          <w:b w:val="0"/>
          <w:bCs w:val="0"/>
          <w:color w:val="000000"/>
          <w:sz w:val="24"/>
          <w:u w:val="none"/>
          <w:lang w:val="en-US" w:eastAsia="zh-CN"/>
        </w:rPr>
        <w:t xml:space="preserve">配合采购人其他相关部门的常规检测和问询。</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④</w:t>
      </w:r>
      <w:r>
        <w:rPr>
          <w:rFonts w:hint="eastAsia" w:ascii="宋体" w:hAnsi="宋体" w:cs="宋体"/>
          <w:b w:val="0"/>
          <w:bCs w:val="0"/>
          <w:color w:val="000000"/>
          <w:sz w:val="24"/>
          <w:u w:val="none"/>
          <w:lang w:val="en-US" w:eastAsia="zh-CN"/>
        </w:rPr>
        <w:t xml:space="preserve">提供合理可行的应急响应及服务承诺。</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⑤</w:t>
      </w:r>
      <w:r>
        <w:rPr>
          <w:rFonts w:hint="eastAsia" w:ascii="宋体" w:hAnsi="宋体" w:cs="宋体"/>
          <w:b w:val="0"/>
          <w:bCs w:val="0"/>
          <w:color w:val="000000"/>
          <w:sz w:val="24"/>
          <w:u w:val="none"/>
          <w:lang w:val="en-US" w:eastAsia="zh-CN"/>
        </w:rPr>
        <w:t xml:space="preserve">提供合理可行的维护保养方案。</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⑥</w:t>
      </w:r>
      <w:r>
        <w:rPr>
          <w:rFonts w:hint="eastAsia" w:ascii="宋体" w:hAnsi="宋体" w:cs="宋体"/>
          <w:b w:val="0"/>
          <w:bCs w:val="0"/>
          <w:color w:val="000000"/>
          <w:sz w:val="24"/>
          <w:u w:val="none"/>
          <w:lang w:val="en-US" w:eastAsia="zh-CN"/>
        </w:rPr>
        <w:t xml:space="preserve">中标人维护人员应严格按照标准规范和安全规程开展维护工作，由于自身操作失误产生的事故责任由中标人自行负责。</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2.售后服务要求如下：</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①</w:t>
      </w:r>
      <w:r>
        <w:rPr>
          <w:rFonts w:hint="eastAsia" w:ascii="宋体" w:hAnsi="宋体" w:cs="宋体"/>
          <w:b w:val="0"/>
          <w:bCs w:val="0"/>
          <w:color w:val="000000"/>
          <w:sz w:val="24"/>
          <w:u w:val="none"/>
          <w:lang w:val="en-US" w:eastAsia="zh-CN"/>
        </w:rPr>
        <w:t xml:space="preserve">及时响应：24小时接受紧急故障处理和技术性服务，对采购人所反映的任何问题立即响应，2小时内到达现场实地解决问题。若因故障不能及时修复而影响系统运作的，应将故障及时通知采购人，同时做好相应的补救措施，大修时及时上报采购人并提供解决方案。</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②</w:t>
      </w:r>
      <w:r>
        <w:rPr>
          <w:rFonts w:hint="eastAsia" w:ascii="宋体" w:hAnsi="宋体" w:cs="宋体"/>
          <w:b w:val="0"/>
          <w:bCs w:val="0"/>
          <w:color w:val="000000"/>
          <w:sz w:val="24"/>
          <w:u w:val="none"/>
          <w:lang w:val="en-US" w:eastAsia="zh-CN"/>
        </w:rPr>
        <w:t xml:space="preserve">人员培训：人员培训的目的是使采购人工作人员了解、掌握本项目所涉及的各种技术、设备和系统构成，便于采购人协助开展系列节能管理工作。培训方式可以采取集中、远程、个人培训等多种方式，集中培训课时不少于12课时。采购人项目负责人员变动时，要及时进行补训。</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③</w:t>
      </w:r>
      <w:r>
        <w:rPr>
          <w:rFonts w:hint="eastAsia" w:ascii="宋体" w:hAnsi="宋体" w:cs="宋体"/>
          <w:b w:val="0"/>
          <w:bCs w:val="0"/>
          <w:color w:val="000000"/>
          <w:sz w:val="24"/>
          <w:u w:val="none"/>
          <w:lang w:val="en-US" w:eastAsia="zh-CN"/>
        </w:rPr>
        <w:t xml:space="preserve">安全责任：工作人员在现场作业时，应遵守采购人的相关管理及安全制度，对于不遵守操作规程及安全管理制度等所造成的一切后果及损失均由中标人负责。</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3.保密措施要求如下：</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中标人与采购人签署保密协议，并严格遵照执行。本项目所有文档及本项目所接触的双方资料，未经采购人授权代表书面许可，不向与合同无关的其他方泄漏任何技术文件或与合同有关的数据，包括合同本身；技术保障人员负有保密义务，应严格遵守各项保密规定，未经授权，不得接触与此业务不相关的信息数据，不能擅自拷贝任何文件和数据并携带出工作区域。</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4.节能量核定</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节能量核定一般以一年或一个能源消费周期为一个时间长度，由双方协商确定或委托第三方机构核定。首次节能量核定在节能改造完成后满一年的次月进行，确认节能改造后是否能达到预期节能目标，如未达标，中标人对节能改造内容及时予以调整。因建筑运行工况、使用功能、用能设备、用能人数等发生较大变化，造成节能量与预期存在较大差距的，可按合同约定协商调整。</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5.资产管理</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合同履行期满后，中标人将其投资形成的项目资产（包括设备资产和因项目形成的数据、碳交易权等无形资产，相关资料等）无偿移交给公共机构，公共机构按照有关制度对移交的资产进行会计处理。合同能源管理项目涉及原有设备设施等国有资产处置的，按照国有资产管理有关规定执行。</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如该项目设备资产的继续使用需要乙方的相关技术或相关知识产权的授权，中标人应当无偿向采购人提供仅适用于本项目的该等授权。如该项目设备资产的继续使用涉及第三方的服务，该服务的费用由采购人承担。</w:t>
      </w:r>
      <w:r/>
    </w:p>
    <w:p>
      <w:pPr>
        <w:ind w:firstLine="480"/>
        <w:spacing w:line="400" w:lineRule="atLeast"/>
        <w:rPr>
          <w:rFonts w:hint="eastAsia" w:ascii="宋体" w:hAnsi="宋体" w:eastAsia="宋体" w:cs="仿宋"/>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6.培训与移交要求 </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①人员培训的目的是使采购人工作人员了解、掌握本项目所涉及的各种技术和设备。定期组织开展对采购人一般工作人员进行培训，培训方式可以采取集中、远程、个人培训等多种方式。</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②如该项目财产的继续使用需要投标人的相关技术或相关知识产权的授权，投标人应当无偿向采购人提供仅适用于本项目的授权，并作出相关承诺（格式自拟），否则视为不满足要求。</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7.人员配置</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为保障托管期内项目运营，供应商需配置8名及以上驻场人员，服务内容包括但不限于对招标范围内的系统与设施设备进行运营管理，协助公共机构梳理能源管理流程，实现公共机构能源费用的降低和能源高效利用。</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8.其他要求</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①投标人应对其工作人员进行专业技术培训和安全生产的防护及教育，投标人应全面独立负责其员工的工资和各项保险事宜，全面独立负责其员工的人身伤亡、意外伤害等事项。因投标人原因导致采购人或第三方人身伤害、财产损失的，由投标人承担全部责任。</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②投标人应确保其工作人员严格遵守采购人有关施工场地的安全和卫生方面的规定，并听从采购人合理的现场指挥。乙方应确保其工作人员在项目实施、运行的整个过程中遵守相关法律法规，以及采购人的相关规章制度。</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③</w:t>
      </w:r>
      <w:r>
        <w:rPr>
          <w:rFonts w:hint="eastAsia" w:ascii="宋体" w:hAnsi="宋体" w:cs="宋体"/>
          <w:b w:val="0"/>
          <w:bCs w:val="0"/>
          <w:color w:val="000000"/>
          <w:sz w:val="24"/>
          <w:u w:val="none"/>
          <w:lang w:val="en-US" w:eastAsia="zh-CN"/>
        </w:rPr>
        <w:t xml:space="preserve">本项目投标人投资的节能设施设备，须保证可以在连续 10 年以上仍可正常运行。</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④</w:t>
      </w:r>
      <w:r>
        <w:rPr>
          <w:rFonts w:hint="eastAsia" w:ascii="宋体" w:hAnsi="宋体" w:cs="宋体"/>
          <w:b w:val="0"/>
          <w:bCs w:val="0"/>
          <w:color w:val="000000"/>
          <w:sz w:val="24"/>
          <w:u w:val="none"/>
          <w:lang w:val="en-US" w:eastAsia="zh-CN"/>
        </w:rPr>
        <w:t xml:space="preserve">在安装过程中，需对原有建筑及装饰、路面、设备等设施进行破坏的，由投标人自行复原，费用自行承担。</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i w:val="0"/>
          <w:iCs w:val="0"/>
          <w:caps w:val="0"/>
          <w:color w:val="222222"/>
          <w:spacing w:val="0"/>
          <w:sz w:val="24"/>
          <w:szCs w:val="24"/>
          <w:shd w:val="clear" w:color="auto" w:fill="ffffff"/>
        </w:rPr>
        <w:t xml:space="preserve">⑤</w:t>
      </w:r>
      <w:r>
        <w:rPr>
          <w:rFonts w:hint="eastAsia" w:ascii="宋体" w:hAnsi="宋体" w:cs="宋体"/>
          <w:b w:val="0"/>
          <w:bCs w:val="0"/>
          <w:color w:val="000000"/>
          <w:sz w:val="24"/>
          <w:u w:val="none"/>
          <w:lang w:val="en-US" w:eastAsia="zh-CN"/>
        </w:rPr>
        <w:t xml:space="preserve">采购人有特殊需求（不违反国家相关规定）情况下，投标人应满足采购人需求。</w:t>
      </w:r>
      <w:r/>
    </w:p>
    <w:p>
      <w:pPr>
        <w:ind w:left="495" w:hanging="495"/>
        <w:rPr>
          <w:rFonts w:hint="eastAsia" w:ascii="宋体" w:hAnsi="宋体" w:cs="宋体"/>
          <w:b/>
          <w:color w:val="000000"/>
          <w:sz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十、</w:t>
      </w:r>
      <w:r>
        <w:rPr>
          <w:rFonts w:hint="eastAsia" w:ascii="宋体" w:hAnsi="宋体" w:cs="宋体"/>
          <w:b/>
          <w:color w:val="000000"/>
          <w:sz w:val="24"/>
          <w:lang w:val="zh-CN" w:eastAsia="zh-CN"/>
        </w:rPr>
        <w:t xml:space="preserve">项目方案要求</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（一）节能现状诊断分析方案要求</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投标人须</w:t>
      </w:r>
      <w:r>
        <w:rPr>
          <w:rFonts w:hint="eastAsia" w:ascii="宋体" w:hAnsi="宋体" w:cs="宋体"/>
          <w:b w:val="0"/>
          <w:bCs w:val="0"/>
          <w:color w:val="000000"/>
          <w:sz w:val="24"/>
          <w:u w:val="none"/>
          <w:lang w:val="en-US" w:eastAsia="zh-CN"/>
        </w:rPr>
        <w:t xml:space="preserve">立足本项目整体运营场景，针对项目现阶段整体用能架构、各类机电设备、用电终端、照明系统、用水系统、现有光伏配套设施的实际运行工况、日常能耗规律、设备运行年限及整体管控模式开展全方位、系统性的节能现状诊断分析工作。需全面排查项目当前在用能管理、设备运行、系统管控、资源利用等方面存在的短板、漏洞与各类能源浪费问题，精准梳理项目各类能耗偏高点位、设备低效运行环节、智能化管控缺失等核心痛点，系统分析问题产生的根本原因，科学研判项目整体节能改造空间与提质增效潜力，形成体系完整、逻辑严谨、贴合现场实际的现状诊断分析内容。</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根据该项目提供符合采购人情况的节能现状诊断分析方案，包括但不限于项目现有设施设备状况、运行能耗历史数据、能耗短板与浪费问题梳理、问题根源深度剖析以及节能改造潜力研判等内容。</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（二）项目理解与需求分析方案要求</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投标人须深度结合本项目绿色低碳建设背景、项目智慧化升级发展规划、日常运营管理实际需求及行业节能改造建设标准，全面、系统、深入阐述对本项目建设定位、建设价值、核心目标的整体认知与理解。需围绕项目降本增效、智能管控、安全运营、绿色示范、长效发展等多个维度，全面梳理本项目建设的必要性与现实意义。</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整体需求分析需紧密贴合项目真实运营场景，贴合项目建设定位，内容全面、逻辑清晰、重点突出、针对性极强，能够精准匹配甲方智能化、节能化、规范化的整体建设诉求。</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根据该项目提供符合采购人情况的项目理解与需求分析方案，内容包括但不限于项目整体建设需求、核心功能需求、设备升级需求、智能管控需求、运营管理需求及远期扩容升级拓展需求。</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（三）空调系统节能改造方案要求</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针对项目现有中央空调、分体空调、冷站机房等全套空调系统长期运行存在的整体能耗偏高、运行模式粗</w:t>
      </w:r>
      <w:r>
        <w:rPr>
          <w:rFonts w:hint="eastAsia" w:ascii="宋体" w:hAnsi="宋体" w:cs="宋体"/>
          <w:b w:val="0"/>
          <w:bCs w:val="0"/>
          <w:color w:val="000000"/>
          <w:sz w:val="24"/>
          <w:u w:val="none"/>
          <w:lang w:val="en-US" w:eastAsia="zh-CN"/>
        </w:rPr>
        <w:t xml:space="preserve">放、智能化管控程度不足、负荷调节不精准、系统运行能效偏低、人工运维成本较高、设备适配性差等普遍性问题，投标人需统筹全局制定科学规范、合理可行、效果显著的空调系统节能智能化整体改造方案。需围绕系统能效提升、智能运行优化、精细化管控、能耗压降、设备长效稳定运行的核心目标，通过优化设备运行逻辑、升级智能控制模块、完善负荷自适应调节机制、优化机房整体运行策略、规范系统启停管控模式等多种方式，全面优化空调系统整体运行状态，有效降低空调系统综合能耗，提升系统自动化、智能化管控水平，保障空调系统全年高效、稳定、节能运行。</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根据该项目提供符合采购人情况的空调系统节能改造方案，内容包括但不限于项目各机构空调系统现存能耗及管控痛点分析、老旧设备更换方案、空调系统功能配置、智能控制模块升级、负荷自适应策略、机房运行优化、节能策略等。</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（四）分散终端设备智能控制系统改造方案要求</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项目现阶段各类分散式用电终端存在点位分散、管控独立、无集中管理平台、能耗数据无法统计、设备运行状态不可监控、异常工况无法及时预警、整体智能化管控水平薄弱等诸多管理短板。投标人需针对上述现存问题，制定系统化、一体化的分散终端设备智能控制系统改造方案，实现项目末端用电设备的运行状态实时监控、用电数据自动采集设备异常自动告警等核心功能，全面补齐项目终端设备智能化管控短板，大幅提升项目用电设备精细化、标准化、智能化管理能力，实现终端用电能耗精准管控、有效压降。</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根据该项目提供符合采购人情况的分散终端设备智能控制系统改造方案，内容包括但不限于项目各机构分散终端设备智能控制系统功能、异常告警策略、终端能耗管控策略等。</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（五）分布式光伏电站建设方案要求</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投标人须充分结合项目屋面结构条件、荷载承载能力、场地可用空间、区域光照资源分布、现有配电系统接入条件及项目用电负荷特性，严格依据国家及行业分布式光伏建设、电气安全、并网验收相关标准规范，制定合规安全、科学合理、经济高效、落地性强的分布式光伏电站整体建设方案。科学规划光伏系统整体建设架构，保障光伏电站建成后安全可靠、稳定高效、长期运行，充分挖掘项目清洁能源利用潜力，有效提升项目自发自用清洁能源占比，助力项目达成节能降碳、绿色发展的整体建设目标。</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根据该项目提供符合采购人情况的分别式光伏电站建设方案，内容包括但不限于项目屋面荷载勘测、光伏组件参数选型、并网接入与配电匹配方案、光伏运行策略、安全防护配置等。</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（六）节水改造方案要求</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针对项目现阶段用水系统存在的设施老旧、管控方式粗放、无精准计量手段、管网存在损耗、用水浪费现象突出、节水管理体系不完善等各类短板问题，投标人需制定系统性、全方位的项目节水升级改造方案。通过升级替换节水型设施设备、搭建用水智能管控机制、优化日常节水管理策略等多种改造方式，全面完善项目用水基础设施配套，构建精细化、智能化、规范化的节水管控体系，有效降低项目管网漏损及无效用水损耗，全方位提升项目水资源利用效率，实现项目节水降耗、绿色节水的建设目标。</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根据该项目提供符合采购人情况的节水改造方案，内容包括但不限于项目用水设备参数摸排、老旧节水设备更换、智能计量设备配置、管网改造优化、节水管控策略、漏损监测机制。</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（七）照明智能控制系统改造方案要求</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项目现有传统照明系统普遍存在设备能耗高、管控模式单一、依赖人工启停、无智能调控策略、无效照明时长较多、能耗浪费严重、故障排查繁琐、智能化程度偏低等问题。投标人需结合项目不同区域照明使用场景与管控需求，制定针对性的照明智能控制系统整体改造方案，搭建全覆盖、智能化、可调控的项目照明管控体系，实现照明智能化升级，全面优化项目照明运行模式，有效压降照明系统综合能耗，显著提升项目照明系统智能化管控水平与节能运行效果。</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根据该项目提供符合采购人情况的照明智能控制系统改造方案，内容包括但不限于项目低效灯具更换、智能控制模块配置、分区场景配置、智能照明策略、故障监测机制。</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（八）项目实施方案要求</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投标人须严格遵守国家、行业现行的工程施工规范、质量验收标准及安全生产相关规定，结合本项目多系统、多专业、多地点的建设特点，建立健全全覆盖、全流程、可落地的项目施工质量管控体系。需制定完善、细化、针对性强的全过程施工质量控制措施，涵盖施工前期技术交底、设备材料进场检验、施工工序标准化管控等全环节工作，对项目施工全过程、全工序、全专业进行严格质量把控，全面规避施工质量隐患，确保项目整体施工质量完全达标，全部工程满足规范验收标准及甲方长期使用要求。</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投标人须严格对标本项目整体工期要求，结合项目建设内容多、施工范围广、现场工况复杂、多分项同步推进的建设特点，科学统筹规划项目整体施工节奏，制定详实合理、可落地、可管控的阶段性施工进度计划。需建立完善的工期保障管理机制，明确项目各阶段、各分项工程的施工节点、施工顺序、工期排布标准，配套制定人员、设备、材料、技术全方位保障措施，同时针对工期滞后、交叉施工干扰、现场突发情况等风险制定完善的进度补救与应急预案，全方位保障项目施工有序推进，确保项目整体按期、保质、保量完成全部建设、调试、交付工作。</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投标人须严格落实国家安全生产、文明施工、生态环境保护相关管理规定，建立健全项目安全生产、文明施工、环境保护三位一体的现场管理体系。需制定完善的施工现场安全管控方案，</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根据该项目提供符合采购人情况的项目实施方案，包含项目质量控制方案、进度保证方案、项目安全文明施工和环境保护方案等内容。</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（九）项目施工组织计划方案要求</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投标人须制定科学完善、统筹全面、贴合现场的整体施工组织计划。项目施工组织计划做到科学统筹项目各类资源配置，合理协调各分项工程施工节奏，有效规避施工冲突与现场干扰，全方位保障项目整体施工工作规范、高效、有序推进，确保项目建设质量、进度、安全全方位可控。</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根据该项目提供符合采购人情况的项施工组织设计方案，包括但不限于项目专项组织架构、各岗位职责分工、整体施工部署思路、分区施工规划、人力团队配置、施工重难点应对方案等内容。</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（十）项目运维服务方案要求</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投标人须建立体系完善、响应高效、保障长效的项目后期运维服务体系，针对本项目建设完成的光伏电站系统、各类节能改造设备、全域智能控制系统、综合能源管理平台等全部建设内容，提供长期、稳定、专业的售后运维保障服务。需制定全覆盖的运维服务方案，建立闭环运维管理机制，持续保障项目所有设备及智能化系统长期稳定、安全、高效运行，确保项目节能降碳、智能管控的建设成效长期稳定发挥，为项目后期智慧化、节能化运营提供长效技术支撑。</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根据该项目提供符合采购人情况的运维服务方案，包括但不限于设备日常巡检、系统故障维修、软件升级运维、能耗数据分析、专项维保服务、售后响应保障等核心内容。</w:t>
      </w:r>
      <w:r/>
    </w:p>
    <w:p>
      <w:pPr>
        <w:ind w:left="495" w:hanging="495"/>
        <w:rPr>
          <w:rFonts w:hint="eastAsia" w:ascii="宋体" w:hAnsi="宋体" w:cs="宋体"/>
          <w:b/>
          <w:color w:val="000000"/>
          <w:sz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十一、</w:t>
      </w:r>
      <w:r>
        <w:rPr>
          <w:rFonts w:hint="eastAsia" w:ascii="宋体" w:hAnsi="宋体" w:cs="宋体"/>
          <w:b/>
          <w:color w:val="000000"/>
          <w:sz w:val="24"/>
          <w:lang w:val="zh-CN" w:eastAsia="zh-CN"/>
        </w:rPr>
        <w:t xml:space="preserve">商务要求</w:t>
      </w:r>
      <w:r/>
    </w:p>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（一）投标报价</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投标人所报的能源托管费为包干制，投标人的能源托管费报价，视同其能源消费及运维费用。</w:t>
      </w:r>
      <w:r/>
    </w:p>
    <w:p>
      <w:pPr>
        <w:jc w:val="center"/>
        <w:spacing w:line="600" w:lineRule="exact"/>
        <w:widowControl/>
        <w:tabs>
          <w:tab w:val="left" w:pos="420" w:leader="none"/>
        </w:tabs>
        <w:rPr>
          <w:rFonts w:hint="eastAsia" w:ascii="宋体" w:hAnsi="宋体" w:eastAsia="宋体" w:cs="仿宋"/>
          <w:b/>
          <w:bCs/>
          <w:color w:val="auto"/>
          <w:sz w:val="24"/>
          <w:szCs w:val="24"/>
        </w:rPr>
      </w:pPr>
      <w:r>
        <w:rPr>
          <w:rFonts w:ascii="宋体" w:hAnsi="宋体" w:eastAsia="宋体" w:cs="仿宋"/>
          <w:b/>
          <w:bCs/>
          <w:color w:val="auto"/>
          <w:sz w:val="24"/>
          <w:szCs w:val="24"/>
          <w:lang w:bidi="ar"/>
        </w:rPr>
        <w:t xml:space="preserve">托管周期能源基准费用一览表</w:t>
      </w:r>
      <w:r/>
    </w:p>
    <w:tbl>
      <w:tblPr>
        <w:tblStyle w:val="800"/>
        <w:tblW w:w="842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23"/>
        <w:gridCol w:w="4601"/>
      </w:tblGrid>
      <w:tr>
        <w:trPr>
          <w:jc w:val="center"/>
          <w:tblHeader/>
        </w:trPr>
        <w:tc>
          <w:tcPr>
            <w:tcW w:w="3823" w:type="dxa"/>
            <w:vAlign w:val="center"/>
            <w:textDirection w:val="lrTb"/>
            <w:noWrap w:val="false"/>
          </w:tcPr>
          <w:p>
            <w:pPr>
              <w:ind w:firstLine="482"/>
              <w:jc w:val="center"/>
              <w:spacing w:line="600" w:lineRule="exact"/>
              <w:widowControl/>
              <w:rPr>
                <w:rFonts w:hint="eastAsia" w:ascii="宋体" w:hAnsi="宋体" w:eastAsia="宋体" w:cs="仿宋"/>
                <w:b/>
                <w:bCs/>
                <w:color w:val="auto"/>
                <w:sz w:val="24"/>
                <w:szCs w:val="24"/>
              </w:rPr>
            </w:pPr>
            <w:r>
              <w:rPr>
                <w:rFonts w:ascii="宋体" w:hAnsi="宋体" w:eastAsia="宋体" w:cs="仿宋"/>
                <w:b/>
                <w:bCs/>
                <w:color w:val="auto"/>
                <w:sz w:val="24"/>
                <w:szCs w:val="24"/>
                <w:lang w:bidi="ar"/>
              </w:rPr>
              <w:t xml:space="preserve">托管周期</w:t>
            </w:r>
            <w:r/>
          </w:p>
        </w:tc>
        <w:tc>
          <w:tcPr>
            <w:tcW w:w="4601" w:type="dxa"/>
            <w:vAlign w:val="center"/>
            <w:textDirection w:val="lrTb"/>
            <w:noWrap w:val="false"/>
          </w:tcPr>
          <w:p>
            <w:pPr>
              <w:ind w:firstLine="482"/>
              <w:jc w:val="center"/>
              <w:spacing w:line="600" w:lineRule="exact"/>
              <w:widowControl/>
              <w:rPr>
                <w:rFonts w:hint="eastAsia" w:ascii="宋体" w:hAnsi="宋体" w:eastAsia="宋体" w:cs="仿宋"/>
                <w:b/>
                <w:bCs/>
                <w:color w:val="auto"/>
                <w:sz w:val="24"/>
                <w:szCs w:val="24"/>
              </w:rPr>
            </w:pPr>
            <w:r>
              <w:rPr>
                <w:rFonts w:ascii="宋体" w:hAnsi="宋体" w:eastAsia="宋体" w:cs="仿宋"/>
                <w:b/>
                <w:bCs/>
                <w:color w:val="auto"/>
                <w:sz w:val="24"/>
                <w:szCs w:val="24"/>
                <w:lang w:bidi="ar"/>
              </w:rPr>
              <w:t xml:space="preserve">能源基准费</w:t>
            </w:r>
            <w:r/>
          </w:p>
        </w:tc>
      </w:tr>
      <w:tr>
        <w:trPr>
          <w:jc w:val="center"/>
        </w:trPr>
        <w:tc>
          <w:tcPr>
            <w:tcW w:w="3823" w:type="dxa"/>
            <w:vAlign w:val="center"/>
            <w:textDirection w:val="lrTb"/>
            <w:noWrap w:val="false"/>
          </w:tcPr>
          <w:p>
            <w:pPr>
              <w:ind w:firstLine="480"/>
              <w:jc w:val="center"/>
              <w:spacing w:line="600" w:lineRule="exact"/>
              <w:widowControl/>
              <w:rPr>
                <w:rFonts w:hint="eastAsia" w:ascii="宋体" w:hAnsi="宋体" w:eastAsia="宋体" w:cs="仿宋"/>
                <w:color w:val="auto"/>
                <w:sz w:val="24"/>
                <w:szCs w:val="24"/>
              </w:rPr>
            </w:pPr>
            <w:r>
              <w:rPr>
                <w:rFonts w:ascii="宋体" w:hAnsi="宋体" w:eastAsia="宋体" w:cs="仿宋"/>
                <w:color w:val="auto"/>
                <w:sz w:val="24"/>
                <w:szCs w:val="24"/>
                <w:lang w:bidi="ar"/>
              </w:rPr>
              <w:t xml:space="preserve">第一个托管周期</w:t>
            </w:r>
            <w:r/>
          </w:p>
        </w:tc>
        <w:tc>
          <w:tcPr>
            <w:tcW w:w="4601" w:type="dxa"/>
            <w:vAlign w:val="center"/>
            <w:textDirection w:val="lrTb"/>
            <w:noWrap w:val="false"/>
          </w:tcPr>
          <w:p>
            <w:pPr>
              <w:ind w:firstLine="480"/>
              <w:jc w:val="left"/>
              <w:spacing w:line="600" w:lineRule="exact"/>
              <w:widowControl/>
              <w:rPr>
                <w:rFonts w:hint="eastAsia" w:ascii="宋体" w:hAnsi="宋体" w:eastAsia="宋体" w:cs="仿宋"/>
                <w:color w:val="auto"/>
                <w:sz w:val="24"/>
                <w:szCs w:val="24"/>
              </w:rPr>
            </w:pPr>
            <w:r>
              <w:rPr>
                <w:rFonts w:hint="eastAsia" w:ascii="宋体" w:hAnsi="宋体" w:eastAsia="宋体" w:cs="仿宋"/>
                <w:color w:val="auto"/>
                <w:sz w:val="24"/>
                <w:szCs w:val="24"/>
              </w:rPr>
            </w:r>
            <w:r/>
          </w:p>
        </w:tc>
      </w:tr>
      <w:tr>
        <w:trPr>
          <w:jc w:val="center"/>
        </w:trPr>
        <w:tc>
          <w:tcPr>
            <w:tcW w:w="3823" w:type="dxa"/>
            <w:vAlign w:val="center"/>
            <w:textDirection w:val="lrTb"/>
            <w:noWrap w:val="false"/>
          </w:tcPr>
          <w:p>
            <w:pPr>
              <w:ind w:firstLine="480"/>
              <w:jc w:val="center"/>
              <w:spacing w:line="600" w:lineRule="exact"/>
              <w:widowControl/>
              <w:rPr>
                <w:rFonts w:hint="eastAsia" w:ascii="宋体" w:hAnsi="宋体" w:eastAsia="宋体" w:cs="仿宋"/>
                <w:color w:val="auto"/>
                <w:sz w:val="24"/>
                <w:szCs w:val="24"/>
              </w:rPr>
            </w:pPr>
            <w:r>
              <w:rPr>
                <w:rFonts w:ascii="宋体" w:hAnsi="宋体" w:eastAsia="宋体" w:cs="仿宋"/>
                <w:color w:val="auto"/>
                <w:sz w:val="24"/>
                <w:szCs w:val="24"/>
                <w:lang w:bidi="ar"/>
              </w:rPr>
              <w:t xml:space="preserve">第二个托管周期</w:t>
            </w:r>
            <w:r/>
          </w:p>
        </w:tc>
        <w:tc>
          <w:tcPr>
            <w:tcW w:w="4601" w:type="dxa"/>
            <w:vAlign w:val="center"/>
            <w:textDirection w:val="lrTb"/>
            <w:noWrap w:val="false"/>
          </w:tcPr>
          <w:p>
            <w:pPr>
              <w:ind w:firstLine="480"/>
              <w:jc w:val="left"/>
              <w:spacing w:line="600" w:lineRule="exact"/>
              <w:widowControl/>
              <w:rPr>
                <w:rFonts w:hint="eastAsia" w:ascii="宋体" w:hAnsi="宋体" w:eastAsia="宋体" w:cs="仿宋"/>
                <w:color w:val="auto"/>
                <w:sz w:val="24"/>
                <w:szCs w:val="24"/>
              </w:rPr>
            </w:pPr>
            <w:r>
              <w:rPr>
                <w:rFonts w:hint="eastAsia" w:ascii="宋体" w:hAnsi="宋体" w:eastAsia="宋体" w:cs="仿宋"/>
                <w:color w:val="auto"/>
                <w:sz w:val="24"/>
                <w:szCs w:val="24"/>
              </w:rPr>
            </w:r>
            <w:r/>
          </w:p>
        </w:tc>
      </w:tr>
      <w:tr>
        <w:trPr>
          <w:jc w:val="center"/>
        </w:trPr>
        <w:tc>
          <w:tcPr>
            <w:tcW w:w="3823" w:type="dxa"/>
            <w:vAlign w:val="center"/>
            <w:textDirection w:val="lrTb"/>
            <w:noWrap w:val="false"/>
          </w:tcPr>
          <w:p>
            <w:pPr>
              <w:ind w:firstLine="480"/>
              <w:jc w:val="center"/>
              <w:spacing w:line="600" w:lineRule="exact"/>
              <w:widowControl/>
              <w:rPr>
                <w:rFonts w:hint="eastAsia" w:ascii="宋体" w:hAnsi="宋体" w:eastAsia="宋体" w:cs="仿宋"/>
                <w:color w:val="auto"/>
                <w:sz w:val="24"/>
                <w:szCs w:val="24"/>
              </w:rPr>
            </w:pPr>
            <w:r>
              <w:rPr>
                <w:rFonts w:ascii="宋体" w:hAnsi="宋体" w:eastAsia="宋体" w:cs="仿宋"/>
                <w:color w:val="auto"/>
                <w:sz w:val="24"/>
                <w:szCs w:val="24"/>
                <w:lang w:bidi="ar"/>
              </w:rPr>
              <w:t xml:space="preserve">第三个托管周期</w:t>
            </w:r>
            <w:r/>
          </w:p>
        </w:tc>
        <w:tc>
          <w:tcPr>
            <w:tcW w:w="4601" w:type="dxa"/>
            <w:vAlign w:val="center"/>
            <w:textDirection w:val="lrTb"/>
            <w:noWrap w:val="false"/>
          </w:tcPr>
          <w:p>
            <w:pPr>
              <w:ind w:firstLine="480"/>
              <w:jc w:val="left"/>
              <w:spacing w:line="600" w:lineRule="exact"/>
              <w:widowControl/>
              <w:rPr>
                <w:rFonts w:hint="eastAsia" w:ascii="宋体" w:hAnsi="宋体" w:eastAsia="宋体" w:cs="仿宋"/>
                <w:color w:val="auto"/>
                <w:sz w:val="24"/>
                <w:szCs w:val="24"/>
              </w:rPr>
            </w:pPr>
            <w:r>
              <w:rPr>
                <w:rFonts w:hint="eastAsia" w:ascii="宋体" w:hAnsi="宋体" w:eastAsia="宋体" w:cs="仿宋"/>
                <w:color w:val="auto"/>
                <w:sz w:val="24"/>
                <w:szCs w:val="24"/>
              </w:rPr>
            </w:r>
            <w:r/>
          </w:p>
        </w:tc>
      </w:tr>
      <w:tr>
        <w:trPr>
          <w:jc w:val="center"/>
        </w:trPr>
        <w:tc>
          <w:tcPr>
            <w:tcW w:w="3823" w:type="dxa"/>
            <w:vAlign w:val="center"/>
            <w:textDirection w:val="lrTb"/>
            <w:noWrap w:val="false"/>
          </w:tcPr>
          <w:p>
            <w:pPr>
              <w:ind w:firstLine="480"/>
              <w:jc w:val="center"/>
              <w:spacing w:line="600" w:lineRule="exact"/>
              <w:widowControl/>
              <w:rPr>
                <w:rFonts w:hint="eastAsia" w:ascii="宋体" w:hAnsi="宋体" w:eastAsia="宋体" w:cs="仿宋"/>
                <w:color w:val="auto"/>
                <w:sz w:val="24"/>
                <w:szCs w:val="24"/>
              </w:rPr>
            </w:pPr>
            <w:r>
              <w:rPr>
                <w:rFonts w:ascii="宋体" w:hAnsi="宋体" w:eastAsia="宋体" w:cs="仿宋"/>
                <w:color w:val="auto"/>
                <w:sz w:val="24"/>
                <w:szCs w:val="24"/>
                <w:lang w:bidi="ar"/>
              </w:rPr>
              <w:t xml:space="preserve">第四个托管周期</w:t>
            </w:r>
            <w:r/>
          </w:p>
        </w:tc>
        <w:tc>
          <w:tcPr>
            <w:tcW w:w="4601" w:type="dxa"/>
            <w:vAlign w:val="center"/>
            <w:textDirection w:val="lrTb"/>
            <w:noWrap w:val="false"/>
          </w:tcPr>
          <w:p>
            <w:pPr>
              <w:ind w:firstLine="480"/>
              <w:jc w:val="left"/>
              <w:spacing w:line="600" w:lineRule="exact"/>
              <w:widowControl/>
              <w:rPr>
                <w:rFonts w:hint="eastAsia" w:ascii="宋体" w:hAnsi="宋体" w:eastAsia="宋体" w:cs="仿宋"/>
                <w:color w:val="auto"/>
                <w:sz w:val="24"/>
                <w:szCs w:val="24"/>
              </w:rPr>
            </w:pPr>
            <w:r>
              <w:rPr>
                <w:rFonts w:hint="eastAsia" w:ascii="宋体" w:hAnsi="宋体" w:eastAsia="宋体" w:cs="仿宋"/>
                <w:color w:val="auto"/>
                <w:sz w:val="24"/>
                <w:szCs w:val="24"/>
              </w:rPr>
            </w:r>
            <w:r/>
          </w:p>
        </w:tc>
      </w:tr>
      <w:tr>
        <w:trPr>
          <w:jc w:val="center"/>
        </w:trPr>
        <w:tc>
          <w:tcPr>
            <w:tcW w:w="3823" w:type="dxa"/>
            <w:vAlign w:val="center"/>
            <w:textDirection w:val="lrTb"/>
            <w:noWrap w:val="false"/>
          </w:tcPr>
          <w:p>
            <w:pPr>
              <w:ind w:firstLine="480"/>
              <w:jc w:val="center"/>
              <w:spacing w:line="600" w:lineRule="exact"/>
              <w:widowControl/>
              <w:rPr>
                <w:rFonts w:hint="eastAsia" w:ascii="宋体" w:hAnsi="宋体" w:eastAsia="宋体" w:cs="仿宋"/>
                <w:color w:val="auto"/>
                <w:sz w:val="24"/>
                <w:szCs w:val="24"/>
              </w:rPr>
            </w:pPr>
            <w:r>
              <w:rPr>
                <w:rFonts w:ascii="宋体" w:hAnsi="宋体" w:eastAsia="宋体" w:cs="仿宋"/>
                <w:color w:val="auto"/>
                <w:sz w:val="24"/>
                <w:szCs w:val="24"/>
                <w:lang w:bidi="ar"/>
              </w:rPr>
              <w:t xml:space="preserve">第五个托管周期</w:t>
            </w:r>
            <w:r/>
          </w:p>
        </w:tc>
        <w:tc>
          <w:tcPr>
            <w:tcW w:w="4601" w:type="dxa"/>
            <w:vAlign w:val="center"/>
            <w:textDirection w:val="lrTb"/>
            <w:noWrap w:val="false"/>
          </w:tcPr>
          <w:p>
            <w:pPr>
              <w:ind w:firstLine="480"/>
              <w:jc w:val="left"/>
              <w:spacing w:line="600" w:lineRule="exact"/>
              <w:widowControl/>
              <w:rPr>
                <w:rFonts w:hint="eastAsia" w:ascii="宋体" w:hAnsi="宋体" w:eastAsia="宋体" w:cs="仿宋"/>
                <w:color w:val="auto"/>
                <w:sz w:val="24"/>
                <w:szCs w:val="24"/>
              </w:rPr>
            </w:pPr>
            <w:r>
              <w:rPr>
                <w:rFonts w:hint="eastAsia" w:ascii="宋体" w:hAnsi="宋体" w:eastAsia="宋体" w:cs="仿宋"/>
                <w:color w:val="auto"/>
                <w:sz w:val="24"/>
                <w:szCs w:val="24"/>
              </w:rPr>
            </w:r>
            <w:r/>
          </w:p>
        </w:tc>
      </w:tr>
      <w:tr>
        <w:trPr>
          <w:jc w:val="center"/>
        </w:trPr>
        <w:tc>
          <w:tcPr>
            <w:tcW w:w="3823" w:type="dxa"/>
            <w:vAlign w:val="center"/>
            <w:textDirection w:val="lrTb"/>
            <w:noWrap w:val="false"/>
          </w:tcPr>
          <w:p>
            <w:pPr>
              <w:ind w:firstLine="480"/>
              <w:jc w:val="center"/>
              <w:spacing w:line="600" w:lineRule="exact"/>
              <w:widowControl/>
              <w:rPr>
                <w:rFonts w:hint="eastAsia" w:ascii="宋体" w:hAnsi="宋体" w:eastAsia="宋体" w:cs="仿宋"/>
                <w:color w:val="auto"/>
                <w:sz w:val="24"/>
                <w:szCs w:val="24"/>
              </w:rPr>
            </w:pPr>
            <w:r>
              <w:rPr>
                <w:rFonts w:ascii="宋体" w:hAnsi="宋体" w:eastAsia="宋体" w:cs="仿宋"/>
                <w:color w:val="auto"/>
                <w:sz w:val="24"/>
                <w:szCs w:val="24"/>
                <w:lang w:bidi="ar"/>
              </w:rPr>
              <w:t xml:space="preserve">第六个托管周期</w:t>
            </w:r>
            <w:r/>
          </w:p>
        </w:tc>
        <w:tc>
          <w:tcPr>
            <w:tcW w:w="4601" w:type="dxa"/>
            <w:vAlign w:val="center"/>
            <w:textDirection w:val="lrTb"/>
            <w:noWrap w:val="false"/>
          </w:tcPr>
          <w:p>
            <w:pPr>
              <w:ind w:firstLine="480"/>
              <w:jc w:val="left"/>
              <w:spacing w:line="600" w:lineRule="exact"/>
              <w:widowControl/>
              <w:rPr>
                <w:rFonts w:hint="eastAsia" w:ascii="宋体" w:hAnsi="宋体" w:eastAsia="宋体" w:cs="仿宋"/>
                <w:color w:val="auto"/>
                <w:sz w:val="24"/>
                <w:szCs w:val="24"/>
              </w:rPr>
            </w:pPr>
            <w:r>
              <w:rPr>
                <w:rFonts w:hint="eastAsia" w:ascii="宋体" w:hAnsi="宋体" w:eastAsia="宋体" w:cs="仿宋"/>
                <w:color w:val="auto"/>
                <w:sz w:val="24"/>
                <w:szCs w:val="24"/>
              </w:rPr>
            </w:r>
            <w:r/>
          </w:p>
        </w:tc>
      </w:tr>
      <w:tr>
        <w:trPr>
          <w:jc w:val="center"/>
        </w:trPr>
        <w:tc>
          <w:tcPr>
            <w:tcW w:w="3823" w:type="dxa"/>
            <w:vAlign w:val="center"/>
            <w:textDirection w:val="lrTb"/>
            <w:noWrap w:val="false"/>
          </w:tcPr>
          <w:p>
            <w:pPr>
              <w:ind w:firstLine="480"/>
              <w:jc w:val="center"/>
              <w:spacing w:line="600" w:lineRule="exact"/>
              <w:widowControl/>
              <w:rPr>
                <w:rFonts w:hint="eastAsia" w:ascii="宋体" w:hAnsi="宋体" w:eastAsia="宋体" w:cs="仿宋"/>
                <w:color w:val="auto"/>
                <w:sz w:val="24"/>
                <w:szCs w:val="24"/>
              </w:rPr>
            </w:pPr>
            <w:r>
              <w:rPr>
                <w:rFonts w:ascii="宋体" w:hAnsi="宋体" w:eastAsia="宋体" w:cs="仿宋"/>
                <w:color w:val="auto"/>
                <w:sz w:val="24"/>
                <w:szCs w:val="24"/>
                <w:lang w:bidi="ar"/>
              </w:rPr>
              <w:t xml:space="preserve">第七个托管周期</w:t>
            </w:r>
            <w:r/>
          </w:p>
        </w:tc>
        <w:tc>
          <w:tcPr>
            <w:tcW w:w="4601" w:type="dxa"/>
            <w:vAlign w:val="center"/>
            <w:textDirection w:val="lrTb"/>
            <w:noWrap w:val="false"/>
          </w:tcPr>
          <w:p>
            <w:pPr>
              <w:ind w:firstLine="480"/>
              <w:jc w:val="left"/>
              <w:spacing w:line="600" w:lineRule="exact"/>
              <w:widowControl/>
              <w:rPr>
                <w:rFonts w:hint="eastAsia" w:ascii="宋体" w:hAnsi="宋体" w:eastAsia="宋体" w:cs="仿宋"/>
                <w:color w:val="auto"/>
                <w:sz w:val="24"/>
                <w:szCs w:val="24"/>
              </w:rPr>
            </w:pPr>
            <w:r>
              <w:rPr>
                <w:rFonts w:hint="eastAsia" w:ascii="宋体" w:hAnsi="宋体" w:eastAsia="宋体" w:cs="仿宋"/>
                <w:color w:val="auto"/>
                <w:sz w:val="24"/>
                <w:szCs w:val="24"/>
              </w:rPr>
            </w:r>
            <w:r/>
          </w:p>
        </w:tc>
      </w:tr>
      <w:tr>
        <w:trPr>
          <w:jc w:val="center"/>
        </w:trPr>
        <w:tc>
          <w:tcPr>
            <w:tcW w:w="3823" w:type="dxa"/>
            <w:vAlign w:val="center"/>
            <w:textDirection w:val="lrTb"/>
            <w:noWrap w:val="false"/>
          </w:tcPr>
          <w:p>
            <w:pPr>
              <w:ind w:firstLine="480"/>
              <w:jc w:val="center"/>
              <w:spacing w:line="600" w:lineRule="exact"/>
              <w:widowControl/>
              <w:rPr>
                <w:rFonts w:hint="eastAsia" w:ascii="宋体" w:hAnsi="宋体" w:eastAsia="宋体" w:cs="仿宋"/>
                <w:color w:val="auto"/>
                <w:sz w:val="24"/>
                <w:szCs w:val="24"/>
                <w:lang w:bidi="ar"/>
              </w:rPr>
            </w:pPr>
            <w:r>
              <w:rPr>
                <w:rFonts w:ascii="宋体" w:hAnsi="宋体" w:eastAsia="宋体" w:cs="仿宋"/>
                <w:color w:val="auto"/>
                <w:sz w:val="24"/>
                <w:szCs w:val="24"/>
                <w:lang w:bidi="ar"/>
              </w:rPr>
              <w:t xml:space="preserve">合计</w:t>
            </w:r>
            <w:r/>
          </w:p>
        </w:tc>
        <w:tc>
          <w:tcPr>
            <w:tcW w:w="4601" w:type="dxa"/>
            <w:vAlign w:val="center"/>
            <w:textDirection w:val="lrTb"/>
            <w:noWrap w:val="false"/>
          </w:tcPr>
          <w:p>
            <w:pPr>
              <w:ind w:firstLine="480"/>
              <w:jc w:val="left"/>
              <w:spacing w:line="600" w:lineRule="exact"/>
              <w:widowControl/>
              <w:rPr>
                <w:rFonts w:hint="eastAsia" w:ascii="宋体" w:hAnsi="宋体" w:eastAsia="宋体" w:cs="仿宋"/>
                <w:color w:val="auto"/>
                <w:sz w:val="24"/>
                <w:szCs w:val="24"/>
              </w:rPr>
            </w:pPr>
            <w:r>
              <w:rPr>
                <w:rFonts w:hint="eastAsia" w:ascii="宋体" w:hAnsi="宋体" w:eastAsia="宋体" w:cs="仿宋"/>
                <w:color w:val="auto"/>
                <w:sz w:val="24"/>
                <w:szCs w:val="24"/>
              </w:rPr>
            </w:r>
            <w:r/>
          </w:p>
        </w:tc>
      </w:tr>
    </w:tbl>
    <w:p>
      <w:pPr>
        <w:ind w:firstLine="480"/>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（二）合同签订</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邗江区机关事务管理局作为全区公共机构节能业务主管部门，代表实施范围内的公共机构统一组织采购。邗江区机关事务管理局与中标人签订总括合同，各公共机构与中标人签订分签合同。</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分签合同中包含双方责任、节能目标、采用的技术工艺、投资额度、施工工期、投资回收期、设备寿命周期、费用支付方式、合同变更及解除以及节能改造后的日常节能管理等内容，并向区机关事务管理局备案。多家单位合署办公的办公建筑，由负责能源费用缴纳的部门（单位）代表合署办公单位签订合同。</w:t>
      </w:r>
      <w:r/>
    </w:p>
    <w:p>
      <w:pPr>
        <w:numPr>
          <w:ilvl w:val="0"/>
          <w:numId w:val="0"/>
        </w:numPr>
        <w:ind w:left="0" w:firstLine="482"/>
        <w:jc w:val="left"/>
        <w:spacing w:line="600" w:lineRule="exact"/>
        <w:widowControl/>
        <w:rPr>
          <w:rFonts w:hint="eastAsia" w:ascii="宋体" w:hAnsi="宋体" w:eastAsia="宋体" w:cs="仿宋"/>
          <w:b/>
          <w:bCs/>
          <w:color w:val="auto"/>
          <w:sz w:val="24"/>
          <w:szCs w:val="24"/>
        </w:rPr>
      </w:pPr>
      <w:r>
        <w:rPr>
          <w:rFonts w:hint="eastAsia" w:ascii="宋体" w:hAnsi="宋体" w:cs="仿宋"/>
          <w:b/>
          <w:bCs/>
          <w:color w:val="auto"/>
          <w:sz w:val="24"/>
          <w:szCs w:val="24"/>
          <w:lang w:val="en-US" w:eastAsia="zh-CN" w:bidi="ar-SA"/>
        </w:rPr>
        <w:t xml:space="preserve">（三）</w:t>
      </w:r>
      <w:r>
        <w:rPr>
          <w:rFonts w:ascii="宋体" w:hAnsi="宋体" w:eastAsia="宋体" w:cs="仿宋"/>
          <w:b/>
          <w:bCs/>
          <w:color w:val="auto"/>
          <w:sz w:val="24"/>
          <w:szCs w:val="24"/>
        </w:rPr>
        <w:t xml:space="preserve">费用支付</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付款方式：各个公共机构能源费用由其自</w:t>
      </w:r>
      <w:r>
        <w:rPr>
          <w:rFonts w:hint="eastAsia" w:ascii="宋体" w:hAnsi="宋体" w:cs="宋体"/>
          <w:b w:val="0"/>
          <w:bCs w:val="0"/>
          <w:color w:val="000000"/>
          <w:sz w:val="24"/>
          <w:u w:val="none"/>
          <w:lang w:val="en-US" w:eastAsia="zh-CN"/>
        </w:rPr>
        <w:t xml:space="preserve">行缴费。合同签订后，甲方支付第一年节能费用总价（按6%基数计算）30%的预付款。节能服务费每3个月结算一次，中标单位按月出具当月节能服务费报告，节能服务费含税金额=（当月托管基准量-当月实际用量）*当月能源销售单价，中标单位每3个月汇总后开具节能服务费发票给托管单位，托管单位应在收到发票的10个工作日内支付相应的费用。年节能率超过6%，由托管单位向中标单位支付服务费用外，超出部分的节能收益由托管单位、中标单位按照三七比例分享。（每次付款前乙方向甲方开具正规税务发票，甲方自收到发票之日起10个工作日内支付。）</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托管期内若发生设备增减等用能边界变化，双方依据《公共机构能源费用托管实施规程》（JS/T301-2024），由甲方聘请第三方能源审计单位进行核定，出具用能边界变化核定报告，双方据实调整结算。</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项目托管期间，因市场及政策原因导致能源单价调整时，应相应地调整能源托管费用基数。以项目基准能源单价为参考，能源价格上涨时，按照【上涨月能源用量×（上涨月能源单价-基准单价）】计算费用，补偿给中标单位；能源价格下降时，按照【下降月能源用量×（基准单价-下降月能源单价）】计算费用，由中标单位退还给托管单位。</w:t>
      </w:r>
      <w:r/>
    </w:p>
    <w:p>
      <w:pPr>
        <w:numPr>
          <w:ilvl w:val="0"/>
          <w:numId w:val="0"/>
        </w:numPr>
        <w:ind w:left="0" w:firstLine="482"/>
        <w:jc w:val="left"/>
        <w:spacing w:line="600" w:lineRule="exact"/>
        <w:widowControl/>
        <w:rPr>
          <w:rFonts w:hint="eastAsia" w:ascii="宋体" w:hAnsi="宋体" w:cs="仿宋"/>
          <w:b/>
          <w:bCs/>
          <w:color w:val="auto"/>
          <w:sz w:val="24"/>
          <w:szCs w:val="24"/>
          <w:lang w:val="en-US" w:eastAsia="zh-CN" w:bidi="ar-SA"/>
        </w:rPr>
      </w:pPr>
      <w:r>
        <w:rPr>
          <w:rFonts w:hint="eastAsia" w:ascii="宋体" w:hAnsi="宋体" w:cs="仿宋"/>
          <w:b/>
          <w:bCs/>
          <w:color w:val="auto"/>
          <w:sz w:val="24"/>
          <w:szCs w:val="24"/>
          <w:lang w:val="en-US" w:eastAsia="zh-CN" w:bidi="ar-SA"/>
        </w:rPr>
        <w:t xml:space="preserve">（四）费用调整机制</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因用能设备增减、业务范围（量）增减、极端天气及设备损坏、遭外力破坏等因素导致托管范围发生变化，包括但不限于以下情况时，采购人与投标人双方可按如下</w:t>
      </w:r>
      <w:r>
        <w:rPr>
          <w:rFonts w:hint="eastAsia" w:ascii="宋体" w:hAnsi="宋体" w:cs="宋体"/>
          <w:b w:val="0"/>
          <w:bCs w:val="0"/>
          <w:color w:val="000000"/>
          <w:sz w:val="24"/>
          <w:u w:val="none"/>
          <w:lang w:val="en-US" w:eastAsia="zh-CN"/>
        </w:rPr>
        <w:t xml:space="preserve">约定进行费用调整（月度核算）。投标人以书面形式向采购人提交合同费用调整说明（包含但不限于因能源单价调整、用能设备及器具调整、业务面积或用途调整、工程施工用能、第三方经营业务服务范围扩大、不可抗力等因素引起的合同费用调整）。采购人核实无误后，应在投标人书面提交费用后的7个工作日内进行签字确认。若采购人无正当理由不在上述期限内进行签字确认，则自第8个工作日起，视为采购人认可投标人书面提交的合同费用调整说明。采购人应积极与各相关主管部门沟通履行合同费用变更流程及手续，于1个运营周期结束后次月初进行结算，多退少补。</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1.托管期内采购人发生用能设备增加、减少或变化，且单台</w:t>
      </w:r>
      <w:r>
        <w:rPr>
          <w:rFonts w:hint="eastAsia" w:ascii="宋体" w:hAnsi="宋体" w:cs="宋体"/>
          <w:b w:val="0"/>
          <w:bCs w:val="0"/>
          <w:color w:val="000000"/>
          <w:sz w:val="24"/>
          <w:u w:val="none"/>
          <w:lang w:val="en-US" w:eastAsia="zh-CN"/>
        </w:rPr>
        <w:t xml:space="preserve">设备或累计设备功率偏差≥5kW时，应安装表计进行独立计量，在对应托管周期能源基准量基础上进行调整核算费用。具备条件安装表计进行独立计量的用能设备及器具，由投标人在采购人指导下加装计量表计（费用由投标人承担，下同）。不具备条件安装表计进行独立计量的用能设备及器具，由投标人与采购人双方协商并书面确认其年运行时间，通过【铭牌功率或实际使用功率（含配套新增的辅助设备）×年运行时间】方式计算，并于次月调整能源托管费（如对运行时间难以界定，可通过临时挂表抽样计量方式计算），调整费用=调整用量*当个托管周期能耗实际单价。</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2.如用气设备及器具发生调</w:t>
      </w:r>
      <w:r>
        <w:rPr>
          <w:rFonts w:hint="eastAsia" w:ascii="宋体" w:hAnsi="宋体" w:cs="宋体"/>
          <w:b w:val="0"/>
          <w:bCs w:val="0"/>
          <w:color w:val="000000"/>
          <w:sz w:val="24"/>
          <w:u w:val="none"/>
          <w:lang w:val="en-US" w:eastAsia="zh-CN"/>
        </w:rPr>
        <w:t xml:space="preserve">整（包括但不限于增加、减少或规格变化），当调整的单台或累计设备及器具铭牌额定燃气消耗量或实际消耗量≥3m³/h时，应在各托管周期能源托管用量基础上增加或减少用气量（计量或计算方式如下），并于次月调整能源托管费。具备条件安装表计进行独立计量的用能设备及器具，由投标人在采购人指导下加装计量表计。不具备条件安装表计进行独立计量的用能设备及器具，由投标人与采购人双方协商并书面确认其年运行时间，通过【铭牌额定或实际燃气消耗量×年运行时间】方式计算，并于次月调整能源托管费，调整费用=调整用量*当个托管周期能耗实际单价。</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3.如用水设备及器具发生调整（包括但不限于增加、减少或规格变化），当调整的累计设备及器具铭牌额定或者实际用水量≥500kg/h时，应在各托管周期能源托管用量基础上增加或减少用水量（计量或计算方式如下），并于次月调整能源托管费。具备条件安装表计进行独立计量的用能设备及器具，由投标人在采购人指导下加装计量表计。不具备条件安装表计进行独立计量的用能设备及器具，由投标人与采购人双方协商并书面确认其年运行时间，通过【铭牌额定或者实际用水量×年运行时间】方式计算。调整费用=调整用量*当个托管周期能耗实际单价。</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4.托管期内采购人新增或减少业务楼栋或业务面积时应安装表计进行独立计量。在能源基准量基础上，按实际计量的能源消耗量进行调整并核算费用，调整费用=调整用量*当个托管周期能耗实际单价。</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5.托管期内采购人如存在施工，应安装表计对施工全过程进行独立计量，按实际计量的能源消耗量进行调整并核算费用，调整费用=调整用量*当个托管周期能耗实际单价。</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6.托管期内如采购人业务服务范围扩大，应安装表计进行独立计量，按实际计量的能源消耗量进行调整并核算费用，调整费用=调整用量*当个托管周期能耗实际单价。</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7.如遇重大公共卫生事件、重大活动、气象灾害、外力破坏、地震、战争、暴乱及其他不可抗力事件，以及边界条件约定之外实际发生的不可预见的能耗异常大于能源托管费5%时，双方协商处理。</w:t>
      </w:r>
      <w:r/>
    </w:p>
    <w:p>
      <w:pPr>
        <w:numPr>
          <w:ilvl w:val="0"/>
          <w:numId w:val="0"/>
        </w:numPr>
        <w:ind w:left="0" w:firstLine="482"/>
        <w:jc w:val="left"/>
        <w:spacing w:line="600" w:lineRule="exact"/>
        <w:widowControl/>
        <w:rPr>
          <w:rFonts w:hint="eastAsia" w:ascii="宋体" w:hAnsi="宋体" w:cs="仿宋"/>
          <w:b/>
          <w:bCs/>
          <w:color w:val="auto"/>
          <w:sz w:val="24"/>
          <w:szCs w:val="24"/>
          <w:lang w:val="en-US" w:eastAsia="zh-CN" w:bidi="ar-SA"/>
        </w:rPr>
      </w:pPr>
      <w:r>
        <w:rPr>
          <w:rFonts w:hint="eastAsia" w:ascii="宋体" w:hAnsi="宋体" w:cs="仿宋"/>
          <w:b/>
          <w:bCs/>
          <w:color w:val="auto"/>
          <w:sz w:val="24"/>
          <w:szCs w:val="24"/>
          <w:lang w:val="en-US" w:eastAsia="zh-CN" w:bidi="ar-SA"/>
        </w:rPr>
        <w:t xml:space="preserve">（五）注意事项</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投标人使用的标准必须是国际公认或国家或地方政府颁布的同等或更高的标准。</w:t>
      </w:r>
      <w:r/>
    </w:p>
    <w:p>
      <w:pPr>
        <w:ind w:firstLine="482"/>
        <w:spacing w:line="600" w:lineRule="exact"/>
        <w:widowControl/>
        <w:tabs>
          <w:tab w:val="left" w:pos="0" w:leader="none"/>
        </w:tabs>
        <w:rPr>
          <w:rFonts w:hint="eastAsia" w:ascii="宋体" w:hAnsi="宋体" w:eastAsia="宋体" w:cs="仿宋"/>
          <w:b/>
          <w:color w:val="auto"/>
          <w:sz w:val="24"/>
          <w:szCs w:val="24"/>
        </w:rPr>
      </w:pPr>
      <w:r>
        <w:rPr>
          <w:rFonts w:ascii="宋体" w:hAnsi="宋体" w:eastAsia="宋体" w:cs="仿宋"/>
          <w:b/>
          <w:color w:val="auto"/>
          <w:sz w:val="24"/>
          <w:szCs w:val="24"/>
        </w:rPr>
        <w:t xml:space="preserve">（六）完成时限</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所有节能改造内容应于2027年12月底前竣工并试运行，公共机构按照合同约定进行项目验收。</w:t>
      </w:r>
      <w:r/>
    </w:p>
    <w:p>
      <w:pPr>
        <w:numPr>
          <w:ilvl w:val="0"/>
          <w:numId w:val="0"/>
        </w:numPr>
        <w:ind w:left="0" w:firstLine="482"/>
        <w:jc w:val="left"/>
        <w:spacing w:line="600" w:lineRule="exact"/>
        <w:widowControl/>
        <w:rPr>
          <w:rFonts w:hint="eastAsia" w:ascii="宋体" w:hAnsi="宋体" w:cs="仿宋"/>
          <w:b/>
          <w:bCs/>
          <w:color w:val="auto"/>
          <w:sz w:val="24"/>
          <w:szCs w:val="24"/>
          <w:lang w:val="en-US" w:eastAsia="zh-CN" w:bidi="ar-SA"/>
        </w:rPr>
      </w:pPr>
      <w:r>
        <w:rPr>
          <w:rFonts w:hint="eastAsia" w:ascii="宋体" w:hAnsi="宋体" w:cs="仿宋"/>
          <w:b/>
          <w:bCs/>
          <w:color w:val="auto"/>
          <w:sz w:val="24"/>
          <w:szCs w:val="24"/>
          <w:lang w:val="en-US" w:eastAsia="zh-CN" w:bidi="ar-SA"/>
        </w:rPr>
        <w:t xml:space="preserve">（七）托管年限</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从项目验收之日起的次月1日进入托管期，托管年限七年。</w:t>
      </w:r>
      <w:r/>
    </w:p>
    <w:p>
      <w:pPr>
        <w:ind w:left="482"/>
        <w:jc w:val="left"/>
        <w:spacing w:line="600" w:lineRule="exact"/>
        <w:widowControl/>
        <w:tabs>
          <w:tab w:val="left" w:pos="0" w:leader="none"/>
        </w:tabs>
        <w:rPr>
          <w:rFonts w:hint="eastAsia" w:ascii="宋体" w:hAnsi="宋体" w:cs="宋体"/>
          <w:b w:val="0"/>
          <w:bCs w:val="0"/>
          <w:color w:val="000000"/>
          <w:sz w:val="24"/>
          <w:u w:val="none"/>
          <w:lang w:val="en-US" w:eastAsia="zh-CN"/>
        </w:rPr>
      </w:pPr>
      <w:r>
        <w:rPr>
          <w:rFonts w:hint="eastAsia" w:ascii="宋体" w:hAnsi="宋体" w:eastAsia="宋体" w:cs="仿宋"/>
          <w:b/>
          <w:color w:val="auto"/>
          <w:sz w:val="24"/>
          <w:szCs w:val="24"/>
        </w:rPr>
        <w:t xml:space="preserve">（八）</w:t>
      </w:r>
      <w:r>
        <w:rPr>
          <w:rFonts w:ascii="宋体" w:hAnsi="宋体" w:eastAsia="宋体" w:cs="仿宋"/>
          <w:b/>
          <w:color w:val="auto"/>
          <w:sz w:val="24"/>
          <w:szCs w:val="24"/>
        </w:rPr>
        <w:t xml:space="preserve">实施地点：</w:t>
      </w:r>
      <w:r>
        <w:rPr>
          <w:rFonts w:hint="eastAsia" w:ascii="宋体" w:hAnsi="宋体" w:cs="宋体"/>
          <w:b w:val="0"/>
          <w:bCs w:val="0"/>
          <w:color w:val="000000"/>
          <w:sz w:val="24"/>
          <w:u w:val="none"/>
          <w:lang w:val="en-US" w:eastAsia="zh-CN"/>
        </w:rPr>
        <w:t xml:space="preserve">采购人指定地点。</w:t>
      </w:r>
      <w:r/>
    </w:p>
    <w:p>
      <w:pPr>
        <w:ind w:left="482"/>
        <w:jc w:val="left"/>
        <w:spacing w:line="600" w:lineRule="exact"/>
        <w:widowControl/>
        <w:tabs>
          <w:tab w:val="left" w:pos="0" w:leader="none"/>
        </w:tabs>
        <w:rPr>
          <w:rFonts w:hint="eastAsia" w:ascii="宋体" w:hAnsi="宋体" w:eastAsia="宋体" w:cs="仿宋"/>
          <w:b/>
          <w:color w:val="auto"/>
          <w:sz w:val="24"/>
          <w:szCs w:val="24"/>
        </w:rPr>
      </w:pPr>
      <w:r>
        <w:rPr>
          <w:rFonts w:hint="eastAsia" w:ascii="宋体" w:hAnsi="宋体" w:eastAsia="宋体" w:cs="仿宋"/>
          <w:b/>
          <w:color w:val="auto"/>
          <w:sz w:val="24"/>
          <w:szCs w:val="24"/>
        </w:rPr>
        <w:t xml:space="preserve">（九）项目验收标准：</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双方按照如下标准和方式进行综合能源服务项目的验收：</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1.验收标准：符合国家或行业相关产品、设计、施工安装和验收规范、标准和要求，并提供相关符合国家规范要求的产品验收报告。</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2.验收模式：合同签订后，中标人按项目要求开展进行实施，需组织第三方监理单位负责质量监督、问题处理和日常协调，并分批次共同对完成情况进行验收。项目整体验收前，由第三方能源审计服务机构进行节能效果评估并出具评估报告。</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3.验收期限：中标人按照项目实施周期要求按期完成相应工作后分批次提请验收，自提请验收之日起15日内，由监理单位、第三方能源审计服务机构等共同进行验收。</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4.如验收结果达不到规定的验收标准的，中标人应负责整改并再次提请验收。采购人收到验收申请后，会同用能单位按照本条前款规定的标准、模式、期限再次组织验收。</w:t>
      </w:r>
      <w:r/>
    </w:p>
    <w:p>
      <w:pPr>
        <w:ind w:left="495" w:hanging="495"/>
        <w:rPr>
          <w:rFonts w:hint="eastAsia" w:ascii="宋体" w:hAnsi="宋体" w:cs="宋体"/>
          <w:b/>
          <w:color w:val="000000"/>
          <w:sz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十二、</w:t>
      </w:r>
      <w:r>
        <w:rPr>
          <w:rFonts w:hint="eastAsia" w:ascii="宋体" w:hAnsi="宋体" w:cs="宋体"/>
          <w:b/>
          <w:color w:val="000000"/>
          <w:sz w:val="24"/>
          <w:lang w:val="zh-CN" w:eastAsia="zh-CN"/>
        </w:rPr>
        <w:t xml:space="preserve">其他要求</w:t>
      </w:r>
      <w:r/>
    </w:p>
    <w:p>
      <w:pPr>
        <w:ind w:left="482"/>
        <w:jc w:val="left"/>
        <w:spacing w:line="600" w:lineRule="exact"/>
        <w:widowControl/>
        <w:tabs>
          <w:tab w:val="left" w:pos="0" w:leader="none"/>
        </w:tabs>
        <w:rPr>
          <w:rFonts w:hint="eastAsia" w:ascii="宋体" w:hAnsi="宋体" w:eastAsia="宋体" w:cs="仿宋"/>
          <w:b/>
          <w:color w:val="auto"/>
          <w:sz w:val="24"/>
          <w:szCs w:val="24"/>
        </w:rPr>
      </w:pPr>
      <w:r>
        <w:rPr>
          <w:rFonts w:hint="eastAsia" w:ascii="宋体" w:hAnsi="宋体" w:eastAsia="宋体" w:cs="仿宋"/>
          <w:b/>
          <w:color w:val="auto"/>
          <w:sz w:val="24"/>
          <w:szCs w:val="24"/>
        </w:rPr>
        <w:t xml:space="preserve">（一）企业实力要求</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1、为保障采购人能源费用托管项目规范化落地、实现节能降耗、综合能源统筹调度及碳排放量精细化管控，规避节能服务外包实施标准不统一、减排方案落地无依据等风险。投标人具有有效期内质量认证管理体系证书、信息安全管理体系认证证书、职业健康安全管理体系证书、环境管理体系认证证书。（加分项）</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2、为保障本能源托管项目整体进度统筹、成本管控、系统建设、多方协调、交付验收全流程有序推进，避免项目管理失控、工期延误、需求落地偏差等问题。投标人需为本项目配备1名项目经理，具有信息系统项目管理师、系统分析师证书、高级工程师职称证书。（加分项）</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3、为保障本项目能源管理平台整体架构规划、技术方案设计、疑难技术问题处置、系统迭代优化、技术风险预判管控，确保技术路线贴合采购人实际使用场景。投标人需为本项目配备1名技术负责人，具有信息系统项目管理师、系统规划与管理师证书、高级工程师职称证书。（加分项）</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4、为保障能源综合管理平台开发部署、能耗数据接入调试、现场实施落地、日常运维等细分技术工作分工落地，避免技术人手不足导致实施滞后、故障响应不及时，组建专属技术实施团队。投标人需为本项目配备相关专业技术组成员（不含项目经理和技术负责人），具有信息系统项目管理师、系统架构设计师、系统分析师证书、高级工程师职称证书、电工作业证书、高处作业证证书。（加分项）</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5，核心技术证明材料要求：投标人投入的能源综合管理平台须适配国产化软硬件环境。</w:t>
      </w:r>
      <w:r>
        <w:rPr>
          <w:rFonts w:ascii="宋体" w:hAnsi="宋体" w:eastAsia="宋体" w:cs="仿宋"/>
          <w:color w:val="auto"/>
          <w:sz w:val="24"/>
          <w:szCs w:val="24"/>
          <w:lang w:bidi="ar"/>
        </w:rPr>
        <w:t xml:space="preserve">投标人需承诺本项目所投入的能源综合管理平台满足国产化适配或兼容要求</w:t>
      </w:r>
      <w:r/>
      <w:r>
        <w:rPr>
          <w:rFonts w:hint="eastAsia" w:ascii="宋体" w:hAnsi="宋体" w:cs="宋体"/>
          <w:b w:val="0"/>
          <w:bCs w:val="0"/>
          <w:color w:val="000000"/>
          <w:sz w:val="24"/>
          <w:u w:val="none"/>
          <w:lang w:val="en-US" w:eastAsia="zh-CN"/>
        </w:rPr>
      </w:r>
      <w:r/>
      <w:r>
        <w:rPr>
          <w:rFonts w:hint="eastAsia" w:ascii="宋体" w:hAnsi="宋体" w:cs="宋体"/>
          <w:b w:val="0"/>
          <w:bCs w:val="0"/>
          <w:color w:val="000000"/>
          <w:sz w:val="24"/>
          <w:u w:val="none"/>
          <w:lang w:val="en-US" w:eastAsia="zh-CN"/>
        </w:rPr>
        <w:t xml:space="preserve">。（加分项）</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6、业绩要求：自2023年1月1日（以合同签订时间为准）至今，投标人承接过与本项目类似项目（加分项）</w:t>
      </w:r>
      <w:r>
        <w:rPr>
          <w:rFonts w:hint="eastAsia" w:ascii="宋体" w:hAnsi="宋体" w:cs="宋体"/>
          <w:b w:val="0"/>
          <w:bCs w:val="0"/>
          <w:color w:val="000000"/>
          <w:sz w:val="24"/>
          <w:u w:val="none"/>
          <w:lang w:val="en-US" w:eastAsia="zh-CN"/>
        </w:rPr>
        <w:br w:type="page" w:clear="all"/>
      </w:r>
      <w:r/>
    </w:p>
    <w:p>
      <w:pPr>
        <w:rPr>
          <w:rFonts w:hint="default"/>
          <w:lang w:val="en-US" w:eastAsia="zh-CN"/>
        </w:rPr>
      </w:pPr>
      <w:r>
        <w:rPr>
          <w:rFonts w:hint="default"/>
          <w:lang w:val="en-US" w:eastAsia="zh-CN"/>
        </w:rPr>
      </w:r>
      <w:r/>
    </w:p>
    <w:p>
      <w:pPr>
        <w:pStyle w:val="993"/>
      </w:pPr>
      <w:r>
        <w:rPr>
          <w:rFonts w:ascii="黑体" w:hAnsi="黑体" w:cs="黑体"/>
          <w:color w:val="000000"/>
        </w:rPr>
        <w:t xml:space="preserve"> 第五章</w:t>
      </w:r>
      <w:r>
        <w:rPr>
          <w:rFonts w:hint="eastAsia" w:ascii="黑体" w:hAnsi="黑体" w:cs="黑体"/>
          <w:color w:val="000000"/>
          <w:lang w:val="en-US" w:eastAsia="zh-CN"/>
        </w:rPr>
        <w:t xml:space="preserve">  </w:t>
      </w:r>
      <w:r>
        <w:rPr>
          <w:rFonts w:ascii="黑体" w:hAnsi="黑体" w:cs="黑体"/>
          <w:color w:val="000000"/>
        </w:rPr>
        <w:t xml:space="preserve">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1091"/>
        <w:ind w:firstLine="439"/>
        <w:rPr>
          <w:rFonts w:ascii="宋体" w:hAnsi="宋体"/>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825"/>
        <w:tblW w:w="8664" w:type="dxa"/>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1134"/>
        <w:gridCol w:w="63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Cs w:val="18"/>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选取中标候选人的原则</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330" w:type="dxa"/>
            <w:vAlign w:val="center"/>
            <w:textDirection w:val="lrTb"/>
            <w:noWrap w:val="false"/>
          </w:tcPr>
          <w:p>
            <w:pPr>
              <w:jc w:val="left"/>
              <w:rPr>
                <w:rFonts w:ascii="宋体" w:hAnsi="宋体" w:cs="宋体"/>
                <w:sz w:val="24"/>
              </w:rPr>
            </w:pPr>
            <w:r>
              <w:rPr>
                <w:rFonts w:hint="eastAsia" w:ascii="宋体" w:hAnsi="宋体"/>
                <w:sz w:val="24"/>
                <w:szCs w:val="24"/>
              </w:rPr>
              <w:t xml:space="preserve">满足招标文件全部实质性要求，且按照评审因素的量化指标评审得分最高的投标人为中标候选人。</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tbl>
      <w:tblPr>
        <w:tblStyle w:val="825"/>
        <w:tblW w:w="8649" w:type="dxa"/>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4"/>
        <w:gridCol w:w="634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rHeight w:val="427"/>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23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3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r>
    </w:tbl>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1、小微型企业价格扣除</w:t>
      </w:r>
      <w:r/>
    </w:p>
    <w:p>
      <w:pPr>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（1）本项目对小型和微型企业产品给予</w:t>
      </w:r>
      <w:r>
        <w:rPr>
          <w:rFonts w:hint="eastAsia" w:ascii="宋体" w:hAnsi="宋体" w:cs="宋体"/>
          <w:color w:val="000000"/>
          <w:sz w:val="24"/>
          <w:highlight w:val="none"/>
          <w:u w:val="single"/>
        </w:rPr>
        <w:t xml:space="preserve">20%</w:t>
      </w:r>
      <w:r>
        <w:rPr>
          <w:rFonts w:ascii="宋体" w:hAnsi="宋体" w:cs="宋体"/>
          <w:color w:val="000000"/>
          <w:sz w:val="24"/>
          <w:highlight w:val="none"/>
        </w:rPr>
        <w:t xml:space="preserve">的扣除价格，用扣除后的价格参与评审。</w:t>
      </w:r>
      <w:r/>
    </w:p>
    <w:p>
      <w:pPr>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（2）供应商需按照采购文件的要求提供相应的《中小企业声明函》。</w:t>
      </w:r>
      <w:r/>
    </w:p>
    <w:p>
      <w:pPr>
        <w:ind w:firstLine="3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（3）企业标准请参照《关于印发中小企业划型标准规定的通知》（工信部联企业[2011]300号）文件规定自行填写。</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2、残疾人福利单位价格扣除</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（1）本项目对残疾人福利性单位视同小型、微型企业，给予</w:t>
      </w:r>
      <w:r>
        <w:rPr>
          <w:rFonts w:hint="eastAsia" w:ascii="宋体" w:hAnsi="宋体" w:cs="宋体"/>
          <w:color w:val="000000"/>
          <w:sz w:val="24"/>
          <w:highlight w:val="none"/>
          <w:u w:val="single"/>
        </w:rPr>
        <w:t xml:space="preserve">20%</w:t>
      </w:r>
      <w:r>
        <w:rPr>
          <w:rFonts w:ascii="宋体" w:hAnsi="宋体" w:cs="宋体"/>
          <w:color w:val="000000"/>
          <w:sz w:val="24"/>
          <w:highlight w:val="none"/>
        </w:rPr>
        <w:t xml:space="preserve">（的价格扣除，用扣除后的价格参与评审。</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（2）残疾人福利单位需按照采购文件的要求提供《残疾人福利性单位声明函》。</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（3）残疾人福利单位标准请参照《关于促进残疾人就业政府采购政策的通知》（财库〔2017〕141号）。</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3、监狱和戒毒企业价格扣除</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（1）本项目对监狱和戒毒企业（简称监狱企业）视同小型、微型企业，给予</w:t>
      </w:r>
      <w:r>
        <w:rPr>
          <w:rFonts w:hint="eastAsia" w:ascii="宋体" w:hAnsi="宋体" w:cs="宋体"/>
          <w:color w:val="000000"/>
          <w:sz w:val="24"/>
          <w:highlight w:val="none"/>
          <w:u w:val="single"/>
        </w:rPr>
        <w:t xml:space="preserve">20%</w:t>
      </w:r>
      <w:r>
        <w:rPr>
          <w:rFonts w:ascii="宋体" w:hAnsi="宋体" w:cs="宋体"/>
          <w:color w:val="000000"/>
          <w:sz w:val="24"/>
          <w:highlight w:val="none"/>
        </w:rPr>
        <w:t xml:space="preserve">的价格扣除，用扣除后的价格参与评审。</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（3）监狱企业标准请参照《关于政府采购支持监狱企业发展有关问题的通知》（财库〔2014〕68号）。</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rPr>
        <w:t xml:space="preserve">6%</w:t>
      </w:r>
      <w:r>
        <w:rPr>
          <w:rFonts w:ascii="宋体" w:hAnsi="宋体" w:cs="宋体"/>
          <w:color w:val="000000"/>
          <w:sz w:val="24"/>
          <w:highlight w:val="none"/>
        </w:rPr>
        <w:t xml:space="preserve">的价格扣除，用扣除后的价格参与评审。</w:t>
      </w:r>
      <w:r/>
    </w:p>
    <w:p>
      <w:pPr>
        <w:ind w:firstLine="480"/>
        <w:spacing w:before="120" w:after="120"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6、联合体各方均为小型、微型企业（残疾人福利单位、监狱企业）的，联合体享受</w:t>
      </w:r>
      <w:r>
        <w:rPr>
          <w:rFonts w:hint="eastAsia" w:ascii="宋体" w:hAnsi="宋体" w:cs="宋体"/>
          <w:color w:val="000000"/>
          <w:sz w:val="24"/>
          <w:highlight w:val="none"/>
          <w:u w:val="single"/>
        </w:rPr>
        <w:t xml:space="preserve">20%</w:t>
      </w:r>
      <w:r>
        <w:rPr>
          <w:rFonts w:ascii="宋体" w:hAnsi="宋体" w:cs="宋体"/>
          <w:color w:val="000000"/>
          <w:sz w:val="24"/>
          <w:highlight w:val="none"/>
        </w:rPr>
        <w:t xml:space="preserve">价格扣除，用扣除后的价格参与评审。</w:t>
      </w:r>
      <w:r/>
    </w:p>
    <w:p>
      <w:pPr>
        <w:ind w:firstLine="482"/>
        <w:jc w:val="left"/>
        <w:spacing w:before="120" w:after="120" w:line="0" w:lineRule="atLeast"/>
        <w:rPr>
          <w:b/>
          <w:szCs w:val="21"/>
        </w:rPr>
      </w:pPr>
      <w:r>
        <w:rPr>
          <w:rFonts w:hint="eastAsia" w:ascii="宋体" w:hAnsi="宋体"/>
          <w:b/>
          <w:color w:val="000000"/>
          <w:sz w:val="24"/>
          <w:szCs w:val="24"/>
        </w:rPr>
        <w:t xml:space="preserve">评标方法与评标标准</w:t>
      </w:r>
      <w:r/>
    </w:p>
    <w:tbl>
      <w:tblPr>
        <w:tblStyle w:val="825"/>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5"/>
        <w:gridCol w:w="7684"/>
      </w:tblGrid>
      <w:tr>
        <w:trPr/>
        <w:tc>
          <w:tcPr>
            <w:shd w:val="clear" w:color="auto" w:fill="bfbfbf"/>
            <w:tcW w:w="1485" w:type="dxa"/>
            <w:vAlign w:val="center"/>
            <w:textDirection w:val="lrTb"/>
            <w:noWrap w:val="false"/>
          </w:tcPr>
          <w:p>
            <w:pPr>
              <w:ind w:firstLine="482"/>
              <w:jc w:val="center"/>
              <w:rPr>
                <w:rFonts w:hint="eastAsia" w:ascii="宋体" w:hAnsi="宋体" w:eastAsia="宋体" w:cs="仿宋"/>
                <w:color w:val="auto"/>
                <w:sz w:val="24"/>
                <w:szCs w:val="24"/>
              </w:rPr>
            </w:pPr>
            <w:r>
              <w:rPr>
                <w:rFonts w:ascii="宋体" w:hAnsi="宋体" w:eastAsia="宋体" w:cs="Times New Roman"/>
                <w:b/>
                <w:bCs/>
                <w:color w:val="auto"/>
                <w:sz w:val="24"/>
                <w:szCs w:val="24"/>
              </w:rPr>
              <w:t xml:space="preserve">项目</w:t>
            </w:r>
            <w:r/>
          </w:p>
        </w:tc>
        <w:tc>
          <w:tcPr>
            <w:shd w:val="clear" w:color="auto" w:fill="bfbfbf"/>
            <w:tcW w:w="7684" w:type="dxa"/>
            <w:vAlign w:val="center"/>
            <w:textDirection w:val="lrTb"/>
            <w:noWrap w:val="false"/>
          </w:tcPr>
          <w:p>
            <w:pPr>
              <w:ind w:firstLine="482"/>
              <w:jc w:val="center"/>
              <w:rPr>
                <w:rFonts w:hint="eastAsia" w:ascii="宋体" w:hAnsi="宋体" w:eastAsia="宋体" w:cs="仿宋"/>
                <w:color w:val="auto"/>
                <w:sz w:val="24"/>
                <w:szCs w:val="24"/>
              </w:rPr>
            </w:pPr>
            <w:r>
              <w:rPr>
                <w:rFonts w:ascii="宋体" w:hAnsi="宋体" w:eastAsia="宋体" w:cs="Times New Roman"/>
                <w:b/>
                <w:bCs/>
                <w:color w:val="auto"/>
                <w:sz w:val="24"/>
                <w:szCs w:val="24"/>
              </w:rPr>
              <w:t xml:space="preserve">评分标准</w:t>
            </w:r>
            <w:r/>
          </w:p>
        </w:tc>
      </w:tr>
      <w:tr>
        <w:trPr/>
        <w:tc>
          <w:tcPr>
            <w:tcW w:w="1485" w:type="dxa"/>
            <w:vAlign w:val="center"/>
            <w:textDirection w:val="lrTb"/>
            <w:noWrap w:val="false"/>
          </w:tcPr>
          <w:p>
            <w:pPr>
              <w:jc w:val="center"/>
              <w:rPr>
                <w:rFonts w:hint="eastAsia" w:ascii="宋体" w:hAnsi="宋体" w:eastAsia="宋体" w:cs="仿宋"/>
                <w:b/>
                <w:bCs/>
                <w:color w:val="auto"/>
                <w:sz w:val="24"/>
                <w:szCs w:val="24"/>
                <w:lang w:bidi="ar"/>
              </w:rPr>
            </w:pPr>
            <w:r>
              <w:rPr>
                <w:rFonts w:ascii="宋体" w:hAnsi="宋体" w:eastAsia="宋体" w:cs="仿宋"/>
                <w:b/>
                <w:bCs/>
                <w:color w:val="auto"/>
                <w:sz w:val="24"/>
                <w:szCs w:val="24"/>
                <w:lang w:bidi="ar"/>
              </w:rPr>
              <w:t xml:space="preserve">报价</w:t>
            </w:r>
            <w:r/>
          </w:p>
          <w:p>
            <w:pPr>
              <w:jc w:val="center"/>
              <w:rPr>
                <w:rFonts w:hint="eastAsia" w:ascii="宋体" w:hAnsi="宋体" w:eastAsia="宋体" w:cs="仿宋"/>
                <w:color w:val="auto"/>
                <w:sz w:val="24"/>
                <w:szCs w:val="24"/>
              </w:rPr>
            </w:pPr>
            <w:r>
              <w:rPr>
                <w:rFonts w:ascii="宋体" w:hAnsi="宋体" w:eastAsia="宋体" w:cs="仿宋"/>
                <w:b/>
                <w:bCs/>
                <w:color w:val="auto"/>
                <w:sz w:val="24"/>
                <w:szCs w:val="24"/>
                <w:lang w:bidi="ar"/>
              </w:rPr>
              <w:t xml:space="preserve">（10分）</w:t>
            </w:r>
            <w:r/>
          </w:p>
        </w:tc>
        <w:tc>
          <w:tcPr>
            <w:tcW w:w="7684" w:type="dxa"/>
            <w:vAlign w:val="center"/>
            <w:textDirection w:val="lrTb"/>
            <w:noWrap w:val="false"/>
          </w:tcPr>
          <w:p>
            <w:pPr>
              <w:ind w:firstLine="480"/>
              <w:rPr>
                <w:rFonts w:hint="eastAsia" w:ascii="宋体" w:hAnsi="宋体" w:eastAsia="宋体" w:cs="仿宋"/>
                <w:color w:val="auto"/>
                <w:sz w:val="24"/>
                <w:szCs w:val="24"/>
              </w:rPr>
            </w:pPr>
            <w:r>
              <w:rPr>
                <w:rFonts w:ascii="宋体" w:hAnsi="宋体" w:eastAsia="宋体" w:cs="仿宋"/>
                <w:color w:val="auto"/>
                <w:sz w:val="24"/>
                <w:szCs w:val="24"/>
                <w:lang w:bidi="ar"/>
              </w:rPr>
              <w:t xml:space="preserve">满足招标文件要求且有效投标总报价最低的投标报价为评标基准价，其价格分为满分（10分）。其他投标人的价格分统一按照下列公式计算：投标报价得分=（评标基准价／投标报价）×10。</w:t>
            </w:r>
            <w:r/>
          </w:p>
        </w:tc>
      </w:tr>
      <w:tr>
        <w:trPr/>
        <w:tc>
          <w:tcPr>
            <w:tcW w:w="1485" w:type="dxa"/>
            <w:vAlign w:val="center"/>
            <w:vMerge w:val="restart"/>
            <w:textDirection w:val="lrTb"/>
            <w:noWrap w:val="false"/>
          </w:tcPr>
          <w:p>
            <w:pPr>
              <w:jc w:val="center"/>
              <w:rPr>
                <w:rFonts w:hint="eastAsia" w:ascii="宋体" w:hAnsi="宋体" w:eastAsia="宋体" w:cs="仿宋"/>
                <w:b/>
                <w:bCs/>
                <w:color w:val="auto"/>
                <w:sz w:val="24"/>
                <w:szCs w:val="24"/>
                <w:lang w:bidi="ar"/>
              </w:rPr>
            </w:pPr>
            <w:r>
              <w:rPr>
                <w:rFonts w:ascii="宋体" w:hAnsi="宋体" w:eastAsia="宋体" w:cs="仿宋"/>
                <w:b/>
                <w:bCs/>
                <w:color w:val="auto"/>
                <w:sz w:val="24"/>
                <w:szCs w:val="24"/>
                <w:lang w:bidi="ar"/>
              </w:rPr>
              <w:t xml:space="preserve">项目技术</w:t>
            </w:r>
            <w:r/>
          </w:p>
          <w:p>
            <w:pPr>
              <w:jc w:val="center"/>
              <w:rPr>
                <w:rFonts w:hint="eastAsia" w:ascii="宋体" w:hAnsi="宋体" w:eastAsia="宋体" w:cs="仿宋"/>
                <w:b/>
                <w:bCs/>
                <w:color w:val="auto"/>
                <w:sz w:val="24"/>
                <w:szCs w:val="24"/>
                <w:lang w:bidi="ar"/>
              </w:rPr>
            </w:pPr>
            <w:r>
              <w:rPr>
                <w:rFonts w:ascii="宋体" w:hAnsi="宋体" w:eastAsia="宋体" w:cs="仿宋"/>
                <w:b/>
                <w:bCs/>
                <w:color w:val="auto"/>
                <w:sz w:val="24"/>
                <w:szCs w:val="24"/>
                <w:lang w:bidi="ar"/>
              </w:rPr>
              <w:t xml:space="preserve">方案</w:t>
            </w:r>
            <w:r/>
          </w:p>
          <w:p>
            <w:pPr>
              <w:jc w:val="center"/>
              <w:rPr>
                <w:rFonts w:hint="eastAsia" w:ascii="宋体" w:hAnsi="宋体" w:eastAsia="宋体" w:cs="仿宋"/>
                <w:color w:val="auto"/>
                <w:sz w:val="24"/>
                <w:szCs w:val="24"/>
              </w:rPr>
            </w:pPr>
            <w:r>
              <w:rPr>
                <w:rFonts w:ascii="宋体" w:hAnsi="宋体" w:eastAsia="宋体" w:cs="仿宋"/>
                <w:b/>
                <w:bCs/>
                <w:color w:val="auto"/>
                <w:sz w:val="24"/>
                <w:szCs w:val="24"/>
                <w:lang w:bidi="ar"/>
              </w:rPr>
              <w:t xml:space="preserve">（</w:t>
            </w:r>
            <w:r>
              <w:rPr>
                <w:rFonts w:hint="eastAsia" w:ascii="宋体" w:hAnsi="宋体" w:eastAsia="宋体" w:cs="仿宋"/>
                <w:b/>
                <w:bCs/>
                <w:color w:val="auto"/>
                <w:sz w:val="24"/>
                <w:szCs w:val="24"/>
                <w:lang w:bidi="ar"/>
              </w:rPr>
              <w:t xml:space="preserve">50</w:t>
            </w:r>
            <w:r>
              <w:rPr>
                <w:rFonts w:ascii="宋体" w:hAnsi="宋体" w:eastAsia="宋体" w:cs="仿宋"/>
                <w:b/>
                <w:bCs/>
                <w:color w:val="auto"/>
                <w:sz w:val="24"/>
                <w:szCs w:val="24"/>
                <w:lang w:bidi="ar"/>
              </w:rPr>
              <w:t xml:space="preserve">分）</w:t>
            </w:r>
            <w:r/>
          </w:p>
        </w:tc>
        <w:tc>
          <w:tcPr>
            <w:tcW w:w="7684" w:type="dxa"/>
            <w:vAlign w:val="center"/>
            <w:textDirection w:val="lrTb"/>
            <w:noWrap w:val="false"/>
          </w:tcPr>
          <w:p>
            <w:pPr>
              <w:ind w:firstLine="480"/>
              <w:rPr>
                <w:rFonts w:hint="eastAsia" w:ascii="宋体" w:hAnsi="宋体" w:eastAsia="宋体" w:cs="仿宋"/>
                <w:color w:val="auto"/>
                <w:sz w:val="24"/>
                <w:szCs w:val="24"/>
              </w:rPr>
            </w:pPr>
            <w:r>
              <w:rPr>
                <w:rFonts w:ascii="宋体" w:hAnsi="宋体" w:eastAsia="宋体" w:cs="仿宋"/>
                <w:color w:val="auto"/>
                <w:sz w:val="24"/>
                <w:szCs w:val="24"/>
              </w:rPr>
              <w:t xml:space="preserve">1、本项目节能现状诊断分析方案（5分）</w:t>
            </w:r>
            <w:r/>
          </w:p>
          <w:p>
            <w:pPr>
              <w:ind w:firstLine="480"/>
              <w:rPr>
                <w:rFonts w:hint="eastAsia" w:ascii="宋体" w:hAnsi="宋体" w:eastAsia="宋体" w:cs="仿宋"/>
                <w:color w:val="auto"/>
                <w:sz w:val="24"/>
                <w:szCs w:val="24"/>
              </w:rPr>
            </w:pPr>
            <w:r>
              <w:rPr>
                <w:rFonts w:ascii="宋体" w:hAnsi="宋体" w:eastAsia="宋体" w:cs="仿宋"/>
                <w:color w:val="auto"/>
                <w:sz w:val="24"/>
                <w:szCs w:val="24"/>
              </w:rPr>
              <w:t xml:space="preserve">方案描述优于采购文件要求的得5分；符合采购文件要求的得3分；不符合采购文件要求或未提供的不得分。</w:t>
            </w:r>
            <w:r/>
          </w:p>
        </w:tc>
      </w:tr>
      <w:tr>
        <w:trPr/>
        <w:tc>
          <w:tcPr>
            <w:tcW w:w="1485" w:type="dxa"/>
            <w:vAlign w:val="center"/>
            <w:vMerge w:val="continue"/>
            <w:textDirection w:val="lrTb"/>
            <w:noWrap w:val="false"/>
          </w:tcPr>
          <w:p>
            <w:pPr>
              <w:ind w:firstLine="480"/>
              <w:jc w:val="center"/>
              <w:rPr>
                <w:rFonts w:hint="eastAsia" w:ascii="宋体" w:hAnsi="宋体" w:eastAsia="宋体" w:cs="仿宋"/>
                <w:color w:val="auto"/>
                <w:sz w:val="24"/>
                <w:szCs w:val="24"/>
              </w:rPr>
            </w:pPr>
            <w:r>
              <w:rPr>
                <w:rFonts w:hint="eastAsia" w:ascii="宋体" w:hAnsi="宋体" w:eastAsia="宋体" w:cs="仿宋"/>
                <w:color w:val="auto"/>
                <w:sz w:val="24"/>
                <w:szCs w:val="24"/>
              </w:rPr>
            </w:r>
            <w:r/>
          </w:p>
        </w:tc>
        <w:tc>
          <w:tcPr>
            <w:tcW w:w="7684" w:type="dxa"/>
            <w:vAlign w:val="center"/>
            <w:textDirection w:val="lrTb"/>
            <w:noWrap w:val="false"/>
          </w:tcPr>
          <w:p>
            <w:pPr>
              <w:ind w:firstLine="480"/>
              <w:rPr>
                <w:rFonts w:hint="eastAsia" w:ascii="宋体" w:hAnsi="宋体" w:eastAsia="宋体" w:cs="仿宋"/>
                <w:color w:val="auto"/>
                <w:sz w:val="24"/>
                <w:szCs w:val="24"/>
              </w:rPr>
            </w:pPr>
            <w:r>
              <w:rPr>
                <w:rFonts w:ascii="宋体" w:hAnsi="宋体" w:eastAsia="宋体" w:cs="仿宋"/>
                <w:color w:val="auto"/>
                <w:sz w:val="24"/>
                <w:szCs w:val="24"/>
              </w:rPr>
              <w:t xml:space="preserve">2、本项目理解与需求分析方案（5分）</w:t>
            </w:r>
            <w:r/>
          </w:p>
          <w:p>
            <w:pPr>
              <w:ind w:firstLine="480"/>
              <w:rPr>
                <w:rFonts w:hint="eastAsia" w:ascii="宋体" w:hAnsi="宋体" w:eastAsia="宋体" w:cs="仿宋"/>
                <w:color w:val="auto"/>
                <w:sz w:val="24"/>
                <w:szCs w:val="24"/>
              </w:rPr>
            </w:pPr>
            <w:r>
              <w:rPr>
                <w:rFonts w:ascii="宋体" w:hAnsi="宋体" w:eastAsia="宋体" w:cs="仿宋"/>
                <w:color w:val="auto"/>
                <w:sz w:val="24"/>
                <w:szCs w:val="24"/>
                <w:lang w:bidi="ar"/>
              </w:rPr>
              <w:t xml:space="preserve">方案描述优于采购文件要求的得5分；符合采购文件要求的得3分；不符合采购文件要求或未提供的不得分。</w:t>
            </w:r>
            <w:r/>
          </w:p>
        </w:tc>
      </w:tr>
      <w:tr>
        <w:trPr/>
        <w:tc>
          <w:tcPr>
            <w:tcW w:w="1485" w:type="dxa"/>
            <w:vAlign w:val="center"/>
            <w:vMerge w:val="continue"/>
            <w:textDirection w:val="lrTb"/>
            <w:noWrap w:val="false"/>
          </w:tcPr>
          <w:p>
            <w:pPr>
              <w:ind w:firstLine="480"/>
              <w:jc w:val="center"/>
              <w:rPr>
                <w:rFonts w:hint="eastAsia" w:ascii="宋体" w:hAnsi="宋体" w:eastAsia="宋体" w:cs="仿宋"/>
                <w:color w:val="auto"/>
                <w:sz w:val="24"/>
                <w:szCs w:val="24"/>
              </w:rPr>
            </w:pPr>
            <w:r>
              <w:rPr>
                <w:rFonts w:hint="eastAsia" w:ascii="宋体" w:hAnsi="宋体" w:eastAsia="宋体" w:cs="仿宋"/>
                <w:color w:val="auto"/>
                <w:sz w:val="24"/>
                <w:szCs w:val="24"/>
              </w:rPr>
            </w:r>
            <w:r/>
          </w:p>
        </w:tc>
        <w:tc>
          <w:tcPr>
            <w:tcW w:w="7684" w:type="dxa"/>
            <w:vAlign w:val="center"/>
            <w:textDirection w:val="lrTb"/>
            <w:noWrap w:val="false"/>
          </w:tcPr>
          <w:p>
            <w:pPr>
              <w:ind w:firstLine="480"/>
              <w:rPr>
                <w:rFonts w:hint="eastAsia" w:ascii="宋体" w:hAnsi="宋体" w:eastAsia="宋体" w:cs="仿宋"/>
                <w:color w:val="auto"/>
                <w:sz w:val="24"/>
                <w:szCs w:val="24"/>
              </w:rPr>
            </w:pPr>
            <w:r>
              <w:rPr>
                <w:rFonts w:ascii="宋体" w:hAnsi="宋体" w:eastAsia="宋体" w:cs="仿宋"/>
                <w:color w:val="auto"/>
                <w:sz w:val="24"/>
                <w:szCs w:val="24"/>
              </w:rPr>
              <w:t xml:space="preserve">3、空调系统节能改造方案（5分）</w:t>
            </w:r>
            <w:r/>
          </w:p>
          <w:p>
            <w:pPr>
              <w:ind w:firstLine="480"/>
              <w:rPr>
                <w:rFonts w:hint="eastAsia" w:ascii="宋体" w:hAnsi="宋体" w:eastAsia="宋体" w:cs="仿宋"/>
                <w:color w:val="auto"/>
                <w:sz w:val="24"/>
                <w:szCs w:val="24"/>
              </w:rPr>
            </w:pPr>
            <w:r>
              <w:rPr>
                <w:rFonts w:ascii="宋体" w:hAnsi="宋体" w:eastAsia="宋体" w:cs="仿宋"/>
                <w:color w:val="auto"/>
                <w:sz w:val="24"/>
                <w:szCs w:val="24"/>
              </w:rPr>
              <w:t xml:space="preserve">方案描述优于采购文件要求的得5分；符合采购文件要求的得3分；不符合采购文件要求或未提供的不得分。</w:t>
            </w:r>
            <w:r/>
          </w:p>
        </w:tc>
      </w:tr>
      <w:tr>
        <w:trPr/>
        <w:tc>
          <w:tcPr>
            <w:tcW w:w="1485" w:type="dxa"/>
            <w:vAlign w:val="center"/>
            <w:vMerge w:val="continue"/>
            <w:textDirection w:val="lrTb"/>
            <w:noWrap w:val="false"/>
          </w:tcPr>
          <w:p>
            <w:pPr>
              <w:ind w:firstLine="480"/>
              <w:jc w:val="center"/>
              <w:rPr>
                <w:rFonts w:hint="eastAsia" w:ascii="宋体" w:hAnsi="宋体" w:eastAsia="宋体" w:cs="仿宋"/>
                <w:color w:val="auto"/>
                <w:sz w:val="24"/>
                <w:szCs w:val="24"/>
              </w:rPr>
            </w:pPr>
            <w:r>
              <w:rPr>
                <w:rFonts w:hint="eastAsia" w:ascii="宋体" w:hAnsi="宋体" w:eastAsia="宋体" w:cs="仿宋"/>
                <w:color w:val="auto"/>
                <w:sz w:val="24"/>
                <w:szCs w:val="24"/>
              </w:rPr>
            </w:r>
            <w:r/>
          </w:p>
        </w:tc>
        <w:tc>
          <w:tcPr>
            <w:tcW w:w="7684" w:type="dxa"/>
            <w:vAlign w:val="center"/>
            <w:textDirection w:val="lrTb"/>
            <w:noWrap w:val="false"/>
          </w:tcPr>
          <w:p>
            <w:pPr>
              <w:ind w:firstLine="480"/>
              <w:rPr>
                <w:rFonts w:hint="eastAsia" w:ascii="宋体" w:hAnsi="宋体" w:eastAsia="宋体" w:cs="仿宋"/>
                <w:color w:val="auto"/>
                <w:sz w:val="24"/>
                <w:szCs w:val="24"/>
              </w:rPr>
            </w:pPr>
            <w:r>
              <w:rPr>
                <w:rFonts w:ascii="宋体" w:hAnsi="宋体" w:eastAsia="宋体" w:cs="仿宋"/>
                <w:color w:val="auto"/>
                <w:sz w:val="24"/>
                <w:szCs w:val="24"/>
              </w:rPr>
              <w:t xml:space="preserve">4、分散终端设备智能控制系统改造方案（5分）</w:t>
            </w:r>
            <w:r/>
          </w:p>
          <w:p>
            <w:pPr>
              <w:ind w:firstLine="480"/>
              <w:rPr>
                <w:rFonts w:hint="eastAsia" w:ascii="宋体" w:hAnsi="宋体" w:eastAsia="宋体" w:cs="仿宋"/>
                <w:color w:val="auto"/>
                <w:sz w:val="24"/>
                <w:szCs w:val="24"/>
              </w:rPr>
            </w:pPr>
            <w:r>
              <w:rPr>
                <w:rFonts w:ascii="宋体" w:hAnsi="宋体" w:eastAsia="宋体" w:cs="仿宋"/>
                <w:color w:val="auto"/>
                <w:sz w:val="24"/>
                <w:szCs w:val="24"/>
              </w:rPr>
              <w:t xml:space="preserve">方案描述优于采购文件要求的得5分；符合采购文件要求的得3分；不符合采购文件要求或未提供的不得分。</w:t>
            </w:r>
            <w:r/>
          </w:p>
        </w:tc>
      </w:tr>
      <w:tr>
        <w:trPr/>
        <w:tc>
          <w:tcPr>
            <w:tcW w:w="1485" w:type="dxa"/>
            <w:vAlign w:val="center"/>
            <w:vMerge w:val="continue"/>
            <w:textDirection w:val="lrTb"/>
            <w:noWrap w:val="false"/>
          </w:tcPr>
          <w:p>
            <w:pPr>
              <w:ind w:firstLine="480"/>
              <w:jc w:val="center"/>
              <w:rPr>
                <w:rFonts w:hint="eastAsia" w:ascii="宋体" w:hAnsi="宋体" w:eastAsia="宋体" w:cs="仿宋"/>
                <w:color w:val="auto"/>
                <w:sz w:val="24"/>
                <w:szCs w:val="24"/>
              </w:rPr>
            </w:pPr>
            <w:r>
              <w:rPr>
                <w:rFonts w:hint="eastAsia" w:ascii="宋体" w:hAnsi="宋体" w:eastAsia="宋体" w:cs="仿宋"/>
                <w:color w:val="auto"/>
                <w:sz w:val="24"/>
                <w:szCs w:val="24"/>
              </w:rPr>
            </w:r>
            <w:r/>
          </w:p>
        </w:tc>
        <w:tc>
          <w:tcPr>
            <w:tcW w:w="7684" w:type="dxa"/>
            <w:vAlign w:val="center"/>
            <w:textDirection w:val="lrTb"/>
            <w:noWrap w:val="false"/>
          </w:tcPr>
          <w:p>
            <w:pPr>
              <w:ind w:firstLine="480"/>
              <w:rPr>
                <w:rFonts w:hint="eastAsia" w:ascii="宋体" w:hAnsi="宋体" w:eastAsia="宋体" w:cs="仿宋"/>
                <w:color w:val="auto"/>
                <w:sz w:val="24"/>
                <w:szCs w:val="24"/>
              </w:rPr>
            </w:pPr>
            <w:r>
              <w:rPr>
                <w:rFonts w:ascii="宋体" w:hAnsi="宋体" w:eastAsia="宋体" w:cs="仿宋"/>
                <w:color w:val="auto"/>
                <w:sz w:val="24"/>
                <w:szCs w:val="24"/>
              </w:rPr>
              <w:t xml:space="preserve">5、分布式光伏电站建设方案（5分）</w:t>
            </w:r>
            <w:r/>
          </w:p>
          <w:p>
            <w:pPr>
              <w:ind w:firstLine="480"/>
              <w:rPr>
                <w:rFonts w:hint="eastAsia" w:ascii="宋体" w:hAnsi="宋体" w:eastAsia="宋体" w:cs="仿宋"/>
                <w:color w:val="auto"/>
                <w:sz w:val="24"/>
                <w:szCs w:val="24"/>
              </w:rPr>
            </w:pPr>
            <w:r>
              <w:rPr>
                <w:rFonts w:ascii="宋体" w:hAnsi="宋体" w:eastAsia="宋体" w:cs="仿宋"/>
                <w:color w:val="auto"/>
                <w:sz w:val="24"/>
                <w:szCs w:val="24"/>
              </w:rPr>
              <w:t xml:space="preserve">方案描述优于采购文件要求的得5分；符合采购文件要求的得3分；不符合采购文件要求或未提供的不得分。</w:t>
            </w:r>
            <w:r/>
          </w:p>
        </w:tc>
      </w:tr>
      <w:tr>
        <w:trPr/>
        <w:tc>
          <w:tcPr>
            <w:tcW w:w="1485" w:type="dxa"/>
            <w:vAlign w:val="center"/>
            <w:vMerge w:val="continue"/>
            <w:textDirection w:val="lrTb"/>
            <w:noWrap w:val="false"/>
          </w:tcPr>
          <w:p>
            <w:pPr>
              <w:ind w:firstLine="480"/>
              <w:jc w:val="center"/>
              <w:rPr>
                <w:rFonts w:hint="eastAsia" w:ascii="宋体" w:hAnsi="宋体" w:eastAsia="宋体" w:cs="仿宋"/>
                <w:color w:val="auto"/>
                <w:sz w:val="24"/>
                <w:szCs w:val="24"/>
              </w:rPr>
            </w:pPr>
            <w:r>
              <w:rPr>
                <w:rFonts w:hint="eastAsia" w:ascii="宋体" w:hAnsi="宋体" w:eastAsia="宋体" w:cs="仿宋"/>
                <w:color w:val="auto"/>
                <w:sz w:val="24"/>
                <w:szCs w:val="24"/>
              </w:rPr>
            </w:r>
            <w:r/>
          </w:p>
        </w:tc>
        <w:tc>
          <w:tcPr>
            <w:tcW w:w="7684" w:type="dxa"/>
            <w:vAlign w:val="center"/>
            <w:textDirection w:val="lrTb"/>
            <w:noWrap w:val="false"/>
          </w:tcPr>
          <w:p>
            <w:pPr>
              <w:ind w:firstLine="480"/>
              <w:rPr>
                <w:rFonts w:hint="eastAsia" w:ascii="宋体" w:hAnsi="宋体" w:eastAsia="宋体" w:cs="仿宋"/>
                <w:color w:val="auto"/>
                <w:sz w:val="24"/>
                <w:szCs w:val="24"/>
              </w:rPr>
            </w:pPr>
            <w:r>
              <w:rPr>
                <w:rFonts w:ascii="宋体" w:hAnsi="宋体" w:eastAsia="宋体" w:cs="仿宋"/>
                <w:color w:val="auto"/>
                <w:sz w:val="24"/>
                <w:szCs w:val="24"/>
              </w:rPr>
              <w:t xml:space="preserve">6、节水改造方案（5分）</w:t>
            </w:r>
            <w:r/>
          </w:p>
          <w:p>
            <w:pPr>
              <w:ind w:firstLine="480"/>
              <w:rPr>
                <w:rFonts w:hint="eastAsia" w:ascii="宋体" w:hAnsi="宋体" w:eastAsia="宋体" w:cs="仿宋"/>
                <w:color w:val="auto"/>
                <w:sz w:val="24"/>
                <w:szCs w:val="24"/>
              </w:rPr>
            </w:pPr>
            <w:r>
              <w:rPr>
                <w:rFonts w:ascii="宋体" w:hAnsi="宋体" w:eastAsia="宋体" w:cs="仿宋"/>
                <w:color w:val="auto"/>
                <w:sz w:val="24"/>
                <w:szCs w:val="24"/>
              </w:rPr>
              <w:t xml:space="preserve">方案描述优于采购文件要求的得5分；符合采购文件要求的得3分；不符合采购文件要求或未提供的不得分。</w:t>
            </w:r>
            <w:r/>
          </w:p>
        </w:tc>
      </w:tr>
      <w:tr>
        <w:trPr/>
        <w:tc>
          <w:tcPr>
            <w:tcW w:w="1485" w:type="dxa"/>
            <w:vAlign w:val="center"/>
            <w:vMerge w:val="continue"/>
            <w:textDirection w:val="lrTb"/>
            <w:noWrap w:val="false"/>
          </w:tcPr>
          <w:p>
            <w:pPr>
              <w:ind w:firstLine="480"/>
              <w:jc w:val="center"/>
              <w:rPr>
                <w:rFonts w:hint="eastAsia" w:ascii="宋体" w:hAnsi="宋体" w:eastAsia="宋体" w:cs="仿宋"/>
                <w:color w:val="auto"/>
                <w:sz w:val="24"/>
                <w:szCs w:val="24"/>
              </w:rPr>
            </w:pPr>
            <w:r>
              <w:rPr>
                <w:rFonts w:hint="eastAsia" w:ascii="宋体" w:hAnsi="宋体" w:eastAsia="宋体" w:cs="仿宋"/>
                <w:color w:val="auto"/>
                <w:sz w:val="24"/>
                <w:szCs w:val="24"/>
              </w:rPr>
            </w:r>
            <w:r/>
          </w:p>
        </w:tc>
        <w:tc>
          <w:tcPr>
            <w:tcW w:w="7684" w:type="dxa"/>
            <w:vAlign w:val="center"/>
            <w:textDirection w:val="lrTb"/>
            <w:noWrap w:val="false"/>
          </w:tcPr>
          <w:p>
            <w:pPr>
              <w:ind w:firstLine="480"/>
              <w:rPr>
                <w:rFonts w:hint="eastAsia" w:ascii="宋体" w:hAnsi="宋体" w:eastAsia="宋体" w:cs="仿宋"/>
                <w:color w:val="auto"/>
                <w:sz w:val="24"/>
                <w:szCs w:val="24"/>
              </w:rPr>
            </w:pPr>
            <w:r>
              <w:rPr>
                <w:rFonts w:ascii="宋体" w:hAnsi="宋体" w:eastAsia="宋体" w:cs="仿宋"/>
                <w:color w:val="auto"/>
                <w:sz w:val="24"/>
                <w:szCs w:val="24"/>
              </w:rPr>
              <w:t xml:space="preserve">7、照明智能控制系统改造方案（5分）</w:t>
            </w:r>
            <w:r/>
          </w:p>
          <w:p>
            <w:pPr>
              <w:ind w:firstLine="480"/>
              <w:rPr>
                <w:rFonts w:hint="eastAsia" w:ascii="宋体" w:hAnsi="宋体" w:eastAsia="宋体" w:cs="仿宋"/>
                <w:color w:val="auto"/>
                <w:sz w:val="24"/>
                <w:szCs w:val="24"/>
              </w:rPr>
            </w:pPr>
            <w:r>
              <w:rPr>
                <w:rFonts w:ascii="宋体" w:hAnsi="宋体" w:eastAsia="宋体" w:cs="仿宋"/>
                <w:color w:val="auto"/>
                <w:sz w:val="24"/>
                <w:szCs w:val="24"/>
              </w:rPr>
              <w:t xml:space="preserve">方案描述优于采购文件要求的得5分；符合采购文件要求的得3分；不符合采购文件要求或未提供的不得分。</w:t>
            </w:r>
            <w:r/>
          </w:p>
        </w:tc>
      </w:tr>
      <w:tr>
        <w:trPr/>
        <w:tc>
          <w:tcPr>
            <w:tcW w:w="1485" w:type="dxa"/>
            <w:vAlign w:val="center"/>
            <w:vMerge w:val="continue"/>
            <w:textDirection w:val="lrTb"/>
            <w:noWrap w:val="false"/>
          </w:tcPr>
          <w:p>
            <w:pPr>
              <w:ind w:firstLine="480"/>
              <w:jc w:val="center"/>
              <w:rPr>
                <w:rFonts w:hint="eastAsia" w:ascii="宋体" w:hAnsi="宋体" w:eastAsia="宋体" w:cs="仿宋"/>
                <w:color w:val="auto"/>
                <w:sz w:val="24"/>
                <w:szCs w:val="24"/>
              </w:rPr>
            </w:pPr>
            <w:r>
              <w:rPr>
                <w:rFonts w:hint="eastAsia" w:ascii="宋体" w:hAnsi="宋体" w:eastAsia="宋体" w:cs="仿宋"/>
                <w:color w:val="auto"/>
                <w:sz w:val="24"/>
                <w:szCs w:val="24"/>
              </w:rPr>
            </w:r>
            <w:r/>
          </w:p>
        </w:tc>
        <w:tc>
          <w:tcPr>
            <w:tcW w:w="7684" w:type="dxa"/>
            <w:vAlign w:val="center"/>
            <w:textDirection w:val="lrTb"/>
            <w:noWrap w:val="false"/>
          </w:tcPr>
          <w:p>
            <w:pPr>
              <w:ind w:firstLine="480"/>
              <w:rPr>
                <w:rFonts w:hint="eastAsia" w:ascii="宋体" w:hAnsi="宋体" w:eastAsia="宋体" w:cs="仿宋"/>
                <w:color w:val="auto"/>
                <w:sz w:val="24"/>
                <w:szCs w:val="24"/>
              </w:rPr>
            </w:pPr>
            <w:r>
              <w:rPr>
                <w:rFonts w:ascii="宋体" w:hAnsi="宋体" w:eastAsia="宋体" w:cs="仿宋"/>
                <w:color w:val="auto"/>
                <w:sz w:val="24"/>
                <w:szCs w:val="24"/>
              </w:rPr>
              <w:t xml:space="preserve">8、项目</w:t>
            </w:r>
            <w:r>
              <w:rPr>
                <w:rFonts w:hint="eastAsia" w:ascii="宋体" w:hAnsi="宋体" w:eastAsia="宋体" w:cs="仿宋"/>
                <w:color w:val="auto"/>
                <w:sz w:val="24"/>
                <w:szCs w:val="24"/>
              </w:rPr>
              <w:t xml:space="preserve">实施</w:t>
            </w:r>
            <w:r>
              <w:rPr>
                <w:rFonts w:ascii="宋体" w:hAnsi="宋体" w:eastAsia="宋体" w:cs="仿宋"/>
                <w:color w:val="auto"/>
                <w:sz w:val="24"/>
                <w:szCs w:val="24"/>
              </w:rPr>
              <w:t xml:space="preserve">方案（5分）</w:t>
            </w:r>
            <w:r/>
          </w:p>
          <w:p>
            <w:pPr>
              <w:ind w:firstLine="480"/>
              <w:rPr>
                <w:rFonts w:hint="eastAsia" w:ascii="宋体" w:hAnsi="宋体" w:eastAsia="宋体" w:cs="仿宋"/>
                <w:color w:val="auto"/>
                <w:sz w:val="24"/>
                <w:szCs w:val="24"/>
              </w:rPr>
            </w:pPr>
            <w:r>
              <w:rPr>
                <w:rFonts w:ascii="宋体" w:hAnsi="宋体" w:eastAsia="宋体" w:cs="仿宋"/>
                <w:color w:val="auto"/>
                <w:sz w:val="24"/>
                <w:szCs w:val="24"/>
              </w:rPr>
              <w:t xml:space="preserve">方案描述优于采购文件要求的得5分；符合采购文件要求的得3分；不符合采购文件要求或未提供的不得分。</w:t>
            </w:r>
            <w:r/>
          </w:p>
        </w:tc>
      </w:tr>
      <w:tr>
        <w:trPr/>
        <w:tc>
          <w:tcPr>
            <w:tcW w:w="1485" w:type="dxa"/>
            <w:vAlign w:val="center"/>
            <w:vMerge w:val="continue"/>
            <w:textDirection w:val="lrTb"/>
            <w:noWrap w:val="false"/>
          </w:tcPr>
          <w:p>
            <w:pPr>
              <w:ind w:firstLine="480"/>
              <w:jc w:val="center"/>
              <w:rPr>
                <w:rFonts w:hint="eastAsia" w:ascii="宋体" w:hAnsi="宋体" w:eastAsia="宋体" w:cs="仿宋"/>
                <w:color w:val="auto"/>
                <w:sz w:val="24"/>
                <w:szCs w:val="24"/>
              </w:rPr>
            </w:pPr>
            <w:r>
              <w:rPr>
                <w:rFonts w:hint="eastAsia" w:ascii="宋体" w:hAnsi="宋体" w:eastAsia="宋体" w:cs="仿宋"/>
                <w:color w:val="auto"/>
                <w:sz w:val="24"/>
                <w:szCs w:val="24"/>
              </w:rPr>
            </w:r>
            <w:r/>
          </w:p>
        </w:tc>
        <w:tc>
          <w:tcPr>
            <w:tcW w:w="7684" w:type="dxa"/>
            <w:vAlign w:val="center"/>
            <w:textDirection w:val="lrTb"/>
            <w:noWrap w:val="false"/>
          </w:tcPr>
          <w:p>
            <w:pPr>
              <w:ind w:firstLine="480"/>
              <w:rPr>
                <w:rFonts w:hint="eastAsia" w:ascii="宋体" w:hAnsi="宋体" w:eastAsia="宋体" w:cs="仿宋"/>
                <w:color w:val="auto"/>
                <w:sz w:val="24"/>
                <w:szCs w:val="24"/>
              </w:rPr>
            </w:pPr>
            <w:r>
              <w:rPr>
                <w:rFonts w:hint="eastAsia" w:ascii="宋体" w:hAnsi="宋体" w:eastAsia="宋体" w:cs="仿宋"/>
                <w:color w:val="auto"/>
                <w:sz w:val="24"/>
                <w:szCs w:val="24"/>
              </w:rPr>
              <w:t xml:space="preserve">9</w:t>
            </w:r>
            <w:r>
              <w:rPr>
                <w:rFonts w:ascii="宋体" w:hAnsi="宋体" w:eastAsia="宋体" w:cs="仿宋"/>
                <w:color w:val="auto"/>
                <w:sz w:val="24"/>
                <w:szCs w:val="24"/>
              </w:rPr>
              <w:t xml:space="preserve">、项目施工组织计划方案（5分）</w:t>
            </w:r>
            <w:r/>
          </w:p>
          <w:p>
            <w:pPr>
              <w:ind w:firstLine="480"/>
              <w:rPr>
                <w:rFonts w:hint="eastAsia" w:ascii="宋体" w:hAnsi="宋体" w:eastAsia="宋体" w:cs="仿宋"/>
                <w:color w:val="auto"/>
                <w:sz w:val="24"/>
                <w:szCs w:val="24"/>
              </w:rPr>
            </w:pPr>
            <w:r>
              <w:rPr>
                <w:rFonts w:ascii="宋体" w:hAnsi="宋体" w:eastAsia="宋体" w:cs="仿宋"/>
                <w:color w:val="auto"/>
                <w:sz w:val="24"/>
                <w:szCs w:val="24"/>
              </w:rPr>
              <w:t xml:space="preserve">方案描述优于采购文件要求的得5分；符合采购文件要求的得3分；不符合采购文件要求或未提供的不得分。</w:t>
            </w:r>
            <w:r/>
          </w:p>
        </w:tc>
      </w:tr>
      <w:tr>
        <w:trPr>
          <w:trHeight w:val="1150"/>
        </w:trPr>
        <w:tc>
          <w:tcPr>
            <w:tcW w:w="1485" w:type="dxa"/>
            <w:vAlign w:val="center"/>
            <w:vMerge w:val="continue"/>
            <w:textDirection w:val="lrTb"/>
            <w:noWrap w:val="false"/>
          </w:tcPr>
          <w:p>
            <w:pPr>
              <w:ind w:firstLine="480"/>
              <w:jc w:val="center"/>
              <w:rPr>
                <w:rFonts w:hint="eastAsia" w:ascii="宋体" w:hAnsi="宋体" w:eastAsia="宋体" w:cs="仿宋"/>
                <w:color w:val="auto"/>
                <w:sz w:val="24"/>
                <w:szCs w:val="24"/>
              </w:rPr>
            </w:pPr>
            <w:r>
              <w:rPr>
                <w:rFonts w:hint="eastAsia" w:ascii="宋体" w:hAnsi="宋体" w:eastAsia="宋体" w:cs="仿宋"/>
                <w:color w:val="auto"/>
                <w:sz w:val="24"/>
                <w:szCs w:val="24"/>
              </w:rPr>
            </w:r>
            <w:r/>
          </w:p>
        </w:tc>
        <w:tc>
          <w:tcPr>
            <w:tcW w:w="7684" w:type="dxa"/>
            <w:vAlign w:val="center"/>
            <w:textDirection w:val="lrTb"/>
            <w:noWrap w:val="false"/>
          </w:tcPr>
          <w:p>
            <w:pPr>
              <w:ind w:firstLine="480"/>
              <w:rPr>
                <w:rFonts w:hint="eastAsia" w:ascii="宋体" w:hAnsi="宋体" w:eastAsia="宋体" w:cs="仿宋"/>
                <w:color w:val="auto"/>
                <w:sz w:val="24"/>
                <w:szCs w:val="24"/>
              </w:rPr>
            </w:pPr>
            <w:r>
              <w:rPr>
                <w:rFonts w:hint="eastAsia" w:ascii="宋体" w:hAnsi="宋体" w:eastAsia="宋体" w:cs="仿宋"/>
                <w:color w:val="auto"/>
                <w:sz w:val="24"/>
                <w:szCs w:val="24"/>
              </w:rPr>
              <w:t xml:space="preserve">10</w:t>
            </w:r>
            <w:r>
              <w:rPr>
                <w:rFonts w:ascii="宋体" w:hAnsi="宋体" w:eastAsia="宋体" w:cs="仿宋"/>
                <w:color w:val="auto"/>
                <w:sz w:val="24"/>
                <w:szCs w:val="24"/>
              </w:rPr>
              <w:t xml:space="preserve">、项目运维服务方案（5分）</w:t>
            </w:r>
            <w:r/>
          </w:p>
          <w:p>
            <w:pPr>
              <w:ind w:firstLine="480"/>
              <w:rPr>
                <w:rFonts w:hint="eastAsia" w:ascii="宋体" w:hAnsi="宋体" w:eastAsia="宋体" w:cs="仿宋"/>
                <w:color w:val="auto"/>
                <w:sz w:val="24"/>
                <w:szCs w:val="24"/>
              </w:rPr>
            </w:pPr>
            <w:r>
              <w:rPr>
                <w:rFonts w:ascii="宋体" w:hAnsi="宋体" w:eastAsia="宋体" w:cs="仿宋"/>
                <w:color w:val="auto"/>
                <w:sz w:val="24"/>
                <w:szCs w:val="24"/>
              </w:rPr>
              <w:t xml:space="preserve">方案描述优于采购文件要求的得5分；符合采购文件要求的得3分；不符合采购文件要求或未提供的不得分。</w:t>
            </w:r>
            <w:r/>
          </w:p>
        </w:tc>
      </w:tr>
      <w:tr>
        <w:trPr/>
        <w:tc>
          <w:tcPr>
            <w:tcW w:w="1485" w:type="dxa"/>
            <w:vAlign w:val="center"/>
            <w:vMerge w:val="restart"/>
            <w:textDirection w:val="lrTb"/>
            <w:noWrap w:val="false"/>
          </w:tcPr>
          <w:p>
            <w:pPr>
              <w:jc w:val="center"/>
              <w:rPr>
                <w:rFonts w:hint="eastAsia" w:ascii="宋体" w:hAnsi="宋体" w:eastAsia="宋体" w:cs="仿宋"/>
                <w:b/>
                <w:bCs/>
                <w:color w:val="auto"/>
                <w:sz w:val="24"/>
                <w:szCs w:val="24"/>
                <w:lang w:bidi="ar"/>
              </w:rPr>
            </w:pPr>
            <w:r>
              <w:rPr>
                <w:rFonts w:ascii="宋体" w:hAnsi="宋体" w:eastAsia="宋体" w:cs="仿宋"/>
                <w:b/>
                <w:bCs/>
                <w:color w:val="auto"/>
                <w:sz w:val="24"/>
                <w:szCs w:val="24"/>
                <w:lang w:bidi="ar"/>
              </w:rPr>
              <w:t xml:space="preserve">企业实力</w:t>
            </w:r>
            <w:r/>
          </w:p>
          <w:p>
            <w:pPr>
              <w:jc w:val="center"/>
              <w:rPr>
                <w:rFonts w:hint="eastAsia" w:ascii="宋体" w:hAnsi="宋体" w:eastAsia="宋体" w:cs="仿宋"/>
                <w:color w:val="auto"/>
                <w:sz w:val="24"/>
                <w:szCs w:val="24"/>
              </w:rPr>
            </w:pPr>
            <w:r>
              <w:rPr>
                <w:rFonts w:ascii="宋体" w:hAnsi="宋体" w:eastAsia="宋体" w:cs="仿宋"/>
                <w:b/>
                <w:bCs/>
                <w:color w:val="auto"/>
                <w:sz w:val="24"/>
                <w:szCs w:val="24"/>
                <w:lang w:bidi="ar"/>
              </w:rPr>
              <w:t xml:space="preserve">(</w:t>
            </w:r>
            <w:r>
              <w:rPr>
                <w:rFonts w:hint="eastAsia" w:ascii="宋体" w:hAnsi="宋体" w:eastAsia="宋体" w:cs="仿宋"/>
                <w:b/>
                <w:bCs/>
                <w:color w:val="auto"/>
                <w:sz w:val="24"/>
                <w:szCs w:val="24"/>
                <w:lang w:bidi="ar"/>
              </w:rPr>
              <w:t xml:space="preserve">40</w:t>
            </w:r>
            <w:r>
              <w:rPr>
                <w:rFonts w:ascii="宋体" w:hAnsi="宋体" w:eastAsia="宋体" w:cs="仿宋"/>
                <w:b/>
                <w:bCs/>
                <w:color w:val="auto"/>
                <w:sz w:val="24"/>
                <w:szCs w:val="24"/>
                <w:lang w:bidi="ar"/>
              </w:rPr>
              <w:t xml:space="preserve">分)</w:t>
            </w:r>
            <w:r/>
          </w:p>
        </w:tc>
        <w:tc>
          <w:tcPr>
            <w:tcW w:w="7684" w:type="dxa"/>
            <w:vAlign w:val="center"/>
            <w:textDirection w:val="lrTb"/>
            <w:noWrap w:val="false"/>
          </w:tcPr>
          <w:p>
            <w:pPr>
              <w:ind w:firstLine="480"/>
              <w:rPr>
                <w:rFonts w:hint="eastAsia" w:ascii="宋体" w:hAnsi="宋体" w:eastAsia="宋体" w:cs="宋体"/>
                <w:color w:val="auto"/>
                <w:sz w:val="24"/>
                <w:szCs w:val="24"/>
              </w:rPr>
            </w:pPr>
            <w:r>
              <w:rPr>
                <w:rFonts w:ascii="宋体" w:hAnsi="宋体" w:eastAsia="宋体" w:cs="宋体"/>
                <w:color w:val="auto"/>
                <w:sz w:val="24"/>
                <w:szCs w:val="24"/>
              </w:rPr>
              <w:t xml:space="preserve">1、投标人具有有效期内质量认证管理体系证书</w:t>
            </w:r>
            <w:r>
              <w:rPr>
                <w:rFonts w:hint="eastAsia" w:ascii="宋体" w:hAnsi="宋体" w:eastAsia="宋体" w:cs="仿宋"/>
                <w:color w:val="auto"/>
                <w:sz w:val="24"/>
                <w:szCs w:val="24"/>
                <w:lang w:bidi="ar"/>
              </w:rPr>
              <w:t xml:space="preserve">的得</w:t>
            </w:r>
            <w:r>
              <w:rPr>
                <w:rFonts w:hint="eastAsia" w:ascii="宋体" w:hAnsi="宋体" w:eastAsia="宋体" w:cs="仿宋"/>
                <w:color w:val="auto"/>
                <w:sz w:val="24"/>
                <w:szCs w:val="24"/>
                <w:lang w:val="en-US" w:eastAsia="zh-CN" w:bidi="ar"/>
              </w:rPr>
              <w:t xml:space="preserve">1</w:t>
            </w:r>
            <w:r>
              <w:rPr>
                <w:rFonts w:hint="eastAsia" w:ascii="宋体" w:hAnsi="宋体" w:eastAsia="宋体" w:cs="仿宋"/>
                <w:color w:val="auto"/>
                <w:sz w:val="24"/>
                <w:szCs w:val="24"/>
                <w:lang w:bidi="ar"/>
              </w:rPr>
              <w:t xml:space="preserve">分；</w:t>
            </w:r>
            <w:r>
              <w:rPr>
                <w:rFonts w:hint="eastAsia" w:ascii="宋体" w:hAnsi="宋体" w:eastAsia="宋体" w:cs="仿宋"/>
                <w:color w:val="auto"/>
                <w:sz w:val="24"/>
                <w:szCs w:val="24"/>
                <w:lang w:val="en-US" w:eastAsia="zh-CN" w:bidi="ar"/>
              </w:rPr>
              <w:t xml:space="preserve">具有</w:t>
            </w:r>
            <w:r>
              <w:rPr>
                <w:rFonts w:ascii="宋体" w:hAnsi="宋体" w:eastAsia="宋体" w:cs="宋体"/>
                <w:color w:val="auto"/>
                <w:sz w:val="24"/>
                <w:szCs w:val="24"/>
              </w:rPr>
              <w:t xml:space="preserve">信息安全管理体系认证证书</w:t>
            </w:r>
            <w:r>
              <w:rPr>
                <w:rFonts w:hint="eastAsia" w:ascii="宋体" w:hAnsi="宋体" w:eastAsia="宋体" w:cs="仿宋"/>
                <w:color w:val="auto"/>
                <w:sz w:val="24"/>
                <w:szCs w:val="24"/>
                <w:lang w:bidi="ar"/>
              </w:rPr>
              <w:t xml:space="preserve">的得</w:t>
            </w:r>
            <w:r>
              <w:rPr>
                <w:rFonts w:hint="eastAsia" w:ascii="宋体" w:hAnsi="宋体" w:eastAsia="宋体" w:cs="仿宋"/>
                <w:color w:val="auto"/>
                <w:sz w:val="24"/>
                <w:szCs w:val="24"/>
                <w:lang w:val="en-US" w:eastAsia="zh-CN" w:bidi="ar"/>
              </w:rPr>
              <w:t xml:space="preserve">1</w:t>
            </w:r>
            <w:r>
              <w:rPr>
                <w:rFonts w:hint="eastAsia" w:ascii="宋体" w:hAnsi="宋体" w:eastAsia="宋体" w:cs="仿宋"/>
                <w:color w:val="auto"/>
                <w:sz w:val="24"/>
                <w:szCs w:val="24"/>
                <w:lang w:bidi="ar"/>
              </w:rPr>
              <w:t xml:space="preserve">分；</w:t>
            </w:r>
            <w:r>
              <w:rPr>
                <w:rFonts w:hint="eastAsia" w:ascii="宋体" w:hAnsi="宋体" w:eastAsia="宋体" w:cs="仿宋"/>
                <w:color w:val="auto"/>
                <w:sz w:val="24"/>
                <w:szCs w:val="24"/>
                <w:lang w:val="en-US" w:eastAsia="zh-CN" w:bidi="ar"/>
              </w:rPr>
              <w:t xml:space="preserve">具有</w:t>
            </w:r>
            <w:r>
              <w:rPr>
                <w:rFonts w:ascii="宋体" w:hAnsi="宋体" w:eastAsia="宋体" w:cs="宋体"/>
                <w:color w:val="auto"/>
                <w:sz w:val="24"/>
                <w:szCs w:val="24"/>
              </w:rPr>
              <w:t xml:space="preserve">职业健康安全管理体系证书</w:t>
            </w:r>
            <w:r>
              <w:rPr>
                <w:rFonts w:hint="eastAsia" w:ascii="宋体" w:hAnsi="宋体" w:eastAsia="宋体" w:cs="仿宋"/>
                <w:color w:val="auto"/>
                <w:sz w:val="24"/>
                <w:szCs w:val="24"/>
                <w:lang w:bidi="ar"/>
              </w:rPr>
              <w:t xml:space="preserve">的得</w:t>
            </w:r>
            <w:r>
              <w:rPr>
                <w:rFonts w:hint="eastAsia" w:ascii="宋体" w:hAnsi="宋体" w:eastAsia="宋体" w:cs="仿宋"/>
                <w:color w:val="auto"/>
                <w:sz w:val="24"/>
                <w:szCs w:val="24"/>
                <w:lang w:val="en-US" w:eastAsia="zh-CN" w:bidi="ar"/>
              </w:rPr>
              <w:t xml:space="preserve">1</w:t>
            </w:r>
            <w:r>
              <w:rPr>
                <w:rFonts w:hint="eastAsia" w:ascii="宋体" w:hAnsi="宋体" w:eastAsia="宋体" w:cs="仿宋"/>
                <w:color w:val="auto"/>
                <w:sz w:val="24"/>
                <w:szCs w:val="24"/>
                <w:lang w:bidi="ar"/>
              </w:rPr>
              <w:t xml:space="preserve">分；</w:t>
            </w:r>
            <w:r>
              <w:rPr>
                <w:rFonts w:hint="eastAsia" w:ascii="宋体" w:hAnsi="宋体" w:eastAsia="宋体" w:cs="仿宋"/>
                <w:color w:val="auto"/>
                <w:sz w:val="24"/>
                <w:szCs w:val="24"/>
                <w:lang w:val="en-US" w:eastAsia="zh-CN" w:bidi="ar"/>
              </w:rPr>
              <w:t xml:space="preserve">具有</w:t>
            </w:r>
            <w:r>
              <w:rPr>
                <w:rFonts w:hint="eastAsia" w:ascii="宋体" w:hAnsi="宋体" w:eastAsia="宋体" w:cs="宋体"/>
                <w:color w:val="auto"/>
                <w:sz w:val="24"/>
                <w:szCs w:val="24"/>
                <w:lang w:eastAsia="zh-CN"/>
              </w:rPr>
              <w:t xml:space="preserve">环境管理体系认证证书</w:t>
            </w:r>
            <w:r>
              <w:rPr>
                <w:rFonts w:hint="eastAsia" w:ascii="宋体" w:hAnsi="宋体" w:eastAsia="宋体" w:cs="仿宋"/>
                <w:color w:val="auto"/>
                <w:sz w:val="24"/>
                <w:szCs w:val="24"/>
                <w:lang w:bidi="ar"/>
              </w:rPr>
              <w:t xml:space="preserve">的得</w:t>
            </w:r>
            <w:r>
              <w:rPr>
                <w:rFonts w:hint="eastAsia" w:ascii="宋体" w:hAnsi="宋体" w:eastAsia="宋体" w:cs="仿宋"/>
                <w:color w:val="auto"/>
                <w:sz w:val="24"/>
                <w:szCs w:val="24"/>
                <w:lang w:val="en-US" w:eastAsia="zh-CN" w:bidi="ar"/>
              </w:rPr>
              <w:t xml:space="preserve">1</w:t>
            </w:r>
            <w:r>
              <w:rPr>
                <w:rFonts w:hint="eastAsia" w:ascii="宋体" w:hAnsi="宋体" w:eastAsia="宋体" w:cs="仿宋"/>
                <w:color w:val="auto"/>
                <w:sz w:val="24"/>
                <w:szCs w:val="24"/>
                <w:lang w:bidi="ar"/>
              </w:rPr>
              <w:t xml:space="preserve">分；</w:t>
            </w:r>
            <w:r>
              <w:rPr>
                <w:rFonts w:ascii="宋体" w:hAnsi="宋体" w:eastAsia="宋体" w:cs="宋体"/>
                <w:color w:val="auto"/>
                <w:sz w:val="24"/>
                <w:szCs w:val="24"/>
              </w:rPr>
              <w:t xml:space="preserve">满分</w:t>
            </w:r>
            <w:r>
              <w:rPr>
                <w:rFonts w:hint="eastAsia" w:ascii="宋体" w:hAnsi="宋体" w:eastAsia="宋体" w:cs="宋体"/>
                <w:color w:val="auto"/>
                <w:sz w:val="24"/>
                <w:szCs w:val="24"/>
              </w:rPr>
              <w:t xml:space="preserve">4</w:t>
            </w:r>
            <w:r>
              <w:rPr>
                <w:rFonts w:ascii="宋体" w:hAnsi="宋体" w:eastAsia="宋体" w:cs="宋体"/>
                <w:color w:val="auto"/>
                <w:sz w:val="24"/>
                <w:szCs w:val="24"/>
              </w:rPr>
              <w:t xml:space="preserve">分。</w:t>
            </w:r>
            <w:r/>
          </w:p>
          <w:p>
            <w:pPr>
              <w:ind w:firstLine="482"/>
              <w:rPr>
                <w:rFonts w:hint="eastAsia" w:ascii="宋体" w:hAnsi="宋体" w:eastAsia="宋体" w:cs="仿宋"/>
                <w:color w:val="auto"/>
                <w:sz w:val="24"/>
                <w:szCs w:val="24"/>
              </w:rPr>
            </w:pPr>
            <w:r>
              <w:rPr>
                <w:rFonts w:ascii="宋体" w:hAnsi="宋体" w:eastAsia="宋体" w:cs="宋体"/>
                <w:b/>
                <w:bCs/>
                <w:color w:val="auto"/>
                <w:sz w:val="24"/>
                <w:szCs w:val="24"/>
              </w:rPr>
              <w:t xml:space="preserve">注：颁发机构为具有认定资质的专业认定机构，可在监督管理委员会网站查询到：www.cnca.gov.cn。提供证书复印件加盖公章。（投标人须提供有效的证书原件，扫描上传）</w:t>
            </w:r>
            <w:r/>
          </w:p>
        </w:tc>
      </w:tr>
      <w:tr>
        <w:trPr/>
        <w:tc>
          <w:tcPr>
            <w:tcW w:w="1485" w:type="dxa"/>
            <w:vAlign w:val="center"/>
            <w:vMerge w:val="continue"/>
            <w:textDirection w:val="lrTb"/>
            <w:noWrap w:val="false"/>
          </w:tcPr>
          <w:p>
            <w:pPr>
              <w:ind w:firstLine="480"/>
              <w:jc w:val="center"/>
              <w:rPr>
                <w:rFonts w:hint="eastAsia" w:ascii="宋体" w:hAnsi="宋体" w:eastAsia="宋体" w:cs="仿宋"/>
                <w:color w:val="auto"/>
                <w:sz w:val="24"/>
                <w:szCs w:val="24"/>
              </w:rPr>
            </w:pPr>
            <w:r>
              <w:rPr>
                <w:rFonts w:hint="eastAsia" w:ascii="宋体" w:hAnsi="宋体" w:eastAsia="宋体" w:cs="仿宋"/>
                <w:color w:val="auto"/>
                <w:sz w:val="24"/>
                <w:szCs w:val="24"/>
              </w:rPr>
            </w:r>
            <w:r/>
          </w:p>
        </w:tc>
        <w:tc>
          <w:tcPr>
            <w:tcW w:w="7684" w:type="dxa"/>
            <w:vAlign w:val="center"/>
            <w:textDirection w:val="lrTb"/>
            <w:noWrap w:val="false"/>
          </w:tcPr>
          <w:p>
            <w:pPr>
              <w:ind w:firstLine="480"/>
              <w:rPr>
                <w:rFonts w:hint="eastAsia" w:ascii="宋体" w:hAnsi="宋体" w:eastAsia="宋体" w:cs="宋体"/>
                <w:color w:val="auto"/>
                <w:sz w:val="24"/>
                <w:szCs w:val="24"/>
              </w:rPr>
            </w:pPr>
            <w:r>
              <w:rPr>
                <w:rFonts w:hint="eastAsia" w:ascii="宋体" w:hAnsi="宋体" w:eastAsia="宋体" w:cs="仿宋"/>
                <w:color w:val="auto"/>
                <w:sz w:val="24"/>
                <w:szCs w:val="24"/>
                <w:lang w:bidi="ar"/>
              </w:rPr>
              <w:t xml:space="preserve">2</w:t>
            </w:r>
            <w:r>
              <w:rPr>
                <w:rFonts w:ascii="宋体" w:hAnsi="宋体" w:eastAsia="宋体" w:cs="仿宋"/>
                <w:color w:val="auto"/>
                <w:sz w:val="24"/>
                <w:szCs w:val="24"/>
                <w:lang w:bidi="ar"/>
              </w:rPr>
              <w:t xml:space="preserve">、</w:t>
            </w:r>
            <w:r>
              <w:rPr>
                <w:rFonts w:ascii="宋体" w:hAnsi="宋体" w:eastAsia="宋体" w:cs="宋体"/>
                <w:color w:val="auto"/>
                <w:sz w:val="24"/>
                <w:szCs w:val="24"/>
              </w:rPr>
              <w:t xml:space="preserve">投标人拟任项目经理（1人）具有信息系统项目管理师（工信部颁发）</w:t>
            </w:r>
            <w:r>
              <w:rPr>
                <w:rFonts w:hint="eastAsia" w:ascii="宋体" w:hAnsi="宋体" w:eastAsia="宋体" w:cs="仿宋"/>
                <w:color w:val="auto"/>
                <w:sz w:val="24"/>
                <w:szCs w:val="24"/>
                <w:lang w:bidi="ar"/>
              </w:rPr>
              <w:t xml:space="preserve">的得2分；</w:t>
            </w:r>
            <w:r>
              <w:rPr>
                <w:rFonts w:hint="eastAsia" w:ascii="宋体" w:hAnsi="宋体" w:eastAsia="宋体" w:cs="仿宋"/>
                <w:color w:val="auto"/>
                <w:sz w:val="24"/>
                <w:szCs w:val="24"/>
                <w:lang w:val="en-US" w:eastAsia="zh-CN" w:bidi="ar"/>
              </w:rPr>
              <w:t xml:space="preserve">具有</w:t>
            </w:r>
            <w:r>
              <w:rPr>
                <w:rFonts w:ascii="宋体" w:hAnsi="宋体" w:eastAsia="宋体" w:cs="宋体"/>
                <w:color w:val="auto"/>
                <w:sz w:val="24"/>
                <w:szCs w:val="24"/>
              </w:rPr>
              <w:t xml:space="preserve">系统分析师（工信部颁发）</w:t>
            </w:r>
            <w:r>
              <w:rPr>
                <w:rFonts w:hint="eastAsia" w:ascii="宋体" w:hAnsi="宋体" w:eastAsia="宋体" w:cs="仿宋"/>
                <w:color w:val="auto"/>
                <w:sz w:val="24"/>
                <w:szCs w:val="24"/>
                <w:lang w:bidi="ar"/>
              </w:rPr>
              <w:t xml:space="preserve">的得2分；</w:t>
            </w:r>
            <w:r>
              <w:rPr>
                <w:rFonts w:hint="eastAsia" w:ascii="宋体" w:hAnsi="宋体" w:eastAsia="宋体" w:cs="仿宋"/>
                <w:color w:val="auto"/>
                <w:sz w:val="24"/>
                <w:szCs w:val="24"/>
                <w:lang w:val="en-US" w:eastAsia="zh-CN" w:bidi="ar"/>
              </w:rPr>
              <w:t xml:space="preserve">具有</w:t>
            </w:r>
            <w:r>
              <w:rPr>
                <w:rFonts w:hint="eastAsia" w:ascii="宋体" w:hAnsi="宋体" w:eastAsia="宋体" w:cs="宋体"/>
                <w:color w:val="auto"/>
                <w:sz w:val="24"/>
                <w:szCs w:val="24"/>
              </w:rPr>
              <w:t xml:space="preserve">高级工程师职称</w:t>
            </w:r>
            <w:r>
              <w:rPr>
                <w:rFonts w:ascii="宋体" w:hAnsi="宋体" w:eastAsia="宋体" w:cs="宋体"/>
                <w:color w:val="auto"/>
                <w:sz w:val="24"/>
                <w:szCs w:val="24"/>
              </w:rPr>
              <w:t xml:space="preserve">证书</w:t>
            </w:r>
            <w:r>
              <w:rPr>
                <w:rFonts w:hint="eastAsia" w:ascii="宋体" w:hAnsi="宋体" w:eastAsia="宋体" w:cs="宋体"/>
                <w:color w:val="auto"/>
                <w:sz w:val="24"/>
                <w:szCs w:val="24"/>
              </w:rPr>
              <w:t xml:space="preserve">（机电工程类或电子信息类）</w:t>
            </w:r>
            <w:r>
              <w:rPr>
                <w:rFonts w:hint="eastAsia" w:ascii="宋体" w:hAnsi="宋体" w:eastAsia="宋体" w:cs="仿宋"/>
                <w:color w:val="auto"/>
                <w:sz w:val="24"/>
                <w:szCs w:val="24"/>
                <w:lang w:bidi="ar"/>
              </w:rPr>
              <w:t xml:space="preserve">的得2分；</w:t>
            </w:r>
            <w:r>
              <w:rPr>
                <w:rFonts w:ascii="宋体" w:hAnsi="宋体" w:eastAsia="宋体" w:cs="宋体"/>
                <w:color w:val="auto"/>
                <w:sz w:val="24"/>
                <w:szCs w:val="24"/>
              </w:rPr>
              <w:t xml:space="preserve">满分</w:t>
            </w:r>
            <w:r>
              <w:rPr>
                <w:rFonts w:hint="eastAsia" w:ascii="宋体" w:hAnsi="宋体" w:eastAsia="宋体" w:cs="宋体"/>
                <w:color w:val="auto"/>
                <w:sz w:val="24"/>
                <w:szCs w:val="24"/>
                <w:lang w:val="en-US" w:eastAsia="zh-CN"/>
              </w:rPr>
              <w:t xml:space="preserve">6</w:t>
            </w:r>
            <w:r>
              <w:rPr>
                <w:rFonts w:ascii="宋体" w:hAnsi="宋体" w:eastAsia="宋体" w:cs="宋体"/>
                <w:color w:val="auto"/>
                <w:sz w:val="24"/>
                <w:szCs w:val="24"/>
              </w:rPr>
              <w:t xml:space="preserve">分。</w:t>
            </w:r>
            <w:r/>
          </w:p>
          <w:p>
            <w:pPr>
              <w:ind w:firstLine="482"/>
              <w:rPr>
                <w:rFonts w:hint="eastAsia" w:ascii="宋体" w:hAnsi="宋体" w:eastAsia="宋体" w:cs="仿宋"/>
                <w:color w:val="auto"/>
                <w:sz w:val="24"/>
                <w:szCs w:val="24"/>
              </w:rPr>
            </w:pPr>
            <w:r>
              <w:rPr>
                <w:rFonts w:ascii="宋体" w:hAnsi="宋体" w:eastAsia="宋体" w:cs="宋体"/>
                <w:b/>
                <w:bCs/>
                <w:color w:val="auto"/>
                <w:sz w:val="24"/>
                <w:szCs w:val="24"/>
              </w:rPr>
              <w:t xml:space="preserve">（投标人须提供有效的证书原件及投标人近三个月内任意一个月为其缴纳的社保证明材料原件，扫描上传）</w:t>
            </w:r>
            <w:r/>
          </w:p>
        </w:tc>
      </w:tr>
      <w:tr>
        <w:trPr/>
        <w:tc>
          <w:tcPr>
            <w:tcW w:w="1485" w:type="dxa"/>
            <w:vAlign w:val="center"/>
            <w:vMerge w:val="continue"/>
            <w:textDirection w:val="lrTb"/>
            <w:noWrap w:val="false"/>
          </w:tcPr>
          <w:p>
            <w:pPr>
              <w:ind w:firstLine="480"/>
              <w:jc w:val="center"/>
              <w:rPr>
                <w:rFonts w:hint="eastAsia" w:ascii="宋体" w:hAnsi="宋体" w:eastAsia="宋体" w:cs="仿宋"/>
                <w:color w:val="auto"/>
                <w:sz w:val="24"/>
                <w:szCs w:val="24"/>
              </w:rPr>
            </w:pPr>
            <w:r>
              <w:rPr>
                <w:rFonts w:hint="eastAsia" w:ascii="宋体" w:hAnsi="宋体" w:eastAsia="宋体" w:cs="仿宋"/>
                <w:color w:val="auto"/>
                <w:sz w:val="24"/>
                <w:szCs w:val="24"/>
              </w:rPr>
            </w:r>
            <w:r/>
          </w:p>
        </w:tc>
        <w:tc>
          <w:tcPr>
            <w:tcW w:w="7684" w:type="dxa"/>
            <w:vAlign w:val="center"/>
            <w:textDirection w:val="lrTb"/>
            <w:noWrap w:val="false"/>
          </w:tcPr>
          <w:p>
            <w:pPr>
              <w:ind w:firstLine="480"/>
              <w:rPr>
                <w:rFonts w:hint="eastAsia" w:ascii="宋体" w:hAnsi="宋体" w:eastAsia="宋体" w:cs="宋体"/>
                <w:color w:val="auto"/>
                <w:sz w:val="24"/>
                <w:szCs w:val="24"/>
              </w:rPr>
            </w:pPr>
            <w:r>
              <w:rPr>
                <w:rFonts w:hint="eastAsia" w:ascii="宋体" w:hAnsi="宋体" w:eastAsia="宋体" w:cs="仿宋"/>
                <w:color w:val="auto"/>
                <w:sz w:val="24"/>
                <w:szCs w:val="24"/>
                <w:lang w:bidi="ar"/>
              </w:rPr>
              <w:t xml:space="preserve">3</w:t>
            </w:r>
            <w:r>
              <w:rPr>
                <w:rFonts w:ascii="宋体" w:hAnsi="宋体" w:eastAsia="宋体" w:cs="仿宋"/>
                <w:color w:val="auto"/>
                <w:sz w:val="24"/>
                <w:szCs w:val="24"/>
                <w:lang w:bidi="ar"/>
              </w:rPr>
              <w:t xml:space="preserve">、</w:t>
            </w:r>
            <w:r>
              <w:rPr>
                <w:rFonts w:ascii="宋体" w:hAnsi="宋体" w:eastAsia="宋体" w:cs="宋体"/>
                <w:color w:val="auto"/>
                <w:sz w:val="24"/>
                <w:szCs w:val="24"/>
              </w:rPr>
              <w:t xml:space="preserve">投标人拟任技术负责人（1人）具有信息系统项目管理师（工信部颁发）</w:t>
            </w:r>
            <w:r>
              <w:rPr>
                <w:rFonts w:hint="eastAsia" w:ascii="宋体" w:hAnsi="宋体" w:eastAsia="宋体" w:cs="仿宋"/>
                <w:color w:val="auto"/>
                <w:sz w:val="24"/>
                <w:szCs w:val="24"/>
                <w:lang w:bidi="ar"/>
              </w:rPr>
              <w:t xml:space="preserve">的得2分；</w:t>
            </w:r>
            <w:r>
              <w:rPr>
                <w:rFonts w:hint="eastAsia" w:ascii="宋体" w:hAnsi="宋体" w:eastAsia="宋体" w:cs="仿宋"/>
                <w:color w:val="auto"/>
                <w:sz w:val="24"/>
                <w:szCs w:val="24"/>
                <w:lang w:val="en-US" w:eastAsia="zh-CN" w:bidi="ar"/>
              </w:rPr>
              <w:t xml:space="preserve">具有</w:t>
            </w:r>
            <w:r>
              <w:rPr>
                <w:rFonts w:ascii="宋体" w:hAnsi="宋体" w:eastAsia="宋体" w:cs="宋体"/>
                <w:color w:val="auto"/>
                <w:sz w:val="24"/>
                <w:szCs w:val="24"/>
              </w:rPr>
              <w:t xml:space="preserve">系统规划与管理师（工信部颁发）</w:t>
            </w:r>
            <w:r>
              <w:rPr>
                <w:rFonts w:hint="eastAsia" w:ascii="宋体" w:hAnsi="宋体" w:eastAsia="宋体" w:cs="仿宋"/>
                <w:color w:val="auto"/>
                <w:sz w:val="24"/>
                <w:szCs w:val="24"/>
                <w:lang w:bidi="ar"/>
              </w:rPr>
              <w:t xml:space="preserve">的得2分；</w:t>
            </w:r>
            <w:r>
              <w:rPr>
                <w:rFonts w:hint="eastAsia" w:ascii="宋体" w:hAnsi="宋体" w:eastAsia="宋体" w:cs="仿宋"/>
                <w:color w:val="auto"/>
                <w:sz w:val="24"/>
                <w:szCs w:val="24"/>
                <w:lang w:val="en-US" w:eastAsia="zh-CN" w:bidi="ar"/>
              </w:rPr>
              <w:t xml:space="preserve">具有</w:t>
            </w:r>
            <w:r>
              <w:rPr>
                <w:rFonts w:hint="eastAsia" w:ascii="宋体" w:hAnsi="宋体" w:eastAsia="宋体" w:cs="宋体"/>
                <w:color w:val="auto"/>
                <w:sz w:val="24"/>
                <w:szCs w:val="24"/>
              </w:rPr>
              <w:t xml:space="preserve">高级工程师职称（机电工程类或电子信息类）</w:t>
            </w:r>
            <w:r>
              <w:rPr>
                <w:rFonts w:ascii="宋体" w:hAnsi="宋体" w:eastAsia="宋体" w:cs="宋体"/>
                <w:color w:val="auto"/>
                <w:sz w:val="24"/>
                <w:szCs w:val="24"/>
              </w:rPr>
              <w:t xml:space="preserve">证书</w:t>
            </w:r>
            <w:r>
              <w:rPr>
                <w:rFonts w:hint="eastAsia" w:ascii="宋体" w:hAnsi="宋体" w:eastAsia="宋体" w:cs="仿宋"/>
                <w:color w:val="auto"/>
                <w:sz w:val="24"/>
                <w:szCs w:val="24"/>
                <w:lang w:bidi="ar"/>
              </w:rPr>
              <w:t xml:space="preserve">的得2分；</w:t>
            </w:r>
            <w:r>
              <w:rPr>
                <w:rFonts w:ascii="宋体" w:hAnsi="宋体" w:eastAsia="宋体" w:cs="宋体"/>
                <w:color w:val="auto"/>
                <w:sz w:val="24"/>
                <w:szCs w:val="24"/>
              </w:rPr>
              <w:t xml:space="preserve">满分</w:t>
            </w:r>
            <w:r>
              <w:rPr>
                <w:rFonts w:hint="eastAsia" w:ascii="宋体" w:hAnsi="宋体" w:eastAsia="宋体" w:cs="宋体"/>
                <w:color w:val="auto"/>
                <w:sz w:val="24"/>
                <w:szCs w:val="24"/>
              </w:rPr>
              <w:t xml:space="preserve">6</w:t>
            </w:r>
            <w:r>
              <w:rPr>
                <w:rFonts w:ascii="宋体" w:hAnsi="宋体" w:eastAsia="宋体" w:cs="宋体"/>
                <w:color w:val="auto"/>
                <w:sz w:val="24"/>
                <w:szCs w:val="24"/>
              </w:rPr>
              <w:t xml:space="preserve">分。</w:t>
            </w:r>
            <w:r/>
          </w:p>
          <w:p>
            <w:pPr>
              <w:ind w:firstLine="482"/>
              <w:rPr>
                <w:rFonts w:hint="eastAsia" w:ascii="宋体" w:hAnsi="宋体" w:eastAsia="宋体" w:cs="仿宋"/>
                <w:color w:val="auto"/>
                <w:sz w:val="24"/>
                <w:szCs w:val="24"/>
                <w:lang w:bidi="ar"/>
              </w:rPr>
            </w:pPr>
            <w:r>
              <w:rPr>
                <w:rFonts w:ascii="宋体" w:hAnsi="宋体" w:eastAsia="宋体" w:cs="宋体"/>
                <w:b/>
                <w:bCs/>
                <w:color w:val="auto"/>
                <w:sz w:val="24"/>
                <w:szCs w:val="24"/>
              </w:rPr>
              <w:t xml:space="preserve">（投标人须提供有效的证书原件及投标人近三个月内任意一个月为其缴纳的社保证明材料原件，扫描上传）</w:t>
            </w:r>
            <w:r/>
          </w:p>
        </w:tc>
      </w:tr>
      <w:tr>
        <w:trPr>
          <w:trHeight w:val="90"/>
        </w:trPr>
        <w:tc>
          <w:tcPr>
            <w:tcW w:w="1485" w:type="dxa"/>
            <w:vAlign w:val="center"/>
            <w:vMerge w:val="continue"/>
            <w:textDirection w:val="lrTb"/>
            <w:noWrap w:val="false"/>
          </w:tcPr>
          <w:p>
            <w:pPr>
              <w:ind w:firstLine="480"/>
              <w:jc w:val="center"/>
              <w:rPr>
                <w:rFonts w:hint="eastAsia" w:ascii="宋体" w:hAnsi="宋体" w:eastAsia="宋体" w:cs="仿宋"/>
                <w:color w:val="auto"/>
                <w:sz w:val="24"/>
                <w:szCs w:val="24"/>
              </w:rPr>
            </w:pPr>
            <w:r>
              <w:rPr>
                <w:rFonts w:hint="eastAsia" w:ascii="宋体" w:hAnsi="宋体" w:eastAsia="宋体" w:cs="仿宋"/>
                <w:color w:val="auto"/>
                <w:sz w:val="24"/>
                <w:szCs w:val="24"/>
              </w:rPr>
            </w:r>
            <w:r/>
          </w:p>
        </w:tc>
        <w:tc>
          <w:tcPr>
            <w:tcBorders>
              <w:bottom w:val="single" w:color="auto" w:sz="4" w:space="0"/>
            </w:tcBorders>
            <w:tcW w:w="7684" w:type="dxa"/>
            <w:vAlign w:val="center"/>
            <w:textDirection w:val="lrTb"/>
            <w:noWrap w:val="false"/>
          </w:tcPr>
          <w:p>
            <w:pPr>
              <w:ind w:firstLine="480"/>
              <w:rPr>
                <w:rFonts w:hint="eastAsia" w:ascii="宋体" w:hAnsi="宋体" w:eastAsia="宋体" w:cs="仿宋"/>
                <w:color w:val="auto"/>
                <w:sz w:val="24"/>
                <w:szCs w:val="24"/>
                <w:lang w:bidi="ar"/>
              </w:rPr>
            </w:pPr>
            <w:r>
              <w:rPr>
                <w:rFonts w:hint="eastAsia" w:ascii="宋体" w:hAnsi="宋体" w:eastAsia="宋体" w:cs="仿宋"/>
                <w:color w:val="auto"/>
                <w:sz w:val="24"/>
                <w:szCs w:val="24"/>
                <w:lang w:bidi="ar"/>
              </w:rPr>
              <w:t xml:space="preserve">4、投标人拟派的项目团队成员（除项目经理、技术负责人外）具备信息系统项目管理师（工业和信息化部颁发）的得2分；具备系统架构设计师（工业和信息化部颁发）的得2分；具备系统分析师（工业和信息化部颁发）的得2分；具备高级工程师职称证书（机电工程类或电子信息类）的得2分；具备电工作业证书的得2分；具备高处作业证的得2分；本项满分12分。同一人员拥有多个上述证书的，不重复计分。</w:t>
            </w:r>
            <w:r/>
          </w:p>
          <w:p>
            <w:pPr>
              <w:ind w:firstLine="482"/>
              <w:rPr>
                <w:rFonts w:hint="eastAsia" w:ascii="宋体" w:hAnsi="宋体" w:eastAsia="宋体" w:cs="仿宋"/>
                <w:color w:val="auto"/>
                <w:sz w:val="24"/>
                <w:szCs w:val="24"/>
              </w:rPr>
            </w:pPr>
            <w:r>
              <w:rPr>
                <w:rFonts w:hint="eastAsia" w:ascii="宋体" w:hAnsi="宋体" w:eastAsia="宋体" w:cs="仿宋"/>
                <w:b/>
                <w:bCs/>
                <w:color w:val="auto"/>
                <w:sz w:val="24"/>
                <w:szCs w:val="24"/>
                <w:lang w:bidi="ar"/>
              </w:rPr>
              <w:t xml:space="preserve">（投标人须提供有效的证书原件及投标人近三个月内任意一个月为其缴纳的社保证明材料原件，扫描上传）</w:t>
            </w:r>
            <w:r/>
          </w:p>
        </w:tc>
      </w:tr>
      <w:tr>
        <w:trPr/>
        <w:tc>
          <w:tcPr>
            <w:tcW w:w="1485" w:type="dxa"/>
            <w:vAlign w:val="center"/>
            <w:vMerge w:val="continue"/>
            <w:textDirection w:val="lrTb"/>
            <w:noWrap w:val="false"/>
          </w:tcPr>
          <w:p>
            <w:pPr>
              <w:jc w:val="center"/>
              <w:rPr>
                <w:rFonts w:hint="eastAsia" w:ascii="宋体" w:hAnsi="宋体" w:eastAsia="宋体" w:cs="仿宋"/>
                <w:color w:val="auto"/>
                <w:sz w:val="24"/>
                <w:szCs w:val="24"/>
              </w:rPr>
            </w:pPr>
            <w:r>
              <w:rPr>
                <w:rFonts w:hint="eastAsia" w:ascii="宋体" w:hAnsi="宋体" w:eastAsia="宋体" w:cs="仿宋"/>
                <w:color w:val="auto"/>
                <w:sz w:val="24"/>
                <w:szCs w:val="24"/>
              </w:rPr>
            </w:r>
            <w:r/>
          </w:p>
        </w:tc>
        <w:tc>
          <w:tcPr>
            <w:tcBorders>
              <w:top w:val="single" w:color="auto" w:sz="4" w:space="0"/>
              <w:left w:val="single" w:color="auto" w:sz="4" w:space="0"/>
              <w:right w:val="single" w:color="auto" w:sz="4" w:space="0"/>
            </w:tcBorders>
            <w:tcW w:w="7684" w:type="dxa"/>
            <w:vAlign w:val="center"/>
            <w:textDirection w:val="lrTb"/>
            <w:noWrap w:val="false"/>
          </w:tcPr>
          <w:p>
            <w:pPr>
              <w:ind w:firstLine="480"/>
              <w:rPr>
                <w:rFonts w:hint="eastAsia" w:ascii="宋体" w:hAnsi="宋体" w:eastAsia="宋体" w:cs="仿宋"/>
                <w:color w:val="auto"/>
                <w:sz w:val="24"/>
                <w:szCs w:val="24"/>
                <w:lang w:bidi="ar"/>
              </w:rPr>
            </w:pPr>
            <w:r>
              <w:rPr>
                <w:rFonts w:hint="eastAsia" w:ascii="宋体" w:hAnsi="宋体" w:eastAsia="宋体" w:cs="仿宋"/>
                <w:color w:val="auto"/>
                <w:sz w:val="24"/>
                <w:szCs w:val="24"/>
                <w:lang w:bidi="ar"/>
              </w:rPr>
              <w:t xml:space="preserve">5</w:t>
            </w:r>
            <w:r>
              <w:rPr>
                <w:rFonts w:ascii="宋体" w:hAnsi="宋体" w:eastAsia="宋体" w:cs="仿宋"/>
                <w:color w:val="auto"/>
                <w:sz w:val="24"/>
                <w:szCs w:val="24"/>
                <w:lang w:bidi="ar"/>
              </w:rPr>
              <w:t xml:space="preserve">、投标人需承诺本项目所投入的能源综合管理平台满足国产化适配或兼容要求，得2分。</w:t>
            </w:r>
            <w:r/>
          </w:p>
          <w:p>
            <w:pPr>
              <w:ind w:firstLine="482"/>
              <w:rPr>
                <w:rFonts w:hint="eastAsia" w:ascii="宋体" w:hAnsi="宋体" w:eastAsia="宋体" w:cs="仿宋"/>
                <w:color w:val="auto"/>
                <w:sz w:val="24"/>
                <w:szCs w:val="24"/>
              </w:rPr>
            </w:pPr>
            <w:r>
              <w:rPr>
                <w:rFonts w:ascii="宋体" w:hAnsi="宋体" w:eastAsia="宋体" w:cs="宋体"/>
                <w:b/>
                <w:bCs/>
                <w:color w:val="auto"/>
                <w:sz w:val="24"/>
                <w:szCs w:val="24"/>
              </w:rPr>
              <w:t xml:space="preserve">（投标人须提承诺函原件，扫描上传）</w:t>
            </w:r>
            <w:r/>
          </w:p>
        </w:tc>
      </w:tr>
      <w:tr>
        <w:trPr/>
        <w:tc>
          <w:tcPr>
            <w:tcBorders>
              <w:bottom w:val="single" w:color="auto" w:sz="4" w:space="0"/>
            </w:tcBorders>
            <w:tcW w:w="1485" w:type="dxa"/>
            <w:vAlign w:val="center"/>
            <w:vMerge w:val="continue"/>
            <w:textDirection w:val="lrTb"/>
            <w:noWrap w:val="false"/>
          </w:tcPr>
          <w:p>
            <w:pPr>
              <w:jc w:val="center"/>
              <w:rPr>
                <w:rFonts w:hint="eastAsia" w:ascii="宋体" w:hAnsi="宋体" w:eastAsia="宋体" w:cs="仿宋"/>
                <w:color w:val="auto"/>
                <w:sz w:val="24"/>
                <w:szCs w:val="24"/>
              </w:rPr>
            </w:pPr>
            <w:r>
              <w:rPr>
                <w:rFonts w:hint="eastAsia" w:ascii="宋体" w:hAnsi="宋体" w:eastAsia="宋体" w:cs="仿宋"/>
                <w:color w:val="auto"/>
                <w:sz w:val="24"/>
                <w:szCs w:val="24"/>
              </w:rPr>
            </w:r>
            <w:r/>
          </w:p>
        </w:tc>
        <w:tc>
          <w:tcPr>
            <w:tcBorders>
              <w:left w:val="single" w:color="auto" w:sz="4" w:space="0"/>
            </w:tcBorders>
            <w:tcW w:w="7684" w:type="dxa"/>
            <w:vAlign w:val="center"/>
            <w:textDirection w:val="lrTb"/>
            <w:noWrap w:val="false"/>
          </w:tcPr>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ascii="宋体" w:hAnsi="宋体" w:eastAsia="宋体" w:cs="宋体"/>
                <w:color w:val="auto"/>
                <w:sz w:val="24"/>
                <w:szCs w:val="24"/>
              </w:rPr>
              <w:t xml:space="preserve">、自2023年1月1日（以合同签订时间为准）至今，投标人承接过与本项目类似项目，每份业绩得</w:t>
            </w:r>
            <w:r>
              <w:rPr>
                <w:rFonts w:hint="eastAsia" w:ascii="宋体" w:hAnsi="宋体" w:eastAsia="宋体" w:cs="宋体"/>
                <w:color w:val="auto"/>
                <w:sz w:val="24"/>
                <w:szCs w:val="24"/>
              </w:rPr>
              <w:t xml:space="preserve">2</w:t>
            </w:r>
            <w:r>
              <w:rPr>
                <w:rFonts w:ascii="宋体" w:hAnsi="宋体" w:eastAsia="宋体" w:cs="宋体"/>
                <w:color w:val="auto"/>
                <w:sz w:val="24"/>
                <w:szCs w:val="24"/>
              </w:rPr>
              <w:t xml:space="preserve">分，满分</w:t>
            </w:r>
            <w:r>
              <w:rPr>
                <w:rFonts w:hint="eastAsia" w:ascii="宋体" w:hAnsi="宋体" w:eastAsia="宋体" w:cs="宋体"/>
                <w:color w:val="auto"/>
                <w:sz w:val="24"/>
                <w:szCs w:val="24"/>
                <w:lang w:val="en-US" w:eastAsia="zh-CN"/>
              </w:rPr>
              <w:t xml:space="preserve">10</w:t>
            </w:r>
            <w:r>
              <w:rPr>
                <w:rFonts w:ascii="宋体" w:hAnsi="宋体" w:eastAsia="宋体" w:cs="宋体"/>
                <w:color w:val="auto"/>
                <w:sz w:val="24"/>
                <w:szCs w:val="24"/>
              </w:rPr>
              <w:t xml:space="preserve">分。</w:t>
            </w:r>
            <w:r/>
          </w:p>
          <w:p>
            <w:pPr>
              <w:ind w:firstLine="482"/>
              <w:rPr>
                <w:rFonts w:hint="eastAsia" w:ascii="宋体" w:hAnsi="宋体" w:eastAsia="宋体" w:cs="仿宋"/>
                <w:color w:val="auto"/>
                <w:sz w:val="24"/>
                <w:szCs w:val="24"/>
              </w:rPr>
            </w:pPr>
            <w:r>
              <w:rPr>
                <w:rFonts w:ascii="宋体" w:hAnsi="宋体" w:eastAsia="宋体" w:cs="宋体"/>
                <w:b/>
                <w:bCs/>
                <w:color w:val="auto"/>
                <w:sz w:val="24"/>
                <w:szCs w:val="24"/>
              </w:rPr>
              <w:t xml:space="preserve">（相同客户案例不重复得分。须提供合同关键页，合同原件扫描上传）</w:t>
            </w:r>
            <w:r/>
          </w:p>
        </w:tc>
      </w:tr>
    </w:tbl>
    <w:p>
      <w:pPr>
        <w:jc w:val="both"/>
        <w:spacing w:before="240" w:after="240"/>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pStyle w:val="792"/>
        <w:rPr>
          <w:rFonts w:eastAsia="Times New Roman"/>
        </w:rPr>
      </w:pPr>
      <w:r>
        <w:rPr>
          <w:rFonts w:eastAsia="Times New Roman"/>
        </w:rPr>
      </w:r>
      <w:r/>
    </w:p>
    <w:p>
      <w:pPr>
        <w:rPr>
          <w:rFonts w:eastAsia="Times New Roman"/>
        </w:rPr>
      </w:pPr>
      <w:r>
        <w:rPr>
          <w:rFonts w:eastAsia="Times New Roman"/>
        </w:rPr>
      </w:r>
      <w:r/>
    </w:p>
    <w:p>
      <w:pPr>
        <w:pStyle w:val="993"/>
        <w:rPr>
          <w:rFonts w:ascii="黑体" w:hAnsi="黑体" w:cs="黑体"/>
          <w:color w:val="000000"/>
          <w:szCs w:val="44"/>
        </w:rPr>
      </w:pPr>
      <w:r>
        <w:rPr>
          <w:rStyle w:val="1028"/>
          <w:rFonts w:ascii="黑体" w:hAnsi="黑体" w:cs="黑体"/>
        </w:rPr>
        <w:t xml:space="preserve">第六章</w:t>
      </w:r>
      <w:r>
        <w:rPr>
          <w:rStyle w:val="1028"/>
          <w:rFonts w:hint="eastAsia" w:ascii="黑体" w:hAnsi="黑体" w:cs="黑体"/>
          <w:lang w:val="en-US" w:eastAsia="zh-CN"/>
        </w:rPr>
        <w:t xml:space="preserve">  </w:t>
      </w:r>
      <w:r>
        <w:rPr>
          <w:rStyle w:val="1028"/>
          <w:rFonts w:ascii="黑体" w:hAnsi="黑体" w:cs="黑体"/>
        </w:rPr>
        <w:t xml:space="preserve">投标文件格式</w:t>
      </w:r>
      <w:r>
        <w:rPr>
          <w:rFonts w:ascii="黑体" w:hAnsi="黑体" w:cs="黑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投标人名称 ：</w:t>
      </w:r>
      <w:r>
        <w:rPr>
          <w:rFonts w:ascii="宋体" w:hAnsi="宋体" w:cs="宋体"/>
          <w:b/>
          <w:color w:val="000000"/>
          <w:sz w:val="36"/>
          <w:u w:val="single"/>
        </w:rPr>
        <w:t xml:space="preserve">（加盖CA电子公章）</w:t>
      </w:r>
      <w:r>
        <w:rPr>
          <w:rFonts w:hint="eastAsia" w:ascii="宋体" w:hAnsi="宋体" w:cs="宋体"/>
          <w:b/>
          <w:color w:val="000000"/>
          <w:sz w:val="36"/>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日期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1084"/>
        <w:pBdr>
          <w:top w:val="none" w:color="000000" w:sz="0" w:space="0"/>
          <w:left w:val="none" w:color="000000" w:sz="0" w:space="0"/>
          <w:bottom w:val="none" w:color="000000" w:sz="0" w:space="0"/>
          <w:right w:val="none" w:color="000000" w:sz="0" w:space="0"/>
        </w:pBdr>
      </w:pPr>
      <w:r>
        <w:br w:type="page" w:clear="all"/>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****（格式见附件**）</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lang w:val="en-US" w:eastAsia="zh-CN"/>
        </w:rPr>
        <w:t xml:space="preserve">上一</w:t>
      </w:r>
      <w:r>
        <w:rPr>
          <w:rFonts w:ascii="宋体" w:hAnsi="宋体" w:cs="宋体"/>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48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8.联合体协议（格式见附件13）。</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w:t>
      </w:r>
      <w:r>
        <w:rPr>
          <w:rFonts w:ascii="宋体" w:hAnsi="宋体" w:cs="宋体"/>
          <w:color w:val="c00000"/>
          <w:sz w:val="24"/>
        </w:rPr>
        <w:t xml:space="preserve">否则做无效投标处理。</w:t>
      </w:r>
      <w:r>
        <w:rPr>
          <w:rFonts w:ascii="宋体" w:hAnsi="宋体" w:cs="宋体"/>
          <w:color w:val="000000"/>
          <w:sz w:val="24"/>
        </w:rPr>
        <w:t xml:space="preserve">（格式见附件14）</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w:t>
      </w:r>
      <w:r>
        <w:rPr>
          <w:rFonts w:hint="eastAsia" w:ascii="宋体" w:hAnsi="宋体" w:cs="宋体"/>
          <w:b/>
          <w:color w:val="000000"/>
          <w:sz w:val="24"/>
        </w:rPr>
        <w:t xml:space="preserve">                     </w:t>
      </w:r>
      <w:r>
        <w:rPr>
          <w:rFonts w:ascii="宋体" w:hAnsi="宋体" w:cs="宋体"/>
          <w:b/>
          <w:color w:val="000000"/>
          <w:sz w:val="24"/>
        </w:rPr>
        <w:t xml:space="preserve">开标一览表</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bl>
      <w:tblPr>
        <w:tblStyle w:val="825"/>
        <w:tblW w:w="88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firstLine="480"/>
              <w:rPr>
                <w:rFonts w:ascii="宋体" w:hAnsi="宋体" w:cs="宋体"/>
                <w:color w:val="000000"/>
                <w:sz w:val="24"/>
              </w:rP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（人民币：</w:t>
            </w:r>
            <w:r>
              <w:rPr>
                <w:rFonts w:hint="eastAsia" w:ascii="宋体" w:hAnsi="宋体" w:cs="宋体"/>
                <w:sz w:val="24"/>
                <w:szCs w:val="24"/>
                <w:highlight w:val="none"/>
                <w:lang w:val="en-US" w:eastAsia="zh-CN"/>
              </w:rPr>
              <w:t xml:space="preserve">万元</w:t>
            </w:r>
            <w:r>
              <w:rPr>
                <w:rFonts w:ascii="宋体" w:hAnsi="宋体" w:cs="宋体"/>
                <w:sz w:val="24"/>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firstLine="480"/>
              <w:rPr>
                <w:rFonts w:ascii="宋体" w:hAnsi="宋体" w:cs="宋体"/>
                <w:color w:val="000000"/>
                <w:sz w:val="24"/>
              </w:rPr>
            </w:pPr>
            <w:r>
              <w:rPr>
                <w:rFonts w:ascii="宋体" w:hAnsi="宋体" w:cs="宋体"/>
                <w:color w:val="000000"/>
                <w:sz w:val="24"/>
              </w:rPr>
              <w:t xml:space="preserve">小写：                              （人民币：</w:t>
            </w:r>
            <w:r>
              <w:rPr>
                <w:rFonts w:hint="eastAsia" w:ascii="宋体" w:hAnsi="宋体" w:cs="宋体"/>
                <w:sz w:val="24"/>
                <w:szCs w:val="24"/>
                <w:highlight w:val="none"/>
                <w:lang w:val="en-US" w:eastAsia="zh-CN"/>
              </w:rPr>
              <w:t xml:space="preserve">万元</w:t>
            </w:r>
            <w:r>
              <w:rPr>
                <w:rFonts w:ascii="宋体" w:hAnsi="宋体" w:cs="宋体"/>
                <w:color w:val="000000"/>
                <w:sz w:val="24"/>
              </w:rPr>
              <w:t xml:space="preserve">）</w:t>
            </w:r>
            <w:r/>
          </w:p>
        </w:tc>
      </w:tr>
    </w:tbl>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w:t>
      </w:r>
      <w:r>
        <w:rPr>
          <w:rFonts w:hint="eastAsia" w:ascii="宋体" w:hAnsi="宋体" w:cs="宋体"/>
          <w:b/>
          <w:color w:val="000000"/>
          <w:sz w:val="24"/>
        </w:rPr>
        <w:t xml:space="preserve">     投标分项报价表（</w:t>
      </w:r>
      <w:r>
        <w:rPr>
          <w:rFonts w:ascii="宋体" w:hAnsi="宋体" w:cs="宋体"/>
          <w:b/>
          <w:color w:val="000000"/>
          <w:sz w:val="24"/>
        </w:rPr>
        <w:t xml:space="preserve">采购包号</w:t>
      </w:r>
      <w:r>
        <w:rPr>
          <w:rFonts w:hint="eastAsia" w:ascii="宋体" w:hAnsi="宋体" w:cs="宋体"/>
          <w:b/>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spacing w:line="600" w:lineRule="exact"/>
        <w:widowControl/>
        <w:tabs>
          <w:tab w:val="left" w:pos="420" w:leader="none"/>
        </w:tabs>
        <w:rPr>
          <w:rFonts w:hint="eastAsia" w:ascii="宋体" w:hAnsi="宋体" w:eastAsia="宋体" w:cs="仿宋"/>
          <w:b/>
          <w:bCs/>
          <w:color w:val="auto"/>
          <w:sz w:val="24"/>
          <w:szCs w:val="24"/>
        </w:rPr>
      </w:pPr>
      <w:r>
        <w:rPr>
          <w:rFonts w:ascii="宋体" w:hAnsi="宋体" w:eastAsia="宋体" w:cs="仿宋"/>
          <w:b/>
          <w:bCs/>
          <w:color w:val="auto"/>
          <w:sz w:val="24"/>
          <w:szCs w:val="24"/>
          <w:lang w:bidi="ar"/>
        </w:rPr>
        <w:t xml:space="preserve">托管周期能源基准费用一览表</w:t>
      </w:r>
      <w:r/>
    </w:p>
    <w:tbl>
      <w:tblPr>
        <w:tblStyle w:val="800"/>
        <w:tblW w:w="842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23"/>
        <w:gridCol w:w="4601"/>
      </w:tblGrid>
      <w:tr>
        <w:trPr>
          <w:jc w:val="center"/>
          <w:tblHeader/>
        </w:trPr>
        <w:tc>
          <w:tcPr>
            <w:tcW w:w="3823" w:type="dxa"/>
            <w:vAlign w:val="center"/>
            <w:textDirection w:val="lrTb"/>
            <w:noWrap w:val="false"/>
          </w:tcPr>
          <w:p>
            <w:pPr>
              <w:ind w:firstLine="482"/>
              <w:jc w:val="center"/>
              <w:spacing w:line="600" w:lineRule="exact"/>
              <w:widowControl/>
              <w:rPr>
                <w:rFonts w:hint="eastAsia" w:ascii="宋体" w:hAnsi="宋体" w:eastAsia="宋体" w:cs="仿宋"/>
                <w:b/>
                <w:bCs/>
                <w:color w:val="auto"/>
                <w:sz w:val="24"/>
                <w:szCs w:val="24"/>
              </w:rPr>
            </w:pPr>
            <w:r>
              <w:rPr>
                <w:rFonts w:ascii="宋体" w:hAnsi="宋体" w:eastAsia="宋体" w:cs="仿宋"/>
                <w:b/>
                <w:bCs/>
                <w:color w:val="auto"/>
                <w:sz w:val="24"/>
                <w:szCs w:val="24"/>
                <w:lang w:bidi="ar"/>
              </w:rPr>
              <w:t xml:space="preserve">托管周期</w:t>
            </w:r>
            <w:r/>
          </w:p>
        </w:tc>
        <w:tc>
          <w:tcPr>
            <w:tcW w:w="4601" w:type="dxa"/>
            <w:vAlign w:val="center"/>
            <w:textDirection w:val="lrTb"/>
            <w:noWrap w:val="false"/>
          </w:tcPr>
          <w:p>
            <w:pPr>
              <w:ind w:firstLine="482"/>
              <w:jc w:val="center"/>
              <w:spacing w:line="600" w:lineRule="exact"/>
              <w:widowControl/>
              <w:rPr>
                <w:rFonts w:hint="eastAsia" w:ascii="宋体" w:hAnsi="宋体" w:eastAsia="宋体" w:cs="仿宋"/>
                <w:b/>
                <w:bCs/>
                <w:color w:val="auto"/>
                <w:sz w:val="24"/>
                <w:szCs w:val="24"/>
              </w:rPr>
            </w:pPr>
            <w:r>
              <w:rPr>
                <w:rFonts w:ascii="宋体" w:hAnsi="宋体" w:eastAsia="宋体" w:cs="仿宋"/>
                <w:b/>
                <w:bCs/>
                <w:color w:val="auto"/>
                <w:sz w:val="24"/>
                <w:szCs w:val="24"/>
                <w:lang w:bidi="ar"/>
              </w:rPr>
              <w:t xml:space="preserve">能源基准费</w:t>
            </w:r>
            <w:r/>
          </w:p>
        </w:tc>
      </w:tr>
      <w:tr>
        <w:trPr>
          <w:jc w:val="center"/>
        </w:trPr>
        <w:tc>
          <w:tcPr>
            <w:tcW w:w="3823" w:type="dxa"/>
            <w:vAlign w:val="center"/>
            <w:textDirection w:val="lrTb"/>
            <w:noWrap w:val="false"/>
          </w:tcPr>
          <w:p>
            <w:pPr>
              <w:ind w:firstLine="480"/>
              <w:jc w:val="center"/>
              <w:spacing w:line="600" w:lineRule="exact"/>
              <w:widowControl/>
              <w:rPr>
                <w:rFonts w:hint="eastAsia" w:ascii="宋体" w:hAnsi="宋体" w:eastAsia="宋体" w:cs="仿宋"/>
                <w:color w:val="auto"/>
                <w:sz w:val="24"/>
                <w:szCs w:val="24"/>
              </w:rPr>
            </w:pPr>
            <w:r>
              <w:rPr>
                <w:rFonts w:ascii="宋体" w:hAnsi="宋体" w:eastAsia="宋体" w:cs="仿宋"/>
                <w:color w:val="auto"/>
                <w:sz w:val="24"/>
                <w:szCs w:val="24"/>
                <w:lang w:bidi="ar"/>
              </w:rPr>
              <w:t xml:space="preserve">第一个托管周期</w:t>
            </w:r>
            <w:r/>
          </w:p>
        </w:tc>
        <w:tc>
          <w:tcPr>
            <w:tcW w:w="4601" w:type="dxa"/>
            <w:vAlign w:val="center"/>
            <w:textDirection w:val="lrTb"/>
            <w:noWrap w:val="false"/>
          </w:tcPr>
          <w:p>
            <w:pPr>
              <w:ind w:firstLine="480"/>
              <w:jc w:val="left"/>
              <w:spacing w:line="600" w:lineRule="exact"/>
              <w:widowControl/>
              <w:rPr>
                <w:rFonts w:hint="eastAsia" w:ascii="宋体" w:hAnsi="宋体" w:eastAsia="宋体" w:cs="仿宋"/>
                <w:color w:val="auto"/>
                <w:sz w:val="24"/>
                <w:szCs w:val="24"/>
              </w:rPr>
            </w:pPr>
            <w:r>
              <w:rPr>
                <w:rFonts w:hint="eastAsia" w:ascii="宋体" w:hAnsi="宋体" w:eastAsia="宋体" w:cs="仿宋"/>
                <w:color w:val="auto"/>
                <w:sz w:val="24"/>
                <w:szCs w:val="24"/>
              </w:rPr>
            </w:r>
            <w:r/>
          </w:p>
        </w:tc>
      </w:tr>
      <w:tr>
        <w:trPr>
          <w:jc w:val="center"/>
        </w:trPr>
        <w:tc>
          <w:tcPr>
            <w:tcW w:w="3823" w:type="dxa"/>
            <w:vAlign w:val="center"/>
            <w:textDirection w:val="lrTb"/>
            <w:noWrap w:val="false"/>
          </w:tcPr>
          <w:p>
            <w:pPr>
              <w:ind w:firstLine="480"/>
              <w:jc w:val="center"/>
              <w:spacing w:line="600" w:lineRule="exact"/>
              <w:widowControl/>
              <w:rPr>
                <w:rFonts w:hint="eastAsia" w:ascii="宋体" w:hAnsi="宋体" w:eastAsia="宋体" w:cs="仿宋"/>
                <w:color w:val="auto"/>
                <w:sz w:val="24"/>
                <w:szCs w:val="24"/>
              </w:rPr>
            </w:pPr>
            <w:r>
              <w:rPr>
                <w:rFonts w:ascii="宋体" w:hAnsi="宋体" w:eastAsia="宋体" w:cs="仿宋"/>
                <w:color w:val="auto"/>
                <w:sz w:val="24"/>
                <w:szCs w:val="24"/>
                <w:lang w:bidi="ar"/>
              </w:rPr>
              <w:t xml:space="preserve">第二个托管周期</w:t>
            </w:r>
            <w:r/>
          </w:p>
        </w:tc>
        <w:tc>
          <w:tcPr>
            <w:tcW w:w="4601" w:type="dxa"/>
            <w:vAlign w:val="center"/>
            <w:textDirection w:val="lrTb"/>
            <w:noWrap w:val="false"/>
          </w:tcPr>
          <w:p>
            <w:pPr>
              <w:ind w:firstLine="480"/>
              <w:jc w:val="left"/>
              <w:spacing w:line="600" w:lineRule="exact"/>
              <w:widowControl/>
              <w:rPr>
                <w:rFonts w:hint="eastAsia" w:ascii="宋体" w:hAnsi="宋体" w:eastAsia="宋体" w:cs="仿宋"/>
                <w:color w:val="auto"/>
                <w:sz w:val="24"/>
                <w:szCs w:val="24"/>
              </w:rPr>
            </w:pPr>
            <w:r>
              <w:rPr>
                <w:rFonts w:hint="eastAsia" w:ascii="宋体" w:hAnsi="宋体" w:eastAsia="宋体" w:cs="仿宋"/>
                <w:color w:val="auto"/>
                <w:sz w:val="24"/>
                <w:szCs w:val="24"/>
              </w:rPr>
            </w:r>
            <w:r/>
          </w:p>
        </w:tc>
      </w:tr>
      <w:tr>
        <w:trPr>
          <w:jc w:val="center"/>
        </w:trPr>
        <w:tc>
          <w:tcPr>
            <w:tcW w:w="3823" w:type="dxa"/>
            <w:vAlign w:val="center"/>
            <w:textDirection w:val="lrTb"/>
            <w:noWrap w:val="false"/>
          </w:tcPr>
          <w:p>
            <w:pPr>
              <w:ind w:firstLine="480"/>
              <w:jc w:val="center"/>
              <w:spacing w:line="600" w:lineRule="exact"/>
              <w:widowControl/>
              <w:rPr>
                <w:rFonts w:hint="eastAsia" w:ascii="宋体" w:hAnsi="宋体" w:eastAsia="宋体" w:cs="仿宋"/>
                <w:color w:val="auto"/>
                <w:sz w:val="24"/>
                <w:szCs w:val="24"/>
              </w:rPr>
            </w:pPr>
            <w:r>
              <w:rPr>
                <w:rFonts w:ascii="宋体" w:hAnsi="宋体" w:eastAsia="宋体" w:cs="仿宋"/>
                <w:color w:val="auto"/>
                <w:sz w:val="24"/>
                <w:szCs w:val="24"/>
                <w:lang w:bidi="ar"/>
              </w:rPr>
              <w:t xml:space="preserve">第三个托管周期</w:t>
            </w:r>
            <w:r/>
          </w:p>
        </w:tc>
        <w:tc>
          <w:tcPr>
            <w:tcW w:w="4601" w:type="dxa"/>
            <w:vAlign w:val="center"/>
            <w:textDirection w:val="lrTb"/>
            <w:noWrap w:val="false"/>
          </w:tcPr>
          <w:p>
            <w:pPr>
              <w:ind w:firstLine="480"/>
              <w:jc w:val="left"/>
              <w:spacing w:line="600" w:lineRule="exact"/>
              <w:widowControl/>
              <w:rPr>
                <w:rFonts w:hint="eastAsia" w:ascii="宋体" w:hAnsi="宋体" w:eastAsia="宋体" w:cs="仿宋"/>
                <w:color w:val="auto"/>
                <w:sz w:val="24"/>
                <w:szCs w:val="24"/>
              </w:rPr>
            </w:pPr>
            <w:r>
              <w:rPr>
                <w:rFonts w:hint="eastAsia" w:ascii="宋体" w:hAnsi="宋体" w:eastAsia="宋体" w:cs="仿宋"/>
                <w:color w:val="auto"/>
                <w:sz w:val="24"/>
                <w:szCs w:val="24"/>
              </w:rPr>
            </w:r>
            <w:r/>
          </w:p>
        </w:tc>
      </w:tr>
      <w:tr>
        <w:trPr>
          <w:jc w:val="center"/>
        </w:trPr>
        <w:tc>
          <w:tcPr>
            <w:tcW w:w="3823" w:type="dxa"/>
            <w:vAlign w:val="center"/>
            <w:textDirection w:val="lrTb"/>
            <w:noWrap w:val="false"/>
          </w:tcPr>
          <w:p>
            <w:pPr>
              <w:ind w:firstLine="480"/>
              <w:jc w:val="center"/>
              <w:spacing w:line="600" w:lineRule="exact"/>
              <w:widowControl/>
              <w:rPr>
                <w:rFonts w:hint="eastAsia" w:ascii="宋体" w:hAnsi="宋体" w:eastAsia="宋体" w:cs="仿宋"/>
                <w:color w:val="auto"/>
                <w:sz w:val="24"/>
                <w:szCs w:val="24"/>
              </w:rPr>
            </w:pPr>
            <w:r>
              <w:rPr>
                <w:rFonts w:ascii="宋体" w:hAnsi="宋体" w:eastAsia="宋体" w:cs="仿宋"/>
                <w:color w:val="auto"/>
                <w:sz w:val="24"/>
                <w:szCs w:val="24"/>
                <w:lang w:bidi="ar"/>
              </w:rPr>
              <w:t xml:space="preserve">第四个托管周期</w:t>
            </w:r>
            <w:r/>
          </w:p>
        </w:tc>
        <w:tc>
          <w:tcPr>
            <w:tcW w:w="4601" w:type="dxa"/>
            <w:vAlign w:val="center"/>
            <w:textDirection w:val="lrTb"/>
            <w:noWrap w:val="false"/>
          </w:tcPr>
          <w:p>
            <w:pPr>
              <w:ind w:firstLine="480"/>
              <w:jc w:val="left"/>
              <w:spacing w:line="600" w:lineRule="exact"/>
              <w:widowControl/>
              <w:rPr>
                <w:rFonts w:hint="eastAsia" w:ascii="宋体" w:hAnsi="宋体" w:eastAsia="宋体" w:cs="仿宋"/>
                <w:color w:val="auto"/>
                <w:sz w:val="24"/>
                <w:szCs w:val="24"/>
              </w:rPr>
            </w:pPr>
            <w:r>
              <w:rPr>
                <w:rFonts w:hint="eastAsia" w:ascii="宋体" w:hAnsi="宋体" w:eastAsia="宋体" w:cs="仿宋"/>
                <w:color w:val="auto"/>
                <w:sz w:val="24"/>
                <w:szCs w:val="24"/>
              </w:rPr>
            </w:r>
            <w:r/>
          </w:p>
        </w:tc>
      </w:tr>
      <w:tr>
        <w:trPr>
          <w:jc w:val="center"/>
        </w:trPr>
        <w:tc>
          <w:tcPr>
            <w:tcW w:w="3823" w:type="dxa"/>
            <w:vAlign w:val="center"/>
            <w:textDirection w:val="lrTb"/>
            <w:noWrap w:val="false"/>
          </w:tcPr>
          <w:p>
            <w:pPr>
              <w:ind w:firstLine="480"/>
              <w:jc w:val="center"/>
              <w:spacing w:line="600" w:lineRule="exact"/>
              <w:widowControl/>
              <w:rPr>
                <w:rFonts w:hint="eastAsia" w:ascii="宋体" w:hAnsi="宋体" w:eastAsia="宋体" w:cs="仿宋"/>
                <w:color w:val="auto"/>
                <w:sz w:val="24"/>
                <w:szCs w:val="24"/>
              </w:rPr>
            </w:pPr>
            <w:r>
              <w:rPr>
                <w:rFonts w:ascii="宋体" w:hAnsi="宋体" w:eastAsia="宋体" w:cs="仿宋"/>
                <w:color w:val="auto"/>
                <w:sz w:val="24"/>
                <w:szCs w:val="24"/>
                <w:lang w:bidi="ar"/>
              </w:rPr>
              <w:t xml:space="preserve">第五个托管周期</w:t>
            </w:r>
            <w:r/>
          </w:p>
        </w:tc>
        <w:tc>
          <w:tcPr>
            <w:tcW w:w="4601" w:type="dxa"/>
            <w:vAlign w:val="center"/>
            <w:textDirection w:val="lrTb"/>
            <w:noWrap w:val="false"/>
          </w:tcPr>
          <w:p>
            <w:pPr>
              <w:ind w:firstLine="480"/>
              <w:jc w:val="left"/>
              <w:spacing w:line="600" w:lineRule="exact"/>
              <w:widowControl/>
              <w:rPr>
                <w:rFonts w:hint="eastAsia" w:ascii="宋体" w:hAnsi="宋体" w:eastAsia="宋体" w:cs="仿宋"/>
                <w:color w:val="auto"/>
                <w:sz w:val="24"/>
                <w:szCs w:val="24"/>
              </w:rPr>
            </w:pPr>
            <w:r>
              <w:rPr>
                <w:rFonts w:hint="eastAsia" w:ascii="宋体" w:hAnsi="宋体" w:eastAsia="宋体" w:cs="仿宋"/>
                <w:color w:val="auto"/>
                <w:sz w:val="24"/>
                <w:szCs w:val="24"/>
              </w:rPr>
            </w:r>
            <w:r/>
          </w:p>
        </w:tc>
      </w:tr>
      <w:tr>
        <w:trPr>
          <w:jc w:val="center"/>
        </w:trPr>
        <w:tc>
          <w:tcPr>
            <w:tcW w:w="3823" w:type="dxa"/>
            <w:vAlign w:val="center"/>
            <w:textDirection w:val="lrTb"/>
            <w:noWrap w:val="false"/>
          </w:tcPr>
          <w:p>
            <w:pPr>
              <w:ind w:firstLine="480"/>
              <w:jc w:val="center"/>
              <w:spacing w:line="600" w:lineRule="exact"/>
              <w:widowControl/>
              <w:rPr>
                <w:rFonts w:hint="eastAsia" w:ascii="宋体" w:hAnsi="宋体" w:eastAsia="宋体" w:cs="仿宋"/>
                <w:color w:val="auto"/>
                <w:sz w:val="24"/>
                <w:szCs w:val="24"/>
              </w:rPr>
            </w:pPr>
            <w:r>
              <w:rPr>
                <w:rFonts w:ascii="宋体" w:hAnsi="宋体" w:eastAsia="宋体" w:cs="仿宋"/>
                <w:color w:val="auto"/>
                <w:sz w:val="24"/>
                <w:szCs w:val="24"/>
                <w:lang w:bidi="ar"/>
              </w:rPr>
              <w:t xml:space="preserve">第六个托管周期</w:t>
            </w:r>
            <w:r/>
          </w:p>
        </w:tc>
        <w:tc>
          <w:tcPr>
            <w:tcW w:w="4601" w:type="dxa"/>
            <w:vAlign w:val="center"/>
            <w:textDirection w:val="lrTb"/>
            <w:noWrap w:val="false"/>
          </w:tcPr>
          <w:p>
            <w:pPr>
              <w:ind w:firstLine="480"/>
              <w:jc w:val="left"/>
              <w:spacing w:line="600" w:lineRule="exact"/>
              <w:widowControl/>
              <w:rPr>
                <w:rFonts w:hint="eastAsia" w:ascii="宋体" w:hAnsi="宋体" w:eastAsia="宋体" w:cs="仿宋"/>
                <w:color w:val="auto"/>
                <w:sz w:val="24"/>
                <w:szCs w:val="24"/>
              </w:rPr>
            </w:pPr>
            <w:r>
              <w:rPr>
                <w:rFonts w:hint="eastAsia" w:ascii="宋体" w:hAnsi="宋体" w:eastAsia="宋体" w:cs="仿宋"/>
                <w:color w:val="auto"/>
                <w:sz w:val="24"/>
                <w:szCs w:val="24"/>
              </w:rPr>
            </w:r>
            <w:r/>
          </w:p>
        </w:tc>
      </w:tr>
      <w:tr>
        <w:trPr>
          <w:jc w:val="center"/>
        </w:trPr>
        <w:tc>
          <w:tcPr>
            <w:tcW w:w="3823" w:type="dxa"/>
            <w:vAlign w:val="center"/>
            <w:textDirection w:val="lrTb"/>
            <w:noWrap w:val="false"/>
          </w:tcPr>
          <w:p>
            <w:pPr>
              <w:ind w:firstLine="480"/>
              <w:jc w:val="center"/>
              <w:spacing w:line="600" w:lineRule="exact"/>
              <w:widowControl/>
              <w:rPr>
                <w:rFonts w:hint="eastAsia" w:ascii="宋体" w:hAnsi="宋体" w:eastAsia="宋体" w:cs="仿宋"/>
                <w:color w:val="auto"/>
                <w:sz w:val="24"/>
                <w:szCs w:val="24"/>
              </w:rPr>
            </w:pPr>
            <w:r>
              <w:rPr>
                <w:rFonts w:ascii="宋体" w:hAnsi="宋体" w:eastAsia="宋体" w:cs="仿宋"/>
                <w:color w:val="auto"/>
                <w:sz w:val="24"/>
                <w:szCs w:val="24"/>
                <w:lang w:bidi="ar"/>
              </w:rPr>
              <w:t xml:space="preserve">第七个托管周期</w:t>
            </w:r>
            <w:r/>
          </w:p>
        </w:tc>
        <w:tc>
          <w:tcPr>
            <w:tcW w:w="4601" w:type="dxa"/>
            <w:vAlign w:val="center"/>
            <w:textDirection w:val="lrTb"/>
            <w:noWrap w:val="false"/>
          </w:tcPr>
          <w:p>
            <w:pPr>
              <w:ind w:firstLine="480"/>
              <w:jc w:val="left"/>
              <w:spacing w:line="600" w:lineRule="exact"/>
              <w:widowControl/>
              <w:rPr>
                <w:rFonts w:hint="eastAsia" w:ascii="宋体" w:hAnsi="宋体" w:eastAsia="宋体" w:cs="仿宋"/>
                <w:color w:val="auto"/>
                <w:sz w:val="24"/>
                <w:szCs w:val="24"/>
              </w:rPr>
            </w:pPr>
            <w:r>
              <w:rPr>
                <w:rFonts w:hint="eastAsia" w:ascii="宋体" w:hAnsi="宋体" w:eastAsia="宋体" w:cs="仿宋"/>
                <w:color w:val="auto"/>
                <w:sz w:val="24"/>
                <w:szCs w:val="24"/>
              </w:rPr>
            </w:r>
            <w:r/>
          </w:p>
        </w:tc>
      </w:tr>
      <w:tr>
        <w:trPr>
          <w:jc w:val="center"/>
        </w:trPr>
        <w:tc>
          <w:tcPr>
            <w:tcW w:w="3823" w:type="dxa"/>
            <w:vAlign w:val="center"/>
            <w:textDirection w:val="lrTb"/>
            <w:noWrap w:val="false"/>
          </w:tcPr>
          <w:p>
            <w:pPr>
              <w:ind w:firstLine="480"/>
              <w:jc w:val="center"/>
              <w:spacing w:line="600" w:lineRule="exact"/>
              <w:widowControl/>
              <w:rPr>
                <w:rFonts w:hint="eastAsia" w:ascii="宋体" w:hAnsi="宋体" w:eastAsia="宋体" w:cs="仿宋"/>
                <w:color w:val="auto"/>
                <w:sz w:val="24"/>
                <w:szCs w:val="24"/>
                <w:lang w:bidi="ar"/>
              </w:rPr>
            </w:pPr>
            <w:r>
              <w:rPr>
                <w:rFonts w:ascii="宋体" w:hAnsi="宋体" w:eastAsia="宋体" w:cs="仿宋"/>
                <w:color w:val="auto"/>
                <w:sz w:val="24"/>
                <w:szCs w:val="24"/>
                <w:lang w:bidi="ar"/>
              </w:rPr>
              <w:t xml:space="preserve">合计</w:t>
            </w:r>
            <w:r/>
          </w:p>
        </w:tc>
        <w:tc>
          <w:tcPr>
            <w:tcW w:w="4601" w:type="dxa"/>
            <w:vAlign w:val="center"/>
            <w:textDirection w:val="lrTb"/>
            <w:noWrap w:val="false"/>
          </w:tcPr>
          <w:p>
            <w:pPr>
              <w:ind w:firstLine="480"/>
              <w:jc w:val="left"/>
              <w:spacing w:line="600" w:lineRule="exact"/>
              <w:widowControl/>
              <w:rPr>
                <w:rFonts w:hint="eastAsia" w:ascii="宋体" w:hAnsi="宋体" w:eastAsia="宋体" w:cs="仿宋"/>
                <w:color w:val="auto"/>
                <w:sz w:val="24"/>
                <w:szCs w:val="24"/>
              </w:rPr>
            </w:pPr>
            <w:r>
              <w:rPr>
                <w:rFonts w:hint="eastAsia" w:ascii="宋体" w:hAnsi="宋体" w:eastAsia="宋体" w:cs="仿宋"/>
                <w:color w:val="auto"/>
                <w:sz w:val="24"/>
                <w:szCs w:val="24"/>
              </w:rPr>
            </w:r>
            <w:r/>
          </w:p>
        </w:tc>
      </w:tr>
    </w:tbl>
    <w:p>
      <w:pPr>
        <w:pBdr>
          <w:top w:val="none" w:color="000000" w:sz="0" w:space="0"/>
          <w:left w:val="none" w:color="000000" w:sz="0" w:space="0"/>
          <w:bottom w:val="none" w:color="000000" w:sz="0" w:space="0"/>
          <w:right w:val="none" w:color="000000" w:sz="0" w:space="0"/>
        </w:pBdr>
      </w:p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tbl>
      <w:tblPr>
        <w:tblStyle w:val="825"/>
        <w:tblW w:w="899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415"/>
        <w:gridCol w:w="2831"/>
        <w:gridCol w:w="327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7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tbl>
      <w:tblPr>
        <w:tblStyle w:val="825"/>
        <w:tblW w:w="899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415"/>
        <w:gridCol w:w="2856"/>
        <w:gridCol w:w="32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6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被授权人身份证号码：</w:t>
      </w:r>
      <w:r>
        <w:rPr>
          <w:rFonts w:ascii="宋体" w:hAnsi="宋体" w:cs="宋体"/>
          <w:color w:val="000000"/>
          <w:sz w:val="24"/>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被授权人联系电话：（手机）</w:t>
      </w:r>
      <w:r>
        <w:rPr>
          <w:rFonts w:ascii="宋体" w:hAnsi="宋体" w:cs="宋体"/>
          <w:color w:val="000000"/>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被授权人电子邮箱</w:t>
      </w:r>
      <w:r>
        <w:rPr>
          <w:rFonts w:ascii="宋体" w:hAnsi="宋体" w:cs="宋体"/>
          <w:color w:val="000000"/>
          <w:sz w:val="24"/>
        </w:rPr>
        <w:t xml:space="preserve">：</w:t>
      </w:r>
      <w:r>
        <w:rPr>
          <w:rFonts w:ascii="宋体" w:hAnsi="宋体" w:cs="宋体"/>
          <w:color w:val="000000"/>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单位地址：</w:t>
      </w:r>
      <w:r>
        <w:rPr>
          <w:rFonts w:ascii="宋体" w:hAnsi="宋体" w:cs="宋体"/>
          <w:color w:val="000000"/>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ascii="宋体" w:hAnsi="宋体" w:cs="宋体"/>
          <w:color w:val="000000"/>
          <w:sz w:val="24"/>
          <w:u w:val="single"/>
        </w:rPr>
        <w:t xml:space="preserve">           </w:t>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keepLines/>
        <w:keepNext/>
        <w:spacing w:before="260" w:after="260" w:line="416" w:lineRule="auto"/>
        <w:rPr>
          <w:rFonts w:ascii="宋体" w:hAnsi="宋体"/>
          <w:b/>
          <w:sz w:val="24"/>
          <w:szCs w:val="24"/>
        </w:rPr>
        <w:outlineLvl w:val="1"/>
      </w:pPr>
      <w:r>
        <w:rPr>
          <w:rFonts w:hint="eastAsia" w:ascii="宋体" w:hAnsi="宋体"/>
          <w:b/>
          <w:sz w:val="24"/>
          <w:szCs w:val="24"/>
        </w:rPr>
        <w:t xml:space="preserve">附件</w:t>
      </w:r>
      <w:r>
        <w:rPr>
          <w:rFonts w:ascii="宋体" w:hAnsi="宋体"/>
          <w:b/>
          <w:sz w:val="24"/>
          <w:szCs w:val="24"/>
        </w:rPr>
        <w:t xml:space="preserve">6</w:t>
      </w:r>
      <w:r>
        <w:rPr>
          <w:rFonts w:hint="eastAsia" w:ascii="宋体" w:hAnsi="宋体"/>
          <w:b/>
          <w:sz w:val="24"/>
          <w:szCs w:val="24"/>
        </w:rPr>
        <w:t xml:space="preserve"> 投标函</w:t>
      </w:r>
      <w:r/>
    </w:p>
    <w:p>
      <w:pPr>
        <w:jc w:val="left"/>
        <w:spacing w:line="420" w:lineRule="exact"/>
        <w:rPr>
          <w:rFonts w:ascii="宋体" w:hAnsi="宋体"/>
          <w:sz w:val="24"/>
          <w:szCs w:val="24"/>
        </w:rPr>
      </w:pPr>
      <w:r>
        <w:rPr>
          <w:rFonts w:hint="eastAsia" w:ascii="宋体" w:hAnsi="宋体"/>
          <w:sz w:val="24"/>
          <w:szCs w:val="24"/>
        </w:rPr>
        <w:t xml:space="preserve">致：扬州市公共资源交易中心邗江分中心：</w:t>
      </w:r>
      <w:r/>
    </w:p>
    <w:p>
      <w:pPr>
        <w:ind w:firstLine="480"/>
        <w:jc w:val="left"/>
        <w:spacing w:line="420" w:lineRule="exact"/>
        <w:rPr>
          <w:rFonts w:ascii="宋体" w:hAnsi="宋体"/>
          <w:sz w:val="24"/>
          <w:szCs w:val="24"/>
        </w:rPr>
      </w:pPr>
      <w:r>
        <w:rPr>
          <w:rFonts w:hint="eastAsia" w:ascii="宋体" w:hAnsi="宋体"/>
          <w:sz w:val="24"/>
          <w:szCs w:val="24"/>
        </w:rPr>
        <w:t xml:space="preserve">根据贵方的</w:t>
      </w:r>
      <w:r>
        <w:rPr>
          <w:rFonts w:ascii="宋体" w:hAnsi="宋体"/>
          <w:sz w:val="24"/>
          <w:szCs w:val="24"/>
          <w:u w:val="single"/>
        </w:rPr>
        <w:t xml:space="preserve">****</w:t>
      </w:r>
      <w:r>
        <w:rPr>
          <w:rFonts w:hint="eastAsia" w:ascii="宋体" w:hAnsi="宋体"/>
          <w:sz w:val="24"/>
          <w:szCs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sz w:val="24"/>
          <w:szCs w:val="24"/>
        </w:rPr>
      </w:pPr>
      <w:r>
        <w:rPr>
          <w:rFonts w:hint="eastAsia" w:ascii="宋体" w:hAnsi="宋体"/>
          <w:sz w:val="24"/>
          <w:szCs w:val="24"/>
        </w:rPr>
        <w:t xml:space="preserve">据此函，__________签字人兹宣布同意如下：</w:t>
      </w:r>
      <w:r/>
    </w:p>
    <w:p>
      <w:pPr>
        <w:ind w:firstLine="480"/>
        <w:jc w:val="left"/>
        <w:spacing w:line="420" w:lineRule="exact"/>
        <w:rPr>
          <w:rFonts w:ascii="宋体" w:hAnsi="宋体"/>
          <w:sz w:val="24"/>
          <w:szCs w:val="24"/>
        </w:rPr>
      </w:pPr>
      <w:r>
        <w:rPr>
          <w:rFonts w:hint="eastAsia" w:ascii="宋体" w:hAnsi="宋体"/>
          <w:sz w:val="24"/>
          <w:szCs w:val="24"/>
        </w:rPr>
        <w:t xml:space="preserve">1.按招标文件规定的各项要求，向买方提供所需货物（包含与货物相关的服务）。</w:t>
      </w:r>
      <w:r/>
    </w:p>
    <w:p>
      <w:pPr>
        <w:ind w:firstLine="480"/>
        <w:jc w:val="left"/>
        <w:spacing w:line="420" w:lineRule="exact"/>
        <w:rPr>
          <w:rFonts w:ascii="宋体" w:hAnsi="宋体"/>
          <w:sz w:val="24"/>
          <w:szCs w:val="24"/>
        </w:rPr>
      </w:pPr>
      <w:r>
        <w:rPr>
          <w:rFonts w:hint="eastAsia" w:ascii="宋体" w:hAnsi="宋体"/>
          <w:sz w:val="24"/>
          <w:szCs w:val="24"/>
        </w:rPr>
        <w:t xml:space="preserve">2.我们完全理解贵方不一定将合同授予最低报价的投标人。</w:t>
      </w:r>
      <w:r/>
    </w:p>
    <w:p>
      <w:pPr>
        <w:ind w:firstLine="480"/>
        <w:jc w:val="left"/>
        <w:spacing w:line="420" w:lineRule="exact"/>
        <w:rPr>
          <w:rFonts w:ascii="宋体" w:hAnsi="宋体"/>
          <w:sz w:val="24"/>
          <w:szCs w:val="24"/>
        </w:rPr>
      </w:pPr>
      <w:r>
        <w:rPr>
          <w:rFonts w:hint="eastAsia" w:ascii="宋体" w:hAnsi="宋体"/>
          <w:sz w:val="24"/>
          <w:szCs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szCs w:val="24"/>
        </w:rPr>
      </w:pPr>
      <w:r>
        <w:rPr>
          <w:rFonts w:hint="eastAsia" w:ascii="宋体" w:hAnsi="宋体"/>
          <w:sz w:val="24"/>
          <w:szCs w:val="24"/>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4"/>
        </w:rPr>
      </w:pPr>
      <w:r>
        <w:rPr>
          <w:rFonts w:ascii="宋体" w:hAnsi="宋体"/>
          <w:sz w:val="24"/>
          <w:szCs w:val="24"/>
        </w:rPr>
        <w:t xml:space="preserve">6</w:t>
      </w:r>
      <w:r>
        <w:rPr>
          <w:rFonts w:hint="eastAsia" w:ascii="宋体" w:hAnsi="宋体"/>
          <w:sz w:val="24"/>
          <w:szCs w:val="24"/>
        </w:rPr>
        <w:t xml:space="preserve">.一旦我方中标,我方将根据招标文件的规定，严格履行合同的责任和义务,并保证在招标文件规定的时间完成项目，交付买方验收、使用。</w:t>
      </w:r>
      <w:r/>
    </w:p>
    <w:p>
      <w:pPr>
        <w:ind w:firstLine="480"/>
        <w:spacing w:line="4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t xml:space="preserve">7</w:t>
      </w:r>
      <w:r>
        <w:rPr>
          <w:rFonts w:hint="eastAsia" w:ascii="宋体" w:hAnsi="宋体"/>
          <w:sz w:val="24"/>
          <w:szCs w:val="24"/>
        </w:rPr>
        <w:t xml:space="preserve">.</w:t>
      </w:r>
      <w:r>
        <w:rPr>
          <w:rFonts w:ascii="宋体" w:hAnsi="宋体" w:cs="宋体"/>
          <w:sz w:val="24"/>
          <w:szCs w:val="24"/>
        </w:rPr>
        <w:t xml:space="preserve">我方为：□大型企业□中型企业□小型企业□微型企业（在对应□内打“</w:t>
      </w:r>
      <w:r>
        <w:rPr>
          <w:rFonts w:ascii="Arial" w:hAnsi="Arial" w:eastAsia="Arial" w:cs="Arial"/>
          <w:sz w:val="24"/>
          <w:szCs w:val="24"/>
        </w:rPr>
        <w:t xml:space="preserve">√</w:t>
      </w:r>
      <w:r>
        <w:rPr>
          <w:rFonts w:ascii="宋体" w:hAnsi="宋体" w:cs="宋体"/>
          <w:sz w:val="24"/>
          <w:szCs w:val="24"/>
        </w:rPr>
        <w:t xml:space="preserve">”）</w:t>
      </w:r>
      <w:r/>
    </w:p>
    <w:p>
      <w:pPr>
        <w:ind w:left="425"/>
        <w:jc w:val="left"/>
        <w:spacing w:line="420" w:lineRule="exact"/>
        <w:rPr>
          <w:rFonts w:ascii="宋体" w:hAnsi="宋体"/>
          <w:sz w:val="24"/>
          <w:szCs w:val="24"/>
        </w:rPr>
      </w:pPr>
      <w:r>
        <w:rPr>
          <w:rFonts w:hint="eastAsia" w:ascii="宋体" w:hAnsi="宋体"/>
          <w:sz w:val="24"/>
          <w:szCs w:val="24"/>
        </w:rPr>
        <w:t xml:space="preserve">8.与本投标有关的正式通讯地址为：</w:t>
      </w:r>
      <w:r/>
    </w:p>
    <w:p>
      <w:pPr>
        <w:ind w:left="420" w:firstLine="480"/>
        <w:jc w:val="left"/>
        <w:spacing w:line="420" w:lineRule="exact"/>
        <w:rPr>
          <w:rFonts w:ascii="宋体" w:hAnsi="宋体"/>
          <w:sz w:val="24"/>
          <w:szCs w:val="24"/>
        </w:rPr>
      </w:pPr>
      <w:r>
        <w:rPr>
          <w:rFonts w:hint="eastAsia" w:ascii="宋体" w:hAnsi="宋体"/>
          <w:sz w:val="24"/>
          <w:szCs w:val="24"/>
        </w:rPr>
        <w:t xml:space="preserve">地        址：</w:t>
      </w:r>
      <w:r/>
    </w:p>
    <w:p>
      <w:pPr>
        <w:ind w:left="420" w:firstLine="480"/>
        <w:jc w:val="left"/>
        <w:spacing w:line="420" w:lineRule="exact"/>
        <w:rPr>
          <w:rFonts w:ascii="宋体" w:hAnsi="宋体"/>
          <w:sz w:val="24"/>
          <w:szCs w:val="24"/>
        </w:rPr>
      </w:pPr>
      <w:r>
        <w:rPr>
          <w:rFonts w:hint="eastAsia" w:ascii="宋体" w:hAnsi="宋体"/>
          <w:sz w:val="24"/>
          <w:szCs w:val="24"/>
        </w:rPr>
        <w:t xml:space="preserve">邮        编：</w:t>
      </w:r>
      <w:r/>
    </w:p>
    <w:p>
      <w:pPr>
        <w:ind w:left="420" w:firstLine="480"/>
        <w:jc w:val="left"/>
        <w:spacing w:line="420" w:lineRule="exact"/>
        <w:rPr>
          <w:rFonts w:ascii="宋体" w:hAnsi="宋体"/>
          <w:sz w:val="24"/>
          <w:szCs w:val="24"/>
        </w:rPr>
      </w:pPr>
      <w:r>
        <w:rPr>
          <w:rFonts w:hint="eastAsia" w:ascii="宋体" w:hAnsi="宋体"/>
          <w:sz w:val="24"/>
          <w:szCs w:val="24"/>
        </w:rPr>
        <w:t xml:space="preserve">电        话：</w:t>
      </w:r>
      <w:r/>
    </w:p>
    <w:p>
      <w:pPr>
        <w:ind w:left="420" w:firstLine="480"/>
        <w:jc w:val="left"/>
        <w:spacing w:line="420" w:lineRule="exact"/>
        <w:rPr>
          <w:rFonts w:ascii="宋体" w:hAnsi="宋体"/>
          <w:sz w:val="24"/>
          <w:szCs w:val="24"/>
        </w:rPr>
      </w:pPr>
      <w:r>
        <w:rPr>
          <w:rFonts w:hint="eastAsia" w:ascii="宋体" w:hAnsi="宋体"/>
          <w:sz w:val="24"/>
          <w:szCs w:val="24"/>
        </w:rPr>
        <w:t xml:space="preserve">传        真：</w:t>
      </w:r>
      <w:r/>
    </w:p>
    <w:p>
      <w:pPr>
        <w:ind w:left="420" w:firstLine="480"/>
        <w:jc w:val="left"/>
        <w:spacing w:line="420" w:lineRule="exact"/>
        <w:rPr>
          <w:rFonts w:ascii="宋体" w:hAnsi="宋体"/>
          <w:sz w:val="24"/>
          <w:szCs w:val="24"/>
        </w:rPr>
      </w:pPr>
      <w:r>
        <w:rPr>
          <w:rFonts w:hint="eastAsia" w:ascii="宋体" w:hAnsi="宋体"/>
          <w:sz w:val="24"/>
          <w:szCs w:val="24"/>
        </w:rPr>
        <w:t xml:space="preserve">投标人开户行：</w:t>
      </w:r>
      <w:r/>
    </w:p>
    <w:p>
      <w:pPr>
        <w:ind w:left="420" w:firstLine="480"/>
        <w:jc w:val="left"/>
        <w:spacing w:line="420" w:lineRule="exact"/>
        <w:rPr>
          <w:rFonts w:ascii="宋体" w:hAnsi="宋体"/>
          <w:sz w:val="24"/>
          <w:szCs w:val="24"/>
        </w:rPr>
      </w:pPr>
      <w:r>
        <w:rPr>
          <w:rFonts w:hint="eastAsia" w:ascii="宋体" w:hAnsi="宋体"/>
          <w:sz w:val="24"/>
          <w:szCs w:val="24"/>
        </w:rPr>
        <w:t xml:space="preserve">账        号： </w:t>
      </w:r>
      <w:r/>
    </w:p>
    <w:p>
      <w:pPr>
        <w:ind w:left="420" w:firstLine="480"/>
        <w:jc w:val="left"/>
        <w:spacing w:line="420" w:lineRule="exact"/>
        <w:rPr>
          <w:rFonts w:ascii="宋体" w:hAnsi="宋体"/>
          <w:sz w:val="24"/>
          <w:szCs w:val="24"/>
        </w:rPr>
      </w:pPr>
      <w:r>
        <w:rPr>
          <w:rFonts w:hint="eastAsia" w:ascii="宋体" w:hAnsi="宋体"/>
          <w:sz w:val="24"/>
          <w:szCs w:val="24"/>
        </w:rPr>
        <w:t xml:space="preserve">日        期：______年____月____日</w:t>
      </w:r>
      <w:r/>
    </w:p>
    <w:p>
      <w:pPr>
        <w:rPr>
          <w:rFonts w:ascii="宋体" w:hAnsi="宋体"/>
          <w:b/>
          <w:sz w:val="24"/>
          <w:szCs w:val="24"/>
        </w:rPr>
      </w:pPr>
      <w:r>
        <w:rPr>
          <w:rFonts w:ascii="宋体" w:hAnsi="宋体"/>
          <w:b/>
          <w:sz w:val="24"/>
          <w:szCs w:val="24"/>
        </w:rPr>
      </w:r>
      <w:r/>
    </w:p>
    <w:p>
      <w:pPr>
        <w:pStyle w:val="802"/>
        <w:ind w:firstLine="240"/>
        <w:rPr>
          <w:rFonts w:ascii="宋体" w:hAnsi="宋体"/>
          <w:sz w:val="24"/>
          <w:szCs w:val="24"/>
        </w:rPr>
      </w:pPr>
      <w:r>
        <w:rPr>
          <w:rFonts w:ascii="宋体" w:hAnsi="宋体"/>
          <w:sz w:val="24"/>
          <w:szCs w:val="24"/>
        </w:rPr>
      </w:r>
      <w:r/>
    </w:p>
    <w:p>
      <w:pPr>
        <w:pStyle w:val="802"/>
        <w:ind w:firstLine="240"/>
        <w:rPr>
          <w:rFonts w:ascii="宋体" w:hAnsi="宋体"/>
          <w:sz w:val="24"/>
          <w:szCs w:val="24"/>
        </w:rPr>
      </w:pPr>
      <w:r>
        <w:rPr>
          <w:rFonts w:ascii="宋体" w:hAnsi="宋体"/>
          <w:sz w:val="24"/>
          <w:szCs w:val="24"/>
        </w:rPr>
      </w:r>
      <w:r/>
    </w:p>
    <w:p>
      <w:pPr>
        <w:rPr>
          <w:rFonts w:ascii="宋体" w:hAnsi="宋体" w:cs="宋体"/>
          <w:sz w:val="24"/>
          <w:szCs w:val="24"/>
        </w:rPr>
      </w:pPr>
      <w:r>
        <w:rPr>
          <w:rFonts w:hint="eastAsia" w:ascii="宋体" w:hAnsi="宋体" w:cs="宋体"/>
          <w:sz w:val="24"/>
          <w:szCs w:val="24"/>
        </w:rPr>
        <w:br w:type="page" w:clear="all"/>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825"/>
        <w:tblW w:w="5951" w:type="dxa"/>
        <w:tblInd w:w="77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37"/>
        <w:gridCol w:w="29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7"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4"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w:t>
      </w:r>
      <w:r>
        <w:rPr>
          <w:rFonts w:ascii="宋体" w:hAnsi="宋体" w:cs="宋体"/>
          <w:color w:val="000000"/>
          <w:sz w:val="24"/>
        </w:rPr>
        <w:t xml:space="preserve">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本公司（联合体）郑重声明，根据《政府采购促进中小企业发展管理办法》(财库[2020]46号)的规定，本公司（联合体）参加扬州市公共资源交易中心邗江分中心组织的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olor w:val="ff0000"/>
          <w:sz w:val="24"/>
          <w:szCs w:val="24"/>
          <w:u w:val="single"/>
        </w:rPr>
        <w:t xml:space="preserve">其他未列明行业</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3.供应商应对照《工业和信息化部、国家统计局、国家发展和改革委员会、财政</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825"/>
        <w:tblW w:w="89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738"/>
        <w:gridCol w:w="950"/>
        <w:gridCol w:w="1937"/>
        <w:gridCol w:w="1763"/>
        <w:gridCol w:w="1525"/>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987"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8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8"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9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6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25"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w:t>
      </w:r>
      <w:r>
        <w:rPr>
          <w:rFonts w:ascii="宋体" w:hAnsi="宋体" w:cs="宋体"/>
          <w:color w:val="000000"/>
          <w:sz w:val="24"/>
          <w:u w:val="single"/>
        </w:rPr>
        <w:t xml:space="preserve">     </w:t>
      </w:r>
      <w:r>
        <w:rPr>
          <w:rFonts w:ascii="宋体" w:hAnsi="宋体" w:cs="宋体"/>
          <w:color w:val="000000"/>
          <w:sz w:val="24"/>
        </w:rPr>
        <w:t xml:space="preserve">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w:t>
      </w:r>
      <w:r>
        <w:rPr>
          <w:rFonts w:hint="eastAsia" w:ascii="宋体" w:hAnsi="宋体" w:cs="宋体"/>
          <w:color w:val="000000"/>
          <w:sz w:val="24"/>
          <w:lang w:val="en-US" w:eastAsia="zh-CN"/>
        </w:rPr>
        <w:t xml:space="preserve">邗江分中心</w:t>
      </w:r>
      <w:r>
        <w:rPr>
          <w:rFonts w:ascii="宋体" w:hAnsi="宋体" w:cs="宋体"/>
          <w:color w:val="000000"/>
          <w:sz w:val="24"/>
        </w:rPr>
        <w:t xml:space="preserve">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                      </w:t>
      </w:r>
      <w:r>
        <w:rPr>
          <w:rFonts w:ascii="宋体" w:hAnsi="宋体" w:cs="宋体"/>
          <w:color w:val="000000"/>
          <w:sz w:val="24"/>
        </w:rPr>
        <w:t xml:space="preserve">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92"/>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rPr>
          <w:rFonts w:eastAsia="Times New Roman"/>
          <w:color w:val="000000"/>
        </w:rPr>
      </w:pPr>
      <w:r>
        <w:rPr>
          <w:rFonts w:eastAsia="Times New Roman"/>
          <w:color w:val="000000"/>
        </w:rPr>
      </w:r>
      <w:r/>
    </w:p>
    <w:p>
      <w:pPr>
        <w:pStyle w:val="792"/>
      </w:pPr>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825"/>
        <w:tblW w:w="897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3846"/>
        <w:gridCol w:w="2263"/>
        <w:gridCol w:w="24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4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
    </w:p>
    <w:sectPr>
      <w:headerReference w:type="default" r:id="rId10"/>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Style w:val="1035"/>
        <w:rFonts w:ascii="宋体" w:hAnsi="宋体"/>
      </w:rPr>
      <w:framePr w:wrap="around" w:vAnchor="text" w:hAnchor="margin" w:xAlign="center" w:y="1"/>
    </w:pPr>
    <w:r>
      <w:rPr>
        <w:rFonts w:ascii="宋体" w:hAnsi="宋体"/>
      </w:rPr>
      <w:fldChar w:fldCharType="begin"/>
    </w:r>
    <w:r>
      <w:rPr>
        <w:rStyle w:val="1035"/>
        <w:rFonts w:ascii="宋体" w:hAnsi="宋体"/>
      </w:rPr>
      <w:instrText xml:space="preserve">PAGE  </w:instrText>
    </w:r>
    <w:r>
      <w:rPr>
        <w:rFonts w:ascii="宋体" w:hAnsi="宋体"/>
      </w:rPr>
      <w:fldChar w:fldCharType="separate"/>
    </w:r>
    <w:r>
      <w:rPr>
        <w:rStyle w:val="1035"/>
        <w:rFonts w:ascii="宋体" w:hAnsi="宋体"/>
      </w:rPr>
      <w:t xml:space="preserve">55</w:t>
    </w:r>
    <w:r>
      <w:rPr>
        <w:rFonts w:ascii="宋体" w:hAnsi="宋体"/>
      </w:rPr>
      <w:fldChar w:fldCharType="end"/>
    </w:r>
    <w:r/>
  </w:p>
  <w:p>
    <w:pPr>
      <w:pStyle w:val="101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Style w:val="1035"/>
      </w:rPr>
      <w:framePr w:wrap="around" w:vAnchor="text" w:hAnchor="margin" w:xAlign="center" w:y="1"/>
    </w:pPr>
    <w:r>
      <w:fldChar w:fldCharType="begin"/>
    </w:r>
    <w:r>
      <w:rPr>
        <w:rStyle w:val="1035"/>
      </w:rPr>
      <w:instrText xml:space="preserve">PAGE  </w:instrText>
    </w:r>
    <w:r>
      <w:fldChar w:fldCharType="separate"/>
    </w:r>
    <w:r>
      <w:rPr>
        <w:rStyle w:val="1035"/>
      </w:rPr>
      <w:t xml:space="preserve">1</w:t>
    </w:r>
    <w:r>
      <w:fldChar w:fldCharType="end"/>
    </w:r>
    <w:r/>
  </w:p>
  <w:p>
    <w:pPr>
      <w:pStyle w:val="10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345"/>
      <w:spacing w:before="1" w:line="231" w:lineRule="auto"/>
      <w:rPr>
        <w:rFonts w:ascii="宋体" w:hAnsi="宋体" w:eastAsia="宋体" w:cs="宋体"/>
        <w:sz w:val="24"/>
        <w:szCs w:val="24"/>
      </w:rPr>
    </w:pPr>
    <w:r>
      <w:rPr>
        <w:rFonts w:ascii="宋体" w:hAnsi="宋体" w:eastAsia="宋体" w:cs="宋体"/>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14"/>
                            <w:rPr>
                              <w:rStyle w:val="1035"/>
                              <w:rFonts w:ascii="宋体" w:hAnsi="宋体"/>
                            </w:rPr>
                          </w:pPr>
                          <w:r>
                            <w:rPr>
                              <w:rFonts w:ascii="宋体" w:hAnsi="宋体"/>
                            </w:rPr>
                            <w:fldChar w:fldCharType="begin"/>
                          </w:r>
                          <w:r>
                            <w:rPr>
                              <w:rStyle w:val="1035"/>
                              <w:rFonts w:ascii="宋体" w:hAnsi="宋体"/>
                            </w:rPr>
                            <w:instrText xml:space="preserve">PAGE  </w:instrText>
                          </w:r>
                          <w:r>
                            <w:rPr>
                              <w:rFonts w:ascii="宋体" w:hAnsi="宋体"/>
                            </w:rPr>
                            <w:fldChar w:fldCharType="separate"/>
                          </w:r>
                          <w:r>
                            <w:rPr>
                              <w:rStyle w:val="1035"/>
                              <w:rFonts w:ascii="宋体" w:hAnsi="宋体"/>
                            </w:rPr>
                            <w:t xml:space="preserve">58</w:t>
                          </w:r>
                          <w:r>
                            <w:rPr>
                              <w:rFonts w:ascii="宋体" w:hAnsi="宋体"/>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rPr>
                        <w:rStyle w:val="1035"/>
                        <w:rFonts w:ascii="宋体" w:hAnsi="宋体"/>
                      </w:rPr>
                    </w:pPr>
                    <w:r>
                      <w:rPr>
                        <w:rFonts w:ascii="宋体" w:hAnsi="宋体"/>
                      </w:rPr>
                      <w:fldChar w:fldCharType="begin"/>
                    </w:r>
                    <w:r>
                      <w:rPr>
                        <w:rStyle w:val="1035"/>
                        <w:rFonts w:ascii="宋体" w:hAnsi="宋体"/>
                      </w:rPr>
                      <w:instrText xml:space="preserve">PAGE  </w:instrText>
                    </w:r>
                    <w:r>
                      <w:rPr>
                        <w:rFonts w:ascii="宋体" w:hAnsi="宋体"/>
                      </w:rPr>
                      <w:fldChar w:fldCharType="separate"/>
                    </w:r>
                    <w:r>
                      <w:rPr>
                        <w:rStyle w:val="1035"/>
                        <w:rFonts w:ascii="宋体" w:hAnsi="宋体"/>
                      </w:rPr>
                      <w:t xml:space="preserve">58</w:t>
                    </w:r>
                    <w:r>
                      <w:rPr>
                        <w:rFonts w:ascii="宋体" w:hAnsi="宋体"/>
                      </w:rP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1"/>
                          </w:pPr>
                          <w:r>
                            <w:fldChar w:fldCharType="begin"/>
                          </w:r>
                          <w:r>
                            <w:instrText xml:space="preserve"> PAGE  \* MERGEFORMAT </w:instrText>
                          </w:r>
                          <w:r>
                            <w:fldChar w:fldCharType="separate"/>
                          </w:r>
                          <w:r>
                            <w:t xml:space="preserve">59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1"/>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9"/>
      <w:isLgl w:val="false"/>
      <w:suff w:val="nothing"/>
      <w:lvlText w:val=""/>
      <w:lvlJc w:val="left"/>
      <w:pPr>
        <w:ind w:left="0" w:firstLine="0"/>
      </w:pPr>
      <w:rPr>
        <w:rFonts w:hint="eastAsia"/>
      </w:rPr>
    </w:lvl>
    <w:lvl w:ilvl="6">
      <w:start w:val="1"/>
      <w:numFmt w:val="decimal"/>
      <w:pStyle w:val="1000"/>
      <w:isLgl w:val="false"/>
      <w:suff w:val="nothing"/>
      <w:lvlText w:val=""/>
      <w:lvlJc w:val="left"/>
      <w:pPr>
        <w:ind w:left="0" w:firstLine="0"/>
      </w:pPr>
      <w:rPr>
        <w:rFonts w:hint="eastAsia"/>
      </w:rPr>
    </w:lvl>
    <w:lvl w:ilvl="7">
      <w:start w:val="1"/>
      <w:numFmt w:val="decimal"/>
      <w:pStyle w:val="1001"/>
      <w:isLgl w:val="false"/>
      <w:suff w:val="nothing"/>
      <w:lvlText w:val=""/>
      <w:lvlJc w:val="left"/>
      <w:pPr>
        <w:ind w:left="0" w:firstLine="0"/>
      </w:pPr>
      <w:rPr>
        <w:rFonts w:hint="eastAsia"/>
      </w:rPr>
    </w:lvl>
    <w:lvl w:ilvl="8">
      <w:start w:val="1"/>
      <w:numFmt w:val="decimal"/>
      <w:pStyle w:val="1002"/>
      <w:isLgl w:val="false"/>
      <w:suff w:val="nothing"/>
      <w:lvlText w:val=""/>
      <w:lvlJc w:val="left"/>
      <w:pPr>
        <w:ind w:left="0" w:firstLine="0"/>
      </w:pPr>
      <w:rPr>
        <w:rFonts w:hint="eastAsia"/>
      </w:rPr>
    </w:lvl>
  </w:abstractNum>
  <w:abstractNum w:abstractNumId="3">
    <w:multiLevelType w:val="hybridMultilevel"/>
    <w:lvl w:ilvl="0">
      <w:start w:val="3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90">
    <w:name w:val="Heading 1"/>
    <w:basedOn w:val="789"/>
    <w:next w:val="789"/>
    <w:link w:val="1028"/>
    <w:uiPriority w:val="9"/>
    <w:qFormat/>
    <w:pPr>
      <w:keepLines/>
      <w:keepNext/>
      <w:spacing w:before="480" w:after="200"/>
      <w:outlineLvl w:val="0"/>
    </w:pPr>
    <w:rPr>
      <w:rFonts w:ascii="Arial" w:hAnsi="Arial" w:eastAsia="Arial" w:cs="Arial"/>
      <w:sz w:val="40"/>
      <w:szCs w:val="40"/>
    </w:rPr>
  </w:style>
  <w:style w:type="paragraph" w:styleId="791">
    <w:name w:val="Heading 2"/>
    <w:basedOn w:val="789"/>
    <w:next w:val="789"/>
    <w:link w:val="846"/>
    <w:uiPriority w:val="9"/>
    <w:unhideWhenUsed/>
    <w:qFormat/>
    <w:pPr>
      <w:keepLines/>
      <w:keepNext/>
      <w:spacing w:before="360" w:after="200"/>
      <w:outlineLvl w:val="1"/>
    </w:pPr>
    <w:rPr>
      <w:rFonts w:ascii="Arial" w:hAnsi="Arial" w:eastAsia="Arial" w:cs="Arial"/>
      <w:sz w:val="34"/>
    </w:rPr>
  </w:style>
  <w:style w:type="paragraph" w:styleId="792">
    <w:name w:val="Heading 3"/>
    <w:basedOn w:val="789"/>
    <w:next w:val="789"/>
    <w:link w:val="847"/>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89"/>
    <w:next w:val="789"/>
    <w:link w:val="848"/>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49"/>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789"/>
    <w:next w:val="789"/>
    <w:link w:val="850"/>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52"/>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53"/>
    <w:uiPriority w:val="9"/>
    <w:unhideWhenUsed/>
    <w:qFormat/>
    <w:pPr>
      <w:keepLines/>
      <w:keepNext/>
      <w:spacing w:before="320" w:after="200"/>
      <w:outlineLvl w:val="8"/>
    </w:pPr>
    <w:rPr>
      <w:rFonts w:ascii="Arial" w:hAnsi="Arial" w:eastAsia="Arial" w:cs="Arial"/>
      <w:i/>
      <w:iCs/>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Layout w:type="fixed"/>
      <w:tblCellMar>
        <w:left w:w="108" w:type="dxa"/>
        <w:top w:w="0" w:type="dxa"/>
        <w:right w:w="108" w:type="dxa"/>
        <w:bottom w:w="0" w:type="dxa"/>
      </w:tblCellMar>
    </w:tblPr>
  </w:style>
  <w:style w:type="paragraph" w:styleId="801">
    <w:name w:val="toc 7"/>
    <w:basedOn w:val="789"/>
    <w:next w:val="789"/>
    <w:uiPriority w:val="39"/>
    <w:unhideWhenUsed/>
    <w:qFormat/>
    <w:pPr>
      <w:ind w:left="1701"/>
      <w:spacing w:after="57"/>
    </w:pPr>
  </w:style>
  <w:style w:type="paragraph" w:styleId="802">
    <w:name w:val="Body Text First Indent"/>
    <w:basedOn w:val="803"/>
    <w:next w:val="789"/>
    <w:uiPriority w:val="99"/>
    <w:unhideWhenUsed/>
    <w:qFormat/>
    <w:pPr>
      <w:ind w:firstLine="100"/>
    </w:pPr>
  </w:style>
  <w:style w:type="paragraph" w:styleId="803">
    <w:name w:val="Body Text"/>
    <w:basedOn w:val="789"/>
    <w:uiPriority w:val="1"/>
    <w:unhideWhenUsed/>
    <w:qFormat/>
    <w:pPr>
      <w:spacing w:after="120"/>
    </w:pPr>
  </w:style>
  <w:style w:type="paragraph" w:styleId="804">
    <w:name w:val="Normal Indent"/>
    <w:basedOn w:val="789"/>
    <w:next w:val="789"/>
    <w:uiPriority w:val="0"/>
    <w:qFormat/>
    <w:pPr>
      <w:ind w:firstLine="420"/>
    </w:pPr>
    <w:rPr>
      <w:sz w:val="20"/>
    </w:rPr>
  </w:style>
  <w:style w:type="paragraph" w:styleId="805">
    <w:name w:val="Caption"/>
    <w:basedOn w:val="789"/>
    <w:next w:val="7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6">
    <w:name w:val="toc 5"/>
    <w:basedOn w:val="789"/>
    <w:next w:val="789"/>
    <w:uiPriority w:val="39"/>
    <w:unhideWhenUsed/>
    <w:qFormat/>
    <w:pPr>
      <w:ind w:left="1134"/>
      <w:spacing w:after="57"/>
    </w:pPr>
  </w:style>
  <w:style w:type="paragraph" w:styleId="807">
    <w:name w:val="toc 3"/>
    <w:basedOn w:val="789"/>
    <w:next w:val="789"/>
    <w:uiPriority w:val="39"/>
    <w:unhideWhenUsed/>
    <w:qFormat/>
    <w:pPr>
      <w:ind w:left="567"/>
      <w:spacing w:after="57"/>
    </w:pPr>
  </w:style>
  <w:style w:type="paragraph" w:styleId="808">
    <w:name w:val="Plain Text"/>
    <w:basedOn w:val="789"/>
    <w:next w:val="804"/>
    <w:uiPriority w:val="99"/>
    <w:qFormat/>
    <w:rPr>
      <w:rFonts w:ascii="宋体" w:hAnsi="Courier New"/>
      <w:sz w:val="20"/>
    </w:rPr>
  </w:style>
  <w:style w:type="paragraph" w:styleId="809">
    <w:name w:val="toc 8"/>
    <w:basedOn w:val="789"/>
    <w:next w:val="789"/>
    <w:uiPriority w:val="39"/>
    <w:unhideWhenUsed/>
    <w:qFormat/>
    <w:pPr>
      <w:ind w:left="1984"/>
      <w:spacing w:after="57"/>
    </w:pPr>
  </w:style>
  <w:style w:type="paragraph" w:styleId="810">
    <w:name w:val="endnote text"/>
    <w:basedOn w:val="789"/>
    <w:link w:val="991"/>
    <w:uiPriority w:val="99"/>
    <w:semiHidden/>
    <w:unhideWhenUsed/>
    <w:qFormat/>
    <w:rPr>
      <w:sz w:val="20"/>
    </w:rPr>
  </w:style>
  <w:style w:type="paragraph" w:styleId="811">
    <w:name w:val="Footer"/>
    <w:basedOn w:val="789"/>
    <w:link w:val="864"/>
    <w:uiPriority w:val="99"/>
    <w:unhideWhenUsed/>
    <w:qFormat/>
    <w:pPr>
      <w:tabs>
        <w:tab w:val="center" w:pos="7143" w:leader="none"/>
        <w:tab w:val="right" w:pos="14287" w:leader="none"/>
      </w:tabs>
    </w:pPr>
  </w:style>
  <w:style w:type="paragraph" w:styleId="812">
    <w:name w:val="Header"/>
    <w:basedOn w:val="789"/>
    <w:link w:val="862"/>
    <w:uiPriority w:val="99"/>
    <w:unhideWhenUsed/>
    <w:qFormat/>
    <w:pPr>
      <w:tabs>
        <w:tab w:val="center" w:pos="7143" w:leader="none"/>
        <w:tab w:val="right" w:pos="14287" w:leader="none"/>
      </w:tabs>
    </w:pPr>
  </w:style>
  <w:style w:type="paragraph" w:styleId="813">
    <w:name w:val="toc 1"/>
    <w:basedOn w:val="789"/>
    <w:next w:val="789"/>
    <w:uiPriority w:val="39"/>
    <w:unhideWhenUsed/>
    <w:qFormat/>
    <w:pPr>
      <w:spacing w:after="57"/>
    </w:pPr>
  </w:style>
  <w:style w:type="paragraph" w:styleId="814">
    <w:name w:val="toc 4"/>
    <w:basedOn w:val="789"/>
    <w:next w:val="789"/>
    <w:uiPriority w:val="39"/>
    <w:unhideWhenUsed/>
    <w:qFormat/>
    <w:pPr>
      <w:ind w:left="850"/>
      <w:spacing w:after="57"/>
    </w:pPr>
  </w:style>
  <w:style w:type="paragraph" w:styleId="815">
    <w:name w:val="Subtitle"/>
    <w:basedOn w:val="789"/>
    <w:next w:val="789"/>
    <w:link w:val="857"/>
    <w:uiPriority w:val="11"/>
    <w:qFormat/>
    <w:pPr>
      <w:spacing w:before="200" w:after="200"/>
    </w:pPr>
    <w:rPr>
      <w:sz w:val="24"/>
      <w:szCs w:val="24"/>
    </w:rPr>
  </w:style>
  <w:style w:type="paragraph" w:styleId="816">
    <w:name w:val="footnote text"/>
    <w:basedOn w:val="789"/>
    <w:link w:val="990"/>
    <w:uiPriority w:val="99"/>
    <w:semiHidden/>
    <w:unhideWhenUsed/>
    <w:qFormat/>
    <w:pPr>
      <w:spacing w:after="40"/>
    </w:pPr>
    <w:rPr>
      <w:sz w:val="18"/>
    </w:rPr>
  </w:style>
  <w:style w:type="paragraph" w:styleId="817">
    <w:name w:val="toc 6"/>
    <w:basedOn w:val="789"/>
    <w:next w:val="789"/>
    <w:uiPriority w:val="39"/>
    <w:unhideWhenUsed/>
    <w:qFormat/>
    <w:pPr>
      <w:ind w:left="1417"/>
      <w:spacing w:after="57"/>
    </w:pPr>
  </w:style>
  <w:style w:type="paragraph" w:styleId="818">
    <w:name w:val="table of figures"/>
    <w:basedOn w:val="789"/>
    <w:next w:val="789"/>
    <w:uiPriority w:val="99"/>
    <w:unhideWhenUsed/>
    <w:qFormat/>
  </w:style>
  <w:style w:type="paragraph" w:styleId="819">
    <w:name w:val="toc 2"/>
    <w:basedOn w:val="789"/>
    <w:next w:val="789"/>
    <w:uiPriority w:val="39"/>
    <w:unhideWhenUsed/>
    <w:qFormat/>
    <w:pPr>
      <w:ind w:left="283"/>
      <w:spacing w:after="57"/>
    </w:pPr>
  </w:style>
  <w:style w:type="paragraph" w:styleId="820">
    <w:name w:val="toc 9"/>
    <w:basedOn w:val="789"/>
    <w:next w:val="789"/>
    <w:uiPriority w:val="39"/>
    <w:unhideWhenUsed/>
    <w:qFormat/>
    <w:pPr>
      <w:ind w:left="2268"/>
      <w:spacing w:after="57"/>
    </w:pPr>
  </w:style>
  <w:style w:type="paragraph" w:styleId="821">
    <w:name w:val="Title"/>
    <w:basedOn w:val="789"/>
    <w:next w:val="789"/>
    <w:link w:val="856"/>
    <w:uiPriority w:val="10"/>
    <w:qFormat/>
    <w:pPr>
      <w:contextualSpacing/>
      <w:spacing w:before="300" w:after="200"/>
    </w:pPr>
    <w:rPr>
      <w:sz w:val="48"/>
      <w:szCs w:val="48"/>
    </w:rPr>
  </w:style>
  <w:style w:type="character" w:styleId="822">
    <w:name w:val="endnote reference"/>
    <w:uiPriority w:val="99"/>
    <w:semiHidden/>
    <w:unhideWhenUsed/>
    <w:qFormat/>
    <w:rPr>
      <w:vertAlign w:val="superscript"/>
    </w:rPr>
  </w:style>
  <w:style w:type="character" w:styleId="823">
    <w:name w:val="Hyperlink"/>
    <w:uiPriority w:val="99"/>
    <w:unhideWhenUsed/>
    <w:qFormat/>
    <w:rPr>
      <w:color w:val="0000ff" w:themeColor="hyperlink"/>
      <w:u w:val="single"/>
      <w14:textFill>
        <w14:solidFill>
          <w14:schemeClr w14:val="hlink"/>
        </w14:solidFill>
      </w14:textFill>
    </w:rPr>
  </w:style>
  <w:style w:type="character" w:styleId="824">
    <w:name w:val="footnote reference"/>
    <w:uiPriority w:val="99"/>
    <w:unhideWhenUsed/>
    <w:qFormat/>
    <w:rPr>
      <w:vertAlign w:val="superscript"/>
    </w:rPr>
  </w:style>
  <w:style w:type="table" w:styleId="8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26" w:customStyle="1">
    <w:name w:val="TOC Heading"/>
    <w:uiPriority w:val="39"/>
    <w:unhideWhenUsed/>
    <w:qFormat/>
    <w:rPr>
      <w:rFonts w:hint="default" w:ascii="Times New Roman" w:hAnsi="Times New Roman" w:eastAsia="宋体" w:cs="Times New Roman"/>
    </w:rPr>
  </w:style>
  <w:style w:type="character" w:styleId="827" w:customStyle="1">
    <w:name w:val="Heading 1 Char"/>
    <w:basedOn w:val="799"/>
    <w:uiPriority w:val="9"/>
    <w:qFormat/>
    <w:rPr>
      <w:rFonts w:ascii="Arial" w:hAnsi="Arial" w:eastAsia="Arial" w:cs="Arial"/>
      <w:sz w:val="40"/>
      <w:szCs w:val="40"/>
    </w:rPr>
  </w:style>
  <w:style w:type="character" w:styleId="828" w:customStyle="1">
    <w:name w:val="Heading 2 Char"/>
    <w:basedOn w:val="799"/>
    <w:uiPriority w:val="9"/>
    <w:qFormat/>
    <w:rPr>
      <w:rFonts w:ascii="Arial" w:hAnsi="Arial" w:eastAsia="Arial" w:cs="Arial"/>
      <w:sz w:val="34"/>
    </w:rPr>
  </w:style>
  <w:style w:type="character" w:styleId="829" w:customStyle="1">
    <w:name w:val="Heading 3 Char"/>
    <w:basedOn w:val="799"/>
    <w:uiPriority w:val="9"/>
    <w:qFormat/>
    <w:rPr>
      <w:rFonts w:ascii="Arial" w:hAnsi="Arial" w:eastAsia="Arial" w:cs="Arial"/>
      <w:sz w:val="30"/>
      <w:szCs w:val="30"/>
    </w:rPr>
  </w:style>
  <w:style w:type="character" w:styleId="830" w:customStyle="1">
    <w:name w:val="Heading 4 Char"/>
    <w:basedOn w:val="799"/>
    <w:uiPriority w:val="9"/>
    <w:qFormat/>
    <w:rPr>
      <w:rFonts w:ascii="Arial" w:hAnsi="Arial" w:eastAsia="Arial" w:cs="Arial"/>
      <w:b/>
      <w:bCs/>
      <w:sz w:val="26"/>
      <w:szCs w:val="26"/>
    </w:rPr>
  </w:style>
  <w:style w:type="character" w:styleId="831" w:customStyle="1">
    <w:name w:val="Heading 5 Char"/>
    <w:basedOn w:val="799"/>
    <w:uiPriority w:val="9"/>
    <w:qFormat/>
    <w:rPr>
      <w:rFonts w:ascii="Arial" w:hAnsi="Arial" w:eastAsia="Arial" w:cs="Arial"/>
      <w:b/>
      <w:bCs/>
      <w:sz w:val="24"/>
      <w:szCs w:val="24"/>
    </w:rPr>
  </w:style>
  <w:style w:type="character" w:styleId="832" w:customStyle="1">
    <w:name w:val="Heading 6 Char"/>
    <w:basedOn w:val="799"/>
    <w:uiPriority w:val="9"/>
    <w:qFormat/>
    <w:rPr>
      <w:rFonts w:ascii="Arial" w:hAnsi="Arial" w:eastAsia="Arial" w:cs="Arial"/>
      <w:b/>
      <w:bCs/>
      <w:sz w:val="22"/>
      <w:szCs w:val="22"/>
    </w:rPr>
  </w:style>
  <w:style w:type="character" w:styleId="833" w:customStyle="1">
    <w:name w:val="Heading 7 Char"/>
    <w:basedOn w:val="799"/>
    <w:uiPriority w:val="9"/>
    <w:qFormat/>
    <w:rPr>
      <w:rFonts w:ascii="Arial" w:hAnsi="Arial" w:eastAsia="Arial" w:cs="Arial"/>
      <w:b/>
      <w:bCs/>
      <w:i/>
      <w:iCs/>
      <w:sz w:val="22"/>
      <w:szCs w:val="22"/>
    </w:rPr>
  </w:style>
  <w:style w:type="character" w:styleId="834" w:customStyle="1">
    <w:name w:val="Heading 8 Char"/>
    <w:basedOn w:val="799"/>
    <w:uiPriority w:val="9"/>
    <w:qFormat/>
    <w:rPr>
      <w:rFonts w:ascii="Arial" w:hAnsi="Arial" w:eastAsia="Arial" w:cs="Arial"/>
      <w:i/>
      <w:iCs/>
      <w:sz w:val="22"/>
      <w:szCs w:val="22"/>
    </w:rPr>
  </w:style>
  <w:style w:type="character" w:styleId="835" w:customStyle="1">
    <w:name w:val="Heading 9 Char"/>
    <w:basedOn w:val="799"/>
    <w:uiPriority w:val="9"/>
    <w:qFormat/>
    <w:rPr>
      <w:rFonts w:ascii="Arial" w:hAnsi="Arial" w:eastAsia="Arial" w:cs="Arial"/>
      <w:i/>
      <w:iCs/>
      <w:sz w:val="21"/>
      <w:szCs w:val="21"/>
    </w:rPr>
  </w:style>
  <w:style w:type="character" w:styleId="836" w:customStyle="1">
    <w:name w:val="Title Char"/>
    <w:basedOn w:val="799"/>
    <w:uiPriority w:val="10"/>
    <w:qFormat/>
    <w:rPr>
      <w:sz w:val="48"/>
      <w:szCs w:val="48"/>
    </w:rPr>
  </w:style>
  <w:style w:type="character" w:styleId="837" w:customStyle="1">
    <w:name w:val="Subtitle Char"/>
    <w:basedOn w:val="799"/>
    <w:uiPriority w:val="11"/>
    <w:qFormat/>
    <w:rPr>
      <w:sz w:val="24"/>
      <w:szCs w:val="24"/>
    </w:rPr>
  </w:style>
  <w:style w:type="character" w:styleId="838" w:customStyle="1">
    <w:name w:val="Quote Char"/>
    <w:uiPriority w:val="29"/>
    <w:qFormat/>
    <w:rPr>
      <w:i/>
    </w:rPr>
  </w:style>
  <w:style w:type="character" w:styleId="839" w:customStyle="1">
    <w:name w:val="Intense Quote Char"/>
    <w:uiPriority w:val="30"/>
    <w:qFormat/>
    <w:rPr>
      <w:i/>
    </w:rPr>
  </w:style>
  <w:style w:type="character" w:styleId="840" w:customStyle="1">
    <w:name w:val="Header Char"/>
    <w:basedOn w:val="799"/>
    <w:uiPriority w:val="99"/>
    <w:qFormat/>
  </w:style>
  <w:style w:type="character" w:styleId="841" w:customStyle="1">
    <w:name w:val="Caption Char"/>
    <w:uiPriority w:val="99"/>
    <w:qFormat/>
  </w:style>
  <w:style w:type="character" w:styleId="842" w:customStyle="1">
    <w:name w:val="Footnote Text Char"/>
    <w:uiPriority w:val="99"/>
    <w:qFormat/>
    <w:rPr>
      <w:sz w:val="18"/>
    </w:rPr>
  </w:style>
  <w:style w:type="character" w:styleId="843" w:customStyle="1">
    <w:name w:val="Endnote Text Char"/>
    <w:uiPriority w:val="99"/>
    <w:qFormat/>
    <w:rPr>
      <w:sz w:val="20"/>
    </w:rPr>
  </w:style>
  <w:style w:type="paragraph" w:styleId="844" w:customStyle="1">
    <w:name w:val="TOC 标题1"/>
    <w:uiPriority w:val="39"/>
    <w:unhideWhenUsed/>
    <w:qFormat/>
    <w:rPr>
      <w:rFonts w:hint="default" w:ascii="Times New Roman" w:hAnsi="Times New Roman" w:eastAsia="宋体" w:cs="Times New Roman"/>
      <w:lang w:val="en-US" w:eastAsia="zh-CN" w:bidi="ar-SA"/>
    </w:rPr>
  </w:style>
  <w:style w:type="character" w:styleId="845" w:customStyle="1">
    <w:name w:val="标题 1 Char1"/>
    <w:link w:val="790"/>
    <w:uiPriority w:val="9"/>
    <w:qFormat/>
    <w:rPr>
      <w:rFonts w:ascii="Arial" w:hAnsi="Arial" w:eastAsia="Arial" w:cs="Arial"/>
      <w:sz w:val="40"/>
      <w:szCs w:val="40"/>
    </w:rPr>
  </w:style>
  <w:style w:type="character" w:styleId="846" w:customStyle="1">
    <w:name w:val="标题 2 Char1"/>
    <w:link w:val="791"/>
    <w:uiPriority w:val="9"/>
    <w:qFormat/>
    <w:rPr>
      <w:rFonts w:ascii="Arial" w:hAnsi="Arial" w:eastAsia="Arial" w:cs="Arial"/>
      <w:sz w:val="34"/>
    </w:rPr>
  </w:style>
  <w:style w:type="character" w:styleId="847" w:customStyle="1">
    <w:name w:val="标题 3 Char1"/>
    <w:link w:val="792"/>
    <w:uiPriority w:val="9"/>
    <w:qFormat/>
    <w:rPr>
      <w:rFonts w:ascii="Arial" w:hAnsi="Arial" w:eastAsia="Arial" w:cs="Arial"/>
      <w:sz w:val="30"/>
      <w:szCs w:val="30"/>
    </w:rPr>
  </w:style>
  <w:style w:type="character" w:styleId="848" w:customStyle="1">
    <w:name w:val="标题 4 Char1"/>
    <w:link w:val="793"/>
    <w:uiPriority w:val="9"/>
    <w:qFormat/>
    <w:rPr>
      <w:rFonts w:ascii="Arial" w:hAnsi="Arial" w:eastAsia="Arial" w:cs="Arial"/>
      <w:b/>
      <w:bCs/>
      <w:sz w:val="26"/>
      <w:szCs w:val="26"/>
    </w:rPr>
  </w:style>
  <w:style w:type="character" w:styleId="849" w:customStyle="1">
    <w:name w:val="标题 5 Char1"/>
    <w:link w:val="794"/>
    <w:uiPriority w:val="9"/>
    <w:qFormat/>
    <w:rPr>
      <w:rFonts w:ascii="Arial" w:hAnsi="Arial" w:eastAsia="Arial" w:cs="Arial"/>
      <w:b/>
      <w:bCs/>
      <w:sz w:val="24"/>
      <w:szCs w:val="24"/>
    </w:rPr>
  </w:style>
  <w:style w:type="character" w:styleId="850" w:customStyle="1">
    <w:name w:val="标题 6 Char1"/>
    <w:link w:val="795"/>
    <w:uiPriority w:val="9"/>
    <w:qFormat/>
    <w:rPr>
      <w:rFonts w:ascii="Arial" w:hAnsi="Arial" w:eastAsia="Arial" w:cs="Arial"/>
      <w:b/>
      <w:bCs/>
      <w:sz w:val="22"/>
      <w:szCs w:val="22"/>
    </w:rPr>
  </w:style>
  <w:style w:type="character" w:styleId="851" w:customStyle="1">
    <w:name w:val="标题 7 Char1"/>
    <w:link w:val="796"/>
    <w:uiPriority w:val="9"/>
    <w:qFormat/>
    <w:rPr>
      <w:rFonts w:ascii="Arial" w:hAnsi="Arial" w:eastAsia="Arial" w:cs="Arial"/>
      <w:b/>
      <w:bCs/>
      <w:i/>
      <w:iCs/>
      <w:sz w:val="22"/>
      <w:szCs w:val="22"/>
    </w:rPr>
  </w:style>
  <w:style w:type="character" w:styleId="852" w:customStyle="1">
    <w:name w:val="标题 8 Char1"/>
    <w:link w:val="797"/>
    <w:uiPriority w:val="9"/>
    <w:qFormat/>
    <w:rPr>
      <w:rFonts w:ascii="Arial" w:hAnsi="Arial" w:eastAsia="Arial" w:cs="Arial"/>
      <w:i/>
      <w:iCs/>
      <w:sz w:val="22"/>
      <w:szCs w:val="22"/>
    </w:rPr>
  </w:style>
  <w:style w:type="character" w:styleId="853" w:customStyle="1">
    <w:name w:val="标题 9 Char1"/>
    <w:link w:val="798"/>
    <w:uiPriority w:val="9"/>
    <w:qFormat/>
    <w:rPr>
      <w:rFonts w:ascii="Arial" w:hAnsi="Arial" w:eastAsia="Arial" w:cs="Arial"/>
      <w:i/>
      <w:iCs/>
      <w:sz w:val="21"/>
      <w:szCs w:val="21"/>
    </w:rPr>
  </w:style>
  <w:style w:type="paragraph" w:styleId="854">
    <w:name w:val="List Paragraph"/>
    <w:basedOn w:val="789"/>
    <w:uiPriority w:val="34"/>
    <w:qFormat/>
    <w:pPr>
      <w:contextualSpacing/>
      <w:ind w:left="720"/>
    </w:pPr>
  </w:style>
  <w:style w:type="paragraph" w:styleId="855">
    <w:name w:val="No Spacing"/>
    <w:uiPriority w:val="1"/>
    <w:qFormat/>
    <w:rPr>
      <w:rFonts w:hint="default" w:ascii="Times New Roman" w:hAnsi="Times New Roman" w:eastAsia="宋体" w:cs="Times New Roman"/>
      <w:lang w:val="en-US" w:eastAsia="zh-CN" w:bidi="ar-SA"/>
    </w:rPr>
  </w:style>
  <w:style w:type="character" w:styleId="856" w:customStyle="1">
    <w:name w:val="标题 Char"/>
    <w:link w:val="821"/>
    <w:uiPriority w:val="10"/>
    <w:qFormat/>
    <w:rPr>
      <w:sz w:val="48"/>
      <w:szCs w:val="48"/>
    </w:rPr>
  </w:style>
  <w:style w:type="character" w:styleId="857" w:customStyle="1">
    <w:name w:val="副标题 Char"/>
    <w:link w:val="815"/>
    <w:uiPriority w:val="11"/>
    <w:qFormat/>
    <w:rPr>
      <w:sz w:val="24"/>
      <w:szCs w:val="24"/>
    </w:rPr>
  </w:style>
  <w:style w:type="paragraph" w:styleId="858">
    <w:name w:val="Quote"/>
    <w:basedOn w:val="789"/>
    <w:next w:val="789"/>
    <w:link w:val="859"/>
    <w:uiPriority w:val="29"/>
    <w:qFormat/>
    <w:pPr>
      <w:ind w:left="720" w:right="720"/>
    </w:pPr>
    <w:rPr>
      <w:i/>
    </w:rPr>
  </w:style>
  <w:style w:type="character" w:styleId="859" w:customStyle="1">
    <w:name w:val="引用 Char"/>
    <w:link w:val="858"/>
    <w:uiPriority w:val="29"/>
    <w:qFormat/>
    <w:rPr>
      <w:i/>
    </w:rPr>
  </w:style>
  <w:style w:type="paragraph" w:styleId="860">
    <w:name w:val="Intense Quote"/>
    <w:basedOn w:val="789"/>
    <w:next w:val="789"/>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Char"/>
    <w:link w:val="860"/>
    <w:uiPriority w:val="30"/>
    <w:qFormat/>
    <w:rPr>
      <w:i/>
    </w:rPr>
  </w:style>
  <w:style w:type="character" w:styleId="862" w:customStyle="1">
    <w:name w:val="页眉 Char1"/>
    <w:link w:val="812"/>
    <w:uiPriority w:val="99"/>
    <w:qFormat/>
  </w:style>
  <w:style w:type="character" w:styleId="863" w:customStyle="1">
    <w:name w:val="Footer Char"/>
    <w:link w:val="811"/>
    <w:uiPriority w:val="99"/>
    <w:qFormat/>
  </w:style>
  <w:style w:type="character" w:styleId="864" w:customStyle="1">
    <w:name w:val="页脚 Char1"/>
    <w:link w:val="811"/>
    <w:uiPriority w:val="99"/>
    <w:qFormat/>
  </w:style>
  <w:style w:type="table" w:styleId="86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6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3"/>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Plain Table 4"/>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Plain Table 5"/>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0" w:customStyle="1">
    <w:name w:val="List Table 1 Light"/>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3"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4"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5"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6 Colorful"/>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7"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8"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9"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0"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1"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2" w:customStyle="1">
    <w:name w:val="List Table 7 Colorful"/>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9"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0" w:customStyle="1">
    <w:name w:val="脚注文本 Char"/>
    <w:link w:val="816"/>
    <w:uiPriority w:val="99"/>
    <w:qFormat/>
    <w:rPr>
      <w:sz w:val="18"/>
    </w:rPr>
  </w:style>
  <w:style w:type="character" w:styleId="991" w:customStyle="1">
    <w:name w:val="尾注文本 Char"/>
    <w:link w:val="810"/>
    <w:uiPriority w:val="99"/>
    <w:qFormat/>
    <w:rPr>
      <w:sz w:val="20"/>
    </w:rPr>
  </w:style>
  <w:style w:type="paragraph" w:styleId="992" w:customStyle="1">
    <w:name w:val="TOC 标题11"/>
    <w:uiPriority w:val="39"/>
    <w:unhideWhenUsed/>
    <w:qFormat/>
    <w:rPr>
      <w:rFonts w:hint="default" w:ascii="Times New Roman" w:hAnsi="Times New Roman" w:eastAsia="宋体" w:cs="Times New Roman"/>
      <w:lang w:val="en-US" w:eastAsia="zh-CN" w:bidi="ar-SA"/>
    </w:rPr>
  </w:style>
  <w:style w:type="paragraph" w:styleId="993" w:customStyle="1">
    <w:name w:val="标题 11"/>
    <w:basedOn w:val="789"/>
    <w:next w:val="789"/>
    <w:uiPriority w:val="0"/>
    <w:qFormat/>
    <w:pPr>
      <w:jc w:val="center"/>
      <w:keepNext/>
      <w:outlineLvl w:val="0"/>
    </w:pPr>
    <w:rPr>
      <w:rFonts w:ascii="楷体_GB2312" w:hAnsi="楷体_GB2312" w:eastAsia="黑体"/>
      <w:sz w:val="44"/>
      <w:szCs w:val="28"/>
    </w:rPr>
  </w:style>
  <w:style w:type="paragraph" w:styleId="994" w:customStyle="1">
    <w:name w:val="标题 21"/>
    <w:basedOn w:val="789"/>
    <w:next w:val="995"/>
    <w:link w:val="100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5" w:customStyle="1">
    <w:name w:val="正文缩进1"/>
    <w:basedOn w:val="789"/>
    <w:link w:val="1034"/>
    <w:uiPriority w:val="0"/>
    <w:qFormat/>
    <w:pPr>
      <w:ind w:firstLine="420"/>
    </w:pPr>
  </w:style>
  <w:style w:type="paragraph" w:styleId="996" w:customStyle="1">
    <w:name w:val="标题 31"/>
    <w:basedOn w:val="789"/>
    <w:next w:val="995"/>
    <w:link w:val="1005"/>
    <w:uiPriority w:val="0"/>
    <w:qFormat/>
    <w:pPr>
      <w:keepLines/>
      <w:keepNext/>
      <w:spacing w:before="260" w:after="260" w:line="416" w:lineRule="auto"/>
      <w:outlineLvl w:val="2"/>
    </w:pPr>
    <w:rPr>
      <w:b/>
      <w:bCs/>
      <w:sz w:val="32"/>
      <w:szCs w:val="32"/>
    </w:rPr>
  </w:style>
  <w:style w:type="paragraph" w:styleId="997" w:customStyle="1">
    <w:name w:val="标题 41"/>
    <w:basedOn w:val="789"/>
    <w:next w:val="995"/>
    <w:link w:val="1048"/>
    <w:uiPriority w:val="0"/>
    <w:qFormat/>
    <w:pPr>
      <w:keepLines/>
      <w:keepNext/>
      <w:spacing w:before="280" w:after="290" w:line="376" w:lineRule="auto"/>
      <w:outlineLvl w:val="3"/>
    </w:pPr>
    <w:rPr>
      <w:rFonts w:ascii="Arial" w:hAnsi="Arial" w:eastAsia="黑体" w:cs="Arial"/>
      <w:b/>
      <w:bCs/>
      <w:sz w:val="28"/>
      <w:szCs w:val="28"/>
    </w:rPr>
  </w:style>
  <w:style w:type="paragraph" w:styleId="998" w:customStyle="1">
    <w:name w:val="标题 51"/>
    <w:basedOn w:val="789"/>
    <w:next w:val="995"/>
    <w:link w:val="1040"/>
    <w:uiPriority w:val="0"/>
    <w:qFormat/>
    <w:pPr>
      <w:keepNext/>
      <w:outlineLvl w:val="4"/>
    </w:pPr>
    <w:rPr>
      <w:rFonts w:ascii="宋体"/>
      <w:color w:val="000000"/>
      <w:sz w:val="28"/>
      <w:szCs w:val="28"/>
    </w:rPr>
  </w:style>
  <w:style w:type="paragraph" w:styleId="999" w:customStyle="1">
    <w:name w:val="标题 61"/>
    <w:basedOn w:val="789"/>
    <w:next w:val="789"/>
    <w:link w:val="101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0" w:customStyle="1">
    <w:name w:val="标题 71"/>
    <w:basedOn w:val="789"/>
    <w:next w:val="789"/>
    <w:link w:val="1036"/>
    <w:uiPriority w:val="0"/>
    <w:qFormat/>
    <w:pPr>
      <w:numPr>
        <w:ilvl w:val="6"/>
        <w:numId w:val="1"/>
      </w:numPr>
      <w:keepLines/>
      <w:keepNext/>
      <w:spacing w:before="240" w:after="64" w:line="320" w:lineRule="auto"/>
      <w:outlineLvl w:val="6"/>
    </w:pPr>
    <w:rPr>
      <w:b/>
      <w:bCs/>
      <w:sz w:val="24"/>
      <w:szCs w:val="24"/>
    </w:rPr>
  </w:style>
  <w:style w:type="paragraph" w:styleId="1001" w:customStyle="1">
    <w:name w:val="标题 81"/>
    <w:basedOn w:val="789"/>
    <w:next w:val="789"/>
    <w:link w:val="105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2" w:customStyle="1">
    <w:name w:val="标题 91"/>
    <w:basedOn w:val="789"/>
    <w:next w:val="789"/>
    <w:link w:val="1038"/>
    <w:uiPriority w:val="0"/>
    <w:qFormat/>
    <w:pPr>
      <w:numPr>
        <w:ilvl w:val="8"/>
        <w:numId w:val="1"/>
      </w:numPr>
      <w:keepLines/>
      <w:keepNext/>
      <w:spacing w:before="240" w:after="64" w:line="320" w:lineRule="auto"/>
      <w:outlineLvl w:val="8"/>
    </w:pPr>
    <w:rPr>
      <w:rFonts w:ascii="Arial" w:hAnsi="Arial" w:eastAsia="黑体"/>
    </w:rPr>
  </w:style>
  <w:style w:type="character" w:styleId="1003" w:customStyle="1">
    <w:name w:val="默认段落字体1"/>
    <w:uiPriority w:val="1"/>
    <w:unhideWhenUsed/>
    <w:qFormat/>
  </w:style>
  <w:style w:type="table" w:styleId="1004" w:customStyle="1">
    <w:name w:val="普通表格1"/>
    <w:uiPriority w:val="99"/>
    <w:unhideWhenUsed/>
    <w:qFormat/>
    <w:tblPr>
      <w:tblLayout w:type="fixed"/>
      <w:tblCellMar>
        <w:left w:w="0" w:type="dxa"/>
        <w:top w:w="0" w:type="dxa"/>
        <w:right w:w="0" w:type="dxa"/>
        <w:bottom w:w="0" w:type="dxa"/>
      </w:tblCellMar>
    </w:tblPr>
  </w:style>
  <w:style w:type="character" w:styleId="1005" w:customStyle="1">
    <w:name w:val="标题 3 Char"/>
    <w:link w:val="996"/>
    <w:uiPriority w:val="0"/>
    <w:qFormat/>
    <w:rPr>
      <w:rFonts w:ascii="Times New Roman" w:hAnsi="Times New Roman" w:eastAsia="宋体" w:cs="Times New Roman"/>
      <w:b/>
      <w:bCs/>
      <w:sz w:val="32"/>
      <w:szCs w:val="32"/>
    </w:rPr>
  </w:style>
  <w:style w:type="character" w:styleId="1006" w:customStyle="1">
    <w:name w:val="标题 2 Char"/>
    <w:link w:val="994"/>
    <w:uiPriority w:val="0"/>
    <w:qFormat/>
    <w:rPr>
      <w:rFonts w:ascii="Arial" w:hAnsi="Arial" w:eastAsia="幼圆" w:cs="Arial"/>
      <w:b/>
      <w:bCs/>
      <w:sz w:val="44"/>
      <w:szCs w:val="44"/>
    </w:rPr>
  </w:style>
  <w:style w:type="character" w:styleId="1007" w:customStyle="1">
    <w:name w:val="批注引用1"/>
    <w:uiPriority w:val="0"/>
    <w:semiHidden/>
    <w:qFormat/>
    <w:rPr>
      <w:sz w:val="21"/>
      <w:szCs w:val="21"/>
    </w:rPr>
  </w:style>
  <w:style w:type="character" w:styleId="1008" w:customStyle="1">
    <w:name w:val="纯文本 Char"/>
    <w:link w:val="1009"/>
    <w:uiPriority w:val="0"/>
    <w:qFormat/>
    <w:rPr>
      <w:rFonts w:ascii="宋体" w:hAnsi="Courier New" w:eastAsia="宋体" w:cs="Courier New"/>
      <w:szCs w:val="21"/>
    </w:rPr>
  </w:style>
  <w:style w:type="paragraph" w:styleId="1009" w:customStyle="1">
    <w:name w:val="纯文本1"/>
    <w:basedOn w:val="789"/>
    <w:link w:val="1008"/>
    <w:uiPriority w:val="0"/>
    <w:qFormat/>
    <w:rPr>
      <w:rFonts w:ascii="宋体" w:hAnsi="Courier New" w:cs="Courier New"/>
    </w:rPr>
  </w:style>
  <w:style w:type="character" w:styleId="1010" w:customStyle="1">
    <w:name w:val="文档结构图 Char"/>
    <w:link w:val="1011"/>
    <w:uiPriority w:val="0"/>
    <w:semiHidden/>
    <w:qFormat/>
    <w:rPr>
      <w:rFonts w:ascii="Times New Roman" w:hAnsi="Times New Roman" w:eastAsia="宋体" w:cs="Times New Roman"/>
      <w:szCs w:val="21"/>
      <w:shd w:val="clear" w:color="auto" w:fill="000080"/>
    </w:rPr>
  </w:style>
  <w:style w:type="paragraph" w:styleId="1011" w:customStyle="1">
    <w:name w:val="文档结构图1"/>
    <w:basedOn w:val="789"/>
    <w:link w:val="1010"/>
    <w:uiPriority w:val="0"/>
    <w:semiHidden/>
    <w:qFormat/>
    <w:pPr>
      <w:shd w:val="clear" w:color="auto" w:fill="000080"/>
    </w:pPr>
  </w:style>
  <w:style w:type="character" w:styleId="1012" w:customStyle="1">
    <w:name w:val="要点1"/>
    <w:uiPriority w:val="0"/>
    <w:qFormat/>
    <w:rPr>
      <w:b/>
      <w:bCs/>
    </w:rPr>
  </w:style>
  <w:style w:type="character" w:styleId="1013" w:customStyle="1">
    <w:name w:val="页脚 Char"/>
    <w:link w:val="1014"/>
    <w:uiPriority w:val="0"/>
    <w:qFormat/>
    <w:rPr>
      <w:rFonts w:ascii="Times New Roman" w:hAnsi="Times New Roman" w:eastAsia="宋体" w:cs="Times New Roman"/>
      <w:sz w:val="18"/>
      <w:szCs w:val="18"/>
    </w:rPr>
  </w:style>
  <w:style w:type="paragraph" w:styleId="1014" w:customStyle="1">
    <w:name w:val="页脚1"/>
    <w:basedOn w:val="789"/>
    <w:link w:val="1013"/>
    <w:uiPriority w:val="0"/>
    <w:qFormat/>
    <w:pPr>
      <w:jc w:val="left"/>
      <w:tabs>
        <w:tab w:val="center" w:pos="4153" w:leader="none"/>
        <w:tab w:val="right" w:pos="8306" w:leader="none"/>
      </w:tabs>
    </w:pPr>
    <w:rPr>
      <w:sz w:val="18"/>
      <w:szCs w:val="18"/>
    </w:rPr>
  </w:style>
  <w:style w:type="character" w:styleId="1015" w:customStyle="1">
    <w:name w:val="列出段落 Char"/>
    <w:link w:val="1016"/>
    <w:uiPriority w:val="0"/>
    <w:qFormat/>
    <w:rPr>
      <w:rFonts w:ascii="Calibri" w:hAnsi="Calibri"/>
      <w:sz w:val="24"/>
      <w:szCs w:val="24"/>
      <w:lang w:eastAsia="en-US" w:bidi="en-US"/>
    </w:rPr>
  </w:style>
  <w:style w:type="paragraph" w:styleId="1016" w:customStyle="1">
    <w:name w:val="列出段落1"/>
    <w:basedOn w:val="789"/>
    <w:link w:val="1015"/>
    <w:uiPriority w:val="0"/>
    <w:qFormat/>
    <w:pPr>
      <w:contextualSpacing/>
      <w:ind w:left="720"/>
      <w:jc w:val="left"/>
      <w:widowControl/>
    </w:pPr>
    <w:rPr>
      <w:rFonts w:ascii="Calibri" w:hAnsi="Calibri"/>
      <w:sz w:val="24"/>
      <w:szCs w:val="24"/>
      <w:lang w:eastAsia="en-US" w:bidi="en-US"/>
    </w:rPr>
  </w:style>
  <w:style w:type="character" w:styleId="1017" w:customStyle="1">
    <w:name w:val="标题 6 Char"/>
    <w:link w:val="999"/>
    <w:uiPriority w:val="0"/>
    <w:qFormat/>
    <w:rPr>
      <w:rFonts w:ascii="Arial" w:hAnsi="Arial" w:eastAsia="黑体" w:cs="Times New Roman"/>
      <w:b/>
      <w:bCs/>
      <w:sz w:val="24"/>
      <w:szCs w:val="24"/>
    </w:rPr>
  </w:style>
  <w:style w:type="character" w:styleId="1018" w:customStyle="1">
    <w:name w:val="批注主题 Char"/>
    <w:link w:val="1019"/>
    <w:uiPriority w:val="0"/>
    <w:semiHidden/>
    <w:qFormat/>
    <w:rPr>
      <w:rFonts w:ascii="Times New Roman" w:hAnsi="Times New Roman" w:eastAsia="宋体" w:cs="Times New Roman"/>
      <w:b/>
      <w:bCs/>
      <w:szCs w:val="21"/>
    </w:rPr>
  </w:style>
  <w:style w:type="paragraph" w:styleId="1019" w:customStyle="1">
    <w:name w:val="批注主题1"/>
    <w:basedOn w:val="1020"/>
    <w:next w:val="1020"/>
    <w:link w:val="1018"/>
    <w:uiPriority w:val="0"/>
    <w:semiHidden/>
    <w:qFormat/>
    <w:rPr>
      <w:b/>
      <w:bCs/>
    </w:rPr>
  </w:style>
  <w:style w:type="paragraph" w:styleId="1020" w:customStyle="1">
    <w:name w:val="批注文字1"/>
    <w:basedOn w:val="789"/>
    <w:link w:val="1039"/>
    <w:uiPriority w:val="0"/>
    <w:semiHidden/>
    <w:qFormat/>
    <w:pPr>
      <w:jc w:val="left"/>
    </w:pPr>
  </w:style>
  <w:style w:type="character" w:styleId="1021" w:customStyle="1">
    <w:name w:val="正文文本 2 Char"/>
    <w:link w:val="1022"/>
    <w:uiPriority w:val="0"/>
    <w:qFormat/>
    <w:rPr>
      <w:rFonts w:ascii="楷体_GB2312" w:hAnsi="Times New Roman" w:eastAsia="楷体_GB2312" w:cs="Times New Roman"/>
      <w:sz w:val="28"/>
      <w:szCs w:val="28"/>
    </w:rPr>
  </w:style>
  <w:style w:type="paragraph" w:styleId="1022" w:customStyle="1">
    <w:name w:val="正文文本 21"/>
    <w:basedOn w:val="789"/>
    <w:link w:val="1021"/>
    <w:uiPriority w:val="0"/>
    <w:qFormat/>
    <w:pPr>
      <w:jc w:val="center"/>
      <w:widowControl/>
    </w:pPr>
    <w:rPr>
      <w:rFonts w:ascii="楷体_GB2312" w:eastAsia="楷体_GB2312"/>
      <w:sz w:val="28"/>
      <w:szCs w:val="28"/>
    </w:rPr>
  </w:style>
  <w:style w:type="character" w:styleId="1023" w:customStyle="1">
    <w:name w:val="正文首行缩进 Char"/>
    <w:link w:val="1024"/>
    <w:uiPriority w:val="0"/>
    <w:qFormat/>
    <w:rPr>
      <w:rFonts w:ascii="仿宋_GB2312" w:hAnsi="Times New Roman" w:eastAsia="仿宋_GB2312" w:cs="Times New Roman"/>
      <w:sz w:val="30"/>
      <w:szCs w:val="30"/>
    </w:rPr>
  </w:style>
  <w:style w:type="paragraph" w:styleId="1024" w:customStyle="1">
    <w:name w:val="正文首行缩进1"/>
    <w:basedOn w:val="789"/>
    <w:link w:val="1023"/>
    <w:uiPriority w:val="0"/>
    <w:qFormat/>
    <w:pPr>
      <w:ind w:firstLine="200"/>
      <w:spacing w:line="360" w:lineRule="auto"/>
    </w:pPr>
    <w:rPr>
      <w:rFonts w:ascii="仿宋_GB2312" w:eastAsia="仿宋_GB2312"/>
      <w:sz w:val="30"/>
      <w:szCs w:val="30"/>
    </w:rPr>
  </w:style>
  <w:style w:type="character" w:styleId="1025" w:customStyle="1">
    <w:name w:val="正文首行缩进 2 Char"/>
    <w:link w:val="1026"/>
    <w:uiPriority w:val="0"/>
    <w:qFormat/>
    <w:rPr>
      <w:rFonts w:ascii="宋体" w:hAnsi="宋体" w:eastAsia="宋体" w:cs="Times New Roman"/>
      <w:sz w:val="32"/>
      <w:szCs w:val="20"/>
    </w:rPr>
  </w:style>
  <w:style w:type="paragraph" w:styleId="1026" w:customStyle="1">
    <w:name w:val="正文首行缩进 21"/>
    <w:basedOn w:val="1027"/>
    <w:link w:val="1025"/>
    <w:uiPriority w:val="0"/>
    <w:qFormat/>
    <w:pPr>
      <w:ind w:firstLine="420"/>
      <w:spacing w:line="360" w:lineRule="auto"/>
    </w:pPr>
    <w:rPr>
      <w:rFonts w:ascii="宋体" w:hAnsi="宋体" w:eastAsia="宋体"/>
      <w:sz w:val="21"/>
      <w:szCs w:val="20"/>
    </w:rPr>
  </w:style>
  <w:style w:type="paragraph" w:styleId="1027" w:customStyle="1">
    <w:name w:val="正文文本缩进1"/>
    <w:basedOn w:val="789"/>
    <w:link w:val="1037"/>
    <w:uiPriority w:val="0"/>
    <w:qFormat/>
    <w:pPr>
      <w:ind w:firstLine="645"/>
    </w:pPr>
    <w:rPr>
      <w:rFonts w:ascii="楷体_GB2312" w:eastAsia="楷体_GB2312"/>
      <w:sz w:val="32"/>
      <w:szCs w:val="32"/>
    </w:rPr>
  </w:style>
  <w:style w:type="character" w:styleId="1028" w:customStyle="1">
    <w:name w:val="标题 1 Char"/>
    <w:link w:val="790"/>
    <w:uiPriority w:val="0"/>
    <w:qFormat/>
    <w:rPr>
      <w:rFonts w:ascii="楷体_GB2312" w:hAnsi="楷体_GB2312" w:eastAsia="黑体" w:cs="Times New Roman"/>
      <w:sz w:val="44"/>
      <w:szCs w:val="28"/>
    </w:rPr>
  </w:style>
  <w:style w:type="character" w:styleId="1029" w:customStyle="1">
    <w:name w:val="已访问的超链接1"/>
    <w:uiPriority w:val="0"/>
    <w:qFormat/>
    <w:rPr>
      <w:color w:val="800080"/>
      <w:u w:val="single"/>
    </w:rPr>
  </w:style>
  <w:style w:type="character" w:styleId="1030" w:customStyle="1">
    <w:name w:val="正文文本 3 Char"/>
    <w:link w:val="1031"/>
    <w:uiPriority w:val="0"/>
    <w:qFormat/>
    <w:rPr>
      <w:rFonts w:ascii="仿宋_GB2312" w:hAnsi="Arial" w:eastAsia="仿宋_GB2312" w:cs="Times New Roman"/>
      <w:sz w:val="32"/>
      <w:szCs w:val="32"/>
    </w:rPr>
  </w:style>
  <w:style w:type="paragraph" w:styleId="1031" w:customStyle="1">
    <w:name w:val="正文文本 31"/>
    <w:basedOn w:val="789"/>
    <w:link w:val="1030"/>
    <w:uiPriority w:val="0"/>
    <w:qFormat/>
    <w:rPr>
      <w:rFonts w:ascii="仿宋_GB2312" w:hAnsi="Arial" w:eastAsia="仿宋_GB2312"/>
      <w:sz w:val="32"/>
      <w:szCs w:val="32"/>
    </w:rPr>
  </w:style>
  <w:style w:type="character" w:styleId="1032" w:customStyle="1">
    <w:name w:val="二级目录 Char"/>
    <w:link w:val="1033"/>
    <w:uiPriority w:val="0"/>
    <w:qFormat/>
    <w:rPr>
      <w:b/>
      <w:sz w:val="30"/>
      <w:szCs w:val="28"/>
    </w:rPr>
  </w:style>
  <w:style w:type="paragraph" w:styleId="1033" w:customStyle="1">
    <w:name w:val="二级目录"/>
    <w:next w:val="789"/>
    <w:link w:val="1032"/>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4" w:customStyle="1">
    <w:name w:val="正文缩进 Char"/>
    <w:link w:val="995"/>
    <w:uiPriority w:val="0"/>
    <w:qFormat/>
    <w:rPr>
      <w:rFonts w:ascii="Times New Roman" w:hAnsi="Times New Roman" w:eastAsia="宋体" w:cs="Times New Roman"/>
      <w:szCs w:val="21"/>
    </w:rPr>
  </w:style>
  <w:style w:type="character" w:styleId="1035" w:customStyle="1">
    <w:name w:val="页码1"/>
    <w:uiPriority w:val="0"/>
    <w:qFormat/>
  </w:style>
  <w:style w:type="character" w:styleId="1036" w:customStyle="1">
    <w:name w:val="标题 7 Char"/>
    <w:link w:val="1000"/>
    <w:uiPriority w:val="0"/>
    <w:qFormat/>
    <w:rPr>
      <w:rFonts w:ascii="Times New Roman" w:hAnsi="Times New Roman" w:eastAsia="宋体" w:cs="Times New Roman"/>
      <w:b/>
      <w:bCs/>
      <w:sz w:val="24"/>
      <w:szCs w:val="24"/>
    </w:rPr>
  </w:style>
  <w:style w:type="character" w:styleId="1037" w:customStyle="1">
    <w:name w:val="正文文本缩进 Char"/>
    <w:link w:val="1027"/>
    <w:uiPriority w:val="0"/>
    <w:qFormat/>
    <w:rPr>
      <w:rFonts w:ascii="楷体_GB2312" w:hAnsi="Times New Roman" w:eastAsia="楷体_GB2312" w:cs="Times New Roman"/>
      <w:sz w:val="32"/>
      <w:szCs w:val="32"/>
    </w:rPr>
  </w:style>
  <w:style w:type="character" w:styleId="1038" w:customStyle="1">
    <w:name w:val="标题 9 Char"/>
    <w:link w:val="1002"/>
    <w:uiPriority w:val="0"/>
    <w:qFormat/>
    <w:rPr>
      <w:rFonts w:ascii="Arial" w:hAnsi="Arial" w:eastAsia="黑体" w:cs="Times New Roman"/>
      <w:szCs w:val="21"/>
    </w:rPr>
  </w:style>
  <w:style w:type="character" w:styleId="1039" w:customStyle="1">
    <w:name w:val="批注文字 Char"/>
    <w:link w:val="1020"/>
    <w:uiPriority w:val="0"/>
    <w:semiHidden/>
    <w:qFormat/>
    <w:rPr>
      <w:rFonts w:ascii="Times New Roman" w:hAnsi="Times New Roman" w:eastAsia="宋体" w:cs="Times New Roman"/>
      <w:szCs w:val="21"/>
    </w:rPr>
  </w:style>
  <w:style w:type="character" w:styleId="1040" w:customStyle="1">
    <w:name w:val="标题 5 Char"/>
    <w:link w:val="998"/>
    <w:uiPriority w:val="0"/>
    <w:qFormat/>
    <w:rPr>
      <w:rFonts w:ascii="宋体" w:hAnsi="Times New Roman" w:eastAsia="宋体" w:cs="Times New Roman"/>
      <w:color w:val="000000"/>
      <w:sz w:val="28"/>
      <w:szCs w:val="28"/>
    </w:rPr>
  </w:style>
  <w:style w:type="character" w:styleId="1041" w:customStyle="1">
    <w:name w:val="正文文本缩进 2 Char"/>
    <w:link w:val="1042"/>
    <w:uiPriority w:val="0"/>
    <w:qFormat/>
    <w:rPr>
      <w:rFonts w:ascii="Arial" w:hAnsi="Arial" w:eastAsia="仿宋_GB2312" w:cs="Arial"/>
      <w:sz w:val="32"/>
      <w:szCs w:val="32"/>
    </w:rPr>
  </w:style>
  <w:style w:type="paragraph" w:styleId="1042" w:customStyle="1">
    <w:name w:val="正文文本缩进 21"/>
    <w:basedOn w:val="789"/>
    <w:link w:val="1041"/>
    <w:uiPriority w:val="0"/>
    <w:qFormat/>
    <w:pPr>
      <w:ind w:left="630" w:firstLine="645"/>
    </w:pPr>
    <w:rPr>
      <w:rFonts w:ascii="Arial" w:hAnsi="Arial" w:eastAsia="仿宋_GB2312" w:cs="Arial"/>
      <w:sz w:val="32"/>
      <w:szCs w:val="32"/>
    </w:rPr>
  </w:style>
  <w:style w:type="character" w:styleId="1043" w:customStyle="1">
    <w:name w:val="日期 Char"/>
    <w:link w:val="1044"/>
    <w:uiPriority w:val="0"/>
    <w:qFormat/>
    <w:rPr>
      <w:rFonts w:ascii="Times New Roman" w:hAnsi="Times New Roman" w:eastAsia="宋体" w:cs="Times New Roman"/>
      <w:sz w:val="24"/>
      <w:szCs w:val="24"/>
    </w:rPr>
  </w:style>
  <w:style w:type="paragraph" w:styleId="1044" w:customStyle="1">
    <w:name w:val="日期1"/>
    <w:basedOn w:val="789"/>
    <w:next w:val="789"/>
    <w:link w:val="1043"/>
    <w:uiPriority w:val="0"/>
    <w:qFormat/>
    <w:rPr>
      <w:sz w:val="24"/>
      <w:szCs w:val="24"/>
    </w:rPr>
  </w:style>
  <w:style w:type="character" w:styleId="1045" w:customStyle="1">
    <w:name w:val="超链接1"/>
    <w:uiPriority w:val="0"/>
    <w:qFormat/>
    <w:rPr>
      <w:color w:val="0000ff"/>
      <w:u w:val="single"/>
    </w:rPr>
  </w:style>
  <w:style w:type="character" w:styleId="1046" w:customStyle="1">
    <w:name w:val="批注框文本 Char"/>
    <w:link w:val="1047"/>
    <w:uiPriority w:val="0"/>
    <w:semiHidden/>
    <w:qFormat/>
    <w:rPr>
      <w:rFonts w:ascii="Times New Roman" w:hAnsi="Times New Roman" w:eastAsia="宋体" w:cs="Times New Roman"/>
      <w:sz w:val="18"/>
      <w:szCs w:val="18"/>
    </w:rPr>
  </w:style>
  <w:style w:type="paragraph" w:styleId="1047" w:customStyle="1">
    <w:name w:val="批注框文本1"/>
    <w:basedOn w:val="789"/>
    <w:link w:val="1046"/>
    <w:uiPriority w:val="0"/>
    <w:semiHidden/>
    <w:qFormat/>
    <w:rPr>
      <w:sz w:val="18"/>
      <w:szCs w:val="18"/>
    </w:rPr>
  </w:style>
  <w:style w:type="character" w:styleId="1048" w:customStyle="1">
    <w:name w:val="标题 4 Char"/>
    <w:link w:val="997"/>
    <w:uiPriority w:val="0"/>
    <w:qFormat/>
    <w:rPr>
      <w:rFonts w:ascii="Arial" w:hAnsi="Arial" w:eastAsia="黑体" w:cs="Arial"/>
      <w:b/>
      <w:bCs/>
      <w:sz w:val="28"/>
      <w:szCs w:val="28"/>
    </w:rPr>
  </w:style>
  <w:style w:type="character" w:styleId="1049" w:customStyle="1">
    <w:name w:val="font5 Char"/>
    <w:uiPriority w:val="0"/>
    <w:qFormat/>
    <w:rPr>
      <w:rFonts w:ascii="宋体" w:hAnsi="宋体" w:eastAsia="宋体"/>
      <w:sz w:val="28"/>
      <w:szCs w:val="28"/>
      <w:lang w:val="en-US" w:eastAsia="zh-CN" w:bidi="ar-SA"/>
    </w:rPr>
  </w:style>
  <w:style w:type="character" w:styleId="1050" w:customStyle="1">
    <w:name w:val="页眉 Char"/>
    <w:link w:val="1051"/>
    <w:uiPriority w:val="0"/>
    <w:qFormat/>
    <w:rPr>
      <w:rFonts w:ascii="Times New Roman" w:hAnsi="Times New Roman" w:eastAsia="宋体" w:cs="Times New Roman"/>
      <w:sz w:val="18"/>
      <w:szCs w:val="18"/>
    </w:rPr>
  </w:style>
  <w:style w:type="paragraph" w:styleId="1051" w:customStyle="1">
    <w:name w:val="页眉1"/>
    <w:basedOn w:val="789"/>
    <w:link w:val="1050"/>
    <w:uiPriority w:val="0"/>
    <w:qFormat/>
    <w:pPr>
      <w:jc w:val="center"/>
      <w:tabs>
        <w:tab w:val="center" w:pos="4153" w:leader="none"/>
        <w:tab w:val="right" w:pos="8306" w:leader="none"/>
      </w:tabs>
      <w:pBdr>
        <w:bottom w:val="single" w:color="000000" w:sz="6" w:space="1"/>
      </w:pBdr>
    </w:pPr>
    <w:rPr>
      <w:sz w:val="18"/>
      <w:szCs w:val="18"/>
    </w:rPr>
  </w:style>
  <w:style w:type="character" w:styleId="1052" w:customStyle="1">
    <w:name w:val="正文文本 Char"/>
    <w:link w:val="1053"/>
    <w:uiPriority w:val="0"/>
    <w:qFormat/>
    <w:rPr>
      <w:rFonts w:ascii="楷体_GB2312" w:hAnsi="Arial" w:eastAsia="楷体_GB2312" w:cs="Times New Roman"/>
      <w:sz w:val="28"/>
      <w:szCs w:val="28"/>
    </w:rPr>
  </w:style>
  <w:style w:type="paragraph" w:styleId="1053" w:customStyle="1">
    <w:name w:val="正文文本1"/>
    <w:basedOn w:val="789"/>
    <w:link w:val="1052"/>
    <w:uiPriority w:val="0"/>
    <w:qFormat/>
    <w:rPr>
      <w:rFonts w:ascii="楷体_GB2312" w:hAnsi="Arial" w:eastAsia="楷体_GB2312"/>
      <w:sz w:val="28"/>
      <w:szCs w:val="28"/>
    </w:rPr>
  </w:style>
  <w:style w:type="character" w:styleId="1054" w:customStyle="1">
    <w:name w:val="正文文本缩进 3 Char"/>
    <w:link w:val="1055"/>
    <w:uiPriority w:val="0"/>
    <w:qFormat/>
    <w:rPr>
      <w:rFonts w:ascii="Arial" w:hAnsi="Arial" w:eastAsia="仿宋_GB2312" w:cs="Arial"/>
      <w:color w:val="ffff00"/>
      <w:sz w:val="32"/>
      <w:szCs w:val="32"/>
    </w:rPr>
  </w:style>
  <w:style w:type="paragraph" w:styleId="1055" w:customStyle="1">
    <w:name w:val="正文文本缩进 31"/>
    <w:basedOn w:val="789"/>
    <w:link w:val="1054"/>
    <w:uiPriority w:val="0"/>
    <w:qFormat/>
    <w:pPr>
      <w:ind w:left="645" w:firstLine="645"/>
    </w:pPr>
    <w:rPr>
      <w:rFonts w:ascii="Arial" w:hAnsi="Arial" w:eastAsia="仿宋_GB2312" w:cs="Arial"/>
      <w:color w:val="ffff00"/>
      <w:sz w:val="32"/>
      <w:szCs w:val="32"/>
    </w:rPr>
  </w:style>
  <w:style w:type="character" w:styleId="1056" w:customStyle="1">
    <w:name w:val="标题 8 Char"/>
    <w:link w:val="1001"/>
    <w:uiPriority w:val="0"/>
    <w:qFormat/>
    <w:rPr>
      <w:rFonts w:ascii="Arial" w:hAnsi="Arial" w:eastAsia="黑体" w:cs="Times New Roman"/>
      <w:sz w:val="24"/>
      <w:szCs w:val="24"/>
    </w:rPr>
  </w:style>
  <w:style w:type="paragraph" w:styleId="1057" w:customStyle="1">
    <w:name w:val="xl25"/>
    <w:basedOn w:val="78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8" w:customStyle="1">
    <w:name w:val="xl27"/>
    <w:basedOn w:val="7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9" w:customStyle="1">
    <w:name w:val="标题1"/>
    <w:basedOn w:val="789"/>
    <w:next w:val="78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0" w:customStyle="1">
    <w:name w:val="目录 31"/>
    <w:basedOn w:val="789"/>
    <w:next w:val="789"/>
    <w:uiPriority w:val="0"/>
    <w:semiHidden/>
    <w:qFormat/>
    <w:pPr>
      <w:ind w:left="420"/>
      <w:jc w:val="left"/>
    </w:pPr>
    <w:rPr>
      <w:i/>
      <w:iCs/>
      <w:szCs w:val="24"/>
    </w:rPr>
  </w:style>
  <w:style w:type="paragraph" w:styleId="1061" w:customStyle="1">
    <w:name w:val="font6"/>
    <w:basedOn w:val="789"/>
    <w:uiPriority w:val="0"/>
    <w:qFormat/>
    <w:pPr>
      <w:jc w:val="left"/>
      <w:spacing w:before="100" w:beforeAutospacing="1" w:after="100" w:afterAutospacing="1"/>
      <w:widowControl/>
    </w:pPr>
    <w:rPr>
      <w:rFonts w:hint="eastAsia" w:ascii="宋体" w:hAnsi="宋体"/>
      <w:sz w:val="28"/>
      <w:szCs w:val="28"/>
      <w:u w:val="single"/>
    </w:rPr>
  </w:style>
  <w:style w:type="paragraph" w:styleId="1062" w:customStyle="1">
    <w:name w:val="xl30"/>
    <w:basedOn w:val="789"/>
    <w:uiPriority w:val="0"/>
    <w:qFormat/>
    <w:pPr>
      <w:jc w:val="center"/>
      <w:spacing w:before="100" w:beforeAutospacing="1" w:after="100" w:afterAutospacing="1"/>
      <w:widowControl/>
    </w:pPr>
    <w:rPr>
      <w:rFonts w:ascii="宋体" w:hAnsi="宋体"/>
      <w:b/>
      <w:bCs/>
      <w:sz w:val="36"/>
      <w:szCs w:val="36"/>
    </w:rPr>
  </w:style>
  <w:style w:type="paragraph" w:styleId="1063" w:customStyle="1">
    <w:name w:val="font5"/>
    <w:basedOn w:val="789"/>
    <w:uiPriority w:val="0"/>
    <w:qFormat/>
    <w:pPr>
      <w:jc w:val="left"/>
      <w:spacing w:before="100" w:beforeAutospacing="1" w:after="100" w:afterAutospacing="1"/>
      <w:widowControl/>
    </w:pPr>
    <w:rPr>
      <w:rFonts w:hint="eastAsia" w:ascii="宋体" w:hAnsi="宋体"/>
      <w:sz w:val="28"/>
      <w:szCs w:val="28"/>
    </w:rPr>
  </w:style>
  <w:style w:type="paragraph" w:styleId="1064" w:customStyle="1">
    <w:name w:val="图标"/>
    <w:basedOn w:val="789"/>
    <w:next w:val="78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5" w:customStyle="1">
    <w:name w:val="列表 31"/>
    <w:basedOn w:val="789"/>
    <w:uiPriority w:val="0"/>
    <w:qFormat/>
    <w:pPr>
      <w:ind w:left="100" w:hanging="200"/>
    </w:pPr>
  </w:style>
  <w:style w:type="paragraph" w:styleId="1066" w:customStyle="1">
    <w:name w:val="列表1"/>
    <w:basedOn w:val="789"/>
    <w:uiPriority w:val="0"/>
    <w:qFormat/>
    <w:pPr>
      <w:ind w:left="200" w:hanging="200"/>
    </w:pPr>
  </w:style>
  <w:style w:type="paragraph" w:styleId="1067" w:customStyle="1">
    <w:name w:val="Char Char Char Char"/>
    <w:basedOn w:val="1011"/>
    <w:uiPriority w:val="0"/>
    <w:qFormat/>
    <w:pPr>
      <w:spacing w:line="360" w:lineRule="auto"/>
    </w:pPr>
    <w:rPr>
      <w:rFonts w:ascii="Tahoma" w:hAnsi="Tahoma"/>
      <w:sz w:val="24"/>
      <w:szCs w:val="24"/>
    </w:rPr>
  </w:style>
  <w:style w:type="paragraph" w:styleId="1068" w:customStyle="1">
    <w:name w:val="目录 81"/>
    <w:basedOn w:val="789"/>
    <w:next w:val="789"/>
    <w:uiPriority w:val="0"/>
    <w:semiHidden/>
    <w:qFormat/>
    <w:pPr>
      <w:ind w:left="1470"/>
      <w:jc w:val="left"/>
    </w:pPr>
  </w:style>
  <w:style w:type="paragraph" w:styleId="106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70" w:customStyle="1">
    <w:name w:val="列表 21"/>
    <w:basedOn w:val="789"/>
    <w:uiPriority w:val="0"/>
    <w:qFormat/>
    <w:pPr>
      <w:ind w:left="100" w:hanging="200"/>
    </w:pPr>
  </w:style>
  <w:style w:type="paragraph" w:styleId="1071" w:customStyle="1">
    <w:name w:val="xl24"/>
    <w:basedOn w:val="7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2" w:customStyle="1">
    <w:name w:val="目录 51"/>
    <w:basedOn w:val="789"/>
    <w:next w:val="789"/>
    <w:uiPriority w:val="0"/>
    <w:semiHidden/>
    <w:qFormat/>
    <w:pPr>
      <w:ind w:left="840"/>
      <w:jc w:val="left"/>
    </w:pPr>
  </w:style>
  <w:style w:type="paragraph" w:styleId="1073" w:customStyle="1">
    <w:name w:val="普通(网站)1"/>
    <w:basedOn w:val="789"/>
    <w:uiPriority w:val="99"/>
    <w:qFormat/>
    <w:pPr>
      <w:jc w:val="left"/>
      <w:spacing w:before="100" w:beforeAutospacing="1" w:after="100" w:afterAutospacing="1"/>
      <w:widowControl/>
    </w:pPr>
    <w:rPr>
      <w:rFonts w:ascii="宋体" w:hAnsi="宋体" w:cs="宋体"/>
      <w:sz w:val="24"/>
      <w:szCs w:val="24"/>
    </w:rPr>
  </w:style>
  <w:style w:type="paragraph" w:styleId="1074" w:customStyle="1">
    <w:name w:val="Char Char Char Char Char Char Char Char"/>
    <w:basedOn w:val="789"/>
    <w:uiPriority w:val="0"/>
    <w:qFormat/>
    <w:pPr>
      <w:jc w:val="left"/>
      <w:spacing w:after="160" w:line="240" w:lineRule="exact"/>
      <w:widowControl/>
    </w:pPr>
    <w:rPr>
      <w:rFonts w:ascii="Verdana" w:hAnsi="Verdana"/>
      <w:sz w:val="20"/>
      <w:szCs w:val="20"/>
      <w:lang w:eastAsia="en-US"/>
    </w:rPr>
  </w:style>
  <w:style w:type="paragraph" w:styleId="1075" w:customStyle="1">
    <w:name w:val="font7"/>
    <w:basedOn w:val="789"/>
    <w:uiPriority w:val="0"/>
    <w:qFormat/>
    <w:pPr>
      <w:jc w:val="left"/>
      <w:spacing w:before="100" w:beforeAutospacing="1" w:after="100" w:afterAutospacing="1"/>
      <w:widowControl/>
    </w:pPr>
    <w:rPr>
      <w:rFonts w:hint="eastAsia" w:ascii="宋体" w:hAnsi="宋体"/>
      <w:sz w:val="18"/>
      <w:szCs w:val="18"/>
    </w:rPr>
  </w:style>
  <w:style w:type="paragraph" w:styleId="1076" w:customStyle="1">
    <w:name w:val="索引 11"/>
    <w:basedOn w:val="789"/>
    <w:next w:val="789"/>
    <w:uiPriority w:val="0"/>
    <w:semiHidden/>
    <w:qFormat/>
    <w:pPr>
      <w:spacing w:line="240" w:lineRule="atLeast"/>
    </w:pPr>
    <w:rPr>
      <w:b/>
      <w:bCs/>
    </w:rPr>
  </w:style>
  <w:style w:type="paragraph" w:styleId="1077" w:customStyle="1">
    <w:name w:val="目录 61"/>
    <w:basedOn w:val="789"/>
    <w:next w:val="789"/>
    <w:uiPriority w:val="0"/>
    <w:semiHidden/>
    <w:qFormat/>
    <w:pPr>
      <w:ind w:left="1050"/>
      <w:jc w:val="left"/>
    </w:pPr>
  </w:style>
  <w:style w:type="paragraph" w:styleId="1078" w:customStyle="1">
    <w:name w:val="Char Char Char Char Char Char Char Char1"/>
    <w:basedOn w:val="789"/>
    <w:uiPriority w:val="0"/>
    <w:qFormat/>
    <w:pPr>
      <w:jc w:val="left"/>
      <w:spacing w:after="160" w:line="240" w:lineRule="exact"/>
      <w:widowControl/>
    </w:pPr>
    <w:rPr>
      <w:rFonts w:ascii="Verdana" w:hAnsi="Verdana"/>
      <w:sz w:val="20"/>
      <w:szCs w:val="20"/>
      <w:lang w:eastAsia="en-US"/>
    </w:rPr>
  </w:style>
  <w:style w:type="paragraph" w:styleId="1079" w:customStyle="1">
    <w:name w:val="table_lines"/>
    <w:basedOn w:val="789"/>
    <w:uiPriority w:val="0"/>
    <w:qFormat/>
    <w:pPr>
      <w:jc w:val="left"/>
      <w:widowControl/>
    </w:pPr>
    <w:rPr>
      <w:sz w:val="20"/>
      <w:szCs w:val="20"/>
      <w:lang w:val="de-DE" w:eastAsia="de-DE"/>
    </w:rPr>
  </w:style>
  <w:style w:type="paragraph" w:styleId="1080" w:customStyle="1">
    <w:name w:val="Char"/>
    <w:basedOn w:val="1011"/>
    <w:uiPriority w:val="0"/>
    <w:qFormat/>
    <w:rPr>
      <w:rFonts w:ascii="Tahoma" w:hAnsi="Tahoma"/>
      <w:sz w:val="24"/>
      <w:szCs w:val="24"/>
    </w:rPr>
  </w:style>
  <w:style w:type="paragraph" w:styleId="108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3" w:customStyle="1">
    <w:name w:val="图表目录1"/>
    <w:basedOn w:val="789"/>
    <w:next w:val="789"/>
    <w:uiPriority w:val="0"/>
    <w:semiHidden/>
    <w:qFormat/>
    <w:pPr>
      <w:ind w:left="840" w:hanging="420"/>
    </w:pPr>
  </w:style>
  <w:style w:type="paragraph" w:styleId="1084" w:customStyle="1">
    <w:name w:val="Body Text(ch)"/>
    <w:basedOn w:val="789"/>
    <w:next w:val="1053"/>
    <w:uiPriority w:val="0"/>
    <w:qFormat/>
    <w:pPr>
      <w:spacing w:after="120"/>
    </w:pPr>
    <w:rPr>
      <w:rFonts w:ascii="宋体" w:hAnsi="Arial"/>
      <w:bCs/>
      <w:iCs/>
      <w:szCs w:val="24"/>
    </w:rPr>
  </w:style>
  <w:style w:type="paragraph" w:styleId="1085" w:customStyle="1">
    <w:name w:val="目录 91"/>
    <w:basedOn w:val="789"/>
    <w:next w:val="789"/>
    <w:uiPriority w:val="0"/>
    <w:semiHidden/>
    <w:qFormat/>
    <w:pPr>
      <w:ind w:left="1680"/>
      <w:jc w:val="left"/>
    </w:pPr>
  </w:style>
  <w:style w:type="paragraph" w:styleId="1086" w:customStyle="1">
    <w:name w:val="目录 11"/>
    <w:basedOn w:val="789"/>
    <w:next w:val="789"/>
    <w:uiPriority w:val="0"/>
    <w:semiHidden/>
    <w:qFormat/>
    <w:pPr>
      <w:jc w:val="left"/>
      <w:spacing w:before="120" w:after="120" w:line="400" w:lineRule="exact"/>
      <w:tabs>
        <w:tab w:val="right" w:pos="8720" w:leader="dot"/>
      </w:tabs>
    </w:pPr>
    <w:rPr>
      <w:rFonts w:ascii="宋体" w:hAnsi="宋体"/>
      <w:caps/>
      <w:sz w:val="24"/>
      <w:szCs w:val="24"/>
    </w:rPr>
  </w:style>
  <w:style w:type="paragraph" w:styleId="1087" w:customStyle="1">
    <w:name w:val="xl28"/>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8" w:customStyle="1">
    <w:name w:val="目录 21"/>
    <w:basedOn w:val="789"/>
    <w:next w:val="789"/>
    <w:uiPriority w:val="0"/>
    <w:semiHidden/>
    <w:qFormat/>
    <w:pPr>
      <w:ind w:left="210"/>
      <w:jc w:val="left"/>
    </w:pPr>
    <w:rPr>
      <w:smallCaps/>
      <w:szCs w:val="24"/>
    </w:rPr>
  </w:style>
  <w:style w:type="paragraph" w:styleId="1089" w:customStyle="1">
    <w:name w:val="普通 (Web)"/>
    <w:basedOn w:val="789"/>
    <w:uiPriority w:val="0"/>
    <w:qFormat/>
    <w:pPr>
      <w:jc w:val="left"/>
      <w:spacing w:before="100" w:beforeAutospacing="1" w:after="100" w:afterAutospacing="1"/>
      <w:widowControl/>
    </w:pPr>
    <w:rPr>
      <w:rFonts w:ascii="宋体" w:hAnsi="宋体"/>
      <w:sz w:val="24"/>
      <w:szCs w:val="24"/>
    </w:rPr>
  </w:style>
  <w:style w:type="paragraph" w:styleId="1090" w:customStyle="1">
    <w:name w:val="列出段落2"/>
    <w:basedOn w:val="789"/>
    <w:uiPriority w:val="0"/>
    <w:qFormat/>
    <w:pPr>
      <w:contextualSpacing/>
      <w:ind w:left="720"/>
      <w:jc w:val="left"/>
      <w:widowControl/>
    </w:pPr>
    <w:rPr>
      <w:rFonts w:ascii="Calibri" w:hAnsi="Calibri"/>
      <w:sz w:val="24"/>
      <w:szCs w:val="24"/>
      <w:lang w:eastAsia="en-US" w:bidi="en-US"/>
    </w:rPr>
  </w:style>
  <w:style w:type="paragraph" w:styleId="1091" w:customStyle="1">
    <w:name w:val="普通正文"/>
    <w:basedOn w:val="789"/>
    <w:uiPriority w:val="0"/>
    <w:qFormat/>
    <w:pPr>
      <w:ind w:firstLine="480"/>
      <w:jc w:val="left"/>
      <w:spacing w:before="120" w:after="120" w:line="360" w:lineRule="auto"/>
    </w:pPr>
    <w:rPr>
      <w:rFonts w:ascii="Arial" w:hAnsi="Arial"/>
      <w:sz w:val="24"/>
      <w:szCs w:val="24"/>
    </w:rPr>
  </w:style>
  <w:style w:type="paragraph" w:styleId="1092" w:customStyle="1">
    <w:name w:val="目录 71"/>
    <w:basedOn w:val="789"/>
    <w:next w:val="789"/>
    <w:uiPriority w:val="0"/>
    <w:semiHidden/>
    <w:qFormat/>
    <w:pPr>
      <w:ind w:left="1260"/>
      <w:jc w:val="left"/>
    </w:pPr>
  </w:style>
  <w:style w:type="paragraph" w:styleId="1093" w:customStyle="1">
    <w:name w:val="目录 41"/>
    <w:basedOn w:val="789"/>
    <w:next w:val="789"/>
    <w:uiPriority w:val="0"/>
    <w:semiHidden/>
    <w:qFormat/>
    <w:pPr>
      <w:ind w:left="630"/>
      <w:jc w:val="left"/>
    </w:pPr>
  </w:style>
  <w:style w:type="paragraph" w:styleId="1094" w:customStyle="1">
    <w:name w:val="xl26"/>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5" w:customStyle="1">
    <w:name w:val="xl29"/>
    <w:basedOn w:val="78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6" w:customStyle="1">
    <w:name w:val="Char1"/>
    <w:basedOn w:val="789"/>
    <w:uiPriority w:val="0"/>
    <w:qFormat/>
    <w:pPr>
      <w:ind w:firstLine="200"/>
      <w:tabs>
        <w:tab w:val="left" w:pos="360" w:leader="none"/>
      </w:tabs>
    </w:pPr>
    <w:rPr>
      <w:sz w:val="28"/>
      <w:szCs w:val="30"/>
    </w:rPr>
  </w:style>
  <w:style w:type="paragraph" w:styleId="1097" w:customStyle="1">
    <w:name w:val="4"/>
    <w:basedOn w:val="789"/>
    <w:next w:val="1055"/>
    <w:uiPriority w:val="0"/>
    <w:qFormat/>
    <w:pPr>
      <w:ind w:firstLine="420"/>
      <w:spacing w:line="360" w:lineRule="auto"/>
    </w:pPr>
    <w:rPr>
      <w:color w:val="ff0000"/>
      <w:sz w:val="24"/>
      <w:szCs w:val="24"/>
    </w:rPr>
  </w:style>
  <w:style w:type="paragraph" w:styleId="1098" w:customStyle="1">
    <w:name w:val="Char Char Char Char Char Char Char Char Char Char"/>
    <w:basedOn w:val="789"/>
    <w:uiPriority w:val="0"/>
    <w:qFormat/>
    <w:pPr>
      <w:spacing w:line="360" w:lineRule="auto"/>
    </w:pPr>
    <w:rPr>
      <w:sz w:val="24"/>
      <w:szCs w:val="20"/>
    </w:rPr>
  </w:style>
  <w:style w:type="paragraph" w:styleId="1099" w:customStyle="1">
    <w:name w:val="样式1"/>
    <w:basedOn w:val="789"/>
    <w:uiPriority w:val="0"/>
    <w:qFormat/>
    <w:pPr>
      <w:numPr>
        <w:ilvl w:val="0"/>
        <w:numId w:val="3"/>
      </w:numPr>
    </w:pPr>
    <w:rPr>
      <w:rFonts w:ascii="宋体" w:hAnsi="宋体"/>
    </w:rPr>
  </w:style>
  <w:style w:type="paragraph" w:styleId="1100" w:customStyle="1">
    <w:name w:val="标题3"/>
    <w:basedOn w:val="789"/>
    <w:next w:val="789"/>
    <w:uiPriority w:val="0"/>
    <w:qFormat/>
    <w:pPr>
      <w:ind w:firstLine="624"/>
      <w:spacing w:line="590" w:lineRule="atLeast"/>
    </w:pPr>
    <w:rPr>
      <w:rFonts w:ascii="方正黑体_GBK" w:eastAsia="方正黑体_GBK"/>
      <w:sz w:val="32"/>
      <w:szCs w:val="32"/>
    </w:rPr>
  </w:style>
  <w:style w:type="paragraph" w:styleId="1101" w:customStyle="1">
    <w:name w:val="Char Char Char Char1"/>
    <w:basedOn w:val="1011"/>
    <w:uiPriority w:val="0"/>
    <w:qFormat/>
    <w:pPr>
      <w:spacing w:line="360" w:lineRule="auto"/>
    </w:pPr>
    <w:rPr>
      <w:rFonts w:ascii="Tahoma" w:hAnsi="Tahoma"/>
      <w:sz w:val="24"/>
      <w:szCs w:val="24"/>
    </w:rPr>
  </w:style>
  <w:style w:type="paragraph" w:styleId="1102" w:customStyle="1">
    <w:name w:val="table_1stline"/>
    <w:basedOn w:val="789"/>
    <w:uiPriority w:val="0"/>
    <w:qFormat/>
    <w:pPr>
      <w:jc w:val="left"/>
      <w:spacing w:before="120"/>
      <w:widowControl/>
    </w:pPr>
    <w:rPr>
      <w:bCs/>
      <w:sz w:val="20"/>
      <w:szCs w:val="20"/>
      <w:lang w:val="de-DE" w:eastAsia="de-DE"/>
    </w:rPr>
  </w:style>
  <w:style w:type="table" w:styleId="1103" w:customStyle="1">
    <w:name w:val="网格型1"/>
    <w:basedOn w:val="1004"/>
    <w:uiPriority w:val="0"/>
    <w:qFormat/>
    <w:pPr>
      <w:jc w:val="both"/>
      <w:widowControl w:val="off"/>
    </w:pPr>
    <w:tblPr>
      <w:tblLayout w:type="fixed"/>
      <w:tblCellMar>
        <w:left w:w="0" w:type="dxa"/>
        <w:top w:w="0" w:type="dxa"/>
        <w:right w:w="0" w:type="dxa"/>
        <w:bottom w:w="0" w:type="dxa"/>
      </w:tblCellMar>
    </w:tblPr>
  </w:style>
  <w:style w:type="paragraph" w:styleId="1104" w:customStyle="1">
    <w:name w:val="Table Paragraph"/>
    <w:basedOn w:val="789"/>
    <w:uiPriority w:val="1"/>
    <w:qFormat/>
    <w:pPr>
      <w:jc w:val="left"/>
    </w:pPr>
    <w:rPr>
      <w:sz w:val="24"/>
      <w:szCs w:val="24"/>
    </w:rPr>
  </w:style>
  <w:style w:type="character" w:styleId="1105" w:customStyle="1">
    <w:name w:val="font11"/>
    <w:basedOn w:val="799"/>
    <w:uiPriority w:val="0"/>
    <w:qFormat/>
    <w:rPr>
      <w:rFonts w:hint="eastAsia" w:ascii="宋体" w:hAnsi="宋体" w:eastAsia="宋体" w:cs="宋体"/>
      <w:color w:val="000000"/>
      <w:sz w:val="24"/>
      <w:szCs w:val="24"/>
      <w:u w:val="none"/>
    </w:rPr>
  </w:style>
  <w:style w:type="paragraph" w:styleId="1106" w:customStyle="1">
    <w:name w:val="纯文本11"/>
    <w:basedOn w:val="789"/>
    <w:uiPriority w:val="99"/>
    <w:qFormat/>
    <w:rPr>
      <w:rFonts w:ascii="宋体" w:hAnsi="Courier New" w:cs="Calibri"/>
      <w:sz w:val="20"/>
    </w:rPr>
  </w:style>
  <w:style w:type="paragraph" w:styleId="1107" w:customStyle="1">
    <w:name w:val="_Style 17"/>
    <w:basedOn w:val="789"/>
    <w:next w:val="854"/>
    <w:uiPriority w:val="99"/>
    <w:qFormat/>
    <w:pPr>
      <w:ind w:firstLine="420"/>
    </w:pPr>
  </w:style>
  <w:style w:type="paragraph" w:styleId="1108" w:customStyle="1">
    <w:name w:val="正文文本缩进11"/>
    <w:basedOn w:val="789"/>
    <w:next w:val="789"/>
    <w:uiPriority w:val="99"/>
    <w:unhideWhenUsed/>
    <w:qFormat/>
    <w:pPr>
      <w:ind w:firstLine="540"/>
      <w:spacing w:line="400" w:lineRule="exact"/>
    </w:pPr>
    <w:rPr>
      <w:sz w:val="24"/>
    </w:rPr>
  </w:style>
  <w:style w:type="character" w:styleId="1109" w:customStyle="1">
    <w:name w:val="font31"/>
    <w:basedOn w:val="799"/>
    <w:uiPriority w:val="0"/>
    <w:qFormat/>
    <w:rPr>
      <w:rFonts w:hint="eastAsia" w:ascii="仿宋_GB2312" w:eastAsia="仿宋_GB2312" w:cs="仿宋_GB2312"/>
      <w:color w:val="000000"/>
      <w:sz w:val="22"/>
      <w:szCs w:val="22"/>
      <w:u w:val="none"/>
    </w:rPr>
  </w:style>
  <w:style w:type="character" w:styleId="1110" w:customStyle="1">
    <w:name w:val="font41"/>
    <w:basedOn w:val="799"/>
    <w:uiPriority w:val="0"/>
    <w:qFormat/>
    <w:rPr>
      <w:rFonts w:hint="eastAsia" w:ascii="仿宋_GB2312" w:eastAsia="仿宋_GB2312" w:cs="仿宋_GB2312"/>
      <w:color w:val="ff0000"/>
      <w:sz w:val="22"/>
      <w:szCs w:val="22"/>
      <w:u w:val="none"/>
    </w:rPr>
  </w:style>
  <w:style w:type="paragraph" w:styleId="1111" w:customStyle="1">
    <w:name w:val="Table Text"/>
    <w:basedOn w:val="789"/>
    <w:uiPriority w:val="0"/>
    <w:semiHidden/>
    <w:qFormat/>
    <w:rPr>
      <w:rFonts w:ascii="Arial" w:hAnsi="Arial" w:eastAsia="Arial" w:cs="Arial"/>
      <w:sz w:val="21"/>
      <w:szCs w:val="21"/>
      <w:lang w:val="en-US" w:eastAsia="en-US" w:bidi="ar-SA"/>
    </w:rPr>
  </w:style>
  <w:style w:type="table" w:styleId="1112" w:customStyle="1">
    <w:name w:val="Table Normal"/>
    <w:uiPriority w:val="0"/>
    <w:semiHidden/>
    <w:unhideWhenUsed/>
    <w:qFormat/>
    <w:tblPr>
      <w:tblLayout w:type="fixed"/>
      <w:tblCellMar>
        <w:left w:w="0" w:type="dxa"/>
        <w:top w:w="0" w:type="dxa"/>
        <w:right w:w="0" w:type="dxa"/>
        <w:bottom w:w="0" w:type="dxa"/>
      </w:tblCellMar>
    </w:tblPr>
  </w:style>
  <w:style w:type="numbering" w:styleId="11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姚红俊</cp:lastModifiedBy>
  <cp:revision>42</cp:revision>
  <dcterms:created xsi:type="dcterms:W3CDTF">2023-03-16T02:16:00Z</dcterms:created>
  <dcterms:modified xsi:type="dcterms:W3CDTF">2026-06-30T01:32:19Z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eyJoZGlkIjoiZTEzZDJlZjA0NmYzMDE0ZmNiNmU5NGQ2MTIyYWU2MDIiLCJ1c2VySWQiOiIyNzA3NjExNjkifQ==</vt:lpwstr>
  </property>
  <property fmtid="{D5CDD505-2E9C-101B-9397-08002B2CF9AE}" pid="3" name="KSOProductBuildVer">
    <vt:lpwstr>2052-10.8.2.7072</vt:lpwstr>
  </property>
  <property fmtid="{D5CDD505-2E9C-101B-9397-08002B2CF9AE}" pid="4" name="ICV">
    <vt:lpwstr>4F761DC8FD3240FB8E50A01721DE304B_13</vt:lpwstr>
  </property>
</Properties>
</file>