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JSZC-321092-SWGC-G2026-0080号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r>
      <w:r/>
    </w:p>
    <w:p>
      <w:pPr>
        <w:jc w:val="center"/>
        <w:spacing w:line="360" w:lineRule="auto"/>
        <w:rPr>
          <w:rFonts w:hint="eastAsia" w:ascii="宋体" w:hAnsi="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w:t>
      </w:r>
      <w:r>
        <w:rPr>
          <w:rFonts w:hint="eastAsia" w:ascii="宋体" w:hAnsi="宋体" w:cs="宋体"/>
          <w:b/>
          <w:bCs/>
          <w:color w:val="auto"/>
          <w:spacing w:val="-17"/>
          <w:sz w:val="36"/>
          <w:highlight w:val="none"/>
          <w:lang w:eastAsia="zh-CN"/>
        </w:rPr>
        <w:t xml:space="preserve">宋夹城景区</w:t>
      </w:r>
      <w:r/>
    </w:p>
    <w:p>
      <w:pPr>
        <w:pStyle w:val="799"/>
        <w:jc w:val="center"/>
        <w:spacing w:line="360" w:lineRule="auto"/>
        <w:rPr>
          <w:rFonts w:hint="eastAsia" w:ascii="宋体" w:hAnsi="宋体" w:cs="宋体"/>
          <w:b/>
          <w:bCs/>
          <w:color w:val="auto"/>
          <w:sz w:val="36"/>
          <w:highlight w:val="none"/>
        </w:rPr>
      </w:pPr>
      <w:r>
        <w:rPr>
          <w:rFonts w:hint="eastAsia" w:ascii="宋体" w:hAnsi="宋体" w:cs="宋体"/>
          <w:b/>
          <w:bCs/>
          <w:color w:val="auto"/>
          <w:spacing w:val="-17"/>
          <w:sz w:val="36"/>
          <w:highlight w:val="none"/>
          <w:lang w:eastAsia="zh-CN"/>
        </w:rPr>
        <w:t xml:space="preserve">2026年生态环境综合服务项目</w:t>
      </w:r>
      <w:r>
        <w:rPr>
          <w:rFonts w:hint="eastAsia" w:ascii="宋体" w:hAnsi="宋体" w:cs="宋体"/>
          <w:b/>
          <w:bCs/>
          <w:color w:val="auto"/>
          <w:sz w:val="36"/>
          <w:highlight w:val="none"/>
        </w:rPr>
        <w:t xml:space="preserve">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日</w:t>
      </w:r>
      <w:r/>
    </w:p>
    <w:p>
      <w:pPr>
        <w:jc w:val="center"/>
        <w:spacing w:line="360" w:lineRule="auto"/>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09"/>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64"/>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764"/>
        <w:spacing w:line="360" w:lineRule="auto"/>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扬州市宋夹城风景区管理处宋夹城景区2026年生态环境综合服务项目（</w:t>
      </w:r>
      <w:r>
        <w:rPr>
          <w:rFonts w:hint="eastAsia" w:ascii="宋体" w:hAnsi="宋体" w:cs="宋体"/>
          <w:color w:val="auto"/>
          <w:szCs w:val="21"/>
          <w:highlight w:val="none"/>
          <w:lang w:eastAsia="zh-CN"/>
        </w:rPr>
        <w:t xml:space="preserve">JSZC-321092-SWGC-G2026-0080号）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扬州市宋夹城风景区管理处宋夹城景区2026年生态环境综合服务项目JSZC-321092-SWGC-G2026-0080</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年7月29日下午3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5393790"/>
      <w:r/>
      <w:bookmarkStart w:id="3" w:name="_Toc28359079"/>
      <w:r/>
      <w:bookmarkStart w:id="4" w:name="_Toc28359002"/>
      <w:r/>
      <w:bookmarkStart w:id="5" w:name="_Toc35393621"/>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JSZC-321092-SWGC-G2026-0080号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扬州市宋夹城风景区管理处宋夹城景区2026年生态环境综合服务项目</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74"/>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253.46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7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253.46</w:t>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为保障景区环境管理，现进入2026年度生态环境综合服务项目招标</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w:t>
      </w:r>
      <w:r>
        <w:rPr>
          <w:rFonts w:hint="eastAsia" w:ascii="宋体" w:hAnsi="宋体" w:eastAsia="宋体" w:cs="宋体"/>
          <w:color w:val="auto"/>
          <w:highlight w:val="none"/>
        </w:rPr>
        <w:t xml:space="preserve">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一年</w:t>
      </w:r>
      <w:r>
        <w:rPr>
          <w:rFonts w:hint="eastAsia" w:ascii="宋体" w:hAnsi="宋体" w:eastAsia="宋体" w:cs="宋体"/>
          <w:color w:val="auto"/>
          <w:highlight w:val="none"/>
        </w:rPr>
        <w:t xml:space="preserve">。</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8985264"/>
      <w:r/>
      <w:bookmarkStart w:id="9" w:name="_Toc28359003"/>
      <w:r/>
      <w:bookmarkStart w:id="10" w:name="_Toc35393791"/>
      <w:r/>
      <w:bookmarkStart w:id="11" w:name="_Toc35393622"/>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35393623"/>
      <w:r/>
      <w:bookmarkStart w:id="14" w:name="_Toc28359004"/>
      <w:r/>
      <w:bookmarkStart w:id="15" w:name="_Toc35393792"/>
      <w:r/>
      <w:bookmarkStart w:id="16" w:name="_Toc38985265"/>
      <w:r/>
      <w:bookmarkStart w:id="17" w:name="_Toc28359081"/>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r>
        <w:rPr>
          <w:rFonts w:hint="eastAsia" w:ascii="宋体" w:hAnsi="宋体" w:cs="宋体"/>
          <w:b w:val="0"/>
          <w:bCs w:val="0"/>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74"/>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774"/>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05"/>
      <w:r/>
      <w:bookmarkStart w:id="19" w:name="_Toc28359082"/>
      <w:r/>
      <w:bookmarkStart w:id="20" w:name="_Toc35393793"/>
      <w:r/>
      <w:bookmarkStart w:id="21" w:name="_Toc38985266"/>
      <w:r/>
      <w:bookmarkStart w:id="22"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年7月29日下午3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28359007"/>
      <w:r/>
      <w:bookmarkStart w:id="24" w:name="_Toc28359084"/>
      <w:r/>
      <w:bookmarkStart w:id="25" w:name="_Toc38985267"/>
      <w:r/>
      <w:bookmarkStart w:id="26" w:name="_Toc35393625"/>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5393795"/>
      <w:r/>
      <w:bookmarkStart w:id="29" w:name="_Toc38985268"/>
      <w:r/>
      <w:bookmarkStart w:id="30" w:name="_Toc35393626"/>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28359085"/>
      <w:r/>
      <w:bookmarkStart w:id="32" w:name="_Toc35393627"/>
      <w:r/>
      <w:bookmarkStart w:id="33" w:name="_Toc35393796"/>
      <w:r/>
      <w:bookmarkStart w:id="34" w:name="_Toc38985269"/>
      <w:r/>
      <w:bookmarkStart w:id="35" w:name="_Toc28359008"/>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名 称：扬州市宋夹城风景区管理处</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bookmarkStart w:id="38" w:name="_Toc28359009"/>
      <w:r/>
      <w:bookmarkStart w:id="39" w:name="_Toc28359086"/>
      <w:r>
        <w:rPr>
          <w:rFonts w:hint="eastAsia" w:ascii="宋体" w:hAnsi="宋体" w:cs="宋体"/>
          <w:color w:val="auto"/>
          <w:highlight w:val="none"/>
          <w:lang w:val="en-US" w:eastAsia="zh-CN"/>
        </w:rPr>
        <w:t xml:space="preserve">地 址：扬州市邗江区长春路48号</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联系人：汤梦煦</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赵凌云、李俊</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w:t>
      </w:r>
      <w:bookmarkEnd w:id="36"/>
      <w:r/>
      <w:bookmarkEnd w:id="37"/>
      <w:r>
        <w:rPr>
          <w:rFonts w:hint="eastAsia" w:ascii="宋体" w:hAnsi="宋体" w:cs="宋体"/>
          <w:color w:val="auto"/>
          <w:szCs w:val="21"/>
          <w:highlight w:val="none"/>
          <w:lang w:val="en-US" w:eastAsia="zh-CN"/>
        </w:rPr>
        <w:t xml:space="preserve">7986785、</w:t>
      </w:r>
      <w:r>
        <w:rPr>
          <w:rFonts w:ascii="宋体" w:hAnsi="宋体" w:cs="宋体"/>
          <w:color w:val="auto"/>
          <w:highlight w:val="none"/>
        </w:rPr>
        <w:t xml:space="preserve">821291</w:t>
      </w:r>
      <w:r>
        <w:rPr>
          <w:rFonts w:hint="eastAsia" w:ascii="宋体" w:hAnsi="宋体" w:cs="宋体"/>
          <w:color w:val="auto"/>
          <w:highlight w:val="none"/>
          <w:lang w:val="en-US" w:eastAsia="zh-CN"/>
        </w:rPr>
        <w:t xml:space="preserve">22</w:t>
      </w:r>
      <w:r/>
    </w:p>
    <w:p>
      <w:pPr>
        <w:rPr>
          <w:rFonts w:hint="eastAsia"/>
          <w:color w:val="auto"/>
          <w:highlight w:val="none"/>
        </w:rPr>
      </w:pPr>
      <w:r/>
      <w:bookmarkStart w:id="40" w:name="_Toc10032"/>
      <w:r/>
      <w:bookmarkStart w:id="41" w:name="_Toc478"/>
      <w:r/>
      <w:bookmarkStart w:id="42" w:name="_Toc55204178"/>
      <w:r>
        <w:rPr>
          <w:rFonts w:hint="eastAsia"/>
          <w:color w:val="auto"/>
          <w:highlight w:val="none"/>
        </w:rPr>
        <w:br w:type="page" w:clear="all"/>
      </w:r>
      <w:r/>
    </w:p>
    <w:p>
      <w:pPr>
        <w:pStyle w:val="764"/>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JSZC-321092-SWGC-G2026-0080</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4.2本次招标采购不收取标书工本费</w:t>
      </w:r>
      <w:r>
        <w:rPr>
          <w:rFonts w:hint="eastAsia" w:ascii="宋体" w:hAnsi="宋体" w:eastAsia="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bCs/>
          <w:color w:val="auto"/>
          <w:szCs w:val="21"/>
          <w:highlight w:val="none"/>
          <w:lang w:val="en-US" w:eastAsia="zh-CN"/>
        </w:rPr>
        <w:t xml:space="preserve">4.3本次采购预算中已包含代理服务费，由中标人在领取中标通知书前参照《招标代理服务收费管理暂行办法》(计价格【2002】1980号文)服务类标准的64%一次性支付给招标代理机构。</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462564084"/>
      <w:r/>
      <w:bookmarkStart w:id="44" w:name="_Toc513029225"/>
      <w:r/>
      <w:bookmarkStart w:id="45" w:name="_Toc20823297"/>
      <w:r/>
      <w:bookmarkStart w:id="46" w:name="_Toc16938541"/>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16938542"/>
      <w:r/>
      <w:bookmarkStart w:id="48" w:name="_Toc513029226"/>
      <w:r/>
      <w:bookmarkStart w:id="49"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16938543"/>
      <w:r/>
      <w:bookmarkStart w:id="52" w:name="_Toc513029227"/>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20823300"/>
      <w:r/>
      <w:bookmarkStart w:id="54" w:name="_Toc513029228"/>
      <w:r/>
      <w:bookmarkStart w:id="5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64"/>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05"/>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line="360" w:lineRule="auto"/>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扬州市宋夹城风景区管理处宋夹城景区2026年生态环境综合服务项目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宋夹城景区2026年生态环境综合服务项目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tbl>
      <w:tblPr>
        <w:tblStyle w:val="77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64"/>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766"/>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774"/>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4186"/>
        <w:gridCol w:w="2649"/>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eastAsia="zh-CN"/>
              </w:rPr>
              <w:t xml:space="preserve">宋夹城景区2026年生态环境综合服务项目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1"/>
                <w:szCs w:val="21"/>
                <w:highlight w:val="none"/>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4" w:name="_Toc55204181"/>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宋夹城风景区位于扬州蜀岗-瘦西湖风景名胜区核心地带，现为国家4A级景区，是一</w:t>
      </w:r>
      <w:r>
        <w:rPr>
          <w:rFonts w:hint="eastAsia" w:ascii="宋体" w:hAnsi="宋体" w:eastAsia="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集生态、休闲、</w:t>
      </w:r>
      <w:r>
        <w:rPr>
          <w:rFonts w:hint="eastAsia" w:ascii="宋体" w:hAnsi="宋体" w:eastAsia="宋体" w:cs="宋体"/>
          <w:color w:val="auto"/>
          <w:sz w:val="21"/>
          <w:szCs w:val="21"/>
          <w:highlight w:val="none"/>
          <w:lang w:eastAsia="zh-CN"/>
        </w:rPr>
        <w:t xml:space="preserve">康健</w:t>
      </w:r>
      <w:r>
        <w:rPr>
          <w:rFonts w:hint="eastAsia" w:ascii="宋体" w:hAnsi="宋体" w:eastAsia="宋体" w:cs="宋体"/>
          <w:color w:val="auto"/>
          <w:sz w:val="21"/>
          <w:szCs w:val="21"/>
          <w:highlight w:val="none"/>
        </w:rPr>
        <w:t xml:space="preserve">、文化于一体的全民健身体育公园</w:t>
      </w:r>
      <w:r>
        <w:rPr>
          <w:rFonts w:hint="eastAsia" w:ascii="宋体" w:hAnsi="宋体" w:eastAsia="宋体" w:cs="宋体"/>
          <w:color w:val="auto"/>
          <w:sz w:val="21"/>
          <w:szCs w:val="21"/>
          <w:highlight w:val="none"/>
          <w:lang w:eastAsia="zh-CN"/>
        </w:rPr>
        <w:t xml:space="preserve">。景区占地面积</w:t>
      </w:r>
      <w:r>
        <w:rPr>
          <w:rFonts w:hint="eastAsia" w:ascii="宋体" w:hAnsi="宋体" w:eastAsia="宋体" w:cs="宋体"/>
          <w:color w:val="auto"/>
          <w:sz w:val="21"/>
          <w:szCs w:val="21"/>
          <w:highlight w:val="none"/>
          <w:lang w:val="en-US" w:eastAsia="zh-CN"/>
        </w:rPr>
        <w:t xml:space="preserve">53.01公顷，其中陆地面积42.53公顷，水域面积10.48公顷</w:t>
      </w:r>
      <w:r>
        <w:rPr>
          <w:rFonts w:hint="eastAsia" w:ascii="宋体" w:hAnsi="宋体" w:cs="宋体"/>
          <w:color w:val="auto"/>
          <w:sz w:val="21"/>
          <w:szCs w:val="21"/>
          <w:highlight w:val="none"/>
          <w:lang w:val="en-US" w:eastAsia="zh-CN"/>
        </w:rPr>
        <w:t xml:space="preserve">，太子岗雨水公园14.3公顷</w:t>
      </w:r>
      <w:r>
        <w:rPr>
          <w:rFonts w:hint="eastAsia" w:ascii="宋体" w:hAnsi="宋体" w:eastAsia="宋体" w:cs="宋体"/>
          <w:color w:val="auto"/>
          <w:sz w:val="21"/>
          <w:szCs w:val="21"/>
          <w:highlight w:val="none"/>
          <w:lang w:val="en-US" w:eastAsia="zh-CN"/>
        </w:rPr>
        <w:t xml:space="preserve">。景区内服务设施建筑面积约21000平方米。</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包括景区护城河以内以及护城河以外景区管辖范围的太子岗、场馆（含玻璃幕墙）</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停车场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水体及岸线、公共设施维护、公厕管理、防汛排涝、应急环境处置等</w:t>
      </w:r>
      <w:r>
        <w:rPr>
          <w:rFonts w:hint="eastAsia" w:ascii="宋体" w:hAnsi="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工作，不包括宋城山庄区域</w:t>
      </w:r>
      <w:r>
        <w:rPr>
          <w:rFonts w:hint="eastAsia" w:ascii="宋体" w:hAnsi="宋体" w:cs="宋体"/>
          <w:color w:val="auto"/>
          <w:sz w:val="21"/>
          <w:szCs w:val="21"/>
          <w:highlight w:val="none"/>
          <w:lang w:val="en-US" w:eastAsia="zh-CN"/>
        </w:rPr>
        <w:t xml:space="preserve">及商户租赁区域</w:t>
      </w:r>
      <w:r>
        <w:rPr>
          <w:rFonts w:hint="eastAsia" w:ascii="宋体" w:hAnsi="宋体" w:eastAsia="宋体" w:cs="宋体"/>
          <w:color w:val="auto"/>
          <w:sz w:val="21"/>
          <w:szCs w:val="21"/>
          <w:highlight w:val="none"/>
        </w:rPr>
        <w:t xml:space="preserve">。四至范围为宋夹城景区与城市主干道、河道的交接处</w:t>
      </w:r>
      <w:r>
        <w:rPr>
          <w:rFonts w:hint="eastAsia" w:ascii="宋体" w:hAnsi="宋体" w:cs="宋体"/>
          <w:color w:val="auto"/>
          <w:sz w:val="21"/>
          <w:szCs w:val="21"/>
          <w:highlight w:val="none"/>
          <w:lang w:val="en-US" w:eastAsia="zh-CN"/>
        </w:rPr>
        <w:t xml:space="preserve">向外延伸5-10米范围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重大活动、恶劣天气等情况下应急物料及人员响应保障，园区内</w:t>
      </w:r>
      <w:r>
        <w:rPr>
          <w:rFonts w:hint="eastAsia" w:ascii="宋体" w:hAnsi="宋体" w:eastAsia="宋体" w:cs="宋体"/>
          <w:color w:val="auto"/>
          <w:sz w:val="21"/>
          <w:szCs w:val="21"/>
          <w:highlight w:val="none"/>
        </w:rPr>
        <w:t xml:space="preserve">道路两侧</w:t>
      </w:r>
      <w:r>
        <w:rPr>
          <w:rFonts w:hint="eastAsia" w:ascii="宋体" w:hAnsi="宋体" w:cs="宋体"/>
          <w:color w:val="auto"/>
          <w:sz w:val="21"/>
          <w:szCs w:val="21"/>
          <w:highlight w:val="none"/>
          <w:lang w:val="en-US" w:eastAsia="zh-CN"/>
        </w:rPr>
        <w:t xml:space="preserve">及绿化带</w:t>
      </w:r>
      <w:r>
        <w:rPr>
          <w:rFonts w:hint="eastAsia" w:ascii="宋体" w:hAnsi="宋体" w:eastAsia="宋体" w:cs="宋体"/>
          <w:color w:val="auto"/>
          <w:sz w:val="21"/>
          <w:szCs w:val="21"/>
          <w:highlight w:val="none"/>
        </w:rPr>
        <w:t xml:space="preserve">10米内</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落叶积</w:t>
      </w:r>
      <w:r>
        <w:rPr>
          <w:rFonts w:hint="eastAsia" w:ascii="宋体" w:hAnsi="宋体" w:cs="宋体"/>
          <w:color w:val="auto"/>
          <w:sz w:val="21"/>
          <w:szCs w:val="21"/>
          <w:highlight w:val="none"/>
          <w:lang w:val="en-US" w:eastAsia="zh-CN"/>
        </w:rPr>
        <w:t xml:space="preserve">存</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建立应急物料台账并对应急人员进行专项培训和考核</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p>
      <w:pPr>
        <w:ind w:firstLine="420"/>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（注：上班时间应符合国家劳动法有关规定，排班中标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自行安排，相关费用包括在投标总价内）</w:t>
      </w:r>
      <w:r/>
    </w:p>
    <w:tbl>
      <w:tblPr>
        <w:tblStyle w:val="774"/>
        <w:tblW w:w="9562"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186"/>
        <w:gridCol w:w="1175"/>
        <w:gridCol w:w="2385"/>
        <w:gridCol w:w="2766"/>
      </w:tblGrid>
      <w:tr>
        <w:trPr>
          <w:trHeight w:val="606"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岗位名称</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916"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项目经理</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周岁以下</w:t>
            </w:r>
            <w:r/>
          </w:p>
        </w:tc>
        <w:tc>
          <w:tcPr>
            <w:tcW w:w="276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每天8小时工作制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全日制</w:t>
            </w:r>
            <w:r/>
          </w:p>
        </w:tc>
      </w:tr>
      <w:tr>
        <w:trPr>
          <w:trHeight w:val="1079"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主管</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870"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3</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环境管护员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人</w:t>
            </w:r>
            <w:r/>
          </w:p>
        </w:tc>
        <w:tc>
          <w:tcPr>
            <w:tcW w:w="2385" w:type="dxa"/>
            <w:vAlign w:val="center"/>
            <w:textDirection w:val="lrTb"/>
            <w:noWrap w:val="false"/>
          </w:tcPr>
          <w:p>
            <w:pPr>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05"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水域管护员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人</w:t>
            </w:r>
            <w:r/>
          </w:p>
        </w:tc>
        <w:tc>
          <w:tcPr>
            <w:tcW w:w="2385" w:type="dxa"/>
            <w:vAlign w:val="center"/>
            <w:textDirection w:val="lrTb"/>
            <w:noWrap w:val="false"/>
          </w:tcPr>
          <w:p>
            <w:pPr>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203"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5</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晚间环境管护员</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60周岁以下</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每天4小时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非全日制</w:t>
            </w:r>
            <w:r/>
          </w:p>
        </w:tc>
      </w:tr>
      <w:tr>
        <w:trPr>
          <w:trHeight w:val="1252"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电工</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0周岁以下</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小时</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做六休一</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非全日制</w:t>
            </w:r>
            <w:r/>
          </w:p>
        </w:tc>
      </w:tr>
      <w:tr>
        <w:trPr>
          <w:trHeight w:val="499" w:hRule="exact"/>
        </w:trPr>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1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tcW w:w="11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w:t>
            </w:r>
            <w:r/>
          </w:p>
        </w:tc>
        <w:tc>
          <w:tcPr>
            <w:tcW w:w="23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投标报价时按采购需求人数报价，服务过程中景区各区域</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岗位人数设置方案须经采购人确认后方可实施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环境管护员、水域管护员和晚间环境管护员中使用退休人员不得超过50%，所有人员要求法定节假日要求在岗。</w:t>
      </w:r>
      <w:r/>
    </w:p>
    <w:p>
      <w:pPr>
        <w:ind w:firstLine="435"/>
        <w:spacing w:line="360" w:lineRule="auto"/>
        <w:rPr>
          <w:rFonts w:hint="eastAsia" w:ascii="宋体" w:hAnsi="宋体" w:cs="宋体"/>
          <w:b/>
          <w:bCs/>
          <w:i/>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报价应包括所有的费用（含为完成招标文件规定的服务工作所涉及到的一切相关费用）：人员工资、法定节假日加班费、周末加班费、社会保险（养老、工伤、失业）、医疗保险（医疗、大病救助）、住房公积金、高温补贴、意外伤害险（未缴纳社保的人员需缴纳不低于保额80万元的意外伤害保险）、节假日福利费、服装费、工具及耗材费用、车辆折旧或租赁费、管理费、税费及投标人自行考虑的其他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rPr>
        <w:t xml:space="preserve">（提供承诺函，格式自拟，系统上传）</w:t>
      </w:r>
      <w:r>
        <w:rPr>
          <w:rFonts w:hint="eastAsia" w:ascii="宋体" w:hAnsi="宋体" w:cs="宋体"/>
          <w:b/>
          <w:bCs/>
          <w:i/>
          <w:color w:val="auto"/>
          <w:sz w:val="21"/>
          <w:szCs w:val="21"/>
          <w:highlight w:val="none"/>
          <w:u w:val="single"/>
          <w:lang w:eastAsia="zh-CN"/>
        </w:rPr>
        <w:t xml:space="preserve">。</w:t>
      </w:r>
      <w:r/>
    </w:p>
    <w:p>
      <w:pPr>
        <w:ind w:firstLine="435"/>
        <w:spacing w:line="360" w:lineRule="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（须提供承诺，扫描上传）</w:t>
      </w:r>
      <w:r/>
    </w:p>
    <w:p>
      <w:pPr>
        <w:ind w:firstLine="480"/>
        <w:spacing w:line="360" w:lineRule="auto"/>
        <w:rPr>
          <w:rFonts w:hint="eastAsia" w:ascii="宋体" w:hAnsi="宋体" w:eastAsia="宋体" w:cs="宋体"/>
          <w:b/>
          <w:bCs/>
          <w:i/>
          <w:color w:val="auto"/>
          <w:sz w:val="21"/>
          <w:szCs w:val="21"/>
          <w:highlight w:val="none"/>
          <w:u w:val="single"/>
        </w:rPr>
      </w:pPr>
      <w:r>
        <w:rPr>
          <w:rFonts w:hint="eastAsia" w:ascii="宋体" w:hAnsi="宋体" w:eastAsia="宋体" w:cs="宋体"/>
          <w:b w:val="0"/>
          <w:bCs w:val="0"/>
          <w:i/>
          <w:color w:val="auto"/>
          <w:sz w:val="21"/>
          <w:szCs w:val="21"/>
          <w:highlight w:val="none"/>
          <w:u w:val="single"/>
          <w:lang w:eastAsia="zh-CN"/>
        </w:rPr>
        <w:t xml:space="preserve">（</w:t>
      </w:r>
      <w:r>
        <w:rPr>
          <w:rFonts w:hint="eastAsia" w:ascii="宋体" w:hAnsi="宋体" w:eastAsia="宋体" w:cs="宋体"/>
          <w:b w:val="0"/>
          <w:bCs w:val="0"/>
          <w:i/>
          <w:color w:val="auto"/>
          <w:sz w:val="21"/>
          <w:szCs w:val="21"/>
          <w:highlight w:val="none"/>
          <w:u w:val="single"/>
          <w:lang w:val="en-US" w:eastAsia="zh-CN"/>
        </w:rPr>
        <w:t xml:space="preserve">3</w:t>
      </w:r>
      <w:r>
        <w:rPr>
          <w:rFonts w:hint="eastAsia" w:ascii="宋体" w:hAnsi="宋体" w:eastAsia="宋体" w:cs="宋体"/>
          <w:b w:val="0"/>
          <w:bCs w:val="0"/>
          <w:i/>
          <w:color w:val="auto"/>
          <w:sz w:val="21"/>
          <w:szCs w:val="21"/>
          <w:highlight w:val="none"/>
          <w:u w:val="single"/>
          <w:lang w:eastAsia="zh-CN"/>
        </w:rPr>
        <w:t xml:space="preserve">）</w:t>
      </w:r>
      <w:r>
        <w:rPr>
          <w:rFonts w:hint="eastAsia" w:ascii="宋体" w:hAnsi="宋体" w:eastAsia="宋体" w:cs="宋体"/>
          <w:b w:val="0"/>
          <w:bCs w:val="0"/>
          <w:i/>
          <w:color w:val="auto"/>
          <w:sz w:val="21"/>
          <w:szCs w:val="21"/>
          <w:highlight w:val="none"/>
          <w:u w:val="single"/>
        </w:rPr>
        <w:t xml:space="preserve">投标人须承诺合同签订后实施服务前，将项目人员花名册交于采购人，投标文件中承诺的项目经理必须到岗并符合投标文件中承诺的学历、职称、任职经历等；</w:t>
      </w:r>
      <w:r>
        <w:rPr>
          <w:rFonts w:hint="eastAsia" w:ascii="宋体" w:hAnsi="宋体" w:cs="宋体"/>
          <w:b w:val="0"/>
          <w:bCs w:val="0"/>
          <w:i/>
          <w:color w:val="auto"/>
          <w:sz w:val="21"/>
          <w:szCs w:val="21"/>
          <w:highlight w:val="none"/>
          <w:u w:val="single"/>
          <w:lang w:eastAsia="zh-CN"/>
        </w:rPr>
        <w:t xml:space="preserve">服务</w:t>
      </w:r>
      <w:r>
        <w:rPr>
          <w:rFonts w:hint="eastAsia" w:ascii="宋体" w:hAnsi="宋体" w:eastAsia="宋体" w:cs="宋体"/>
          <w:b w:val="0"/>
          <w:bCs w:val="0"/>
          <w:i/>
          <w:color w:val="auto"/>
          <w:sz w:val="21"/>
          <w:szCs w:val="21"/>
          <w:highlight w:val="none"/>
          <w:u w:val="single"/>
        </w:rPr>
        <w:t xml:space="preserve">人员更换需符合招标文件要求，及时更新花名册并向采购人报备；项目经理未经采购人允许不得换人；招标文件要求的机具不得缺少。</w:t>
      </w:r>
      <w:r>
        <w:rPr>
          <w:rFonts w:hint="eastAsia" w:ascii="宋体" w:hAnsi="宋体" w:eastAsia="宋体" w:cs="宋体"/>
          <w:b/>
          <w:bCs/>
          <w:i/>
          <w:color w:val="auto"/>
          <w:sz w:val="21"/>
          <w:szCs w:val="21"/>
          <w:highlight w:val="none"/>
          <w:u w:val="single"/>
        </w:rPr>
        <w:t xml:space="preserve">（须提供承诺，扫描上传）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lang w:val="en-US" w:eastAsia="zh-CN"/>
        </w:rPr>
        <w:t xml:space="preserve">4</w:t>
      </w:r>
      <w:r>
        <w:rPr>
          <w:rFonts w:hint="eastAsia" w:ascii="宋体" w:hAnsi="宋体" w:cs="宋体"/>
          <w:i/>
          <w:color w:val="auto"/>
          <w:sz w:val="21"/>
          <w:szCs w:val="21"/>
          <w:highlight w:val="none"/>
          <w:u w:val="single"/>
          <w:lang w:eastAsia="zh-CN"/>
        </w:rPr>
        <w:t xml:space="preserve">）</w:t>
      </w:r>
      <w:r>
        <w:rPr>
          <w:rFonts w:hint="eastAsia" w:ascii="宋体" w:hAnsi="宋体" w:eastAsia="宋体" w:cs="宋体"/>
          <w:i/>
          <w:color w:val="auto"/>
          <w:sz w:val="21"/>
          <w:szCs w:val="21"/>
          <w:highlight w:val="none"/>
          <w:u w:val="single"/>
        </w:rPr>
        <w:t xml:space="preserve">中标人完全承担项目实施全过程中的涉及到的一切的安全责任，在服务过程中如引起人身伤害和其它财产安全等事故，由中标人全权负责处理，并承担全部责任。</w:t>
      </w:r>
      <w:r>
        <w:rPr>
          <w:rFonts w:hint="eastAsia" w:ascii="宋体" w:hAnsi="宋体" w:eastAsia="宋体" w:cs="宋体"/>
          <w:b/>
          <w:bCs/>
          <w:i/>
          <w:color w:val="auto"/>
          <w:sz w:val="21"/>
          <w:szCs w:val="21"/>
          <w:highlight w:val="none"/>
          <w:u w:val="single"/>
        </w:rPr>
        <w:t xml:space="preserve">（提供承诺函，格式自拟，系统上传）</w:t>
      </w:r>
      <w:r/>
    </w:p>
    <w:p>
      <w:pPr>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5）上述表格内容之外的节假日、非服务时间段值班等临时需要增加的用工列入计时工，由采购人根据重大活动或应急任务等具体情况进行相关用工，履约过程中按照25元/小时的价格结合实际发生量进行结算。由合同双方确认数量后实施，否则合同结算时不予认可。</w:t>
      </w:r>
      <w:r/>
    </w:p>
    <w:p>
      <w:pPr>
        <w:ind w:firstLine="435"/>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lang w:eastAsia="zh-CN"/>
        </w:rPr>
        <w:t xml:space="preserve">、负责扫地车、垃圾清运车的</w:t>
      </w:r>
      <w:r>
        <w:rPr>
          <w:rFonts w:hint="eastAsia" w:ascii="宋体" w:hAnsi="宋体" w:cs="宋体"/>
          <w:b w:val="0"/>
          <w:bCs w:val="0"/>
          <w:i w:val="0"/>
          <w:iCs w:val="0"/>
          <w:color w:val="auto"/>
          <w:sz w:val="21"/>
          <w:szCs w:val="21"/>
          <w:highlight w:val="none"/>
          <w:u w:val="none"/>
          <w:lang w:eastAsia="zh-CN"/>
        </w:rPr>
        <w:t xml:space="preserve">服务</w:t>
      </w:r>
      <w:r>
        <w:rPr>
          <w:rFonts w:hint="eastAsia" w:ascii="宋体" w:hAnsi="宋体" w:eastAsia="宋体" w:cs="宋体"/>
          <w:b w:val="0"/>
          <w:bCs w:val="0"/>
          <w:i w:val="0"/>
          <w:iCs w:val="0"/>
          <w:color w:val="auto"/>
          <w:sz w:val="21"/>
          <w:szCs w:val="21"/>
          <w:highlight w:val="none"/>
          <w:u w:val="none"/>
          <w:lang w:eastAsia="zh-CN"/>
        </w:rPr>
        <w:t xml:space="preserve">人员</w:t>
      </w:r>
      <w:r>
        <w:rPr>
          <w:rFonts w:hint="eastAsia" w:ascii="宋体" w:hAnsi="宋体" w:cs="宋体"/>
          <w:b w:val="0"/>
          <w:bCs w:val="0"/>
          <w:i w:val="0"/>
          <w:iCs w:val="0"/>
          <w:color w:val="auto"/>
          <w:sz w:val="21"/>
          <w:szCs w:val="21"/>
          <w:highlight w:val="none"/>
          <w:u w:val="none"/>
          <w:lang w:val="en-US" w:eastAsia="zh-CN"/>
        </w:rPr>
        <w:t xml:space="preserve">应</w:t>
      </w:r>
      <w:r>
        <w:rPr>
          <w:rFonts w:hint="eastAsia" w:ascii="宋体" w:hAnsi="宋体" w:eastAsia="宋体" w:cs="宋体"/>
          <w:b w:val="0"/>
          <w:bCs w:val="0"/>
          <w:i w:val="0"/>
          <w:iCs w:val="0"/>
          <w:color w:val="auto"/>
          <w:sz w:val="21"/>
          <w:szCs w:val="21"/>
          <w:highlight w:val="none"/>
          <w:u w:val="none"/>
          <w:lang w:eastAsia="zh-CN"/>
        </w:rPr>
        <w:t xml:space="preserve">持N2准驾证。</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eastAsia="宋体" w:cs="宋体"/>
          <w:b w:val="0"/>
          <w:bCs w:val="0"/>
          <w:i w:val="0"/>
          <w:iCs w:val="0"/>
          <w:color w:val="auto"/>
          <w:sz w:val="21"/>
          <w:szCs w:val="21"/>
          <w:highlight w:val="none"/>
          <w:u w:val="none"/>
          <w:lang w:eastAsia="zh-CN"/>
        </w:rPr>
        <w:t xml:space="preserve">、项目经理：具有大专</w:t>
      </w:r>
      <w:r>
        <w:rPr>
          <w:rFonts w:hint="eastAsia" w:ascii="宋体" w:hAnsi="宋体" w:eastAsia="宋体" w:cs="宋体"/>
          <w:b w:val="0"/>
          <w:bCs w:val="0"/>
          <w:i w:val="0"/>
          <w:iCs w:val="0"/>
          <w:color w:val="auto"/>
          <w:sz w:val="21"/>
          <w:szCs w:val="21"/>
          <w:highlight w:val="none"/>
          <w:u w:val="none"/>
          <w:lang w:val="en-US" w:eastAsia="zh-CN"/>
        </w:rPr>
        <w:t xml:space="preserve">及</w:t>
      </w:r>
      <w:r>
        <w:rPr>
          <w:rFonts w:hint="eastAsia" w:ascii="宋体" w:hAnsi="宋体" w:eastAsia="宋体" w:cs="宋体"/>
          <w:b w:val="0"/>
          <w:bCs w:val="0"/>
          <w:i w:val="0"/>
          <w:iCs w:val="0"/>
          <w:color w:val="auto"/>
          <w:sz w:val="21"/>
          <w:szCs w:val="21"/>
          <w:highlight w:val="none"/>
          <w:u w:val="none"/>
          <w:lang w:eastAsia="zh-CN"/>
        </w:rPr>
        <w:t xml:space="preserve">以上学历；</w:t>
      </w:r>
      <w:r>
        <w:rPr>
          <w:rFonts w:hint="eastAsia" w:ascii="宋体" w:hAnsi="宋体" w:eastAsia="宋体" w:cs="宋体"/>
          <w:b w:val="0"/>
          <w:bCs w:val="0"/>
          <w:i w:val="0"/>
          <w:iCs w:val="0"/>
          <w:color w:val="auto"/>
          <w:sz w:val="21"/>
          <w:szCs w:val="21"/>
          <w:highlight w:val="none"/>
          <w:u w:val="none"/>
          <w:lang w:val="en-US" w:eastAsia="zh-CN"/>
        </w:rPr>
        <w:t xml:space="preserve">具有</w:t>
      </w:r>
      <w:r>
        <w:rPr>
          <w:rFonts w:hint="eastAsia" w:ascii="宋体" w:hAnsi="宋体" w:eastAsia="宋体" w:cs="宋体"/>
          <w:b w:val="0"/>
          <w:bCs w:val="0"/>
          <w:i w:val="0"/>
          <w:iCs w:val="0"/>
          <w:color w:val="auto"/>
          <w:sz w:val="21"/>
          <w:szCs w:val="21"/>
          <w:highlight w:val="none"/>
          <w:u w:val="none"/>
          <w:lang w:eastAsia="zh-CN"/>
        </w:rPr>
        <w:t xml:space="preserve">类似项目管理经验</w:t>
      </w:r>
      <w:r>
        <w:rPr>
          <w:rFonts w:hint="eastAsia" w:ascii="宋体" w:hAnsi="宋体" w:cs="宋体"/>
          <w:b w:val="0"/>
          <w:bCs w:val="0"/>
          <w:i w:val="0"/>
          <w:iCs w:val="0"/>
          <w:color w:val="auto"/>
          <w:sz w:val="21"/>
          <w:szCs w:val="21"/>
          <w:highlight w:val="none"/>
          <w:u w:val="none"/>
          <w:lang w:eastAsia="zh-CN"/>
        </w:rPr>
        <w:t xml:space="preserve">。</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i w:val="0"/>
          <w:iCs w:val="0"/>
          <w:color w:val="auto"/>
          <w:sz w:val="21"/>
          <w:szCs w:val="21"/>
          <w:highlight w:val="none"/>
          <w:u w:val="none"/>
          <w:lang w:eastAsia="zh-CN"/>
        </w:rPr>
        <w:t xml:space="preserve">、主管：具备大专</w:t>
      </w:r>
      <w:r>
        <w:rPr>
          <w:rFonts w:hint="eastAsia" w:ascii="宋体" w:hAnsi="宋体" w:eastAsia="宋体" w:cs="宋体"/>
          <w:b w:val="0"/>
          <w:bCs w:val="0"/>
          <w:i w:val="0"/>
          <w:iCs w:val="0"/>
          <w:color w:val="auto"/>
          <w:sz w:val="21"/>
          <w:szCs w:val="21"/>
          <w:highlight w:val="none"/>
          <w:u w:val="none"/>
          <w:lang w:val="en-US" w:eastAsia="zh-CN"/>
        </w:rPr>
        <w:t xml:space="preserve">及</w:t>
      </w:r>
      <w:r>
        <w:rPr>
          <w:rFonts w:hint="eastAsia" w:ascii="宋体" w:hAnsi="宋体" w:eastAsia="宋体" w:cs="宋体"/>
          <w:b w:val="0"/>
          <w:bCs w:val="0"/>
          <w:i w:val="0"/>
          <w:iCs w:val="0"/>
          <w:color w:val="auto"/>
          <w:sz w:val="21"/>
          <w:szCs w:val="21"/>
          <w:highlight w:val="none"/>
          <w:u w:val="none"/>
          <w:lang w:eastAsia="zh-CN"/>
        </w:rPr>
        <w:t xml:space="preserve">以上学历，具有类似项目管理经验。</w:t>
      </w:r>
      <w:r/>
    </w:p>
    <w:p>
      <w:pPr>
        <w:ind w:firstLine="435"/>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5</w:t>
      </w:r>
      <w:r>
        <w:rPr>
          <w:rFonts w:hint="eastAsia" w:ascii="宋体" w:hAnsi="宋体" w:eastAsia="宋体" w:cs="宋体"/>
          <w:b w:val="0"/>
          <w:bCs w:val="0"/>
          <w:i/>
          <w:iCs/>
          <w:color w:val="auto"/>
          <w:sz w:val="21"/>
          <w:szCs w:val="21"/>
          <w:highlight w:val="none"/>
          <w:u w:val="single"/>
          <w:lang w:eastAsia="zh-CN"/>
        </w:rPr>
        <w:t xml:space="preserve">、人员配备应满足所有要求，</w:t>
      </w:r>
      <w:r>
        <w:rPr>
          <w:rFonts w:hint="eastAsia" w:ascii="宋体" w:hAnsi="宋体" w:eastAsia="宋体" w:cs="宋体"/>
          <w:b w:val="0"/>
          <w:bCs w:val="0"/>
          <w:i/>
          <w:iCs/>
          <w:color w:val="auto"/>
          <w:sz w:val="21"/>
          <w:szCs w:val="21"/>
          <w:highlight w:val="none"/>
          <w:u w:val="single"/>
          <w:lang w:val="en-US" w:eastAsia="zh-CN"/>
        </w:rPr>
        <w:t xml:space="preserve">除（晚班）</w:t>
      </w:r>
      <w:r>
        <w:rPr>
          <w:rFonts w:hint="eastAsia" w:ascii="宋体" w:hAnsi="宋体" w:eastAsia="宋体" w:cs="宋体"/>
          <w:b w:val="0"/>
          <w:bCs w:val="0"/>
          <w:i/>
          <w:iCs/>
          <w:color w:val="auto"/>
          <w:sz w:val="21"/>
          <w:szCs w:val="21"/>
          <w:highlight w:val="none"/>
          <w:u w:val="single"/>
          <w:lang w:eastAsia="zh-CN"/>
        </w:rPr>
        <w:t xml:space="preserve">所有人员不得兼职，承诺配备的全体员工从合同生效之日起（</w:t>
      </w:r>
      <w:r>
        <w:rPr>
          <w:rFonts w:hint="eastAsia" w:ascii="宋体" w:hAnsi="宋体" w:eastAsia="宋体" w:cs="宋体"/>
          <w:b w:val="0"/>
          <w:bCs w:val="0"/>
          <w:i/>
          <w:iCs/>
          <w:color w:val="auto"/>
          <w:sz w:val="21"/>
          <w:szCs w:val="21"/>
          <w:highlight w:val="none"/>
          <w:u w:val="single"/>
          <w:lang w:val="en-US" w:eastAsia="zh-CN"/>
        </w:rPr>
        <w:t xml:space="preserve">包含法定节假日</w:t>
      </w:r>
      <w:r>
        <w:rPr>
          <w:rFonts w:hint="eastAsia" w:ascii="宋体" w:hAnsi="宋体" w:eastAsia="宋体" w:cs="宋体"/>
          <w:b w:val="0"/>
          <w:bCs w:val="0"/>
          <w:i/>
          <w:iCs/>
          <w:color w:val="auto"/>
          <w:sz w:val="21"/>
          <w:szCs w:val="21"/>
          <w:highlight w:val="none"/>
          <w:u w:val="single"/>
          <w:lang w:eastAsia="zh-CN"/>
        </w:rPr>
        <w:t xml:space="preserve">）到岗。</w:t>
      </w:r>
      <w:r>
        <w:rPr>
          <w:rFonts w:hint="eastAsia" w:ascii="宋体" w:hAnsi="宋体" w:eastAsia="宋体" w:cs="宋体"/>
          <w:b/>
          <w:bCs/>
          <w:i/>
          <w:iCs/>
          <w:color w:val="auto"/>
          <w:sz w:val="21"/>
          <w:szCs w:val="21"/>
          <w:highlight w:val="none"/>
          <w:u w:val="single"/>
          <w:lang w:eastAsia="zh-CN"/>
        </w:rPr>
        <w:t xml:space="preserve">（须提供承诺函，原件扫描上传，格式自拟）</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i w:val="0"/>
          <w:iCs w:val="0"/>
          <w:color w:val="auto"/>
          <w:sz w:val="21"/>
          <w:szCs w:val="21"/>
          <w:highlight w:val="none"/>
          <w:u w:val="none"/>
          <w:lang w:eastAsia="zh-CN"/>
        </w:rPr>
        <w:t xml:space="preserve">、以上所有人员要求身体健康、无传染性疾病、不接受病退或领取病残津贴人员。</w:t>
      </w:r>
      <w:r/>
    </w:p>
    <w:p>
      <w:pPr>
        <w:ind w:firstLine="435"/>
        <w:spacing w:line="36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7、</w:t>
      </w:r>
      <w:r>
        <w:rPr>
          <w:rFonts w:hint="eastAsia" w:ascii="宋体" w:hAnsi="宋体" w:eastAsia="宋体" w:cs="宋体"/>
          <w:b w:val="0"/>
          <w:bCs w:val="0"/>
          <w:i/>
          <w:iCs/>
          <w:color w:val="auto"/>
          <w:sz w:val="21"/>
          <w:szCs w:val="21"/>
          <w:highlight w:val="none"/>
          <w:u w:val="single"/>
          <w:lang w:eastAsia="zh-CN"/>
        </w:rPr>
        <w:t xml:space="preserve">如投标人享受税收优惠政策或符合相关政策法规，</w:t>
      </w:r>
      <w:r>
        <w:rPr>
          <w:rFonts w:hint="eastAsia" w:ascii="宋体" w:hAnsi="宋体" w:eastAsia="宋体" w:cs="宋体"/>
          <w:b w:val="0"/>
          <w:bCs w:val="0"/>
          <w:i/>
          <w:iCs/>
          <w:color w:val="auto"/>
          <w:sz w:val="21"/>
          <w:szCs w:val="21"/>
          <w:highlight w:val="none"/>
          <w:u w:val="single"/>
          <w:lang w:val="en-US" w:eastAsia="zh-CN"/>
        </w:rPr>
        <w:t xml:space="preserve">需</w:t>
      </w:r>
      <w:r>
        <w:rPr>
          <w:rFonts w:hint="eastAsia" w:ascii="宋体" w:hAnsi="宋体" w:eastAsia="宋体" w:cs="宋体"/>
          <w:b w:val="0"/>
          <w:bCs w:val="0"/>
          <w:i/>
          <w:iCs/>
          <w:color w:val="auto"/>
          <w:sz w:val="21"/>
          <w:szCs w:val="21"/>
          <w:highlight w:val="none"/>
          <w:u w:val="single"/>
          <w:lang w:eastAsia="zh-CN"/>
        </w:rPr>
        <w:t xml:space="preserve">提供</w:t>
      </w:r>
      <w:r>
        <w:rPr>
          <w:rFonts w:hint="eastAsia" w:ascii="宋体" w:hAnsi="宋体" w:eastAsia="宋体" w:cs="宋体"/>
          <w:b w:val="0"/>
          <w:bCs w:val="0"/>
          <w:i/>
          <w:iCs/>
          <w:color w:val="auto"/>
          <w:sz w:val="21"/>
          <w:szCs w:val="21"/>
          <w:highlight w:val="none"/>
          <w:u w:val="single"/>
          <w:lang w:val="en-US" w:eastAsia="zh-CN"/>
        </w:rPr>
        <w:t xml:space="preserve">国家税务总局查询截图以及其他</w:t>
      </w:r>
      <w:r>
        <w:rPr>
          <w:rFonts w:hint="eastAsia" w:ascii="宋体" w:hAnsi="宋体" w:eastAsia="宋体" w:cs="宋体"/>
          <w:b w:val="0"/>
          <w:bCs w:val="0"/>
          <w:i/>
          <w:iCs/>
          <w:color w:val="auto"/>
          <w:sz w:val="21"/>
          <w:szCs w:val="21"/>
          <w:highlight w:val="none"/>
          <w:u w:val="single"/>
          <w:lang w:eastAsia="zh-CN"/>
        </w:rPr>
        <w:t xml:space="preserve">相</w:t>
      </w:r>
      <w:r>
        <w:rPr>
          <w:rFonts w:hint="eastAsia" w:ascii="宋体" w:hAnsi="宋体" w:eastAsia="宋体" w:cs="宋体"/>
          <w:b w:val="0"/>
          <w:bCs w:val="0"/>
          <w:i/>
          <w:iCs/>
          <w:color w:val="auto"/>
          <w:sz w:val="21"/>
          <w:szCs w:val="21"/>
          <w:highlight w:val="none"/>
          <w:u w:val="single"/>
          <w:lang w:val="en-US" w:eastAsia="zh-CN"/>
        </w:rPr>
        <w:t xml:space="preserve">关税收减免</w:t>
      </w:r>
      <w:r>
        <w:rPr>
          <w:rFonts w:hint="eastAsia" w:ascii="宋体" w:hAnsi="宋体" w:eastAsia="宋体" w:cs="宋体"/>
          <w:b w:val="0"/>
          <w:bCs w:val="0"/>
          <w:i/>
          <w:iCs/>
          <w:color w:val="auto"/>
          <w:sz w:val="21"/>
          <w:szCs w:val="21"/>
          <w:highlight w:val="none"/>
          <w:u w:val="single"/>
          <w:lang w:eastAsia="zh-CN"/>
        </w:rPr>
        <w:t xml:space="preserve">证明材料。</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val="0"/>
          <w:iCs w:val="0"/>
          <w:color w:val="auto"/>
          <w:sz w:val="21"/>
          <w:szCs w:val="21"/>
          <w:highlight w:val="none"/>
          <w:u w:val="none"/>
          <w:lang w:eastAsia="zh-CN"/>
        </w:rPr>
        <w:t xml:space="preserve">。</w:t>
      </w:r>
      <w:r/>
    </w:p>
    <w:p>
      <w:pPr>
        <w:ind w:firstLine="435"/>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lang w:val="en-US" w:eastAsia="zh-CN"/>
        </w:rPr>
        <w:t xml:space="preserve">8、</w:t>
      </w:r>
      <w:r>
        <w:rPr>
          <w:rFonts w:hint="eastAsia" w:ascii="宋体" w:hAnsi="宋体" w:eastAsia="宋体" w:cs="宋体"/>
          <w:b w:val="0"/>
          <w:bCs w:val="0"/>
          <w:i w:val="0"/>
          <w:iCs w:val="0"/>
          <w:color w:val="auto"/>
          <w:sz w:val="21"/>
          <w:szCs w:val="21"/>
          <w:highlight w:val="none"/>
          <w:u w:val="none"/>
          <w:lang w:eastAsia="zh-CN"/>
        </w:rPr>
        <w:t xml:space="preserve">投标人拟投入人员若在一年内在其他项目享受过优惠政策抵扣报价的，不可在本项目重复使用。</w:t>
      </w:r>
      <w:r/>
    </w:p>
    <w:p>
      <w:pPr>
        <w:ind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到岗人数、到岗时间、操作流程，自然灾害、黄金周等旅游旺季、学生春秋游、重要接待、创建等重大活动应急能力、服务质量</w:t>
      </w:r>
      <w:r>
        <w:rPr>
          <w:rFonts w:hint="eastAsia" w:ascii="宋体" w:hAnsi="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符合采购文件要求、合同约定和投标承诺。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网格化管理方案</w:t>
      </w:r>
      <w:r>
        <w:rPr>
          <w:rFonts w:hint="eastAsia" w:ascii="宋体" w:hAnsi="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贯彻执行，网格表现</w:t>
      </w:r>
      <w:r>
        <w:rPr>
          <w:rFonts w:hint="eastAsia" w:ascii="宋体" w:hAnsi="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存在问题。</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白班：</w:t>
      </w:r>
      <w:r>
        <w:rPr>
          <w:rFonts w:hint="eastAsia" w:ascii="宋体" w:hAnsi="宋体" w:eastAsia="宋体" w:cs="宋体"/>
          <w:bCs/>
          <w:color w:val="auto"/>
          <w:sz w:val="21"/>
          <w:szCs w:val="21"/>
          <w:highlight w:val="none"/>
        </w:rPr>
        <w:t xml:space="preserve">7:30-17:30</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午休2小时</w:t>
      </w:r>
      <w:r>
        <w:rPr>
          <w:rFonts w:hint="eastAsia" w:ascii="宋体" w:hAnsi="宋体" w:eastAsia="宋体" w:cs="宋体"/>
          <w:bCs/>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晚班：17：00-21：30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休息0.5小时</w:t>
      </w:r>
      <w:r>
        <w:rPr>
          <w:rFonts w:hint="eastAsia" w:ascii="宋体" w:hAnsi="宋体" w:cs="宋体"/>
          <w:color w:val="auto"/>
          <w:sz w:val="21"/>
          <w:szCs w:val="21"/>
          <w:highlight w:val="none"/>
          <w:lang w:val="en-US" w:eastAsia="zh-CN"/>
        </w:rPr>
        <w:t xml:space="preserve">/1小时</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做六休一，要求法定节假日在岗。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季节变化景区作息时间调整时</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作息时间相应调整。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注：作息时间为采购人招标采购服务在岗时间要求，用工必须符合劳动法有关规定。</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firstLine="480"/>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1、投标人的办公设施由投标人根据需要自行配置。</w:t>
      </w:r>
      <w:r/>
    </w:p>
    <w:p>
      <w:pPr>
        <w:ind w:firstLine="48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2辆扫地</w:t>
      </w:r>
      <w:r>
        <w:rPr>
          <w:rFonts w:hint="eastAsia" w:ascii="宋体" w:hAnsi="宋体" w:eastAsia="宋体" w:cs="宋体"/>
          <w:b w:val="0"/>
          <w:bCs w:val="0"/>
          <w:i/>
          <w:iCs/>
          <w:color w:val="auto"/>
          <w:sz w:val="21"/>
          <w:szCs w:val="21"/>
          <w:highlight w:val="none"/>
          <w:u w:val="single"/>
        </w:rPr>
        <w:t xml:space="preserve">作业车（扫地工作面1.5M宽）、4辆清洁巡视车（单人电动车）、1辆垃圾清运车</w:t>
      </w:r>
      <w:r>
        <w:rPr>
          <w:rFonts w:hint="eastAsia" w:ascii="宋体" w:hAnsi="宋体" w:eastAsia="宋体" w:cs="宋体"/>
          <w:b/>
          <w:bCs/>
          <w:i/>
          <w:iCs/>
          <w:color w:val="auto"/>
          <w:sz w:val="21"/>
          <w:szCs w:val="21"/>
          <w:highlight w:val="none"/>
          <w:u w:val="single"/>
        </w:rPr>
        <w:t xml:space="preserve">（须提供相应设备的购买发票或租赁</w:t>
      </w:r>
      <w:r>
        <w:rPr>
          <w:rFonts w:hint="eastAsia" w:ascii="宋体" w:hAnsi="宋体" w:eastAsia="宋体" w:cs="宋体"/>
          <w:b/>
          <w:bCs/>
          <w:i/>
          <w:iCs/>
          <w:color w:val="auto"/>
          <w:sz w:val="21"/>
          <w:szCs w:val="21"/>
          <w:highlight w:val="none"/>
          <w:u w:val="single"/>
          <w:lang w:val="en-US" w:eastAsia="zh-CN"/>
        </w:rPr>
        <w:t xml:space="preserve">意向合同</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原件扫描上传）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、3台对讲机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4、投标人的</w:t>
      </w:r>
      <w:r>
        <w:rPr>
          <w:rFonts w:hint="eastAsia" w:ascii="宋体" w:hAnsi="宋体" w:eastAsia="宋体" w:cs="宋体"/>
          <w:color w:val="auto"/>
          <w:sz w:val="21"/>
          <w:szCs w:val="21"/>
          <w:highlight w:val="none"/>
        </w:rPr>
        <w:t xml:space="preserve">办公设施和全员统一服装</w:t>
      </w:r>
      <w:r>
        <w:rPr>
          <w:rFonts w:hint="eastAsia" w:ascii="宋体" w:hAnsi="宋体" w:eastAsia="宋体" w:cs="宋体"/>
          <w:color w:val="auto"/>
          <w:sz w:val="21"/>
          <w:szCs w:val="21"/>
          <w:highlight w:val="none"/>
          <w:lang w:val="en-US" w:eastAsia="zh-CN"/>
        </w:rPr>
        <w:t xml:space="preserve">由投标人根据需要和采购人要求自行配置</w:t>
      </w:r>
      <w:r>
        <w:rPr>
          <w:rFonts w:hint="eastAsia" w:ascii="宋体" w:hAnsi="宋体" w:eastAsia="宋体" w:cs="宋体"/>
          <w:color w:val="auto"/>
          <w:sz w:val="21"/>
          <w:szCs w:val="21"/>
          <w:highlight w:val="none"/>
        </w:rPr>
        <w:t xml:space="preserve">。</w:t>
      </w:r>
      <w:r/>
    </w:p>
    <w:p>
      <w:pPr>
        <w:numPr>
          <w:ilvl w:val="0"/>
          <w:numId w:val="0"/>
        </w:numPr>
        <w:ind w:firstLine="48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、日常耗材</w:t>
      </w:r>
      <w:r>
        <w:rPr>
          <w:rFonts w:hint="eastAsia" w:ascii="宋体" w:hAnsi="宋体" w:cs="宋体"/>
          <w:i/>
          <w:iCs/>
          <w:color w:val="auto"/>
          <w:sz w:val="21"/>
          <w:szCs w:val="21"/>
          <w:highlight w:val="none"/>
          <w:u w:val="single"/>
          <w:lang w:val="en-US" w:eastAsia="zh-CN"/>
        </w:rPr>
        <w:t xml:space="preserve">（不含各类纸巾）及污水清运服务</w:t>
      </w:r>
      <w:r>
        <w:rPr>
          <w:rFonts w:hint="eastAsia" w:ascii="宋体" w:hAnsi="宋体" w:eastAsia="宋体" w:cs="宋体"/>
          <w:i/>
          <w:iCs/>
          <w:color w:val="auto"/>
          <w:sz w:val="21"/>
          <w:szCs w:val="21"/>
          <w:highlight w:val="none"/>
          <w:u w:val="single"/>
        </w:rPr>
        <w:t xml:space="preserve">由投标人提供</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所需费用包含在投标总价中。</w:t>
      </w:r>
      <w:r/>
    </w:p>
    <w:p>
      <w:pPr>
        <w:jc w:val="center"/>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服务耗材及污水清运服务</w:t>
      </w:r>
      <w:r>
        <w:rPr>
          <w:rFonts w:hint="eastAsia" w:ascii="宋体" w:hAnsi="宋体" w:cs="宋体"/>
          <w:b/>
          <w:bCs/>
          <w:color w:val="auto"/>
          <w:sz w:val="21"/>
          <w:szCs w:val="21"/>
          <w:highlight w:val="none"/>
          <w:lang w:val="en-US" w:eastAsia="zh-CN"/>
        </w:rPr>
        <w:t xml:space="preserve">清单</w:t>
      </w:r>
      <w:r/>
    </w:p>
    <w:tbl>
      <w:tblPr>
        <w:tblStyle w:val="774"/>
        <w:tblW w:w="80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2284"/>
        <w:gridCol w:w="720"/>
        <w:gridCol w:w="980"/>
        <w:gridCol w:w="1110"/>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50*60CM，20只/卷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60*80CM，15只/卷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80*100CM，10只/卷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100卷/箱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三件套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环境管护用30*70CM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4瓶/箱</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空气清新剂（固体）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jc w:val="center"/>
        <w:spacing w:line="360" w:lineRule="auto"/>
        <w:rPr>
          <w:rFonts w:hint="default"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、服务标准</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内容：</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服务区域内的</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、专项</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场馆内</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、垃圾和杂物收集和清运、病虫害的防治</w:t>
      </w:r>
      <w:r>
        <w:rPr>
          <w:rFonts w:hint="eastAsia" w:ascii="宋体" w:hAnsi="宋体" w:eastAsia="宋体" w:cs="宋体"/>
          <w:color w:val="auto"/>
          <w:sz w:val="21"/>
          <w:szCs w:val="21"/>
          <w:highlight w:val="none"/>
          <w:lang w:eastAsia="zh-CN"/>
        </w:rPr>
        <w:t xml:space="preserve">及灭杀。</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）维护服务区域内卫生间的洗手液等卫生用品的正常使用。</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）服务区域内公共区域的突发疫情的防控、消杀常态化管理。</w:t>
      </w:r>
      <w:r/>
    </w:p>
    <w:p>
      <w:pPr>
        <w:ind w:firstLine="48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）重要节日、重要节点、重要接待及大型活动管理保障工作。</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5）恶劣天气保障、应急环境事件处置。</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景区内</w:t>
      </w:r>
      <w:r>
        <w:rPr>
          <w:rFonts w:hint="eastAsia" w:ascii="宋体" w:hAnsi="宋体" w:eastAsia="宋体" w:cs="宋体"/>
          <w:color w:val="auto"/>
          <w:sz w:val="21"/>
          <w:szCs w:val="21"/>
          <w:highlight w:val="none"/>
          <w:lang w:val="en-US" w:eastAsia="zh-CN"/>
        </w:rPr>
        <w:t xml:space="preserve">湖泊、</w:t>
      </w:r>
      <w:r>
        <w:rPr>
          <w:rFonts w:hint="default" w:ascii="宋体" w:hAnsi="宋体" w:eastAsia="宋体" w:cs="宋体"/>
          <w:color w:val="auto"/>
          <w:sz w:val="21"/>
          <w:szCs w:val="21"/>
          <w:highlight w:val="none"/>
          <w:lang w:val="en-US" w:eastAsia="zh-CN"/>
        </w:rPr>
        <w:t xml:space="preserve">景观溪流、亲水平台、临水绿化带、救生配套设施</w:t>
      </w:r>
      <w:r>
        <w:rPr>
          <w:rFonts w:hint="eastAsia" w:ascii="宋体" w:hAnsi="宋体" w:eastAsia="宋体" w:cs="宋体"/>
          <w:color w:val="auto"/>
          <w:sz w:val="21"/>
          <w:szCs w:val="21"/>
          <w:highlight w:val="none"/>
          <w:lang w:val="en-US" w:eastAsia="zh-CN"/>
        </w:rPr>
        <w:t xml:space="preserve">等管护工作。</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服务</w:t>
      </w:r>
      <w:r>
        <w:rPr>
          <w:rFonts w:hint="default" w:ascii="宋体" w:hAnsi="宋体" w:eastAsia="宋体" w:cs="宋体"/>
          <w:color w:val="auto"/>
          <w:sz w:val="21"/>
          <w:szCs w:val="21"/>
          <w:highlight w:val="none"/>
          <w:lang w:val="en-US" w:eastAsia="zh-CN"/>
        </w:rPr>
        <w:t xml:space="preserve">范围内</w:t>
      </w:r>
      <w:r>
        <w:rPr>
          <w:rFonts w:hint="eastAsia" w:ascii="宋体" w:hAnsi="宋体" w:cs="宋体"/>
          <w:color w:val="auto"/>
          <w:sz w:val="21"/>
          <w:szCs w:val="21"/>
          <w:highlight w:val="none"/>
          <w:lang w:val="en-US" w:eastAsia="zh-CN"/>
        </w:rPr>
        <w:t xml:space="preserve">公共设施、</w:t>
      </w:r>
      <w:r>
        <w:rPr>
          <w:rFonts w:hint="default" w:ascii="宋体" w:hAnsi="宋体" w:eastAsia="宋体" w:cs="宋体"/>
          <w:color w:val="auto"/>
          <w:sz w:val="21"/>
          <w:szCs w:val="21"/>
          <w:highlight w:val="none"/>
          <w:lang w:val="en-US" w:eastAsia="zh-CN"/>
        </w:rPr>
        <w:t xml:space="preserve">电气设施、户外亮化、游客配套用电设备</w:t>
      </w:r>
      <w:r>
        <w:rPr>
          <w:rFonts w:hint="eastAsia" w:ascii="宋体" w:hAnsi="宋体" w:cs="宋体"/>
          <w:color w:val="auto"/>
          <w:sz w:val="21"/>
          <w:szCs w:val="21"/>
          <w:highlight w:val="none"/>
          <w:lang w:val="en-US" w:eastAsia="zh-CN"/>
        </w:rPr>
        <w:t xml:space="preserve">等</w:t>
      </w:r>
      <w:r>
        <w:rPr>
          <w:rFonts w:hint="default" w:ascii="宋体" w:hAnsi="宋体" w:eastAsia="宋体" w:cs="宋体"/>
          <w:color w:val="auto"/>
          <w:sz w:val="21"/>
          <w:szCs w:val="21"/>
          <w:highlight w:val="none"/>
          <w:lang w:val="en-US" w:eastAsia="zh-CN"/>
        </w:rPr>
        <w:t xml:space="preserve">的日常运维、巡检、应急保电作业</w:t>
      </w:r>
      <w:r>
        <w:rPr>
          <w:rFonts w:hint="eastAsia" w:ascii="宋体" w:hAnsi="宋体" w:cs="宋体"/>
          <w:color w:val="auto"/>
          <w:sz w:val="21"/>
          <w:szCs w:val="21"/>
          <w:highlight w:val="none"/>
          <w:lang w:val="en-US" w:eastAsia="zh-CN"/>
        </w:rPr>
        <w:t xml:space="preserve">。</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标准</w:t>
      </w:r>
      <w:r/>
    </w:p>
    <w:p>
      <w:pPr>
        <w:ind w:firstLine="48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）日常</w:t>
      </w:r>
      <w:r>
        <w:rPr>
          <w:rFonts w:hint="eastAsia" w:ascii="宋体" w:hAnsi="宋体" w:cs="宋体"/>
          <w:b/>
          <w:bCs/>
          <w:color w:val="auto"/>
          <w:sz w:val="21"/>
          <w:szCs w:val="21"/>
          <w:highlight w:val="none"/>
          <w:lang w:eastAsia="zh-CN"/>
        </w:rPr>
        <w:t xml:space="preserve">环境管护</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作业标准、工作流程实现标准化操作。</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环境管护</w:t>
      </w:r>
      <w:r>
        <w:rPr>
          <w:rFonts w:hint="eastAsia" w:ascii="宋体" w:hAnsi="宋体" w:eastAsia="宋体" w:cs="宋体"/>
          <w:color w:val="auto"/>
          <w:sz w:val="21"/>
          <w:szCs w:val="21"/>
          <w:highlight w:val="none"/>
        </w:rPr>
        <w:t xml:space="preserve">员应按公司规定统一着装，佩</w:t>
      </w:r>
      <w:r>
        <w:rPr>
          <w:rFonts w:hint="eastAsia" w:ascii="宋体" w:hAnsi="宋体" w:eastAsia="宋体" w:cs="宋体"/>
          <w:color w:val="auto"/>
          <w:sz w:val="21"/>
          <w:szCs w:val="21"/>
          <w:highlight w:val="none"/>
          <w:lang w:val="en-US" w:eastAsia="zh-CN"/>
        </w:rPr>
        <w:t xml:space="preserve">戴</w:t>
      </w:r>
      <w:r>
        <w:rPr>
          <w:rFonts w:hint="eastAsia" w:ascii="宋体" w:hAnsi="宋体" w:eastAsia="宋体" w:cs="宋体"/>
          <w:color w:val="auto"/>
          <w:sz w:val="21"/>
          <w:szCs w:val="21"/>
          <w:highlight w:val="none"/>
        </w:rPr>
        <w:t xml:space="preserve">工号牌，仪容仪表整洁端庄。</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敬业爱岗，爱护公共设施及相关财物。杜绝浪费，节约能源。</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应保持路面基本无积水、油污、垃圾。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绿化带无白色垃圾。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水池应保持水面质清澈。</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水景水面的无漂浮物，保持水面清洁。</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照明灯具（包括应急灯）应保持清洁明亮，灯具无积尘。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灯罩应明亮，无灰尘和蜘蛛网。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各楼层的风机和风口百叶窗无积尘、油垢和蜘蛛网。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消防排烟装置、报警装置和外露管道应无积尘和污迹。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消火栓箱玻璃应清洁明亮，箱内和消防带、水嘴、阀门无积尘。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门前及墙面应保持光滑、光亮，无水迹和灰尘。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台阶应保持清洁，无纸屑、痰迹和污迹。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垃圾放置处应定期消毒，保持干净、卫生，周边无垃圾、蚊蝇和臭味。</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外围场地应保持干净、平整，无积水、残叶和垃圾。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门前无泥沙，花坛内无烟蒂、杂物，走道和路边无废弃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卫生间镜面应明净，无水迹、指印和雾水。</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台盆和台面应有光泽，无积垢、锈迹、皂迹和毛发。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面池水龙头应保持光亮，无水迹、皂迹和污垢。</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便斗内应放置卫生球，无黄斑、锈迹和污垢。</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坐便器、大便池外部无污垢，内部无黄斑。便盖无水迹和污迹。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废纸篓无污迹和臭味。</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室内地面无污秽物、水迹和脚印。</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茶水篮内无茶叶残杂物，茶水桶无异味散发。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垃圾桶内垃圾不得超过桶口，桶表面无污迹，桶内无积水和异味散发。</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座椅应保持清洁，无水迹和污迹。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烟灰缸表面无积垢，缸内烟蒂不超过五个。</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地面应保持整洁，花盆内无烟蒂、杂物，绿叶无浮灰。</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外墙立面保持材料原有光泽，无积灰和污迹。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确保下雪及雪后的出行方便，并在相应场所悬挂安全提示标识。 </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大门出入口等重要部位的雪要求随时清理，使车道不存有积雪，随下随清，保证出入的安全。</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余部位要求雪停后立即清扫。出行的必经道路应在四小时内清理干净；屋面积雪的清理，以保证屋面不渗漏为原则，要求雪停后立即清扫，如果雨夹雪，边下边化，则应随下随扫，确保屋面不积水，排气排水管处无积雪。</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雪后四小时，出行必经通道清除1米宽，门前无雪覆盖。</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大门、停车场通道及停车场坡道无雪覆盖。</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照扬州市垃圾分类管理规定处置垃圾。</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红色步道、蓝色步道和太子岗道路两侧10米内不能有落叶积落，遇有落叶时及时清扫。</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）公共区域突发疫情防控</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对随意吐痰、乱扔垃圾等游客不文明行为要予以文明劝导。</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定期组织疫情防控培训和演练，并请相关专家参与及指导。</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定期全园消毒，确保安全的游览环境。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公共区域保持通风良好，保证自然通风条件和空气质量。</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旅游景区垃圾箱（桶）实行“一日两清理两消毒”制度，保持区内环境整洁。</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卫生设施完善，配备洗手液，并确保供水正常和烘干机正常使用。坐、便池、洗手台、把手等清洁后用消毒水消毒，地漏每天用消毒水冲洗。</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遇突发疫情</w:t>
      </w:r>
      <w:r>
        <w:rPr>
          <w:rFonts w:hint="eastAsia" w:ascii="宋体" w:hAnsi="宋体" w:eastAsia="宋体" w:cs="宋体"/>
          <w:color w:val="auto"/>
          <w:sz w:val="21"/>
          <w:szCs w:val="21"/>
          <w:highlight w:val="none"/>
          <w:lang w:val="en-US" w:eastAsia="zh-CN"/>
        </w:rPr>
        <w:t xml:space="preserve">随</w:t>
      </w:r>
      <w:r>
        <w:rPr>
          <w:rFonts w:hint="eastAsia" w:ascii="宋体" w:hAnsi="宋体" w:eastAsia="宋体" w:cs="宋体"/>
          <w:color w:val="auto"/>
          <w:sz w:val="21"/>
          <w:szCs w:val="21"/>
          <w:highlight w:val="none"/>
        </w:rPr>
        <w:t xml:space="preserve">时按照政府颁发的有关管理规定执行。</w:t>
      </w:r>
      <w:r/>
    </w:p>
    <w:p>
      <w:pPr>
        <w:ind w:firstLine="480"/>
        <w:pageBreakBefore w:val="0"/>
        <w:spacing w:line="360" w:lineRule="auto"/>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水域管护</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default" w:ascii="宋体" w:hAnsi="宋体" w:eastAsia="宋体" w:cs="宋体"/>
          <w:color w:val="auto"/>
          <w:sz w:val="21"/>
          <w:szCs w:val="21"/>
          <w:highlight w:val="none"/>
          <w:lang w:val="en-US" w:eastAsia="zh-CN"/>
        </w:rPr>
        <w:t xml:space="preserve">清理水面落叶、枯枝、塑料包装袋、食品残渣、游客丢弃的渔具、浮萍、水绵、死鱼、藻类浮渣</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暴雨、大风天气结束后2小时内完成全域水面突击清漂。</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rPr>
          <w:rFonts w:hint="default" w:ascii="宋体" w:hAnsi="宋体" w:eastAsia="宋体" w:cs="宋体"/>
          <w:color w:val="auto"/>
          <w:sz w:val="21"/>
          <w:szCs w:val="21"/>
          <w:highlight w:val="none"/>
          <w:lang w:val="en-US" w:eastAsia="zh-CN"/>
        </w:rPr>
        <w:t xml:space="preserve">清理水域岸线0-2米范围内淤泥、泥沙、建筑垃圾、游客丢弃垃圾；每周冲洗亲水平台、滨水栈道、挡水石坎、护栏底座水渍、青苔。</w:t>
      </w:r>
      <w:r/>
    </w:p>
    <w:p>
      <w:pPr>
        <w:ind w:firstLine="48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rPr>
          <w:rFonts w:hint="default" w:ascii="宋体" w:hAnsi="宋体" w:eastAsia="宋体" w:cs="宋体"/>
          <w:color w:val="auto"/>
          <w:sz w:val="21"/>
          <w:szCs w:val="21"/>
          <w:highlight w:val="none"/>
          <w:lang w:val="en-US" w:eastAsia="zh-CN"/>
        </w:rPr>
        <w:t xml:space="preserve">对全域临水设施逐项点检，包含临水防护护栏、救生圈、救生绳、救生杆、应急照明灯、水深警示标识、禁止戏水标识、防滑警示牌、水域监控盲区</w:t>
      </w:r>
      <w:r>
        <w:rPr>
          <w:rFonts w:hint="eastAsia" w:ascii="宋体" w:hAnsi="宋体" w:cs="宋体"/>
          <w:color w:val="auto"/>
          <w:sz w:val="21"/>
          <w:szCs w:val="21"/>
          <w:highlight w:val="none"/>
          <w:lang w:val="en-US" w:eastAsia="zh-CN"/>
        </w:rPr>
        <w:t xml:space="preserve">。</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w:t>
      </w:r>
      <w:r>
        <w:rPr>
          <w:rFonts w:hint="default" w:ascii="宋体" w:hAnsi="宋体" w:eastAsia="宋体" w:cs="宋体"/>
          <w:color w:val="auto"/>
          <w:sz w:val="21"/>
          <w:szCs w:val="21"/>
          <w:highlight w:val="none"/>
          <w:lang w:val="en-US" w:eastAsia="zh-CN"/>
        </w:rPr>
        <w:t xml:space="preserve">擦拭标识牌污渍，紧固松动护栏螺丝；</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rPr>
          <w:rFonts w:hint="default" w:ascii="宋体" w:hAnsi="宋体" w:eastAsia="宋体" w:cs="宋体"/>
          <w:color w:val="auto"/>
          <w:sz w:val="21"/>
          <w:szCs w:val="21"/>
          <w:highlight w:val="none"/>
          <w:lang w:val="en-US" w:eastAsia="zh-CN"/>
        </w:rPr>
        <w:t xml:space="preserve">检查救生器材有效期、完好度，缺失、破损24小时内上报景区甲方并完成增补更换；</w:t>
      </w:r>
      <w:r/>
    </w:p>
    <w:p>
      <w:pPr>
        <w:ind w:firstLine="48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（3.6）</w:t>
      </w:r>
      <w:r>
        <w:rPr>
          <w:rFonts w:hint="default" w:ascii="宋体" w:hAnsi="宋体" w:eastAsia="宋体" w:cs="宋体"/>
          <w:color w:val="auto"/>
          <w:sz w:val="21"/>
          <w:szCs w:val="21"/>
          <w:highlight w:val="none"/>
          <w:lang w:val="en-US" w:eastAsia="zh-CN"/>
        </w:rPr>
        <w:t xml:space="preserve">巡查临水栈道木板锈蚀、缝隙空鼓情况。</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（3.7）</w:t>
      </w:r>
      <w:r>
        <w:rPr>
          <w:rFonts w:hint="default" w:ascii="宋体" w:hAnsi="宋体" w:eastAsia="宋体" w:cs="宋体"/>
          <w:color w:val="auto"/>
          <w:sz w:val="21"/>
          <w:szCs w:val="21"/>
          <w:highlight w:val="none"/>
          <w:lang w:val="en-US" w:eastAsia="zh-CN"/>
        </w:rPr>
        <w:t xml:space="preserve">在亲水平台等游客易靠近点位定点值守劝导；劝阻游客翻越护栏、下水游泳、涉水捕鱼、投喂过量饵料、向水域抛掷杂物、攀爬挡水石坎等危险违规行为；针对老人、儿童、醉酒游客重点盯防，主动提醒临水安全风险；节假日客流高峰加密临水点位巡逻频次。</w:t>
      </w:r>
      <w:r/>
    </w:p>
    <w:p>
      <w:pPr>
        <w:ind w:firstLine="48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电工服务</w:t>
      </w:r>
      <w:r/>
    </w:p>
    <w:p>
      <w:pPr>
        <w:ind w:firstLine="480"/>
        <w:pageBreakBefore w:val="0"/>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严格遵循《建筑电气工程施工质量验收规范》《旅游景区安全管理规范》《低压配电设计规范》</w:t>
      </w:r>
      <w:r>
        <w:rPr>
          <w:rFonts w:hint="eastAsia" w:ascii="宋体" w:hAnsi="宋体" w:eastAsia="宋体" w:cs="宋体"/>
          <w:color w:val="auto"/>
          <w:sz w:val="21"/>
          <w:szCs w:val="21"/>
          <w:highlight w:val="none"/>
          <w:lang w:val="en-US" w:eastAsia="zh-CN"/>
        </w:rPr>
        <w:t xml:space="preserve">等国家规范，</w:t>
      </w:r>
      <w:r>
        <w:rPr>
          <w:rFonts w:hint="default" w:ascii="宋体" w:hAnsi="宋体" w:eastAsia="宋体" w:cs="宋体"/>
          <w:color w:val="auto"/>
          <w:sz w:val="21"/>
          <w:szCs w:val="21"/>
          <w:highlight w:val="none"/>
          <w:lang w:val="en-US" w:eastAsia="zh-CN"/>
        </w:rPr>
        <w:t xml:space="preserve">统一穿着工装、佩戴工牌、绝缘劳保全套装备，进入游客游览区域作业时设置标准化安全围挡、警示标识，避开游客高峰时段占道作业，不得与游客发生争执，作业产生线缆、废料当日清理完毕。</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、消防安全责任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供应商须做好自身的消防安全工作，加强全体服务人员消防安全教育，全体员工应了解和掌握基本的消防安全知识和技能，积极参与消防安全教育培训，自觉遵守消防安全规定，及时报告火险隐患，配合做好灭火救援等工作。建立健全消防安全责任制，对自身服务范围内的消防安全承担责任。</w:t>
      </w:r>
      <w:r/>
    </w:p>
    <w:p>
      <w:pPr>
        <w:ind w:firstLine="48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企业法定代表人是安全生产的第一责任人，对安全生产工作全面负责，负责建立健全安全生产责任制，并确保得到有效执行。</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负责组织制定和实施安全生产规章制度、操作规程，保证安全生产资金投入，提供必要的安全生产条件。</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组织制定并实施安全生产教育和培训计划，组织应急预案的制定和演练。</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各级管理人员的安全生产责任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谁主管，谁负责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的原则，各级管理层对应其分管业务范围内的安全工作承担责任，包括执行安全生产法律法规、监督规章制度执行情况、纠正违章行为等。</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在日常管理工作中做到“五同时”，即在计划、布置、检查、总结、评比生产的时候，同时考虑和落实安全工作。</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岗位及员工的安全生产责任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按照岗位职责履行安全生产义务，遵守安全操作规程，参与安全培训，发现隐患及时报告，采取必要措施避免事故的发生。</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安全生产目标责任</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明确具体的安全生产量化指标，如无重特大及死亡事故、工伤事故降低到一定标准之下、火灾事故为零等。</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8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生态环境综合服务</w:t>
      </w:r>
      <w:r>
        <w:rPr>
          <w:rFonts w:hint="eastAsia" w:ascii="宋体" w:hAnsi="宋体" w:eastAsia="宋体" w:cs="宋体"/>
          <w:b/>
          <w:color w:val="auto"/>
          <w:sz w:val="21"/>
          <w:szCs w:val="21"/>
          <w:highlight w:val="none"/>
        </w:rPr>
        <w:t xml:space="preserve">考核办法：</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考核要求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采购人分管部门负责对中标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工作进行验收考核，依据采购文件有关规定和合同约定，遵循公开、公平、公正的原则采用服务标准量化形式考核评分。每月考核结果由采购人分管部门以书面形式通知中标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、考核方法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、考核评分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考核分数由定期考核得分与巡查考核得分综合组成，定期考核得分占综合得分50%，巡查考核得分占总综合得分50%。</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考核总分100分，考核得分95分以上不扣服务费；考核得分低于95分时，每低1分扣月基本费的1%。</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年度考核中有三次分值低于</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分的，或有两次分值低于85分的，或有一次分值低于80分的，</w:t>
      </w:r>
      <w:r>
        <w:rPr>
          <w:rFonts w:hint="eastAsia" w:ascii="宋体" w:hAnsi="宋体" w:cs="宋体"/>
          <w:color w:val="auto"/>
          <w:szCs w:val="21"/>
          <w:highlight w:val="none"/>
        </w:rPr>
        <w:t xml:space="preserve">中标人需视情节和影响严重程度另行承担合同价的2%-5%的违约金，采购人在应付费用中扣除</w:t>
      </w:r>
      <w:r>
        <w:rPr>
          <w:rFonts w:hint="eastAsia" w:ascii="宋体" w:hAnsi="宋体" w:eastAsia="宋体" w:cs="宋体"/>
          <w:color w:val="auto"/>
          <w:sz w:val="21"/>
          <w:szCs w:val="21"/>
          <w:highlight w:val="none"/>
        </w:rPr>
        <w:t xml:space="preserve">。</w:t>
      </w:r>
      <w:r/>
    </w:p>
    <w:p>
      <w:pPr>
        <w:pStyle w:val="78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lang w:val="en-US" w:eastAsia="zh-CN"/>
        </w:rPr>
        <w:t xml:space="preserve">月度考核有三次低于80分，除按得分扣除基本费用的比例和承担合同价的2%-5%的违约金外，采购人可提前终止合同，且不承担任何违约责任，中标供应商应在收到书面通知后，5个工作日内无条件撤场。</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对于考核中发现的问题，必须及时整改，整改到位后，方可核发服务费用，服务费的核发标准仍按上述第3-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8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本办法解释权归扬州市宋夹城风景区管理处。</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考核细则</w:t>
      </w:r>
      <w:r>
        <w:rPr>
          <w:rFonts w:hint="eastAsia" w:ascii="宋体" w:hAnsi="宋体" w:cs="宋体"/>
          <w:b/>
          <w:bCs/>
          <w:color w:val="auto"/>
          <w:sz w:val="21"/>
          <w:szCs w:val="21"/>
          <w:highlight w:val="none"/>
          <w:lang w:val="en-US" w:eastAsia="zh-CN"/>
        </w:rPr>
        <w:t xml:space="preserve">（公司考核）</w:t>
      </w:r>
      <w:r/>
    </w:p>
    <w:tbl>
      <w:tblPr>
        <w:tblStyle w:val="800"/>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506"/>
        <w:gridCol w:w="3216"/>
        <w:gridCol w:w="877"/>
        <w:gridCol w:w="1763"/>
        <w:gridCol w:w="757"/>
      </w:tblGrid>
      <w:tr>
        <w:trPr>
          <w:jc w:val="center"/>
          <w:trHeight w:val="0"/>
          <w:tblHeader/>
        </w:trPr>
        <w:tc>
          <w:tcPr>
            <w:tcW w:w="757"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757"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基本要求（60分）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景区生态环境综合服务管理秩序良好、安全文明、环境整洁，与安保、绿化配合良好。</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配合不到位每发生一次扣1分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有生态环境综合服务方案并根据景区要求适时修改完善，各岗位有作业规范和工作流程。</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人员持证与培训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所有人员上岗前必须进行安全培训和业务培训，所有服务人员均持证上岗。</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每发现1人未持证或未培训扣1分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工作态度与文明作业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员工工作态度端正，积极主动负责，文明作业，精神状态饱满。</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统一着装、整洁、规范，无抽烟、酒后作业。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自身消防安全、安全生产方案齐全、措施到位，安全无事故。</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符合服务承诺、采购文件要求、合同约定和景观管理有关规定。</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疫情防控与消杀</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遇突发疫情防控、消杀常态化，方案合理，措施到位。</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流于形式、疏于检查，每发现一次扣1分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每违反一次扣2分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应急预案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雨雪季、旅游旺季、突发事件应急预案措施得当，预案组织架构反映公司层面负责制。</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服务管理质量（40分）</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地面</w:t>
            </w:r>
            <w:r>
              <w:rPr>
                <w:rFonts w:hint="eastAsia" w:ascii="宋体" w:hAnsi="宋体" w:eastAsia="宋体" w:cs="宋体"/>
                <w:color w:val="auto"/>
                <w:sz w:val="21"/>
                <w:szCs w:val="21"/>
                <w:highlight w:val="none"/>
                <w:lang w:eastAsia="zh-CN"/>
              </w:rPr>
              <w:t xml:space="preserve">环境维护</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景区室内外地面整洁，无纸屑、杂物、烟头、积水，垃圾桶清洁。</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每处扣0.5分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特殊天气应急</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特殊天气反应迅速，应急处置效果良好。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 </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未及时响应或处置不当每次扣1分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15</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卫生间</w:t>
            </w:r>
            <w:r>
              <w:rPr>
                <w:rFonts w:hint="eastAsia" w:ascii="宋体" w:hAnsi="宋体" w:eastAsia="宋体" w:cs="宋体"/>
                <w:color w:val="auto"/>
                <w:sz w:val="21"/>
                <w:szCs w:val="21"/>
                <w:highlight w:val="none"/>
                <w:lang w:eastAsia="zh-CN"/>
              </w:rPr>
              <w:t xml:space="preserve">环境维护</w:t>
            </w:r>
            <w:r>
              <w:rPr>
                <w:rFonts w:hint="eastAsia" w:ascii="宋体" w:hAnsi="宋体" w:eastAsia="宋体" w:cs="宋体"/>
                <w:color w:val="auto"/>
                <w:sz w:val="21"/>
                <w:szCs w:val="21"/>
                <w:highlight w:val="none"/>
              </w:rPr>
              <w:t xml:space="preserve">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门窗、镜面、卫生洁具定期清洁，保持洁净无污渍无异味。</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每处扣0.5分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公共设施管护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定期对公共部位、公共设施进行卫生环境管护（广告牌、照明、消火栓等），无灰尘污垢、斑点，无卫生死角。</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每处扣0.5分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灭四害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定期灭四害，无蚊蝇孳生场所，无鼠害。检查每次杀虫、打药做详细登记记录存档。</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未</w:t>
            </w:r>
            <w:r>
              <w:rPr>
                <w:rFonts w:hint="eastAsia" w:ascii="宋体" w:hAnsi="宋体" w:eastAsia="宋体" w:cs="宋体"/>
                <w:color w:val="auto"/>
                <w:sz w:val="21"/>
                <w:szCs w:val="21"/>
                <w:highlight w:val="none"/>
              </w:rPr>
              <w:t xml:space="preserve">按规定处置每次扣1分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垃圾清运</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按规定时段环境管护，垃圾日产日清（检查环境管护时间、区域、责任人）。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每次扣1分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交接班记录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重点部位卫生环境管护交接班记录规范。</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每处扣0.5分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797"/>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消杀规范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消杀符合环境管护卫生防护规范，有方案、有记录，不流于形式。</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每次扣0.5分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rPr>
              <w:t xml:space="preserve">因管理不当的加扣分项</w:t>
            </w:r>
            <w:r/>
          </w:p>
          <w:p>
            <w:pPr>
              <w:numPr>
                <w:ilvl w:val="0"/>
                <w:numId w:val="0"/>
              </w:numPr>
              <w:ind w:right="0"/>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（在总分基础上直接扣减</w:t>
            </w:r>
            <w:r>
              <w:rPr>
                <w:rFonts w:hint="eastAsia" w:ascii="宋体" w:hAnsi="宋体" w:eastAsia="宋体" w:cs="宋体"/>
                <w:b/>
                <w:bCs/>
                <w:color w:val="auto"/>
                <w:sz w:val="21"/>
                <w:szCs w:val="21"/>
                <w:highlight w:val="none"/>
                <w:lang w:eastAsia="zh-CN"/>
              </w:rPr>
              <w:t xml:space="preserve">）</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21</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与安保、绿化等其他服务单位配合不到位，遇事推诿，影响景区声誉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 </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经媒体曝光</w:t>
            </w:r>
            <w:r>
              <w:rPr>
                <w:rFonts w:hint="eastAsia" w:ascii="宋体" w:hAnsi="宋体" w:eastAsia="宋体" w:cs="宋体"/>
                <w:color w:val="auto"/>
                <w:sz w:val="21"/>
                <w:szCs w:val="21"/>
                <w:highlight w:val="none"/>
                <w:lang w:val="en-US" w:eastAsia="zh-CN"/>
              </w:rPr>
              <w:t xml:space="preserve">或投诉</w:t>
            </w:r>
            <w:r>
              <w:rPr>
                <w:rFonts w:hint="eastAsia" w:ascii="宋体" w:hAnsi="宋体" w:eastAsia="宋体" w:cs="宋体"/>
                <w:color w:val="auto"/>
                <w:sz w:val="21"/>
                <w:szCs w:val="21"/>
                <w:highlight w:val="none"/>
              </w:rPr>
              <w:t xml:space="preserve">查实负面事件</w:t>
            </w:r>
            <w:r/>
          </w:p>
        </w:tc>
        <w:tc>
          <w:tcPr>
            <w:shd w:val="clear" w:color="auto" w:fill="auto"/>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每次加扣5分</w:t>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严重消极怠工，服务质量特别差</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因管理不善员工打架斗殴闹事造成不良影响 </w:t>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扣5分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26</w:t>
            </w:r>
            <w:r/>
          </w:p>
        </w:tc>
        <w:tc>
          <w:tcPr>
            <w:tcW w:w="150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w:t>
            </w:r>
            <w:r/>
          </w:p>
        </w:tc>
        <w:tc>
          <w:tcPr>
            <w:tcW w:w="87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1763"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757"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：宋夹城景区</w:t>
      </w:r>
      <w:r>
        <w:rPr>
          <w:rFonts w:hint="eastAsia" w:ascii="宋体" w:hAnsi="宋体" w:cs="宋体"/>
          <w:b/>
          <w:bCs/>
          <w:color w:val="auto"/>
          <w:sz w:val="21"/>
          <w:szCs w:val="21"/>
          <w:highlight w:val="none"/>
          <w:lang w:eastAsia="zh-CN"/>
        </w:rPr>
        <w:t xml:space="preserve">生态环境综合服务</w:t>
      </w:r>
      <w:r>
        <w:rPr>
          <w:rFonts w:hint="eastAsia" w:ascii="宋体" w:hAnsi="宋体" w:eastAsia="宋体" w:cs="宋体"/>
          <w:b/>
          <w:bCs/>
          <w:color w:val="auto"/>
          <w:sz w:val="21"/>
          <w:szCs w:val="21"/>
          <w:highlight w:val="none"/>
        </w:rPr>
        <w:t xml:space="preserve">考核细则</w:t>
      </w:r>
      <w:r>
        <w:rPr>
          <w:rFonts w:hint="eastAsia" w:ascii="宋体" w:hAnsi="宋体" w:cs="宋体"/>
          <w:b/>
          <w:bCs/>
          <w:color w:val="auto"/>
          <w:sz w:val="21"/>
          <w:szCs w:val="21"/>
          <w:highlight w:val="none"/>
          <w:lang w:val="en-US" w:eastAsia="zh-CN"/>
        </w:rPr>
        <w:t xml:space="preserve">（个人考核）</w:t>
      </w:r>
      <w:r/>
    </w:p>
    <w:tbl>
      <w:tblPr>
        <w:tblStyle w:val="774"/>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ind w:firstLine="482"/>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、相关要求</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1、合同期满前5天，做好人员和所配设备离场工作，做好资料交接工作；必须清理合同期内各种债权债务，与采购人进行资产交接。</w:t>
      </w:r>
      <w:r/>
    </w:p>
    <w:p>
      <w:pPr>
        <w:ind w:firstLine="480"/>
        <w:pageBreakBefore w:val="0"/>
        <w:spacing w:line="360" w:lineRule="auto"/>
        <w:rPr>
          <w:rFonts w:hint="eastAsia" w:ascii="宋体" w:hAnsi="宋体" w:eastAsia="宋体" w:cs="宋体"/>
          <w:b/>
          <w:i/>
          <w:color w:val="auto"/>
          <w:sz w:val="21"/>
          <w:szCs w:val="21"/>
          <w:highlight w:val="none"/>
          <w:u w:val="single"/>
        </w:rPr>
      </w:pPr>
      <w:r>
        <w:rPr>
          <w:rFonts w:hint="eastAsia" w:ascii="宋体" w:hAnsi="宋体" w:eastAsia="宋体" w:cs="宋体"/>
          <w:b w:val="0"/>
          <w:bCs/>
          <w:i/>
          <w:color w:val="auto"/>
          <w:sz w:val="21"/>
          <w:szCs w:val="21"/>
          <w:highlight w:val="none"/>
          <w:u w:val="single"/>
        </w:rPr>
        <w:t xml:space="preserve">2、采购人与中标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员工不发生任何劳动和雇佣关系，派驻本项目服务人员由中标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自行管理，中标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及派驻本项目服务人员应遵守安全操作规章制度，中标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员工在本项目履约过程中若发生一切意外、人身伤害、工伤等事故，均由中标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自行负责，采购人不承担任何责任。如中标</w:t>
      </w:r>
      <w:r>
        <w:rPr>
          <w:rFonts w:hint="eastAsia" w:ascii="宋体" w:hAnsi="宋体" w:eastAsia="宋体" w:cs="宋体"/>
          <w:b w:val="0"/>
          <w:bCs/>
          <w:i/>
          <w:color w:val="auto"/>
          <w:sz w:val="21"/>
          <w:szCs w:val="21"/>
          <w:highlight w:val="none"/>
          <w:u w:val="single"/>
          <w:lang w:val="en-US" w:eastAsia="zh-CN"/>
        </w:rPr>
        <w:t xml:space="preserve">供应商员工</w:t>
      </w:r>
      <w:r>
        <w:rPr>
          <w:rFonts w:hint="eastAsia" w:ascii="宋体" w:hAnsi="宋体" w:eastAsia="宋体" w:cs="宋体"/>
          <w:b w:val="0"/>
          <w:bCs/>
          <w:i/>
          <w:color w:val="auto"/>
          <w:sz w:val="21"/>
          <w:szCs w:val="21"/>
          <w:highlight w:val="none"/>
          <w:u w:val="single"/>
        </w:rPr>
        <w:t xml:space="preserve">在上班期间（包括上下班途中）发生任何安全责任事故，由中标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按国家相关规定处置。</w:t>
      </w:r>
      <w:r>
        <w:rPr>
          <w:rFonts w:hint="eastAsia" w:ascii="宋体" w:hAnsi="宋体" w:eastAsia="宋体" w:cs="宋体"/>
          <w:b/>
          <w:i/>
          <w:color w:val="auto"/>
          <w:sz w:val="21"/>
          <w:szCs w:val="21"/>
          <w:highlight w:val="none"/>
          <w:u w:val="single"/>
        </w:rPr>
        <w:t xml:space="preserve">（须提供承诺函，扫描上传）</w:t>
      </w:r>
      <w:r/>
    </w:p>
    <w:p>
      <w:pPr>
        <w:ind w:firstLine="482"/>
        <w:pageBreakBefore w:val="0"/>
        <w:spacing w:line="360" w:lineRule="auto"/>
        <w:rPr>
          <w:rFonts w:hint="eastAsia" w:ascii="宋体" w:hAnsi="宋体" w:eastAsia="宋体" w:cs="宋体"/>
          <w:b/>
          <w:i/>
          <w:color w:val="auto"/>
          <w:sz w:val="21"/>
          <w:szCs w:val="21"/>
          <w:highlight w:val="none"/>
          <w:u w:val="single"/>
        </w:rPr>
      </w:pPr>
      <w:r>
        <w:rPr>
          <w:rFonts w:hint="eastAsia" w:ascii="宋体" w:hAnsi="宋体" w:eastAsia="宋体" w:cs="宋体"/>
          <w:b w:val="0"/>
          <w:bCs/>
          <w:i/>
          <w:color w:val="auto"/>
          <w:sz w:val="21"/>
          <w:szCs w:val="21"/>
          <w:highlight w:val="none"/>
          <w:u w:val="single"/>
        </w:rPr>
        <w:t xml:space="preserve">3、由于中标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方面的原因，给国家、采购人或第三方造成的损失与伤害，所涉及的行政的、法律的、民事的责任由中标</w:t>
      </w:r>
      <w:r>
        <w:rPr>
          <w:rFonts w:hint="eastAsia" w:ascii="宋体" w:hAnsi="宋体" w:eastAsia="宋体" w:cs="宋体"/>
          <w:b w:val="0"/>
          <w:bCs/>
          <w:i/>
          <w:color w:val="auto"/>
          <w:sz w:val="21"/>
          <w:szCs w:val="21"/>
          <w:highlight w:val="none"/>
          <w:u w:val="single"/>
          <w:lang w:val="en-US" w:eastAsia="zh-CN"/>
        </w:rPr>
        <w:t xml:space="preserve">供应商</w:t>
      </w:r>
      <w:r>
        <w:rPr>
          <w:rFonts w:hint="eastAsia" w:ascii="宋体" w:hAnsi="宋体" w:eastAsia="宋体" w:cs="宋体"/>
          <w:b w:val="0"/>
          <w:bCs/>
          <w:i/>
          <w:color w:val="auto"/>
          <w:sz w:val="21"/>
          <w:szCs w:val="21"/>
          <w:highlight w:val="none"/>
          <w:u w:val="single"/>
        </w:rPr>
        <w:t xml:space="preserve">全部承担。</w:t>
      </w:r>
      <w:r>
        <w:rPr>
          <w:rFonts w:hint="eastAsia" w:ascii="宋体" w:hAnsi="宋体" w:eastAsia="宋体" w:cs="宋体"/>
          <w:b/>
          <w:i/>
          <w:color w:val="auto"/>
          <w:sz w:val="21"/>
          <w:szCs w:val="21"/>
          <w:highlight w:val="none"/>
          <w:u w:val="single"/>
        </w:rPr>
        <w:t xml:space="preserve">（须提供承诺函，扫描上传）</w:t>
      </w:r>
      <w:r/>
    </w:p>
    <w:p>
      <w:pPr>
        <w:ind w:firstLine="48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、其他要求</w:t>
      </w:r>
      <w:r/>
    </w:p>
    <w:p>
      <w:pPr>
        <w:ind w:firstLine="482"/>
        <w:pageBreakBefore w:val="0"/>
        <w:spacing w:line="360" w:lineRule="auto"/>
        <w:tabs>
          <w:tab w:val="left" w:pos="0" w:leader="none"/>
        </w:tabs>
        <w:rPr>
          <w:rFonts w:hint="eastAsia" w:ascii="宋体" w:hAnsi="宋体" w:eastAsia="宋体" w:cs="宋体"/>
          <w:b/>
          <w:bCs/>
          <w:i/>
          <w:iCs/>
          <w:color w:val="auto"/>
          <w:sz w:val="21"/>
          <w:szCs w:val="21"/>
          <w:highlight w:val="none"/>
          <w:u w:val="single"/>
        </w:rPr>
      </w:pPr>
      <w:r>
        <w:rPr>
          <w:rFonts w:hint="eastAsia" w:ascii="宋体" w:hAnsi="宋体" w:eastAsia="宋体" w:cs="宋体"/>
          <w:b w:val="0"/>
          <w:bCs w:val="0"/>
          <w:i/>
          <w:iCs/>
          <w:color w:val="auto"/>
          <w:sz w:val="21"/>
          <w:szCs w:val="21"/>
          <w:highlight w:val="none"/>
          <w:u w:val="single"/>
        </w:rPr>
        <w:t xml:space="preserve">1</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投标人须承诺中标后严格按照投标报价履约，提供相应采购文件要求的详细的工作流程、规章制度、</w:t>
      </w:r>
      <w:r>
        <w:rPr>
          <w:rFonts w:hint="eastAsia" w:ascii="宋体" w:hAnsi="宋体" w:cs="宋体"/>
          <w:b w:val="0"/>
          <w:bCs w:val="0"/>
          <w:i/>
          <w:iCs/>
          <w:color w:val="auto"/>
          <w:sz w:val="21"/>
          <w:szCs w:val="21"/>
          <w:highlight w:val="none"/>
          <w:u w:val="single"/>
          <w:lang w:eastAsia="zh-CN"/>
        </w:rPr>
        <w:t xml:space="preserve">生态环境综合服务</w:t>
      </w:r>
      <w:r>
        <w:rPr>
          <w:rFonts w:hint="eastAsia" w:ascii="宋体" w:hAnsi="宋体" w:eastAsia="宋体" w:cs="宋体"/>
          <w:b w:val="0"/>
          <w:bCs w:val="0"/>
          <w:i/>
          <w:iCs/>
          <w:color w:val="auto"/>
          <w:sz w:val="21"/>
          <w:szCs w:val="21"/>
          <w:highlight w:val="none"/>
          <w:u w:val="single"/>
        </w:rPr>
        <w:t xml:space="preserve">实施方案、突发情况（如台风、雨雪、冰雹、霜冻等天气或气候因素，或车辆、行人等人为因素，或是其它因素，以及复合因素或不明原因的情况）导致的道路污染必须及时清除。</w:t>
      </w:r>
      <w:r>
        <w:rPr>
          <w:rFonts w:hint="eastAsia" w:ascii="宋体" w:hAnsi="宋体" w:eastAsia="宋体" w:cs="宋体"/>
          <w:b/>
          <w:bCs/>
          <w:i/>
          <w:iCs/>
          <w:color w:val="ff0000"/>
          <w:sz w:val="21"/>
          <w:szCs w:val="21"/>
          <w:highlight w:val="none"/>
          <w:u w:val="single"/>
        </w:rPr>
        <w:t xml:space="preserve">（须提供承诺函，扫描上传）</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、未经采购人同意更换项目人员及机具，采购人发现一次扣中标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1000元服务费，第二次发现采购人有权解除合同。</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、投标人应仔细研究采购文件，按照采购文件要求进行报价，投标人若在投标文件中提出超出采购需求标准的其它服务的，视为投标人自愿承担相关费用，中标后必须在承诺期限内予以实施。</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必须合理安排各个区域的作业人员（正常作业人员数不得低于采购人核定人数），保证作业时段内服务质量达到招标文件要求。</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人员须符合采购需求标准，并应进行岗前安全、技能、工作规程培训才能上岗。</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、采购人对中标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所用人员工资发放、各项保险缴纳和防暑降温费用发放等情况有监督权，同时中标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须将按规定应缴纳的社会保险票据定期交于采购人审查，如中标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未按招标文件精神履行义务，采购人有权监督整改。</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应配合采购人开展各类创建活动，配合属地社区开展有关活动。</w:t>
      </w:r>
      <w:r/>
    </w:p>
    <w:p>
      <w:pPr>
        <w:ind w:firstLine="48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的服务人员须服从采购人的工作安排以及统一调配的要求。工作人员应统一着装，挂牌服务，文明作业，不得野蛮作业、破坏性作业。</w:t>
      </w:r>
      <w:r/>
    </w:p>
    <w:p>
      <w:pPr>
        <w:ind w:firstLine="48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、中标</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的从业人员的经济责任和安全责任等所有可能产生的一切风险均由中标</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自行承担。</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64"/>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3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的扣除价格，用扣除后的价格参与评审。</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79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价格扣除，用扣除后的价格参与评审。</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tbl>
      <w:tblPr>
        <w:tblStyle w:val="774"/>
        <w:tblpPr w:horzAnchor="page" w:tblpX="1798" w:vertAnchor="text" w:tblpY="1" w:leftFromText="181" w:topFromText="0" w:rightFromText="181" w:bottomFromText="0"/>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7664"/>
      </w:tblGrid>
      <w:tr>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bookmarkStart w:id="69" w:name="_Toc18779"/>
            <w:r/>
            <w:bookmarkStart w:id="70" w:name="_Toc3093"/>
            <w:r>
              <w:rPr>
                <w:rFonts w:hint="eastAsia" w:ascii="宋体" w:hAnsi="宋体" w:eastAsia="宋体" w:cs="宋体"/>
                <w:color w:val="auto"/>
                <w:sz w:val="21"/>
                <w:szCs w:val="21"/>
                <w:highlight w:val="none"/>
              </w:rPr>
              <w:t xml:space="preserve">项目</w:t>
            </w:r>
            <w:r/>
          </w:p>
        </w:tc>
        <w:tc>
          <w:tcPr>
            <w:tcW w:w="7664"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评分标准</w:t>
            </w:r>
            <w:r/>
          </w:p>
        </w:tc>
      </w:tr>
      <w:tr>
        <w:trPr>
          <w:trHeight w:val="1004"/>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报价</w:t>
            </w:r>
            <w:r/>
          </w:p>
          <w:p>
            <w:pPr>
              <w:contextualSpacing/>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W w:w="7664"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p>
        </w:tc>
      </w:tr>
      <w:tr>
        <w:trPr>
          <w:trHeight w:val="1266"/>
        </w:trPr>
        <w:tc>
          <w:tcPr>
            <w:tcW w:w="1175"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72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服务方案</w:t>
            </w:r>
            <w:r/>
          </w:p>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59</w:t>
            </w:r>
            <w:r>
              <w:rPr>
                <w:rFonts w:hint="eastAsia" w:ascii="宋体" w:hAnsi="宋体" w:eastAsia="宋体" w:cs="宋体"/>
                <w:color w:val="auto"/>
                <w:sz w:val="21"/>
                <w:szCs w:val="21"/>
                <w:highlight w:val="none"/>
              </w:rPr>
              <w:t xml:space="preserve">分）</w:t>
            </w:r>
            <w:r/>
          </w:p>
          <w:p>
            <w:pPr>
              <w:contextualSpacing/>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6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1、项目总体思路、管理服务目标和设想：项目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准确、有独特性、有亮点，目标与设想完全满足项目需求且有突破和先进性的</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、服务目标和设想较科学合理，需求响应度高</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总体思路</w:t>
            </w:r>
            <w:r>
              <w:rPr>
                <w:rFonts w:hint="eastAsia" w:ascii="宋体" w:hAnsi="宋体" w:eastAsia="宋体" w:cs="宋体"/>
                <w:color w:val="auto"/>
                <w:sz w:val="21"/>
                <w:szCs w:val="21"/>
                <w:highlight w:val="none"/>
              </w:rPr>
              <w:t xml:space="preserve">、服务目标和设想需求响应度一般</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；响应度低或没有不得分。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2、管理理念：管理理念先进，节能增效，运用新科技创新管理，提升效率，服务超值，提出优化方案，方案具体合理，可操作，针对性强，满足采购文件要求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bookmarkStart w:id="71" w:name="OLE_LINK4"/>
            <w:r>
              <w:rPr>
                <w:rFonts w:hint="eastAsia" w:ascii="宋体" w:hAnsi="宋体" w:eastAsia="宋体" w:cs="宋体"/>
                <w:color w:val="auto"/>
                <w:sz w:val="21"/>
                <w:szCs w:val="21"/>
                <w:highlight w:val="none"/>
              </w:rPr>
              <w:t xml:space="preserve">组织架构，机构运作及制度管理：包括监督机制、信息反馈处理机制、录用与考核及淘汰机制、培训计划等：</w:t>
            </w:r>
            <w:bookmarkEnd w:id="71"/>
            <w:r>
              <w:rPr>
                <w:rFonts w:hint="eastAsia" w:ascii="宋体" w:hAnsi="宋体" w:eastAsia="宋体" w:cs="宋体"/>
                <w:color w:val="auto"/>
                <w:sz w:val="21"/>
                <w:szCs w:val="21"/>
                <w:highlight w:val="none"/>
              </w:rPr>
              <w:t xml:space="preserve">符合项目实际情况，满足采购文件要求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；基本符合项目实际情况，基本满足采购文件要求的</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；方案一般的</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；不符合实际，不能满足采购文件要求的不得分。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4、重大活动、突发事件、恶劣天气应急预案：预案具体合理，可操作，针对性强，满足采购文件要求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；预案基本合理，满足采购文件要求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；方案一般，基本满足采购文件要求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5、大型活动、一般节假日、黄金周保障方案：方案具体合理，可操作，针对性强，满足采购文件要求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；方案一般，基本满足采购文件要求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6、公共环境管理方案：方案齐全、科学合理、可行，满足采购文件要求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；方案不合理，不可行不得分。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7、公共厕所管理方案：方案齐全、科学合理、可行，满足采购文件要求得</w:t>
            </w:r>
            <w:r>
              <w:rPr>
                <w:rFonts w:hint="eastAsia" w:ascii="宋体" w:hAnsi="宋体" w:cs="宋体"/>
                <w:color w:val="ff0000"/>
                <w:sz w:val="21"/>
                <w:szCs w:val="21"/>
                <w:highlight w:val="none"/>
                <w:lang w:val="en-US" w:eastAsia="zh-CN"/>
              </w:rPr>
              <w:t xml:space="preserve">6</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分；方案基本合理，满足采购文件要求</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；方案一般，满足采购文件要求</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；方案不合理，不可行不得分。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bookmarkStart w:id="72" w:name="OLE_LINK5"/>
            <w:r>
              <w:rPr>
                <w:rFonts w:hint="eastAsia" w:ascii="宋体" w:hAnsi="宋体" w:eastAsia="宋体" w:cs="宋体"/>
                <w:color w:val="auto"/>
                <w:sz w:val="21"/>
                <w:szCs w:val="21"/>
                <w:highlight w:val="none"/>
              </w:rPr>
              <w:t xml:space="preserve">成本分析和费用测算：</w:t>
            </w:r>
            <w:bookmarkEnd w:id="72"/>
            <w:r>
              <w:rPr>
                <w:rFonts w:hint="eastAsia" w:ascii="宋体" w:hAnsi="宋体" w:eastAsia="宋体" w:cs="宋体"/>
                <w:color w:val="auto"/>
                <w:sz w:val="21"/>
                <w:szCs w:val="21"/>
                <w:highlight w:val="none"/>
              </w:rPr>
              <w:t xml:space="preserve">方案合理合规、符合相关法律、法规等规定，所列各项服务成本、测算依据及拟用各种耗材的品质、耗量、价格；人员的社会保险、营业费用、税金等详细、准确，方案具体合理，可操作，针对性强，满足采购文件要求</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；方案基本合理，可操作，满足采购文件要求</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；方案一般，部分满足采购文件要求</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；方案不合理，不可操作不得分。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9、安全事故处理措施：意外伤害赔偿措施、工伤赔偿措施、风险规避措施，安全事故处理措施制定合理、完善的</w:t>
            </w:r>
            <w:r>
              <w:rPr>
                <w:rFonts w:hint="eastAsia" w:ascii="宋体" w:hAnsi="宋体" w:cs="宋体"/>
                <w:color w:val="auto"/>
                <w:sz w:val="21"/>
                <w:szCs w:val="21"/>
                <w:highlight w:val="none"/>
                <w:lang w:eastAsia="zh-CN"/>
              </w:rPr>
              <w:t xml:space="preserve">得6分</w:t>
            </w:r>
            <w:r>
              <w:rPr>
                <w:rFonts w:hint="eastAsia" w:ascii="宋体" w:hAnsi="宋体" w:eastAsia="宋体" w:cs="宋体"/>
                <w:color w:val="auto"/>
                <w:sz w:val="21"/>
                <w:szCs w:val="21"/>
                <w:highlight w:val="none"/>
              </w:rPr>
              <w:t xml:space="preserve">，安全事故处理措施制定基本合理、完善的</w:t>
            </w:r>
            <w:r>
              <w:rPr>
                <w:rFonts w:hint="eastAsia" w:ascii="宋体" w:hAnsi="宋体" w:cs="宋体"/>
                <w:color w:val="auto"/>
                <w:sz w:val="21"/>
                <w:szCs w:val="21"/>
                <w:highlight w:val="none"/>
                <w:lang w:eastAsia="zh-CN"/>
              </w:rPr>
              <w:t xml:space="preserve">得4分</w:t>
            </w:r>
            <w:r>
              <w:rPr>
                <w:rFonts w:hint="eastAsia" w:ascii="宋体" w:hAnsi="宋体" w:eastAsia="宋体" w:cs="宋体"/>
                <w:color w:val="auto"/>
                <w:sz w:val="21"/>
                <w:szCs w:val="21"/>
                <w:highlight w:val="none"/>
              </w:rPr>
              <w:t xml:space="preserve">，安全事故处理措施制定合理、完善性较欠缺的</w:t>
            </w:r>
            <w:r>
              <w:rPr>
                <w:rFonts w:hint="eastAsia" w:ascii="宋体" w:hAnsi="宋体" w:cs="宋体"/>
                <w:color w:val="auto"/>
                <w:sz w:val="21"/>
                <w:szCs w:val="21"/>
                <w:highlight w:val="none"/>
                <w:lang w:eastAsia="zh-CN"/>
              </w:rPr>
              <w:t xml:space="preserve">得2分</w:t>
            </w:r>
            <w:r>
              <w:rPr>
                <w:rFonts w:hint="eastAsia" w:ascii="宋体" w:hAnsi="宋体" w:eastAsia="宋体" w:cs="宋体"/>
                <w:color w:val="auto"/>
                <w:sz w:val="21"/>
                <w:szCs w:val="21"/>
                <w:highlight w:val="none"/>
              </w:rPr>
              <w:t xml:space="preserve">，不合理、不完善不得分。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10、景区重难点区域分析和解决方案：针对本项目的重难点区域分析到位并提出科学合理的解决方案的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；分析和解决方案</w:t>
            </w:r>
            <w:r>
              <w:rPr>
                <w:rFonts w:hint="eastAsia" w:ascii="宋体" w:hAnsi="宋体" w:eastAsia="宋体" w:cs="宋体"/>
                <w:color w:val="auto"/>
                <w:sz w:val="21"/>
                <w:szCs w:val="21"/>
                <w:highlight w:val="none"/>
                <w:lang w:eastAsia="zh-CN"/>
              </w:rPr>
              <w:t xml:space="preserve">基本</w:t>
            </w:r>
            <w:r>
              <w:rPr>
                <w:rFonts w:hint="eastAsia" w:ascii="宋体" w:hAnsi="宋体" w:eastAsia="宋体" w:cs="宋体"/>
                <w:color w:val="auto"/>
                <w:sz w:val="21"/>
                <w:szCs w:val="21"/>
                <w:highlight w:val="none"/>
              </w:rPr>
              <w:t xml:space="preserve">科学合理的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；分析和解决方案</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科学合理的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；未分析或不合理的不得分。</w:t>
            </w:r>
            <w:r/>
          </w:p>
        </w:tc>
      </w:tr>
      <w:tr>
        <w:trPr>
          <w:trHeight w:val="259"/>
        </w:trPr>
        <w:tc>
          <w:tcPr>
            <w:tcW w:w="1175"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人员配置（</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分）</w:t>
            </w:r>
            <w:r/>
          </w:p>
        </w:tc>
        <w:tc>
          <w:tcPr>
            <w:tcW w:w="76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、拟派项目经理：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分）</w:t>
            </w:r>
            <w:r/>
          </w:p>
          <w:p>
            <w:pPr>
              <w:ind w:left="0" w:right="0"/>
              <w:keepLines w:val="0"/>
              <w:keepNext w:val="0"/>
              <w:spacing w:before="0" w:beforeAutospacing="0" w:after="0" w:afterAutospacing="0" w:line="360" w:lineRule="auto"/>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rPr>
              <w:t xml:space="preserve">（1）具有本科</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学历得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分；具有大专学历得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满分2分。</w:t>
            </w:r>
            <w:r/>
          </w:p>
          <w:p>
            <w:pPr>
              <w:ind w:left="0" w:right="0"/>
              <w:keepLines w:val="0"/>
              <w:keepNext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color w:val="auto"/>
                <w:szCs w:val="21"/>
                <w:highlight w:val="none"/>
              </w:rPr>
              <w:t xml:space="preserve">（2）具有</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年及以上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3年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但不足5年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1年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但不足3年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不足1年得1分，不具有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不得分，</w:t>
            </w:r>
            <w:r>
              <w:rPr>
                <w:rFonts w:hint="eastAsia" w:ascii="宋体" w:hAnsi="宋体" w:cs="宋体"/>
                <w:color w:val="auto"/>
                <w:szCs w:val="21"/>
                <w:highlight w:val="none"/>
              </w:rPr>
              <w:t xml:space="preserve">不同业主单位服务经验可累计计分，</w:t>
            </w:r>
            <w:r>
              <w:rPr>
                <w:rFonts w:hint="eastAsia" w:ascii="宋体" w:hAnsi="宋体" w:cs="宋体"/>
                <w:color w:val="auto"/>
                <w:szCs w:val="21"/>
                <w:highlight w:val="none"/>
                <w:lang w:val="en-US" w:eastAsia="zh-CN"/>
              </w:rPr>
              <w:t xml:space="preserve">满分4分。</w:t>
            </w:r>
            <w:r>
              <w:rPr>
                <w:rFonts w:hint="eastAsia" w:ascii="宋体" w:hAnsi="宋体" w:cs="宋体"/>
                <w:b/>
                <w:bCs/>
                <w:color w:val="auto"/>
                <w:szCs w:val="21"/>
                <w:highlight w:val="none"/>
              </w:rPr>
              <w:t xml:space="preserve">（须提供学历证书、有效的管理经验证明及近</w:t>
            </w:r>
            <w:r>
              <w:rPr>
                <w:rFonts w:hint="eastAsia" w:ascii="宋体" w:hAnsi="宋体" w:cs="宋体"/>
                <w:b/>
                <w:bCs/>
                <w:color w:val="auto"/>
                <w:szCs w:val="21"/>
                <w:highlight w:val="none"/>
                <w:lang w:eastAsia="zh-CN"/>
              </w:rPr>
              <w:t xml:space="preserve">一</w:t>
            </w:r>
            <w:r>
              <w:rPr>
                <w:rFonts w:hint="eastAsia" w:ascii="宋体" w:hAnsi="宋体" w:cs="宋体"/>
                <w:b/>
                <w:bCs/>
                <w:color w:val="auto"/>
                <w:szCs w:val="21"/>
                <w:highlight w:val="none"/>
              </w:rPr>
              <w:t xml:space="preserve">年内任意一个月为其缴纳社保的证明，原件扫描上传）</w:t>
            </w:r>
            <w:r/>
          </w:p>
          <w:p>
            <w:pPr>
              <w:ind w:left="0" w:right="0"/>
              <w:keepLines w:val="0"/>
              <w:keepNext w:val="0"/>
              <w:spacing w:before="0" w:beforeAutospacing="0" w:after="0" w:afterAutospacing="0" w:line="360" w:lineRule="auto"/>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拟派项目主管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分）</w:t>
            </w:r>
            <w:r/>
          </w:p>
          <w:p>
            <w:pPr>
              <w:ind w:left="0" w:right="0"/>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（1）具有本科</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学历得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分；具有大专学历得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满分2分。</w:t>
            </w:r>
            <w:r/>
          </w:p>
          <w:p>
            <w:pPr>
              <w:numPr>
                <w:ilvl w:val="0"/>
                <w:numId w:val="0"/>
              </w:num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highlight w:val="none"/>
                <w:lang w:val="en-US" w:eastAsia="zh-CN"/>
              </w:rPr>
              <w:suppressLineNumbers w:val="0"/>
            </w:pPr>
            <w:r>
              <w:rPr>
                <w:rFonts w:hint="eastAsia" w:ascii="宋体" w:hAnsi="宋体" w:cs="宋体"/>
                <w:color w:val="auto"/>
                <w:szCs w:val="21"/>
                <w:highlight w:val="none"/>
              </w:rPr>
              <w:t xml:space="preserve">（2）具有3年及以上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w:t>
            </w:r>
            <w:r>
              <w:rPr>
                <w:rFonts w:hint="eastAsia" w:ascii="宋体" w:hAnsi="宋体" w:cs="宋体"/>
                <w:color w:val="auto"/>
                <w:szCs w:val="21"/>
                <w:highlight w:val="none"/>
                <w:lang w:val="en-US" w:eastAsia="zh-CN"/>
              </w:rPr>
              <w:t xml:space="preserve">2年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但不足3年【4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1年</w:t>
            </w:r>
            <w:r>
              <w:rPr>
                <w:rFonts w:hint="eastAsia" w:ascii="宋体" w:hAnsi="宋体" w:cs="宋体"/>
                <w:color w:val="auto"/>
                <w:szCs w:val="21"/>
                <w:highlight w:val="none"/>
              </w:rPr>
              <w:t xml:space="preserve">及以上</w:t>
            </w:r>
            <w:r>
              <w:rPr>
                <w:rFonts w:hint="eastAsia" w:ascii="宋体" w:hAnsi="宋体" w:cs="宋体"/>
                <w:color w:val="auto"/>
                <w:szCs w:val="21"/>
                <w:highlight w:val="none"/>
                <w:lang w:val="en-US" w:eastAsia="zh-CN"/>
              </w:rPr>
              <w:t xml:space="preserve">但不足2年【4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不足1年得1分，不具有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A级</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景区管理经验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不得分，</w:t>
            </w:r>
            <w:r>
              <w:rPr>
                <w:rFonts w:hint="eastAsia" w:ascii="宋体" w:hAnsi="宋体" w:cs="宋体"/>
                <w:color w:val="auto"/>
                <w:szCs w:val="21"/>
                <w:highlight w:val="none"/>
              </w:rPr>
              <w:t xml:space="preserve">不同业主单位服务经验可累计计分，</w:t>
            </w:r>
            <w:r>
              <w:rPr>
                <w:rFonts w:hint="eastAsia" w:ascii="宋体" w:hAnsi="宋体" w:cs="宋体"/>
                <w:color w:val="auto"/>
                <w:szCs w:val="21"/>
                <w:highlight w:val="none"/>
                <w:lang w:val="en-US" w:eastAsia="zh-CN"/>
              </w:rPr>
              <w:t xml:space="preserve">满分4分。</w:t>
            </w:r>
            <w:r>
              <w:rPr>
                <w:rFonts w:hint="eastAsia" w:ascii="宋体" w:hAnsi="宋体" w:cs="宋体"/>
                <w:b/>
                <w:bCs/>
                <w:color w:val="auto"/>
                <w:szCs w:val="21"/>
                <w:highlight w:val="none"/>
              </w:rPr>
              <w:t xml:space="preserve">（须提供学历证书、有效的管理经验证明及投标人近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eastAsia" w:ascii="Times New Roman" w:hAnsi="Times New Roman" w:eastAsia="宋体" w:cs="Times New Roman"/>
                <w:color w:val="auto"/>
                <w:highlight w:val="none"/>
              </w:rPr>
              <w:suppressLineNumbers w:val="0"/>
            </w:pPr>
            <w:r>
              <w:rPr>
                <w:rFonts w:hint="eastAsia" w:ascii="Times New Roman" w:hAnsi="Times New Roman" w:eastAsia="宋体" w:cs="Times New Roman"/>
                <w:color w:val="auto"/>
                <w:highlight w:val="none"/>
                <w:lang w:val="en-US" w:eastAsia="zh-CN"/>
              </w:rPr>
              <w:t xml:space="preserve">3、拟派人员</w:t>
            </w:r>
            <w:r>
              <w:rPr>
                <w:rFonts w:hint="eastAsia" w:ascii="Times New Roman" w:hAnsi="Times New Roman" w:eastAsia="宋体" w:cs="Times New Roman"/>
                <w:color w:val="auto"/>
                <w:highlight w:val="none"/>
              </w:rPr>
              <w:t xml:space="preserve">具有</w:t>
            </w:r>
            <w:r>
              <w:rPr>
                <w:rFonts w:hint="eastAsia" w:ascii="Times New Roman" w:hAnsi="Times New Roman" w:eastAsia="宋体" w:cs="Times New Roman"/>
                <w:color w:val="auto"/>
                <w:highlight w:val="none"/>
                <w:lang w:val="en-US" w:eastAsia="zh-CN"/>
              </w:rPr>
              <w:t xml:space="preserve">应急救援员</w:t>
            </w:r>
            <w:r>
              <w:rPr>
                <w:rFonts w:hint="eastAsia" w:ascii="Times New Roman" w:hAnsi="Times New Roman" w:cs="Times New Roman"/>
                <w:color w:val="auto"/>
                <w:highlight w:val="none"/>
                <w:lang w:val="en-US" w:eastAsia="zh-CN"/>
              </w:rPr>
              <w:t xml:space="preserve">或</w:t>
            </w:r>
            <w:r>
              <w:rPr>
                <w:rFonts w:hint="eastAsia" w:ascii="Times New Roman" w:hAnsi="Times New Roman" w:eastAsia="宋体" w:cs="Times New Roman"/>
                <w:color w:val="auto"/>
                <w:highlight w:val="none"/>
              </w:rPr>
              <w:t xml:space="preserve">救护员证书，</w:t>
            </w:r>
            <w:r>
              <w:rPr>
                <w:rFonts w:hint="eastAsia" w:ascii="Times New Roman" w:hAnsi="Times New Roman" w:eastAsia="宋体" w:cs="Times New Roman"/>
                <w:color w:val="auto"/>
                <w:highlight w:val="none"/>
                <w:lang w:val="en-US" w:eastAsia="zh-CN"/>
              </w:rPr>
              <w:t xml:space="preserve">每提供</w:t>
            </w:r>
            <w:r>
              <w:rPr>
                <w:rFonts w:hint="eastAsia" w:ascii="Times New Roman" w:hAnsi="Times New Roman" w:eastAsia="宋体" w:cs="Times New Roman"/>
                <w:color w:val="auto"/>
                <w:highlight w:val="none"/>
              </w:rPr>
              <w:t xml:space="preserve">一</w:t>
            </w:r>
            <w:r>
              <w:rPr>
                <w:rFonts w:hint="eastAsia" w:ascii="Times New Roman" w:hAnsi="Times New Roman" w:eastAsia="宋体" w:cs="Times New Roman"/>
                <w:color w:val="auto"/>
                <w:highlight w:val="none"/>
                <w:lang w:val="en-US" w:eastAsia="zh-CN"/>
              </w:rPr>
              <w:t xml:space="preserve">个</w:t>
            </w:r>
            <w:r>
              <w:rPr>
                <w:rFonts w:hint="eastAsia" w:ascii="Times New Roman" w:hAnsi="Times New Roman" w:eastAsia="宋体" w:cs="Times New Roman"/>
                <w:color w:val="auto"/>
                <w:highlight w:val="none"/>
              </w:rPr>
              <w:t xml:space="preserve">得</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分，满分</w:t>
            </w:r>
            <w:r>
              <w:rPr>
                <w:rFonts w:hint="eastAsia" w:ascii="Times New Roman" w:hAnsi="Times New Roman"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证书</w:t>
            </w:r>
            <w:r>
              <w:rPr>
                <w:rFonts w:hint="eastAsia" w:ascii="宋体" w:hAnsi="宋体" w:cs="宋体"/>
                <w:b/>
                <w:bCs/>
                <w:color w:val="auto"/>
                <w:szCs w:val="21"/>
                <w:highlight w:val="none"/>
              </w:rPr>
              <w:t xml:space="preserve">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default" w:ascii="Times New Roman" w:hAnsi="Times New Roman" w:eastAsia="宋体" w:cs="Times New Roman"/>
                <w:color w:val="auto"/>
                <w:highlight w:val="none"/>
                <w:lang w:val="en-US" w:eastAsia="zh-CN"/>
              </w:rPr>
              <w:suppressLineNumbers w:val="0"/>
            </w:pPr>
            <w:r>
              <w:rPr>
                <w:rFonts w:hint="eastAsia" w:ascii="Times New Roman" w:hAnsi="Times New Roman" w:eastAsia="宋体" w:cs="Times New Roman"/>
                <w:color w:val="auto"/>
                <w:highlight w:val="none"/>
                <w:lang w:val="en-US" w:eastAsia="zh-CN"/>
              </w:rPr>
              <w:t xml:space="preserve">4、拟派人员具有N2驾驶证，每提供一个得2分，满分4分。</w:t>
            </w:r>
            <w:r/>
          </w:p>
          <w:p>
            <w:pPr>
              <w:ind w:left="0" w:right="0"/>
              <w:keepLines w:val="0"/>
              <w:keepNext w:val="0"/>
              <w:pageBreakBefore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证书</w:t>
            </w:r>
            <w:r>
              <w:rPr>
                <w:rFonts w:hint="eastAsia" w:ascii="宋体" w:hAnsi="宋体" w:cs="宋体"/>
                <w:b/>
                <w:bCs/>
                <w:color w:val="auto"/>
                <w:szCs w:val="21"/>
                <w:highlight w:val="none"/>
              </w:rPr>
              <w:t xml:space="preserve">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p>
          <w:p>
            <w:pPr>
              <w:ind w:left="0" w:right="0"/>
              <w:keepLines w:val="0"/>
              <w:keepNext w:val="0"/>
              <w:pageBreakBefore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Times New Roman" w:hAnsi="Times New Roman" w:cs="宋体"/>
                <w:color w:val="auto"/>
                <w:szCs w:val="21"/>
                <w:highlight w:val="none"/>
                <w:lang w:val="en-US" w:eastAsia="zh-CN"/>
              </w:rPr>
              <w:t xml:space="preserve">5、</w:t>
            </w:r>
            <w:r>
              <w:rPr>
                <w:rFonts w:hint="eastAsia" w:ascii="Times New Roman" w:hAnsi="Times New Roman" w:cs="宋体"/>
                <w:color w:val="auto"/>
                <w:szCs w:val="21"/>
                <w:highlight w:val="none"/>
              </w:rPr>
              <w:t xml:space="preserve">拟派人员</w:t>
            </w:r>
            <w:r>
              <w:rPr>
                <w:rFonts w:hint="eastAsia" w:ascii="Times New Roman" w:hAnsi="Times New Roman" w:eastAsia="宋体" w:cs="Times New Roman"/>
                <w:color w:val="auto"/>
                <w:highlight w:val="none"/>
                <w:lang w:val="en-US" w:eastAsia="zh-CN"/>
              </w:rPr>
              <w:t xml:space="preserve">具有</w:t>
            </w:r>
            <w:r>
              <w:rPr>
                <w:rFonts w:hint="eastAsia" w:ascii="Times New Roman" w:hAnsi="Times New Roman" w:cs="宋体"/>
                <w:color w:val="auto"/>
                <w:szCs w:val="21"/>
                <w:highlight w:val="none"/>
              </w:rPr>
              <w:t xml:space="preserve">电工证，每有一人得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分，满分</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tc>
      </w:tr>
      <w:tr>
        <w:trPr/>
        <w:tc>
          <w:tcPr>
            <w:tcW w:w="1175" w:type="dxa"/>
            <w:vAlign w:val="center"/>
            <w:textDirection w:val="lrTb"/>
            <w:noWrap w:val="false"/>
          </w:tcPr>
          <w:p>
            <w:pPr>
              <w:contextualSpacing/>
              <w:ind w:left="210" w:right="0" w:hanging="21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业绩  </w:t>
            </w:r>
            <w:r/>
          </w:p>
          <w:p>
            <w:pPr>
              <w:contextualSpacing/>
              <w:ind w:left="210" w:right="0" w:hanging="21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7664" w:type="dxa"/>
            <w:vAlign w:val="center"/>
            <w:textDirection w:val="lrTb"/>
            <w:noWrap w:val="false"/>
          </w:tcPr>
          <w:p>
            <w:pPr>
              <w:contextualSpacing/>
              <w:ind w:left="0" w:right="0"/>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年1月1日至今，投标人</w:t>
            </w:r>
            <w:r>
              <w:rPr>
                <w:rFonts w:hint="eastAsia" w:ascii="宋体" w:hAnsi="宋体" w:cs="宋体"/>
                <w:color w:val="auto"/>
                <w:szCs w:val="21"/>
                <w:highlight w:val="none"/>
                <w:lang w:eastAsia="zh-CN"/>
              </w:rPr>
              <w:t xml:space="preserve">具有</w:t>
            </w:r>
            <w:r>
              <w:rPr>
                <w:rFonts w:hint="eastAsia" w:ascii="宋体" w:hAnsi="宋体" w:cs="宋体"/>
                <w:color w:val="auto"/>
                <w:szCs w:val="21"/>
                <w:highlight w:val="none"/>
              </w:rPr>
              <w:t xml:space="preserve">类似项目业绩，</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有一个得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b/>
                <w:bCs/>
                <w:color w:val="auto"/>
                <w:szCs w:val="21"/>
                <w:highlight w:val="none"/>
                <w:lang w:val="zh-CN"/>
              </w:rPr>
              <w:t xml:space="preserve">（同一项目不同年限的合同不累计</w:t>
            </w:r>
            <w:r>
              <w:rPr>
                <w:rFonts w:hint="eastAsia" w:ascii="宋体" w:hAnsi="宋体" w:cs="宋体"/>
                <w:b/>
                <w:bCs/>
                <w:color w:val="auto"/>
                <w:szCs w:val="21"/>
                <w:highlight w:val="none"/>
              </w:rPr>
              <w:t xml:space="preserve">,时间以合同签订时间为准，提供原件扫描件上传，未提供不得分</w:t>
            </w:r>
            <w:r>
              <w:rPr>
                <w:rFonts w:hint="eastAsia" w:ascii="宋体" w:hAnsi="宋体" w:cs="宋体"/>
                <w:b/>
                <w:bCs/>
                <w:color w:val="auto"/>
                <w:szCs w:val="21"/>
                <w:highlight w:val="none"/>
                <w:lang w:val="zh-CN"/>
              </w:rPr>
              <w:t xml:space="preserve">）</w:t>
            </w:r>
            <w:r/>
          </w:p>
        </w:tc>
      </w:tr>
      <w:tr>
        <w:trPr>
          <w:trHeight w:val="2145"/>
        </w:trPr>
        <w:tc>
          <w:tcPr>
            <w:tcW w:w="117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履约能力(</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W w:w="76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Cs w:val="21"/>
                <w:highlight w:val="none"/>
              </w:rPr>
              <w:suppressLineNumbers w:val="0"/>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投标人具备有效的质量</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rPr>
              <w:t xml:space="preserve">体系证书，得1分。</w:t>
            </w:r>
            <w:r>
              <w:rPr>
                <w:rFonts w:hint="eastAsia" w:ascii="宋体" w:hAnsi="宋体" w:cs="宋体"/>
                <w:b/>
                <w:bCs/>
                <w:color w:val="auto"/>
                <w:szCs w:val="21"/>
                <w:highlight w:val="none"/>
              </w:rPr>
              <w:t xml:space="preserve">（提供证书及国家认监委网站查询截图，扫描上传）</w:t>
            </w:r>
            <w:r/>
          </w:p>
          <w:p>
            <w:pPr>
              <w:ind w:left="0" w:right="0"/>
              <w:keepLines w:val="0"/>
              <w:keepNext w:val="0"/>
              <w:spacing w:before="0" w:beforeAutospacing="0" w:after="0" w:afterAutospacing="0" w:line="40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投标人具备有效的环境</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rPr>
              <w:t xml:space="preserve">体系证书，得1分。</w:t>
            </w:r>
            <w:r>
              <w:rPr>
                <w:rFonts w:hint="eastAsia" w:ascii="宋体" w:hAnsi="宋体" w:cs="宋体"/>
                <w:b/>
                <w:bCs/>
                <w:color w:val="auto"/>
                <w:szCs w:val="21"/>
                <w:highlight w:val="none"/>
              </w:rPr>
              <w:t xml:space="preserve">（提供证书及国家认监委网站查询截图，扫描上传）</w:t>
            </w:r>
            <w:r/>
          </w:p>
          <w:p>
            <w:pPr>
              <w:ind w:left="0" w:right="0"/>
              <w:keepLines w:val="0"/>
              <w:keepNext w:val="0"/>
              <w:spacing w:before="0" w:beforeAutospacing="0" w:after="0" w:afterAutospacing="0" w:line="40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投标人具备有效的职业健康安全管理体系认证证书，得1分。</w:t>
            </w:r>
            <w:r>
              <w:rPr>
                <w:rFonts w:hint="eastAsia" w:ascii="宋体" w:hAnsi="宋体" w:cs="宋体"/>
                <w:b/>
                <w:bCs/>
                <w:color w:val="auto"/>
                <w:szCs w:val="21"/>
                <w:highlight w:val="none"/>
              </w:rPr>
              <w:t xml:space="preserve">（提供证书及国家认监委网站查询截图，扫描上传）</w:t>
            </w:r>
            <w:r/>
          </w:p>
        </w:tc>
      </w:tr>
    </w:tbl>
    <w:p>
      <w:pPr>
        <w:rPr>
          <w:rFonts w:hint="eastAsia"/>
          <w:color w:val="auto"/>
          <w:highlight w:val="none"/>
        </w:rPr>
      </w:pPr>
      <w:r>
        <w:rPr>
          <w:rFonts w:hint="eastAsia"/>
          <w:color w:val="auto"/>
          <w:highlight w:val="none"/>
        </w:rPr>
        <w:br w:type="page" w:clear="all"/>
      </w:r>
      <w:r/>
    </w:p>
    <w:p>
      <w:pPr>
        <w:pStyle w:val="764"/>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4"/>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3" w:name="_Toc5792"/>
      <w:r/>
      <w:bookmarkStart w:id="74" w:name="_Toc3717"/>
      <w:r/>
      <w:bookmarkStart w:id="75" w:name="_Toc20369"/>
      <w:r/>
      <w:bookmarkStart w:id="76" w:name="_Toc2731"/>
      <w:r/>
      <w:bookmarkStart w:id="77" w:name="_Toc7268"/>
      <w:r>
        <w:rPr>
          <w:rFonts w:hint="eastAsia" w:ascii="宋体" w:hAnsi="宋体" w:eastAsia="宋体" w:cs="宋体"/>
          <w:color w:val="auto"/>
          <w:sz w:val="21"/>
          <w:szCs w:val="21"/>
          <w:highlight w:val="none"/>
        </w:rPr>
        <w:t xml:space="preserve">一、</w:t>
      </w:r>
      <w:bookmarkEnd w:id="73"/>
      <w:r/>
      <w:bookmarkEnd w:id="74"/>
      <w:r/>
      <w:bookmarkEnd w:id="75"/>
      <w:r/>
      <w:bookmarkEnd w:id="76"/>
      <w:r/>
      <w:bookmarkEnd w:id="77"/>
      <w:r>
        <w:rPr>
          <w:rFonts w:hint="eastAsia" w:ascii="宋体" w:hAnsi="宋体" w:eastAsia="宋体" w:cs="宋体"/>
          <w:color w:val="auto"/>
          <w:sz w:val="21"/>
          <w:szCs w:val="21"/>
          <w:highlight w:val="none"/>
        </w:rPr>
        <w:t xml:space="preserve">资格审查响应对照表</w:t>
      </w:r>
      <w:r/>
    </w:p>
    <w:tbl>
      <w:tblPr>
        <w:tblStyle w:val="77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9"/>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30"/>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3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8" w:name="_Toc20616"/>
      <w:r/>
      <w:bookmarkStart w:id="79" w:name="_Toc17479"/>
      <w:r/>
      <w:bookmarkStart w:id="80" w:name="_Toc9345"/>
      <w:r/>
      <w:bookmarkStart w:id="81" w:name="_Toc16911"/>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JSZC-321092-SWGC-G2026-0080</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3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3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2" w:name="_Hlt26955070"/>
      <w:r/>
      <w:bookmarkEnd w:id="82"/>
      <w:r/>
      <w:bookmarkStart w:id="83" w:name="_格式3__银行出具的资信证明"/>
      <w:r/>
      <w:bookmarkEnd w:id="83"/>
      <w:r/>
      <w:bookmarkStart w:id="84" w:name="_Hlt26671380"/>
      <w:r/>
      <w:bookmarkEnd w:id="84"/>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pStyle w:val="799"/>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20"/>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20"/>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8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8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20"/>
          <w:rFonts w:hint="eastAsia" w:ascii="宋体" w:hAnsi="宋体" w:eastAsia="宋体" w:cs="宋体"/>
          <w:color w:val="auto"/>
          <w:sz w:val="21"/>
          <w:szCs w:val="21"/>
          <w:highlight w:val="none"/>
        </w:rPr>
      </w:pPr>
      <w:r>
        <w:rPr>
          <w:rStyle w:val="1020"/>
          <w:rFonts w:hint="eastAsia" w:ascii="宋体" w:hAnsi="宋体" w:eastAsia="宋体" w:cs="宋体"/>
          <w:color w:val="auto"/>
          <w:sz w:val="21"/>
          <w:szCs w:val="21"/>
          <w:highlight w:val="none"/>
        </w:rPr>
        <w:br w:type="page" w:clear="all"/>
      </w:r>
      <w:r/>
    </w:p>
    <w:p>
      <w:pPr>
        <w:pStyle w:val="1015"/>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20"/>
          <w:rFonts w:hint="eastAsia" w:ascii="宋体" w:hAnsi="宋体" w:eastAsia="宋体" w:cs="宋体"/>
          <w:color w:val="auto"/>
          <w:sz w:val="21"/>
          <w:szCs w:val="21"/>
          <w:highlight w:val="none"/>
        </w:rPr>
        <w:t xml:space="preserve">中小微企业划型标准如下：</w:t>
      </w:r>
      <w:r/>
    </w:p>
    <w:tbl>
      <w:tblPr>
        <w:tblStyle w:val="774"/>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15"/>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20"/>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20"/>
                <w:rFonts w:hint="eastAsia" w:ascii="宋体" w:hAnsi="宋体" w:eastAsia="宋体" w:cs="宋体"/>
                <w:color w:val="auto"/>
                <w:sz w:val="21"/>
                <w:szCs w:val="21"/>
                <w:highlight w:val="none"/>
              </w:rPr>
              <w:t xml:space="preserve">X＜10</w:t>
            </w:r>
            <w:r/>
          </w:p>
        </w:tc>
      </w:tr>
    </w:tbl>
    <w:p>
      <w:pPr>
        <w:pStyle w:val="1015"/>
        <w:spacing w:before="300" w:after="452" w:line="360" w:lineRule="auto"/>
        <w:widowControl/>
        <w:rPr>
          <w:rStyle w:val="1020"/>
          <w:rFonts w:hint="eastAsia" w:ascii="宋体" w:hAnsi="宋体" w:eastAsia="宋体" w:cs="宋体"/>
          <w:color w:val="auto"/>
          <w:sz w:val="21"/>
          <w:szCs w:val="21"/>
          <w:highlight w:val="none"/>
        </w:rPr>
      </w:pPr>
      <w:r>
        <w:rPr>
          <w:rStyle w:val="1020"/>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20"/>
          <w:rFonts w:hint="eastAsia" w:ascii="宋体" w:hAnsi="宋体" w:eastAsia="宋体" w:cs="宋体"/>
          <w:color w:val="auto"/>
          <w:sz w:val="21"/>
          <w:szCs w:val="21"/>
          <w:highlight w:val="none"/>
          <w:lang w:eastAsia="zh-CN"/>
        </w:rPr>
        <w:t xml:space="preserve">〔2011〕300号</w:t>
      </w:r>
      <w:r>
        <w:rPr>
          <w:rStyle w:val="1020"/>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995"/>
        <w:rPr>
          <w:rFonts w:hint="eastAsia" w:ascii="宋体" w:hAnsi="宋体" w:eastAsia="宋体" w:cs="宋体"/>
          <w:color w:val="auto"/>
          <w:sz w:val="21"/>
          <w:szCs w:val="21"/>
          <w:highlight w:val="none"/>
        </w:rPr>
      </w:pPr>
      <w:r>
        <w:rPr>
          <w:rStyle w:val="1020"/>
          <w:rFonts w:hint="eastAsia" w:ascii="宋体" w:hAnsi="宋体" w:eastAsia="宋体" w:cs="宋体"/>
          <w:b w:val="0"/>
          <w:color w:val="auto"/>
          <w:sz w:val="21"/>
          <w:szCs w:val="21"/>
          <w:highlight w:val="none"/>
        </w:rPr>
        <w:br w:type="page" w:clear="all"/>
      </w:r>
      <w:r/>
    </w:p>
    <w:p>
      <w:pPr>
        <w:pStyle w:val="799"/>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994"/>
        <w:rPr>
          <w:rFonts w:hint="eastAsia" w:ascii="宋体" w:hAnsi="宋体" w:eastAsia="宋体" w:cs="宋体"/>
          <w:color w:val="auto"/>
          <w:sz w:val="21"/>
          <w:szCs w:val="21"/>
          <w:highlight w:val="none"/>
        </w:rPr>
      </w:pPr>
      <w:r/>
      <w:bookmarkStart w:id="85" w:name="_Toc18665"/>
      <w:r>
        <w:rPr>
          <w:rFonts w:hint="eastAsia" w:ascii="宋体" w:hAnsi="宋体" w:eastAsia="宋体" w:cs="宋体"/>
          <w:color w:val="auto"/>
          <w:sz w:val="21"/>
          <w:szCs w:val="21"/>
          <w:highlight w:val="none"/>
        </w:rPr>
        <w:t xml:space="preserve">二、符合性审查响应对照表</w:t>
      </w:r>
      <w:bookmarkEnd w:id="78"/>
      <w:r/>
      <w:bookmarkEnd w:id="79"/>
      <w:r/>
      <w:bookmarkEnd w:id="80"/>
      <w:r/>
      <w:bookmarkEnd w:id="81"/>
      <w:r/>
      <w:bookmarkEnd w:id="85"/>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4"/>
        <w:rPr>
          <w:rFonts w:hint="eastAsia" w:ascii="宋体" w:hAnsi="宋体" w:eastAsia="宋体" w:cs="宋体"/>
          <w:color w:val="auto"/>
          <w:sz w:val="21"/>
          <w:szCs w:val="21"/>
          <w:highlight w:val="none"/>
        </w:rPr>
      </w:pPr>
      <w:r/>
      <w:bookmarkStart w:id="86" w:name="_Toc2005"/>
      <w:r/>
      <w:bookmarkStart w:id="87" w:name="_Toc23420"/>
      <w:r/>
      <w:bookmarkStart w:id="88" w:name="_Toc23068"/>
      <w:r/>
      <w:bookmarkStart w:id="89" w:name="_Toc23689"/>
      <w:r/>
      <w:bookmarkStart w:id="90" w:name="_Toc29406"/>
      <w:r>
        <w:rPr>
          <w:rFonts w:hint="eastAsia" w:ascii="宋体" w:hAnsi="宋体" w:eastAsia="宋体" w:cs="宋体"/>
          <w:color w:val="auto"/>
          <w:sz w:val="21"/>
          <w:szCs w:val="21"/>
          <w:highlight w:val="none"/>
        </w:rPr>
        <w:t xml:space="preserve">三、非实质性响应对照表</w:t>
      </w:r>
      <w:bookmarkEnd w:id="86"/>
      <w:r/>
      <w:bookmarkEnd w:id="87"/>
      <w:r/>
      <w:bookmarkEnd w:id="88"/>
      <w:r/>
      <w:bookmarkEnd w:id="89"/>
      <w:r/>
      <w:bookmarkEnd w:id="90"/>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JSZC-321092-SWGC-G2026-0080</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797"/>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03"/>
          <w:rFonts w:hint="eastAsia" w:ascii="宋体" w:hAnsi="宋体" w:cs="宋体"/>
          <w:i w:val="0"/>
          <w:color w:val="auto"/>
          <w:sz w:val="21"/>
          <w:szCs w:val="21"/>
          <w:highlight w:val="none"/>
          <w:u w:val="single"/>
          <w:shd w:val="clear" w:color="auto" w:fill="ffffff"/>
        </w:rPr>
        <w:t xml:space="preserve">（产品名称1）</w:t>
      </w:r>
      <w:r>
        <w:rPr>
          <w:rStyle w:val="803"/>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03"/>
          <w:rFonts w:hint="eastAsia" w:ascii="宋体" w:hAnsi="宋体" w:cs="宋体"/>
          <w:i w:val="0"/>
          <w:color w:val="auto"/>
          <w:sz w:val="21"/>
          <w:szCs w:val="21"/>
          <w:highlight w:val="none"/>
          <w:u w:val="single"/>
          <w:shd w:val="clear" w:color="auto" w:fill="ffffff"/>
        </w:rPr>
        <w:t xml:space="preserve">（厂名）</w:t>
      </w:r>
      <w:r>
        <w:rPr>
          <w:rStyle w:val="803"/>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0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03"/>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03"/>
          <w:rFonts w:hint="eastAsia" w:ascii="宋体" w:hAnsi="宋体" w:cs="宋体"/>
          <w:i w:val="0"/>
          <w:color w:val="auto"/>
          <w:sz w:val="21"/>
          <w:szCs w:val="21"/>
          <w:highlight w:val="none"/>
          <w:u w:val="single"/>
          <w:shd w:val="clear" w:color="auto" w:fill="ffffff"/>
        </w:rPr>
        <w:t xml:space="preserve">（规定比例）</w:t>
      </w:r>
      <w:r>
        <w:rPr>
          <w:rStyle w:val="803"/>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0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3"/>
          <w:rFonts w:hint="eastAsia" w:ascii="宋体" w:hAnsi="宋体" w:cs="宋体"/>
          <w:i w:val="0"/>
          <w:color w:val="auto"/>
          <w:sz w:val="21"/>
          <w:szCs w:val="21"/>
          <w:highlight w:val="none"/>
          <w:u w:val="single"/>
          <w:shd w:val="clear" w:color="auto" w:fill="ffffff"/>
        </w:rPr>
        <w:t xml:space="preserve">（关键组件）</w:t>
      </w:r>
      <w:r>
        <w:rPr>
          <w:rStyle w:val="803"/>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0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3"/>
          <w:rFonts w:hint="eastAsia" w:ascii="宋体" w:hAnsi="宋体" w:cs="宋体"/>
          <w:i w:val="0"/>
          <w:color w:val="auto"/>
          <w:sz w:val="21"/>
          <w:szCs w:val="21"/>
          <w:highlight w:val="none"/>
          <w:u w:val="single"/>
          <w:shd w:val="clear" w:color="auto" w:fill="ffffff"/>
        </w:rPr>
        <w:t xml:space="preserve">（关键工序）</w:t>
      </w:r>
      <w:r>
        <w:rPr>
          <w:rStyle w:val="803"/>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0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03"/>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0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0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03"/>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0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03"/>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0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03"/>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97"/>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797"/>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79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79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79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79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79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79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79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79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91" w:name="_Toc19910"/>
      <w:r/>
      <w:bookmarkStart w:id="92" w:name="_Toc25382"/>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91"/>
      <w:r/>
      <w:bookmarkEnd w:id="92"/>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7"/>
      </w:tblGrid>
      <w:tr>
        <w:trPr>
          <w:cantSplit/>
          <w:trHeight w:val="1098"/>
        </w:trPr>
        <w:tc>
          <w:tcPr>
            <w:tcW w:w="1395" w:type="pct"/>
            <w:vAlign w:val="center"/>
            <w:textDirection w:val="lrTb"/>
            <w:noWrap w:val="false"/>
          </w:tcPr>
          <w:p>
            <w:pPr>
              <w:pStyle w:val="1003"/>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03"/>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30"/>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30"/>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00"/>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00"/>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93" w:name="_Toc20323"/>
      <w:r/>
      <w:bookmarkStart w:id="94" w:name="_Toc17891"/>
      <w:r>
        <w:rPr>
          <w:rFonts w:hint="eastAsia" w:ascii="宋体" w:hAnsi="宋体" w:eastAsia="宋体" w:cs="宋体"/>
          <w:b/>
          <w:bCs/>
          <w:color w:val="auto"/>
          <w:sz w:val="21"/>
          <w:szCs w:val="21"/>
          <w:highlight w:val="none"/>
        </w:rPr>
        <w:t xml:space="preserve">五、投标分项报价表</w:t>
      </w:r>
      <w:bookmarkEnd w:id="93"/>
      <w:r/>
      <w:bookmarkEnd w:id="94"/>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7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序号</w:t>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名称</w:t>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单位</w:t>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数量</w:t>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color w:val="auto"/>
                <w:highlight w:val="none"/>
              </w:rPr>
              <w:t xml:space="preserve">单项合计价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45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2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33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9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500"/>
        </w:trPr>
        <w:tc>
          <w:tcPr>
            <w:gridSpan w:val="3"/>
            <w:tcW w:w="42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lang w:val="en-US" w:eastAsia="zh-CN"/>
              </w:rPr>
              <w:t xml:space="preserve">投标</w:t>
            </w:r>
            <w:r>
              <w:rPr>
                <w:rFonts w:hint="eastAsia" w:ascii="宋体" w:hAnsi="宋体"/>
                <w:color w:val="auto"/>
                <w:highlight w:val="none"/>
              </w:rPr>
              <w:t xml:space="preserve">总报价</w:t>
            </w:r>
            <w:r/>
          </w:p>
        </w:tc>
        <w:tc>
          <w:tcPr>
            <w:gridSpan w:val="3"/>
            <w:tcW w:w="4271" w:type="dxa"/>
            <w:vAlign w:val="center"/>
            <w:textDirection w:val="lrTb"/>
            <w:noWrap w:val="false"/>
          </w:tcPr>
          <w:p>
            <w:pPr>
              <w:ind w:left="0" w:right="0"/>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ind w:left="0" w:right="0"/>
              <w:keepLines w:val="0"/>
              <w:keepNext w:val="0"/>
              <w:spacing w:before="0" w:beforeAutospacing="0" w:after="0" w:afterAutospacing="0" w:line="360" w:lineRule="auto"/>
              <w:rPr>
                <w:rFonts w:ascii="宋体" w:hAnsi="宋体"/>
                <w:color w:val="auto"/>
                <w:szCs w:val="21"/>
                <w:highlight w:val="none"/>
                <w:u w:val="single"/>
              </w:rPr>
              <w:suppressLineNumbers w:val="0"/>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jc w:val="center"/>
          <w:trHeight w:val="500"/>
        </w:trPr>
        <w:tc>
          <w:tcPr>
            <w:gridSpan w:val="6"/>
            <w:tcW w:w="850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p>
        </w:tc>
      </w:tr>
    </w:tbl>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0"/>
        <w:spacing w:line="360" w:lineRule="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说明：</w:t>
      </w:r>
      <w:r/>
    </w:p>
    <w:p>
      <w:pPr>
        <w:ind w:firstLine="480"/>
        <w:spacing w:line="360" w:lineRule="auto"/>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lang w:val="en-US" w:eastAsia="zh-CN"/>
        </w:rPr>
        <w:t xml:space="preserve">1</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lang w:val="en-US" w:eastAsia="zh-CN"/>
        </w:rPr>
        <w:t xml:space="preserve">投标</w:t>
      </w:r>
      <w:r>
        <w:rPr>
          <w:rFonts w:hint="eastAsia" w:ascii="Times New Roman" w:hAnsi="Times New Roman" w:eastAsia="宋体" w:cs="Times New Roman"/>
          <w:b/>
          <w:bCs/>
          <w:color w:val="auto"/>
          <w:szCs w:val="21"/>
          <w:highlight w:val="none"/>
        </w:rPr>
        <w:t xml:space="preserve">报价应包括所有的费用（含为完成招标文件规定的服务工作所涉及到的一切相关费用）：人员工资、法定节假日加班费、周末加班费、社会保险（养老、工伤、失业）、医疗保险（医疗、大病救助）、住房公积金、高温补贴、意外伤害险（未缴纳社保的人员需缴纳不低于保额80万元的意外伤害保险）、节假日福利费、服装费、工具及耗材费用、车辆折旧或租赁费、管理费、税费及投标人自行考虑的其他费用</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imes New Roman" w:hAnsi="Times New Roman" w:eastAsia="宋体" w:cs="Times New Roman"/>
          <w:b/>
          <w:bCs/>
          <w:color w:val="auto"/>
          <w:szCs w:val="21"/>
          <w:highlight w:val="none"/>
          <w:lang w:eastAsia="zh-CN"/>
        </w:rPr>
      </w:pPr>
      <w:r>
        <w:rPr>
          <w:rFonts w:hint="eastAsia" w:ascii="Times New Roman" w:hAnsi="Times New Roman" w:eastAsia="宋体" w:cs="Times New Roman"/>
          <w:b/>
          <w:bCs/>
          <w:color w:val="auto"/>
          <w:szCs w:val="21"/>
          <w:highlight w:val="none"/>
        </w:rPr>
        <w:t xml:space="preserve">2</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“投标分项报价表”中“投标总报价”数额应当与“开标一览表”中“投标总报价”数额一致。</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4</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采购人要求依法缴纳社保、医保、住房公积金的人数必须能够满足项目实施需要。如投标人享受税收、社保、医保、住房公积金优惠政策或符合相关政策法规，请提供相应证明材料，并承诺材料真实有效，以便采购人、监管部门履约期间核查。</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5</w:t>
      </w:r>
      <w:bookmarkStart w:id="95" w:name="OLE_LINK17"/>
      <w:r/>
      <w:bookmarkStart w:id="96" w:name="OLE_LINK16"/>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工具及耗材</w:t>
      </w:r>
      <w:bookmarkEnd w:id="95"/>
      <w:r/>
      <w:bookmarkEnd w:id="96"/>
      <w:r>
        <w:rPr>
          <w:rFonts w:hint="eastAsia" w:ascii="Times New Roman" w:hAnsi="Times New Roman" w:eastAsia="宋体" w:cs="Times New Roman"/>
          <w:b/>
          <w:bCs/>
          <w:color w:val="auto"/>
          <w:szCs w:val="21"/>
          <w:highlight w:val="none"/>
          <w:lang w:val="en-US" w:eastAsia="zh-CN"/>
        </w:rPr>
        <w:t xml:space="preserve">等</w:t>
      </w:r>
      <w:r>
        <w:rPr>
          <w:rFonts w:hint="eastAsia" w:ascii="Times New Roman" w:hAnsi="Times New Roman" w:eastAsia="宋体" w:cs="Times New Roman"/>
          <w:b/>
          <w:bCs/>
          <w:color w:val="auto"/>
          <w:szCs w:val="21"/>
          <w:highlight w:val="none"/>
        </w:rPr>
        <w:t xml:space="preserve">按《</w:t>
      </w:r>
      <w:r>
        <w:rPr>
          <w:rFonts w:hint="eastAsia" w:ascii="Times New Roman" w:hAnsi="Times New Roman" w:eastAsia="宋体" w:cs="Times New Roman"/>
          <w:b/>
          <w:bCs/>
          <w:color w:val="auto"/>
          <w:szCs w:val="21"/>
          <w:highlight w:val="none"/>
          <w:lang w:val="en-US" w:eastAsia="zh-CN"/>
        </w:rPr>
        <w:t xml:space="preserve">耗材及污水清运服务明细表</w:t>
      </w:r>
      <w:r>
        <w:rPr>
          <w:rFonts w:hint="eastAsia" w:ascii="Times New Roman" w:hAnsi="Times New Roman" w:eastAsia="宋体" w:cs="Times New Roman"/>
          <w:b/>
          <w:bCs/>
          <w:color w:val="auto"/>
          <w:szCs w:val="21"/>
          <w:highlight w:val="none"/>
        </w:rPr>
        <w:t xml:space="preserve">》测算</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6</w:t>
      </w:r>
      <w:r>
        <w:rPr>
          <w:rFonts w:hint="eastAsia" w:ascii="Times New Roman" w:hAnsi="Times New Roman" w:cs="Times New Roman"/>
          <w:b/>
          <w:bCs/>
          <w:color w:val="auto"/>
          <w:szCs w:val="21"/>
          <w:highlight w:val="none"/>
          <w:lang w:val="en-US" w:eastAsia="zh-CN"/>
        </w:rPr>
        <w:t xml:space="preserve">.</w:t>
      </w:r>
      <w:r>
        <w:rPr>
          <w:rFonts w:hint="eastAsia" w:ascii="Times New Roman" w:hAnsi="Times New Roman" w:eastAsia="宋体" w:cs="Times New Roman"/>
          <w:b/>
          <w:bCs/>
          <w:color w:val="auto"/>
          <w:szCs w:val="21"/>
          <w:highlight w:val="none"/>
        </w:rPr>
        <w:t xml:space="preserve">车辆折旧或租赁费</w:t>
      </w:r>
      <w:r>
        <w:rPr>
          <w:rFonts w:hint="eastAsia" w:ascii="Times New Roman" w:hAnsi="Times New Roman" w:eastAsia="宋体" w:cs="Times New Roman"/>
          <w:b/>
          <w:bCs/>
          <w:color w:val="auto"/>
          <w:szCs w:val="21"/>
          <w:highlight w:val="none"/>
          <w:lang w:val="en-US" w:eastAsia="zh-CN"/>
        </w:rPr>
        <w:t xml:space="preserve">等</w:t>
      </w:r>
      <w:r>
        <w:rPr>
          <w:rFonts w:hint="eastAsia" w:ascii="Times New Roman" w:hAnsi="Times New Roman" w:eastAsia="宋体" w:cs="Times New Roman"/>
          <w:b/>
          <w:bCs/>
          <w:color w:val="auto"/>
          <w:szCs w:val="21"/>
          <w:highlight w:val="none"/>
        </w:rPr>
        <w:t xml:space="preserve">按《</w:t>
      </w:r>
      <w:r>
        <w:rPr>
          <w:rFonts w:hint="eastAsia" w:ascii="Times New Roman" w:hAnsi="Times New Roman" w:eastAsia="宋体" w:cs="Times New Roman"/>
          <w:b/>
          <w:bCs/>
          <w:color w:val="auto"/>
          <w:szCs w:val="21"/>
          <w:highlight w:val="none"/>
          <w:lang w:val="en-US" w:eastAsia="zh-CN"/>
        </w:rPr>
        <w:t xml:space="preserve">车辆配置表</w:t>
      </w:r>
      <w:r>
        <w:rPr>
          <w:rFonts w:hint="eastAsia" w:ascii="Times New Roman" w:hAnsi="Times New Roman" w:eastAsia="宋体" w:cs="Times New Roman"/>
          <w:b/>
          <w:bCs/>
          <w:color w:val="auto"/>
          <w:szCs w:val="21"/>
          <w:highlight w:val="none"/>
        </w:rPr>
        <w:t xml:space="preserve">》测算</w:t>
      </w:r>
      <w:r>
        <w:rPr>
          <w:rFonts w:hint="eastAsia" w:ascii="Times New Roman" w:hAnsi="Times New Roman" w:eastAsia="宋体" w:cs="Times New Roman"/>
          <w:b/>
          <w:bCs/>
          <w:color w:val="auto"/>
          <w:szCs w:val="21"/>
          <w:highlight w:val="none"/>
          <w:lang w:eastAsia="zh-CN"/>
        </w:rPr>
        <w:t xml:space="preserve">。</w:t>
      </w:r>
      <w:r/>
    </w:p>
    <w:p>
      <w:pPr>
        <w:ind w:firstLine="480"/>
        <w:spacing w:line="360" w:lineRule="auto"/>
        <w:rPr>
          <w:rFonts w:hint="eastAsia" w:asciiTheme="minorEastAsia" w:hAnsiTheme="minorEastAsia" w:eastAsiaTheme="minorEastAsia"/>
          <w:b/>
          <w:bCs w:val="0"/>
          <w:i w:val="0"/>
          <w:iCs w:val="0"/>
          <w:color w:val="auto"/>
          <w:sz w:val="24"/>
          <w:szCs w:val="24"/>
          <w:highlight w:val="none"/>
          <w:u w:val="none"/>
          <w:lang w:eastAsia="zh-CN"/>
        </w:rPr>
      </w:pPr>
      <w:r>
        <w:rPr>
          <w:rFonts w:hint="eastAsia" w:ascii="Times New Roman" w:hAnsi="Times New Roman" w:cs="Times New Roman"/>
          <w:b/>
          <w:bCs/>
          <w:color w:val="auto"/>
          <w:szCs w:val="21"/>
          <w:highlight w:val="none"/>
          <w:lang w:val="en-US" w:eastAsia="zh-CN"/>
        </w:rPr>
        <w:t xml:space="preserve">7.</w:t>
      </w:r>
      <w:r>
        <w:rPr>
          <w:rFonts w:hint="eastAsia" w:ascii="Times New Roman" w:hAnsi="Times New Roman" w:eastAsia="宋体" w:cs="Times New Roman"/>
          <w:b/>
          <w:bCs/>
          <w:color w:val="auto"/>
          <w:szCs w:val="21"/>
          <w:highlight w:val="none"/>
          <w:lang w:val="en-US" w:eastAsia="zh-CN"/>
        </w:rPr>
        <w:t xml:space="preserve">本项目招标代理服务费应包含在投标总价中，具体计算方式详见招标文件第二章4.3条要求。</w:t>
      </w:r>
      <w:r>
        <w:rPr>
          <w:rFonts w:hint="eastAsia" w:asciiTheme="minorEastAsia" w:hAnsiTheme="minorEastAsia" w:eastAsiaTheme="minorEastAsia"/>
          <w:b/>
          <w:bCs w:val="0"/>
          <w:i w:val="0"/>
          <w:iCs w:val="0"/>
          <w:color w:val="auto"/>
          <w:sz w:val="24"/>
          <w:szCs w:val="24"/>
          <w:highlight w:val="none"/>
          <w:u w:val="none"/>
          <w:lang w:eastAsia="zh-CN"/>
        </w:rPr>
        <w:br w:type="page" w:clear="all"/>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）耗材及污水清运服务明细表</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774"/>
        <w:tblW w:w="100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2284"/>
        <w:gridCol w:w="720"/>
        <w:gridCol w:w="980"/>
        <w:gridCol w:w="885"/>
        <w:gridCol w:w="1080"/>
        <w:gridCol w:w="1110"/>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50*60CM，20只/卷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60*80CM，15只/卷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80*100CM，10只/卷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三件套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环境管护</w:t>
            </w:r>
            <w:r>
              <w:rPr>
                <w:rFonts w:hint="eastAsia" w:ascii="宋体" w:hAnsi="宋体" w:eastAsia="宋体" w:cs="宋体"/>
                <w:i w:val="0"/>
                <w:iCs w:val="0"/>
                <w:color w:val="auto"/>
                <w:sz w:val="21"/>
                <w:szCs w:val="21"/>
                <w:highlight w:val="none"/>
                <w:u w:val="none"/>
                <w:lang w:val="en-US" w:eastAsia="zh-CN" w:bidi="ar"/>
              </w:rPr>
              <w:t xml:space="preserve">用30*70CM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空气清新剂（固体）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）车辆配置表</w:t>
      </w:r>
      <w:r/>
    </w:p>
    <w:p>
      <w:pPr>
        <w:jc w:val="center"/>
        <w:pageBreakBefore w:val="0"/>
        <w:spacing w:line="240" w:lineRule="auto"/>
        <w:rPr>
          <w:rFonts w:hint="eastAsia" w:asciiTheme="minorEastAsia" w:hAnsiTheme="minorEastAsia" w:eastAsiaTheme="minorEastAsia"/>
          <w:b/>
          <w:i/>
          <w:iCs/>
          <w:color w:val="auto"/>
          <w:sz w:val="24"/>
          <w:szCs w:val="24"/>
          <w:highlight w:val="none"/>
          <w:u w:val="single"/>
        </w:rPr>
      </w:pPr>
      <w:r>
        <w:rPr>
          <w:rFonts w:hint="eastAsia" w:asciiTheme="minorEastAsia" w:hAnsiTheme="minorEastAsia" w:eastAsiaTheme="minorEastAsia"/>
          <w:b/>
          <w:i/>
          <w:iCs/>
          <w:color w:val="auto"/>
          <w:sz w:val="24"/>
          <w:szCs w:val="24"/>
          <w:highlight w:val="none"/>
          <w:u w:val="single"/>
        </w:rPr>
      </w:r>
      <w:r/>
    </w:p>
    <w:tbl>
      <w:tblPr>
        <w:tblStyle w:val="774"/>
        <w:tblW w:w="9555" w:type="dxa"/>
        <w:jc w:val="center"/>
        <w:tblLayout w:type="fixed"/>
        <w:tblCellMar>
          <w:left w:w="108" w:type="dxa"/>
          <w:top w:w="0" w:type="dxa"/>
          <w:right w:w="108" w:type="dxa"/>
          <w:bottom w:w="0" w:type="dxa"/>
        </w:tblCellMar>
        <w:tblLook w:val="04A0" w:firstRow="1" w:lastRow="0" w:firstColumn="1" w:lastColumn="0" w:noHBand="0" w:noVBand="1"/>
      </w:tblPr>
      <w:tblGrid>
        <w:gridCol w:w="795"/>
        <w:gridCol w:w="1927"/>
        <w:gridCol w:w="1470"/>
        <w:gridCol w:w="795"/>
        <w:gridCol w:w="873"/>
        <w:gridCol w:w="1030"/>
        <w:gridCol w:w="1191"/>
        <w:gridCol w:w="1474"/>
      </w:tblGrid>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物品</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rPr>
              <w:suppressLineNumbers w:val="0"/>
            </w:pPr>
            <w:r>
              <w:rPr>
                <w:rFonts w:hint="eastAsia" w:cs="宋体" w:asciiTheme="minorEastAsia" w:hAnsiTheme="minorEastAsia" w:eastAsiaTheme="minorEastAsia"/>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lang w:bidi="ar"/>
              </w:rPr>
              <w:suppressLineNumbers w:val="0"/>
            </w:pPr>
            <w:r>
              <w:rPr>
                <w:rFonts w:hint="eastAsia" w:cs="宋体" w:asciiTheme="minorEastAsia" w:hAnsiTheme="minorEastAsia" w:eastAsiaTheme="minorEastAsia"/>
                <w:b/>
                <w:bCs/>
                <w:color w:val="auto"/>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b/>
                <w:bCs/>
                <w:color w:val="auto"/>
                <w:sz w:val="21"/>
                <w:szCs w:val="21"/>
                <w:highlight w:val="none"/>
                <w:lang w:bidi="ar"/>
              </w:rPr>
              <w:suppressLineNumbers w:val="0"/>
            </w:pPr>
            <w:r>
              <w:rPr>
                <w:rFonts w:hint="eastAsia" w:cs="宋体" w:asciiTheme="minorEastAsia" w:hAnsiTheme="minorEastAsia" w:eastAsiaTheme="minorEastAsia"/>
                <w:b/>
                <w:bCs/>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cs="宋体" w:asciiTheme="minorEastAsia" w:hAnsiTheme="minorEastAsia" w:eastAsiaTheme="minorEastAsia"/>
                <w:b/>
                <w:bCs/>
                <w:color w:val="auto"/>
                <w:sz w:val="21"/>
                <w:szCs w:val="21"/>
                <w:highlight w:val="none"/>
                <w:lang w:val="en-US" w:eastAsia="zh-CN"/>
              </w:rPr>
              <w:suppressLineNumbers w:val="0"/>
            </w:pPr>
            <w:r>
              <w:rPr>
                <w:rFonts w:hint="eastAsia" w:cs="宋体" w:asciiTheme="minorEastAsia" w:hAnsiTheme="minorEastAsia" w:eastAsiaTheme="minorEastAsia"/>
                <w:b/>
                <w:bCs/>
                <w:color w:val="auto"/>
                <w:sz w:val="21"/>
                <w:szCs w:val="21"/>
                <w:highlight w:val="none"/>
                <w:lang w:val="en-US" w:eastAsia="zh-CN" w:bidi="ar"/>
              </w:rPr>
              <w:t xml:space="preserve">示意图片</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扫地作业车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扫地工作面1.5M宽</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23875" cy="524510"/>
                      <wp:effectExtent l="0" t="0" r="9525" b="889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9"/>
                              <a:stretch/>
                            </pic:blipFill>
                            <pic:spPr bwMode="auto">
                              <a:xfrm>
                                <a:off x="0" y="0"/>
                                <a:ext cx="523875" cy="524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2pt;height:41.3pt;mso-wrap-distance-left:0.0pt;mso-wrap-distance-top:0.0pt;mso-wrap-distance-right:0.0pt;mso-wrap-distance-bottom:0.0pt;" stroked="false">
                      <v:path textboxrect="0,0,0,0"/>
                      <v:imagedata r:id="rId19" o:title=""/>
                    </v:shape>
                  </w:pict>
                </mc:Fallback>
              </mc:AlternateConten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清洁巡视车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32765" cy="527685"/>
                      <wp:effectExtent l="0" t="0" r="0" b="444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0"/>
                              <a:stretch/>
                            </pic:blipFill>
                            <pic:spPr bwMode="auto">
                              <a:xfrm>
                                <a:off x="0" y="0"/>
                                <a:ext cx="532765" cy="527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9pt;height:41.5pt;mso-wrap-distance-left:0.0pt;mso-wrap-distance-top:0.0pt;mso-wrap-distance-right:0.0pt;mso-wrap-distance-bottom:0.0pt;" stroked="false">
                      <v:path textboxrect="0,0,0,0"/>
                      <v:imagedata r:id="rId20"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sz w:val="21"/>
                <w:szCs w:val="21"/>
                <w:highlight w:val="none"/>
                <w:lang w:eastAsia="zh-CN"/>
              </w:rPr>
              <w:suppressLineNumbers w:val="0"/>
            </w:pPr>
            <w:r>
              <w:rPr>
                <w:rFonts w:hint="eastAsia" w:cs="宋体" w:asciiTheme="minorEastAsia" w:hAnsiTheme="minorEastAsia" w:eastAsiaTheme="minorEastAsia"/>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垃圾清运车</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rPr>
              <w:suppressLineNumbers w:val="0"/>
            </w:pPr>
            <w:r>
              <w:rPr>
                <w:rFonts w:hint="eastAsia" w:cs="宋体" w:asciiTheme="minorEastAsia" w:hAnsiTheme="minorEastAsia" w:eastAsiaTheme="minorEastAsia"/>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553085" cy="391795"/>
                      <wp:effectExtent l="0" t="0" r="18415" b="825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pic:cNvPicPr>
                              <pic:nvPr/>
                            </pic:nvPicPr>
                            <pic:blipFill>
                              <a:blip r:embed="rId21"/>
                              <a:srcRect l="17101" t="19167" r="28902" b="12706"/>
                              <a:stretch/>
                            </pic:blipFill>
                            <pic:spPr bwMode="auto">
                              <a:xfrm>
                                <a:off x="0" y="0"/>
                                <a:ext cx="553085"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3.5pt;height:30.8pt;mso-wrap-distance-left:0.0pt;mso-wrap-distance-top:0.0pt;mso-wrap-distance-right:0.0pt;mso-wrap-distance-bottom:0.0pt;" stroked="f">
                      <v:path textboxrect="0,0,0,0"/>
                      <v:imagedata r:id="rId21" o:title=""/>
                    </v:shape>
                  </w:pict>
                </mc:Fallback>
              </mc:AlternateConten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hint="eastAsia" w:cs="宋体" w:asciiTheme="minorEastAsia" w:hAnsiTheme="minorEastAsia" w:eastAsiaTheme="minorEastAsia"/>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cs="宋体" w:asciiTheme="minorEastAsia" w:hAnsiTheme="minorEastAsia" w:eastAsiaTheme="minorEastAsia"/>
                <w:color w:val="auto"/>
                <w:sz w:val="21"/>
                <w:szCs w:val="21"/>
                <w:highlight w:val="none"/>
                <w:lang w:bidi="ar"/>
              </w:rPr>
              <w:suppressLineNumbers w:val="0"/>
            </w:pPr>
            <w:r>
              <w:rPr>
                <w:rFonts w:cs="宋体" w:asciiTheme="minorEastAsia" w:hAnsiTheme="minorEastAsia" w:eastAsiaTheme="minorEastAsia"/>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pageBreakBefore w:val="0"/>
              <w:spacing w:before="0" w:beforeAutospacing="0" w:after="0" w:afterAutospacing="0" w:line="240" w:lineRule="auto"/>
              <w:rPr>
                <w:rFonts w:cs="宋体" w:asciiTheme="minorEastAsia" w:hAnsiTheme="minorEastAsia" w:eastAsiaTheme="minorEastAsia"/>
                <w:color w:val="auto"/>
                <w:sz w:val="21"/>
                <w:szCs w:val="21"/>
                <w:highlight w:val="none"/>
              </w:rPr>
              <w:suppressLineNumbers w:val="0"/>
            </w:pPr>
            <w:r>
              <w:rPr>
                <w:rFonts w:cs="宋体" w:asciiTheme="minorEastAsia" w:hAnsiTheme="minorEastAsia" w:eastAsiaTheme="minorEastAsia"/>
                <w:color w:val="auto"/>
                <w:sz w:val="21"/>
                <w:szCs w:val="21"/>
                <w:highlight w:val="none"/>
              </w:rPr>
            </w:r>
            <w:r/>
          </w:p>
        </w:tc>
      </w:tr>
    </w:tbl>
    <w:p>
      <w:pPr>
        <w:ind w:firstLine="480"/>
        <w:spacing w:line="360" w:lineRule="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r>
      <w:r/>
    </w:p>
    <w:p>
      <w:pPr>
        <w:ind w:firstLine="480"/>
        <w:spacing w:line="360" w:lineRule="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说明：</w:t>
      </w:r>
      <w:r>
        <w:rPr>
          <w:rFonts w:hint="eastAsia" w:ascii="Times New Roman" w:hAnsi="Times New Roman" w:eastAsia="宋体" w:cs="Times New Roman"/>
          <w:b/>
          <w:bCs/>
          <w:color w:val="auto"/>
          <w:szCs w:val="21"/>
          <w:highlight w:val="none"/>
        </w:rPr>
        <w:t xml:space="preserve">投标人可根据服务需要自行增加相关设备</w:t>
      </w:r>
      <w:r>
        <w:rPr>
          <w:rFonts w:hint="eastAsia" w:ascii="Times New Roman" w:hAnsi="Times New Roman" w:eastAsia="宋体" w:cs="Times New Roman"/>
          <w:b/>
          <w:bCs/>
          <w:color w:val="auto"/>
          <w:szCs w:val="21"/>
          <w:highlight w:val="none"/>
          <w:lang w:eastAsia="zh-CN"/>
        </w:rPr>
        <w:t xml:space="preserve">。</w:t>
      </w:r>
      <w:r>
        <w:rPr>
          <w:rFonts w:hint="eastAsia" w:ascii="Times New Roman" w:hAnsi="Times New Roman" w:eastAsia="宋体" w:cs="Times New Roman"/>
          <w:b/>
          <w:bCs/>
          <w:color w:val="auto"/>
          <w:szCs w:val="21"/>
          <w:highlight w:val="none"/>
        </w:rPr>
        <w:t xml:space="preserve">自有设备按折旧计算，租赁设备按租金计算。</w:t>
      </w:r>
      <w:r/>
    </w:p>
    <w:p>
      <w:pPr>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br w:type="page" w:clear="all"/>
      </w:r>
      <w:r/>
    </w:p>
    <w:p>
      <w:pPr>
        <w:rPr>
          <w:rFonts w:hint="eastAsia" w:ascii="宋体" w:hAnsi="宋体" w:eastAsia="宋体" w:cs="宋体"/>
          <w:color w:val="auto"/>
          <w:sz w:val="21"/>
          <w:szCs w:val="21"/>
          <w:highlight w:val="none"/>
        </w:rPr>
      </w:pPr>
      <w:r/>
      <w:bookmarkStart w:id="97" w:name="_Toc16517"/>
      <w:r/>
      <w:bookmarkStart w:id="98" w:name="_Toc9678"/>
      <w:r/>
      <w:bookmarkStart w:id="99" w:name="_Toc4598"/>
      <w:r/>
      <w:bookmarkStart w:id="100" w:name="_Toc5967"/>
      <w:r/>
      <w:bookmarkEnd w:id="97"/>
      <w:bookmarkEnd w:id="98"/>
      <w:bookmarkEnd w:id="99"/>
      <w:bookmarkEnd w:id="100"/>
      <w:r/>
    </w:p>
    <w:p>
      <w:pPr>
        <w:pStyle w:val="994"/>
        <w:rPr>
          <w:rFonts w:hint="eastAsia" w:ascii="宋体" w:hAnsi="宋体" w:eastAsia="宋体" w:cs="宋体"/>
          <w:color w:val="auto"/>
          <w:sz w:val="21"/>
          <w:szCs w:val="21"/>
          <w:highlight w:val="none"/>
        </w:rPr>
      </w:pPr>
      <w:r/>
      <w:bookmarkStart w:id="101" w:name="_Toc10043"/>
      <w:r/>
      <w:bookmarkStart w:id="102" w:name="_Toc462564146"/>
      <w:r>
        <w:rPr>
          <w:rFonts w:hint="eastAsia" w:ascii="宋体" w:hAnsi="宋体" w:eastAsia="宋体" w:cs="宋体"/>
          <w:color w:val="auto"/>
          <w:sz w:val="21"/>
          <w:szCs w:val="21"/>
          <w:highlight w:val="none"/>
        </w:rPr>
        <w:t xml:space="preserve">六、技术要求响应及偏离表</w:t>
      </w:r>
      <w:bookmarkEnd w:id="101"/>
      <w:r/>
      <w:r/>
    </w:p>
    <w:tbl>
      <w:tblPr>
        <w:tblStyle w:val="774"/>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4"/>
        <w:rPr>
          <w:rFonts w:hint="eastAsia" w:ascii="宋体" w:hAnsi="宋体" w:eastAsia="宋体" w:cs="宋体"/>
          <w:color w:val="auto"/>
          <w:sz w:val="21"/>
          <w:szCs w:val="21"/>
          <w:highlight w:val="none"/>
        </w:rPr>
      </w:pPr>
      <w:r/>
      <w:bookmarkStart w:id="103" w:name="_Hlt26955054"/>
      <w:r/>
      <w:bookmarkEnd w:id="103"/>
      <w:r/>
      <w:bookmarkStart w:id="104" w:name="_Toc16820"/>
      <w:r/>
      <w:bookmarkStart w:id="105" w:name="_Toc32154"/>
      <w:r>
        <w:rPr>
          <w:rFonts w:hint="eastAsia" w:ascii="宋体" w:hAnsi="宋体" w:eastAsia="宋体" w:cs="宋体"/>
          <w:color w:val="auto"/>
          <w:sz w:val="21"/>
          <w:szCs w:val="21"/>
          <w:highlight w:val="none"/>
        </w:rPr>
        <w:t xml:space="preserve">七、</w:t>
      </w:r>
      <w:bookmarkEnd w:id="104"/>
      <w:r/>
      <w:bookmarkEnd w:id="105"/>
      <w:r>
        <w:rPr>
          <w:rFonts w:hint="eastAsia" w:ascii="宋体" w:hAnsi="宋体" w:eastAsia="宋体" w:cs="宋体"/>
          <w:color w:val="auto"/>
          <w:sz w:val="21"/>
          <w:szCs w:val="21"/>
          <w:highlight w:val="none"/>
        </w:rPr>
        <w:t xml:space="preserve">商务要求响应及偏离表</w:t>
      </w:r>
      <w:r/>
    </w:p>
    <w:tbl>
      <w:tblPr>
        <w:tblStyle w:val="77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106" w:name="_Hlt26955056"/>
            <w:r/>
            <w:bookmarkEnd w:id="106"/>
            <w:r/>
            <w:bookmarkStart w:id="107" w:name="_Hlt26782999"/>
            <w:r/>
            <w:bookmarkEnd w:id="107"/>
            <w:r/>
            <w:bookmarkStart w:id="108" w:name="_Hlt26580838"/>
            <w:r/>
            <w:bookmarkEnd w:id="108"/>
            <w:r/>
            <w:bookmarkStart w:id="109" w:name="_Hlt26671372"/>
            <w:r/>
            <w:bookmarkEnd w:id="109"/>
            <w:r/>
            <w:bookmarkStart w:id="110" w:name="_Hlt26609391"/>
            <w:r/>
            <w:bookmarkEnd w:id="110"/>
            <w:r/>
            <w:bookmarkStart w:id="111" w:name="_Hlt24879081"/>
            <w:r/>
            <w:bookmarkEnd w:id="111"/>
            <w:r/>
            <w:bookmarkStart w:id="112" w:name="_Hlt26955064"/>
            <w:r/>
            <w:bookmarkEnd w:id="112"/>
            <w:r/>
            <w:bookmarkStart w:id="113" w:name="_Hlt26671343"/>
            <w:r/>
            <w:bookmarkEnd w:id="113"/>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w:t>
      </w:r>
      <w:r>
        <w:rPr>
          <w:rFonts w:hint="eastAsia" w:ascii="宋体" w:hAnsi="宋体" w:cs="宋体"/>
          <w:color w:val="ff0000"/>
          <w:szCs w:val="21"/>
          <w:highlight w:val="none"/>
          <w:lang w:val="en-US" w:eastAsia="zh-CN"/>
        </w:rPr>
        <w:t xml:space="preserve">商务</w:t>
      </w:r>
      <w:r>
        <w:rPr>
          <w:rFonts w:hint="eastAsia" w:ascii="宋体" w:hAnsi="宋体" w:cs="宋体"/>
          <w:color w:val="ff0000"/>
          <w:szCs w:val="21"/>
          <w:highlight w:val="none"/>
        </w:rPr>
        <w:t xml:space="preserve">要求</w:t>
      </w:r>
      <w:r>
        <w:rPr>
          <w:rFonts w:hint="eastAsia" w:ascii="宋体" w:hAnsi="宋体" w:cs="宋体"/>
          <w:color w:val="auto"/>
          <w:szCs w:val="21"/>
          <w:highlight w:val="none"/>
        </w:rPr>
        <w:t xml:space="preserve">（未加斜体下划线的非实质性要求）逐条做出明确响应。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94"/>
        <w:rPr>
          <w:rFonts w:hint="eastAsia" w:ascii="宋体" w:hAnsi="宋体" w:eastAsia="宋体" w:cs="宋体"/>
          <w:color w:val="auto"/>
          <w:sz w:val="21"/>
          <w:szCs w:val="21"/>
          <w:highlight w:val="none"/>
        </w:rPr>
      </w:pPr>
      <w:r/>
      <w:bookmarkStart w:id="114" w:name="_Hlt26609389"/>
      <w:r/>
      <w:bookmarkEnd w:id="114"/>
      <w:r/>
      <w:bookmarkStart w:id="115" w:name="_Hlt26671374"/>
      <w:r/>
      <w:bookmarkEnd w:id="115"/>
      <w:r/>
      <w:bookmarkStart w:id="116" w:name="_Hlt26955066"/>
      <w:r/>
      <w:bookmarkEnd w:id="116"/>
      <w:r>
        <w:rPr>
          <w:rFonts w:hint="eastAsia" w:ascii="宋体" w:hAnsi="宋体" w:eastAsia="宋体" w:cs="宋体"/>
          <w:color w:val="auto"/>
          <w:sz w:val="21"/>
          <w:szCs w:val="21"/>
          <w:highlight w:val="none"/>
        </w:rPr>
        <w:t xml:space="preserve">八、人员一览表</w:t>
      </w:r>
      <w:r/>
    </w:p>
    <w:tbl>
      <w:tblPr>
        <w:tblStyle w:val="77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00"/>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ff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none"/>
        </w:rPr>
        <w:t xml:space="preserve">1.如果招标文件要求提供证明材料，投标人需将证明材料列于该表之下。</w:t>
      </w:r>
      <w:r/>
    </w:p>
    <w:p>
      <w:pPr>
        <w:pStyle w:val="1000"/>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0"/>
        <w:ind w:firstLine="480"/>
        <w:rPr>
          <w:rFonts w:hint="eastAsia" w:ascii="宋体" w:hAnsi="宋体" w:cs="宋体"/>
          <w:color w:val="auto"/>
          <w:szCs w:val="21"/>
          <w:highlight w:val="none"/>
        </w:rPr>
      </w:pPr>
      <w:r/>
      <w:bookmarkStart w:id="118" w:name="_GoBack"/>
      <w:r/>
      <w:bookmarkEnd w:id="118"/>
      <w:r/>
      <w:r/>
    </w:p>
    <w:p>
      <w:pPr>
        <w:pStyle w:val="1000"/>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0"/>
        <w:numPr>
          <w:ilvl w:val="0"/>
          <w:numId w:val="2"/>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00"/>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00"/>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02"/>
      <w:r/>
    </w:p>
    <w:p>
      <w:pPr>
        <w:jc w:val="center"/>
        <w:widowControl/>
        <w:rPr>
          <w:rFonts w:hint="eastAsia" w:ascii="宋体" w:hAnsi="宋体" w:eastAsia="宋体" w:cs="宋体"/>
          <w:b/>
          <w:color w:val="auto"/>
          <w:sz w:val="21"/>
          <w:szCs w:val="21"/>
          <w:highlight w:val="none"/>
        </w:rPr>
      </w:pPr>
      <w:r/>
      <w:bookmarkStart w:id="117" w:name="_格式2__法定代表人授权书"/>
      <w:r/>
      <w:bookmarkEnd w:id="117"/>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774"/>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799"/>
        <w:rPr>
          <w:rFonts w:hint="eastAsia"/>
          <w:color w:val="auto"/>
          <w:highlight w:val="none"/>
          <w:lang w:val="en-US" w:eastAsia="zh-CN"/>
        </w:rPr>
      </w:pPr>
      <w:r>
        <w:rPr>
          <w:rFonts w:hint="eastAsia"/>
          <w:color w:val="auto"/>
          <w:highlight w:val="none"/>
          <w:lang w:val="en-US" w:eastAsia="zh-CN"/>
        </w:rPr>
      </w:r>
      <w:r/>
    </w:p>
    <w:tbl>
      <w:tblPr>
        <w:tblStyle w:val="1064"/>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hint="eastAsia" w:ascii="宋体" w:hAnsi="宋体" w:eastAsia="宋体" w:cs="宋体"/>
      </w:rPr>
    </w:pPr>
    <w:r>
      <w:rPr>
        <w:rFonts w:hint="eastAsia" w:ascii="宋体" w:hAnsi="宋体" w:cs="宋体"/>
        <w:lang w:eastAsia="zh-CN"/>
      </w:rPr>
      <w:t xml:space="preserve">JSZC-321092-SWGC-G2026-0080</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hint="eastAsia" w:ascii="宋体" w:hAnsi="宋体" w:eastAsia="宋体" w:cs="宋体"/>
      </w:rPr>
    </w:pPr>
    <w:r>
      <w:rPr>
        <w:rFonts w:hint="eastAsia" w:ascii="宋体" w:hAnsi="宋体" w:cs="宋体"/>
        <w:lang w:eastAsia="zh-CN"/>
      </w:rPr>
      <w:t xml:space="preserve">JSZC-321092-SWGC-G2026-0080</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78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pPr>
    <w:r>
      <w:rPr>
        <w:rFonts w:hint="eastAsia"/>
        <w:lang w:eastAsia="zh-CN"/>
      </w:rPr>
      <w:t xml:space="preserve">JSZC-321092-SWGC-G2026-0080号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053"/>
    <w:uiPriority w:val="0"/>
    <w:qFormat/>
    <w:pPr>
      <w:jc w:val="both"/>
      <w:widowControl w:val="off"/>
    </w:pPr>
    <w:rPr>
      <w:rFonts w:hint="default" w:ascii="Calibri" w:hAnsi="Calibri" w:eastAsia="宋体" w:cs="Times New Roman"/>
      <w:sz w:val="21"/>
      <w:szCs w:val="22"/>
      <w:lang w:val="en-US" w:eastAsia="zh-CN" w:bidi="ar-SA"/>
    </w:rPr>
  </w:style>
  <w:style w:type="paragraph" w:styleId="764">
    <w:name w:val="Heading 1"/>
    <w:basedOn w:val="763"/>
    <w:next w:val="763"/>
    <w:link w:val="845"/>
    <w:uiPriority w:val="9"/>
    <w:qFormat/>
    <w:pPr>
      <w:jc w:val="center"/>
      <w:keepLines/>
      <w:keepNext/>
      <w:spacing w:line="360" w:lineRule="auto"/>
      <w:outlineLvl w:val="0"/>
    </w:pPr>
    <w:rPr>
      <w:rFonts w:ascii="Arial" w:hAnsi="Arial" w:cs="Arial"/>
      <w:b/>
      <w:sz w:val="30"/>
      <w:szCs w:val="40"/>
    </w:rPr>
  </w:style>
  <w:style w:type="paragraph" w:styleId="765">
    <w:name w:val="Heading 2"/>
    <w:basedOn w:val="763"/>
    <w:next w:val="763"/>
    <w:link w:val="846"/>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75"/>
    <w:link w:val="847"/>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49"/>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0"/>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51"/>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52"/>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53"/>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5">
    <w:name w:val="Normal Indent"/>
    <w:basedOn w:val="763"/>
    <w:uiPriority w:val="99"/>
    <w:qFormat/>
    <w:pPr>
      <w:ind w:firstLine="420"/>
    </w:pPr>
  </w:style>
  <w:style w:type="paragraph" w:styleId="776">
    <w:name w:val="toc 7"/>
    <w:basedOn w:val="763"/>
    <w:next w:val="763"/>
    <w:uiPriority w:val="39"/>
    <w:unhideWhenUsed/>
    <w:qFormat/>
    <w:pPr>
      <w:ind w:left="1701"/>
      <w:spacing w:after="57"/>
    </w:pPr>
  </w:style>
  <w:style w:type="paragraph" w:styleId="777">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3"/>
    <w:uiPriority w:val="99"/>
    <w:semiHidden/>
    <w:unhideWhenUsed/>
    <w:qFormat/>
    <w:pPr>
      <w:jc w:val="left"/>
    </w:pPr>
  </w:style>
  <w:style w:type="paragraph" w:styleId="779">
    <w:name w:val="Body Text"/>
    <w:basedOn w:val="763"/>
    <w:uiPriority w:val="0"/>
    <w:qFormat/>
    <w:pPr>
      <w:spacing w:after="120"/>
    </w:pPr>
    <w:rPr>
      <w:rFonts w:ascii="Times New Roman" w:hAnsi="Times New Roman"/>
    </w:rPr>
  </w:style>
  <w:style w:type="paragraph" w:styleId="780">
    <w:name w:val="Body Text Indent"/>
    <w:basedOn w:val="763"/>
    <w:next w:val="763"/>
    <w:uiPriority w:val="0"/>
    <w:qFormat/>
    <w:pPr>
      <w:ind w:left="420"/>
      <w:spacing w:after="120"/>
    </w:pPr>
    <w:rPr>
      <w:rFonts w:ascii="等线" w:hAnsi="等线" w:eastAsia="等线"/>
    </w:rPr>
  </w:style>
  <w:style w:type="paragraph" w:styleId="781">
    <w:name w:val="toc 5"/>
    <w:basedOn w:val="763"/>
    <w:next w:val="763"/>
    <w:uiPriority w:val="39"/>
    <w:unhideWhenUsed/>
    <w:qFormat/>
    <w:pPr>
      <w:ind w:left="1134"/>
      <w:spacing w:after="57"/>
    </w:pPr>
  </w:style>
  <w:style w:type="paragraph" w:styleId="782">
    <w:name w:val="toc 3"/>
    <w:basedOn w:val="763"/>
    <w:next w:val="763"/>
    <w:uiPriority w:val="39"/>
    <w:unhideWhenUsed/>
    <w:qFormat/>
    <w:pPr>
      <w:ind w:left="567"/>
      <w:spacing w:after="57"/>
    </w:pPr>
  </w:style>
  <w:style w:type="paragraph" w:styleId="783">
    <w:name w:val="Plain Text"/>
    <w:basedOn w:val="763"/>
    <w:uiPriority w:val="0"/>
    <w:qFormat/>
    <w:rPr>
      <w:rFonts w:ascii="宋体" w:hAnsi="Courier New"/>
      <w:sz w:val="20"/>
      <w:szCs w:val="21"/>
    </w:rPr>
  </w:style>
  <w:style w:type="paragraph" w:styleId="784">
    <w:name w:val="toc 8"/>
    <w:basedOn w:val="763"/>
    <w:next w:val="763"/>
    <w:uiPriority w:val="39"/>
    <w:unhideWhenUsed/>
    <w:qFormat/>
    <w:pPr>
      <w:ind w:left="1984"/>
      <w:spacing w:after="57"/>
    </w:pPr>
  </w:style>
  <w:style w:type="paragraph" w:styleId="785">
    <w:name w:val="endnote text"/>
    <w:basedOn w:val="763"/>
    <w:link w:val="991"/>
    <w:uiPriority w:val="99"/>
    <w:semiHidden/>
    <w:unhideWhenUsed/>
    <w:qFormat/>
    <w:rPr>
      <w:sz w:val="20"/>
    </w:rPr>
  </w:style>
  <w:style w:type="paragraph" w:styleId="786">
    <w:name w:val="Footer"/>
    <w:basedOn w:val="763"/>
    <w:link w:val="864"/>
    <w:uiPriority w:val="99"/>
    <w:unhideWhenUsed/>
    <w:qFormat/>
    <w:pPr>
      <w:tabs>
        <w:tab w:val="center" w:pos="7143" w:leader="none"/>
        <w:tab w:val="right" w:pos="14287" w:leader="none"/>
      </w:tabs>
    </w:pPr>
  </w:style>
  <w:style w:type="paragraph" w:styleId="787">
    <w:name w:val="Header"/>
    <w:basedOn w:val="763"/>
    <w:link w:val="862"/>
    <w:uiPriority w:val="99"/>
    <w:unhideWhenUsed/>
    <w:qFormat/>
    <w:pPr>
      <w:tabs>
        <w:tab w:val="center" w:pos="7143" w:leader="none"/>
        <w:tab w:val="right" w:pos="14287" w:leader="none"/>
      </w:tabs>
    </w:pPr>
  </w:style>
  <w:style w:type="paragraph" w:styleId="788">
    <w:name w:val="toc 1"/>
    <w:basedOn w:val="763"/>
    <w:next w:val="763"/>
    <w:uiPriority w:val="39"/>
    <w:unhideWhenUsed/>
    <w:qFormat/>
    <w:pPr>
      <w:spacing w:after="57"/>
    </w:pPr>
  </w:style>
  <w:style w:type="paragraph" w:styleId="789">
    <w:name w:val="toc 4"/>
    <w:basedOn w:val="763"/>
    <w:next w:val="763"/>
    <w:uiPriority w:val="39"/>
    <w:unhideWhenUsed/>
    <w:qFormat/>
    <w:pPr>
      <w:ind w:left="850"/>
      <w:spacing w:after="57"/>
    </w:pPr>
  </w:style>
  <w:style w:type="paragraph" w:styleId="790">
    <w:name w:val="Subtitle"/>
    <w:basedOn w:val="763"/>
    <w:next w:val="763"/>
    <w:link w:val="857"/>
    <w:uiPriority w:val="11"/>
    <w:qFormat/>
    <w:pPr>
      <w:spacing w:before="200" w:after="200"/>
    </w:pPr>
    <w:rPr>
      <w:sz w:val="24"/>
      <w:szCs w:val="24"/>
    </w:rPr>
  </w:style>
  <w:style w:type="paragraph" w:styleId="791">
    <w:name w:val="footnote text"/>
    <w:basedOn w:val="763"/>
    <w:link w:val="990"/>
    <w:uiPriority w:val="99"/>
    <w:semiHidden/>
    <w:unhideWhenUsed/>
    <w:qFormat/>
    <w:pPr>
      <w:spacing w:after="40"/>
    </w:pPr>
    <w:rPr>
      <w:sz w:val="18"/>
    </w:rPr>
  </w:style>
  <w:style w:type="paragraph" w:styleId="792">
    <w:name w:val="toc 6"/>
    <w:basedOn w:val="763"/>
    <w:next w:val="763"/>
    <w:uiPriority w:val="39"/>
    <w:unhideWhenUsed/>
    <w:qFormat/>
    <w:pPr>
      <w:ind w:left="1417"/>
      <w:spacing w:after="57"/>
    </w:pPr>
  </w:style>
  <w:style w:type="paragraph" w:styleId="793">
    <w:name w:val="table of figures"/>
    <w:basedOn w:val="763"/>
    <w:next w:val="763"/>
    <w:uiPriority w:val="99"/>
    <w:unhideWhenUsed/>
    <w:qFormat/>
  </w:style>
  <w:style w:type="paragraph" w:styleId="794">
    <w:name w:val="toc 2"/>
    <w:basedOn w:val="763"/>
    <w:next w:val="763"/>
    <w:uiPriority w:val="39"/>
    <w:unhideWhenUsed/>
    <w:qFormat/>
    <w:pPr>
      <w:ind w:left="283"/>
      <w:spacing w:after="57"/>
    </w:pPr>
  </w:style>
  <w:style w:type="paragraph" w:styleId="795">
    <w:name w:val="toc 9"/>
    <w:basedOn w:val="763"/>
    <w:next w:val="763"/>
    <w:uiPriority w:val="39"/>
    <w:unhideWhenUsed/>
    <w:qFormat/>
    <w:pPr>
      <w:ind w:left="2268"/>
      <w:spacing w:after="57"/>
    </w:pPr>
  </w:style>
  <w:style w:type="paragraph" w:styleId="796">
    <w:name w:val="Body Text 2"/>
    <w:basedOn w:val="763"/>
    <w:uiPriority w:val="0"/>
    <w:qFormat/>
    <w:pPr>
      <w:spacing w:after="120" w:line="480" w:lineRule="auto"/>
    </w:pPr>
  </w:style>
  <w:style w:type="paragraph" w:styleId="797">
    <w:name w:val="Normal (Web)"/>
    <w:basedOn w:val="763"/>
    <w:uiPriority w:val="99"/>
    <w:semiHidden/>
    <w:unhideWhenUsed/>
    <w:qFormat/>
    <w:pPr>
      <w:jc w:val="left"/>
      <w:spacing w:beforeAutospacing="1" w:afterAutospacing="1"/>
    </w:pPr>
    <w:rPr>
      <w:sz w:val="24"/>
    </w:rPr>
  </w:style>
  <w:style w:type="paragraph" w:styleId="798">
    <w:name w:val="Title"/>
    <w:basedOn w:val="763"/>
    <w:next w:val="763"/>
    <w:link w:val="856"/>
    <w:uiPriority w:val="10"/>
    <w:qFormat/>
    <w:pPr>
      <w:contextualSpacing/>
      <w:spacing w:before="300" w:after="200"/>
    </w:pPr>
    <w:rPr>
      <w:sz w:val="48"/>
      <w:szCs w:val="48"/>
    </w:rPr>
  </w:style>
  <w:style w:type="paragraph" w:styleId="799">
    <w:name w:val="Body Text First Indent"/>
    <w:basedOn w:val="779"/>
    <w:uiPriority w:val="0"/>
    <w:unhideWhenUsed/>
    <w:qFormat/>
    <w:pPr>
      <w:ind w:firstLine="420"/>
    </w:pPr>
    <w:rPr>
      <w:szCs w:val="21"/>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3"/>
    <w:uiPriority w:val="22"/>
    <w:qFormat/>
    <w:rPr>
      <w:b/>
    </w:rPr>
  </w:style>
  <w:style w:type="character" w:styleId="802">
    <w:name w:val="endnote reference"/>
    <w:uiPriority w:val="99"/>
    <w:semiHidden/>
    <w:unhideWhenUsed/>
    <w:qFormat/>
    <w:rPr>
      <w:vertAlign w:val="superscript"/>
    </w:rPr>
  </w:style>
  <w:style w:type="character" w:styleId="803">
    <w:name w:val="Emphasis"/>
    <w:uiPriority w:val="0"/>
    <w:qFormat/>
    <w:rPr>
      <w:i/>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annotation reference"/>
    <w:basedOn w:val="773"/>
    <w:uiPriority w:val="0"/>
    <w:qFormat/>
    <w:rPr>
      <w:sz w:val="21"/>
      <w:szCs w:val="21"/>
    </w:rPr>
  </w:style>
  <w:style w:type="character" w:styleId="806">
    <w:name w:val="footnote reference"/>
    <w:uiPriority w:val="99"/>
    <w:unhideWhenUsed/>
    <w:qFormat/>
    <w:rPr>
      <w:vertAlign w:val="superscript"/>
    </w:rPr>
  </w:style>
  <w:style w:type="character" w:styleId="807" w:customStyle="1">
    <w:name w:val="Heading 1 Char"/>
    <w:basedOn w:val="773"/>
    <w:uiPriority w:val="9"/>
    <w:qFormat/>
    <w:rPr>
      <w:rFonts w:ascii="Arial" w:hAnsi="Arial" w:eastAsia="Arial" w:cs="Arial"/>
      <w:sz w:val="40"/>
      <w:szCs w:val="40"/>
    </w:rPr>
  </w:style>
  <w:style w:type="character" w:styleId="808" w:customStyle="1">
    <w:name w:val="Heading 2 Char"/>
    <w:basedOn w:val="773"/>
    <w:uiPriority w:val="9"/>
    <w:qFormat/>
    <w:rPr>
      <w:rFonts w:ascii="Arial" w:hAnsi="Arial" w:eastAsia="Arial" w:cs="Arial"/>
      <w:sz w:val="34"/>
    </w:rPr>
  </w:style>
  <w:style w:type="character" w:styleId="809" w:customStyle="1">
    <w:name w:val="Heading 3 Char"/>
    <w:basedOn w:val="773"/>
    <w:uiPriority w:val="9"/>
    <w:qFormat/>
    <w:rPr>
      <w:rFonts w:ascii="Arial" w:hAnsi="Arial" w:eastAsia="Arial" w:cs="Arial"/>
      <w:sz w:val="30"/>
      <w:szCs w:val="30"/>
    </w:rPr>
  </w:style>
  <w:style w:type="character" w:styleId="810" w:customStyle="1">
    <w:name w:val="Heading 4 Char"/>
    <w:basedOn w:val="773"/>
    <w:uiPriority w:val="9"/>
    <w:qFormat/>
    <w:rPr>
      <w:rFonts w:ascii="Arial" w:hAnsi="Arial" w:eastAsia="Arial" w:cs="Arial"/>
      <w:b/>
      <w:bCs/>
      <w:sz w:val="26"/>
      <w:szCs w:val="26"/>
    </w:rPr>
  </w:style>
  <w:style w:type="character" w:styleId="811" w:customStyle="1">
    <w:name w:val="Heading 5 Char"/>
    <w:basedOn w:val="773"/>
    <w:uiPriority w:val="9"/>
    <w:qFormat/>
    <w:rPr>
      <w:rFonts w:ascii="Arial" w:hAnsi="Arial" w:eastAsia="Arial" w:cs="Arial"/>
      <w:b/>
      <w:bCs/>
      <w:sz w:val="24"/>
      <w:szCs w:val="24"/>
    </w:rPr>
  </w:style>
  <w:style w:type="character" w:styleId="812" w:customStyle="1">
    <w:name w:val="Heading 6 Char"/>
    <w:basedOn w:val="773"/>
    <w:uiPriority w:val="9"/>
    <w:qFormat/>
    <w:rPr>
      <w:rFonts w:ascii="Arial" w:hAnsi="Arial" w:eastAsia="Arial" w:cs="Arial"/>
      <w:b/>
      <w:bCs/>
      <w:sz w:val="22"/>
      <w:szCs w:val="22"/>
    </w:rPr>
  </w:style>
  <w:style w:type="character" w:styleId="813" w:customStyle="1">
    <w:name w:val="Heading 7 Char"/>
    <w:basedOn w:val="773"/>
    <w:uiPriority w:val="9"/>
    <w:qFormat/>
    <w:rPr>
      <w:rFonts w:ascii="Arial" w:hAnsi="Arial" w:eastAsia="Arial" w:cs="Arial"/>
      <w:b/>
      <w:bCs/>
      <w:i/>
      <w:iCs/>
      <w:sz w:val="22"/>
      <w:szCs w:val="22"/>
    </w:rPr>
  </w:style>
  <w:style w:type="character" w:styleId="814" w:customStyle="1">
    <w:name w:val="Heading 8 Char"/>
    <w:basedOn w:val="773"/>
    <w:uiPriority w:val="9"/>
    <w:qFormat/>
    <w:rPr>
      <w:rFonts w:ascii="Arial" w:hAnsi="Arial" w:eastAsia="Arial" w:cs="Arial"/>
      <w:i/>
      <w:iCs/>
      <w:sz w:val="22"/>
      <w:szCs w:val="22"/>
    </w:rPr>
  </w:style>
  <w:style w:type="character" w:styleId="815" w:customStyle="1">
    <w:name w:val="Heading 9 Char"/>
    <w:basedOn w:val="773"/>
    <w:uiPriority w:val="9"/>
    <w:qFormat/>
    <w:rPr>
      <w:rFonts w:ascii="Arial" w:hAnsi="Arial" w:eastAsia="Arial" w:cs="Arial"/>
      <w:i/>
      <w:iCs/>
      <w:sz w:val="21"/>
      <w:szCs w:val="21"/>
    </w:rPr>
  </w:style>
  <w:style w:type="character" w:styleId="816" w:customStyle="1">
    <w:name w:val="Title Char"/>
    <w:basedOn w:val="773"/>
    <w:uiPriority w:val="10"/>
    <w:qFormat/>
    <w:rPr>
      <w:sz w:val="48"/>
      <w:szCs w:val="48"/>
    </w:rPr>
  </w:style>
  <w:style w:type="character" w:styleId="817" w:customStyle="1">
    <w:name w:val="Subtitle Char"/>
    <w:basedOn w:val="773"/>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3"/>
    <w:uiPriority w:val="99"/>
    <w:qFormat/>
  </w:style>
  <w:style w:type="character" w:styleId="821" w:customStyle="1">
    <w:name w:val="Caption Char"/>
    <w:uiPriority w:val="99"/>
    <w:qFormat/>
  </w:style>
  <w:style w:type="table" w:styleId="822"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Default"/>
    <w:next w:val="763"/>
    <w:uiPriority w:val="0"/>
    <w:qFormat/>
    <w:pPr>
      <w:widowControl w:val="off"/>
    </w:pPr>
    <w:rPr>
      <w:rFonts w:hint="default" w:ascii="黑体" w:hAnsi="Times New Roman" w:eastAsia="黑体" w:cs="Times New Roman"/>
      <w:lang w:val="en-US" w:eastAsia="zh-CN" w:bidi="ar-SA"/>
    </w:rPr>
  </w:style>
  <w:style w:type="character" w:styleId="845" w:customStyle="1">
    <w:name w:val="标题 1 字符"/>
    <w:link w:val="764"/>
    <w:uiPriority w:val="9"/>
    <w:qFormat/>
    <w:rPr>
      <w:rFonts w:ascii="Arial" w:hAnsi="Arial" w:eastAsia="宋体" w:cs="Arial"/>
      <w:b/>
      <w:sz w:val="30"/>
      <w:szCs w:val="40"/>
    </w:rPr>
  </w:style>
  <w:style w:type="character" w:styleId="846" w:customStyle="1">
    <w:name w:val="标题 2 字符"/>
    <w:link w:val="765"/>
    <w:uiPriority w:val="9"/>
    <w:qFormat/>
    <w:rPr>
      <w:rFonts w:ascii="Arial" w:hAnsi="Arial" w:eastAsia="Arial" w:cs="Arial"/>
      <w:sz w:val="34"/>
    </w:rPr>
  </w:style>
  <w:style w:type="character" w:styleId="847" w:customStyle="1">
    <w:name w:val="标题 3 字符"/>
    <w:link w:val="766"/>
    <w:uiPriority w:val="9"/>
    <w:qFormat/>
    <w:rPr>
      <w:rFonts w:ascii="Arial" w:hAnsi="Arial" w:eastAsia="Arial" w:cs="Arial"/>
      <w:sz w:val="30"/>
      <w:szCs w:val="30"/>
    </w:rPr>
  </w:style>
  <w:style w:type="character" w:styleId="848" w:customStyle="1">
    <w:name w:val="标题 4 字符"/>
    <w:link w:val="767"/>
    <w:uiPriority w:val="9"/>
    <w:qFormat/>
    <w:rPr>
      <w:rFonts w:ascii="Arial" w:hAnsi="Arial" w:eastAsia="Arial" w:cs="Arial"/>
      <w:b/>
      <w:bCs/>
      <w:sz w:val="26"/>
      <w:szCs w:val="26"/>
    </w:rPr>
  </w:style>
  <w:style w:type="character" w:styleId="849" w:customStyle="1">
    <w:name w:val="标题 5 字符"/>
    <w:link w:val="768"/>
    <w:uiPriority w:val="9"/>
    <w:qFormat/>
    <w:rPr>
      <w:rFonts w:ascii="Arial" w:hAnsi="Arial" w:eastAsia="Arial" w:cs="Arial"/>
      <w:b/>
      <w:bCs/>
      <w:sz w:val="24"/>
      <w:szCs w:val="24"/>
    </w:rPr>
  </w:style>
  <w:style w:type="character" w:styleId="850" w:customStyle="1">
    <w:name w:val="标题 6 字符"/>
    <w:link w:val="769"/>
    <w:uiPriority w:val="9"/>
    <w:qFormat/>
    <w:rPr>
      <w:rFonts w:ascii="Arial" w:hAnsi="Arial" w:eastAsia="Arial" w:cs="Arial"/>
      <w:b/>
      <w:bCs/>
      <w:sz w:val="22"/>
      <w:szCs w:val="22"/>
    </w:rPr>
  </w:style>
  <w:style w:type="character" w:styleId="851" w:customStyle="1">
    <w:name w:val="标题 7 字符"/>
    <w:link w:val="770"/>
    <w:uiPriority w:val="9"/>
    <w:qFormat/>
    <w:rPr>
      <w:rFonts w:ascii="Arial" w:hAnsi="Arial" w:eastAsia="Arial" w:cs="Arial"/>
      <w:b/>
      <w:bCs/>
      <w:i/>
      <w:iCs/>
      <w:sz w:val="22"/>
      <w:szCs w:val="22"/>
    </w:rPr>
  </w:style>
  <w:style w:type="character" w:styleId="852" w:customStyle="1">
    <w:name w:val="标题 8 字符"/>
    <w:link w:val="771"/>
    <w:uiPriority w:val="9"/>
    <w:qFormat/>
    <w:rPr>
      <w:rFonts w:ascii="Arial" w:hAnsi="Arial" w:eastAsia="Arial" w:cs="Arial"/>
      <w:i/>
      <w:iCs/>
      <w:sz w:val="22"/>
      <w:szCs w:val="22"/>
    </w:rPr>
  </w:style>
  <w:style w:type="character" w:styleId="853" w:customStyle="1">
    <w:name w:val="标题 9 字符"/>
    <w:link w:val="772"/>
    <w:uiPriority w:val="9"/>
    <w:qFormat/>
    <w:rPr>
      <w:rFonts w:ascii="Arial" w:hAnsi="Arial" w:eastAsia="Arial" w:cs="Arial"/>
      <w:i/>
      <w:iCs/>
      <w:sz w:val="21"/>
      <w:szCs w:val="21"/>
    </w:rPr>
  </w:style>
  <w:style w:type="paragraph" w:styleId="854">
    <w:name w:val="List Paragraph"/>
    <w:basedOn w:val="763"/>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98"/>
    <w:uiPriority w:val="10"/>
    <w:qFormat/>
    <w:rPr>
      <w:sz w:val="48"/>
      <w:szCs w:val="48"/>
    </w:rPr>
  </w:style>
  <w:style w:type="character" w:styleId="857" w:customStyle="1">
    <w:name w:val="副标题 字符"/>
    <w:link w:val="790"/>
    <w:uiPriority w:val="11"/>
    <w:qFormat/>
    <w:rPr>
      <w:sz w:val="24"/>
      <w:szCs w:val="24"/>
    </w:rPr>
  </w:style>
  <w:style w:type="paragraph" w:styleId="858">
    <w:name w:val="Quote"/>
    <w:basedOn w:val="763"/>
    <w:next w:val="763"/>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63"/>
    <w:next w:val="763"/>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眉 字符"/>
    <w:link w:val="787"/>
    <w:uiPriority w:val="99"/>
    <w:qFormat/>
  </w:style>
  <w:style w:type="character" w:styleId="863" w:customStyle="1">
    <w:name w:val="Footer Char"/>
    <w:uiPriority w:val="99"/>
    <w:qFormat/>
  </w:style>
  <w:style w:type="character" w:styleId="864" w:customStyle="1">
    <w:name w:val="页脚 字符"/>
    <w:link w:val="786"/>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791"/>
    <w:uiPriority w:val="99"/>
    <w:qFormat/>
    <w:rPr>
      <w:sz w:val="18"/>
    </w:rPr>
  </w:style>
  <w:style w:type="character" w:styleId="991" w:customStyle="1">
    <w:name w:val="尾注文本 字符"/>
    <w:link w:val="785"/>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63"/>
    <w:next w:val="763"/>
    <w:uiPriority w:val="9"/>
    <w:qFormat/>
    <w:pPr>
      <w:keepLines/>
      <w:keepNext/>
      <w:spacing w:before="340" w:after="330" w:line="578" w:lineRule="auto"/>
      <w:outlineLvl w:val="0"/>
    </w:pPr>
    <w:rPr>
      <w:b/>
      <w:bCs/>
      <w:sz w:val="44"/>
      <w:szCs w:val="44"/>
    </w:rPr>
  </w:style>
  <w:style w:type="paragraph" w:styleId="994" w:customStyle="1">
    <w:name w:val="标题 21"/>
    <w:basedOn w:val="763"/>
    <w:next w:val="7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5" w:customStyle="1">
    <w:name w:val="标题 31"/>
    <w:basedOn w:val="763"/>
    <w:next w:val="763"/>
    <w:uiPriority w:val="0"/>
    <w:qFormat/>
    <w:pPr>
      <w:keepLines/>
      <w:keepNext/>
      <w:spacing w:before="260" w:after="260" w:line="416" w:lineRule="auto"/>
      <w:outlineLvl w:val="2"/>
    </w:pPr>
    <w:rPr>
      <w:b/>
      <w:bCs/>
      <w:sz w:val="32"/>
      <w:szCs w:val="32"/>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paragraph" w:styleId="998" w:customStyle="1">
    <w:name w:val="正文文本缩进1"/>
    <w:basedOn w:val="763"/>
    <w:next w:val="999"/>
    <w:uiPriority w:val="0"/>
    <w:qFormat/>
    <w:pPr>
      <w:ind w:left="420"/>
      <w:spacing w:after="120"/>
    </w:pPr>
    <w:rPr>
      <w:rFonts w:ascii="等线" w:hAnsi="等线" w:eastAsia="等线"/>
    </w:rPr>
  </w:style>
  <w:style w:type="paragraph" w:styleId="999" w:customStyle="1">
    <w:name w:val="寄信人地址1"/>
    <w:basedOn w:val="763"/>
    <w:uiPriority w:val="99"/>
    <w:unhideWhenUsed/>
    <w:qFormat/>
    <w:rPr>
      <w:rFonts w:ascii="Arial" w:hAnsi="Arial"/>
    </w:rPr>
  </w:style>
  <w:style w:type="paragraph" w:styleId="1000" w:customStyle="1">
    <w:name w:val="正文缩进1"/>
    <w:basedOn w:val="763"/>
    <w:uiPriority w:val="0"/>
    <w:unhideWhenUsed/>
    <w:qFormat/>
    <w:pPr>
      <w:ind w:firstLine="420"/>
    </w:pPr>
  </w:style>
  <w:style w:type="paragraph" w:styleId="1001" w:customStyle="1">
    <w:name w:val="批注文字1"/>
    <w:basedOn w:val="763"/>
    <w:link w:val="1002"/>
    <w:uiPriority w:val="0"/>
    <w:qFormat/>
    <w:pPr>
      <w:jc w:val="left"/>
    </w:pPr>
  </w:style>
  <w:style w:type="character" w:styleId="1002" w:customStyle="1">
    <w:name w:val="批注文字 Char"/>
    <w:link w:val="1001"/>
    <w:uiPriority w:val="0"/>
    <w:qFormat/>
    <w:rPr>
      <w:rFonts w:ascii="Calibri" w:hAnsi="Calibri"/>
      <w:sz w:val="21"/>
      <w:szCs w:val="22"/>
    </w:rPr>
  </w:style>
  <w:style w:type="paragraph" w:styleId="1003" w:customStyle="1">
    <w:name w:val="正文文本11"/>
    <w:basedOn w:val="763"/>
    <w:next w:val="1004"/>
    <w:uiPriority w:val="0"/>
    <w:qFormat/>
    <w:rPr>
      <w:rFonts w:ascii="楷体_GB2312" w:hAnsi="Arial" w:eastAsia="楷体_GB2312"/>
      <w:sz w:val="28"/>
      <w:szCs w:val="28"/>
    </w:rPr>
  </w:style>
  <w:style w:type="paragraph" w:styleId="1004" w:customStyle="1">
    <w:name w:val="标题1"/>
    <w:basedOn w:val="763"/>
    <w:next w:val="763"/>
    <w:uiPriority w:val="0"/>
    <w:qFormat/>
    <w:pPr>
      <w:jc w:val="center"/>
      <w:spacing w:before="240" w:after="60" w:line="360" w:lineRule="auto"/>
      <w:outlineLvl w:val="0"/>
    </w:pPr>
    <w:rPr>
      <w:rFonts w:ascii="宋体" w:hAnsi="宋体"/>
      <w:b/>
      <w:bCs/>
      <w:sz w:val="32"/>
      <w:szCs w:val="32"/>
    </w:rPr>
  </w:style>
  <w:style w:type="paragraph" w:styleId="1005" w:customStyle="1">
    <w:name w:val="纯文本1"/>
    <w:basedOn w:val="763"/>
    <w:uiPriority w:val="99"/>
    <w:qFormat/>
    <w:rPr>
      <w:rFonts w:ascii="宋体" w:hAnsi="Courier New"/>
      <w:sz w:val="20"/>
      <w:szCs w:val="21"/>
    </w:rPr>
  </w:style>
  <w:style w:type="paragraph" w:styleId="1006" w:customStyle="1">
    <w:name w:val="正文文本缩进 21"/>
    <w:basedOn w:val="763"/>
    <w:uiPriority w:val="0"/>
    <w:qFormat/>
    <w:pPr>
      <w:ind w:left="640"/>
      <w:spacing w:after="120" w:line="480" w:lineRule="auto"/>
    </w:pPr>
    <w:rPr>
      <w:rFonts w:eastAsia="仿宋_GB2312"/>
      <w:sz w:val="32"/>
      <w:szCs w:val="28"/>
    </w:rPr>
  </w:style>
  <w:style w:type="paragraph" w:styleId="1007" w:customStyle="1">
    <w:name w:val="批注框文本1"/>
    <w:basedOn w:val="763"/>
    <w:link w:val="1008"/>
    <w:uiPriority w:val="0"/>
    <w:qFormat/>
    <w:rPr>
      <w:sz w:val="18"/>
      <w:szCs w:val="18"/>
    </w:rPr>
  </w:style>
  <w:style w:type="character" w:styleId="1008" w:customStyle="1">
    <w:name w:val="批注框文本 Char"/>
    <w:link w:val="1007"/>
    <w:uiPriority w:val="0"/>
    <w:qFormat/>
    <w:rPr>
      <w:sz w:val="18"/>
      <w:szCs w:val="18"/>
    </w:rPr>
  </w:style>
  <w:style w:type="paragraph" w:styleId="1009" w:customStyle="1">
    <w:name w:val="页脚1"/>
    <w:basedOn w:val="763"/>
    <w:uiPriority w:val="99"/>
    <w:unhideWhenUsed/>
    <w:qFormat/>
    <w:pPr>
      <w:jc w:val="left"/>
      <w:tabs>
        <w:tab w:val="center" w:pos="4153" w:leader="none"/>
        <w:tab w:val="right" w:pos="8306" w:leader="none"/>
      </w:tabs>
    </w:pPr>
    <w:rPr>
      <w:sz w:val="18"/>
      <w:szCs w:val="18"/>
    </w:rPr>
  </w:style>
  <w:style w:type="paragraph" w:styleId="1010" w:customStyle="1">
    <w:name w:val="页眉1"/>
    <w:basedOn w:val="7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1" w:customStyle="1">
    <w:name w:val="目录 11"/>
    <w:basedOn w:val="763"/>
    <w:next w:val="763"/>
    <w:uiPriority w:val="39"/>
    <w:unhideWhenUsed/>
    <w:qFormat/>
  </w:style>
  <w:style w:type="paragraph" w:styleId="1012" w:customStyle="1">
    <w:name w:val="目录 21"/>
    <w:basedOn w:val="763"/>
    <w:next w:val="763"/>
    <w:uiPriority w:val="0"/>
    <w:qFormat/>
    <w:pPr>
      <w:ind w:left="420"/>
    </w:pPr>
  </w:style>
  <w:style w:type="paragraph" w:styleId="1013" w:customStyle="1">
    <w:name w:val="正文文本 21"/>
    <w:basedOn w:val="763"/>
    <w:uiPriority w:val="0"/>
    <w:qFormat/>
    <w:pPr>
      <w:spacing w:after="120" w:line="480" w:lineRule="auto"/>
    </w:pPr>
  </w:style>
  <w:style w:type="paragraph" w:styleId="1014" w:customStyle="1">
    <w:name w:val="信息标题1"/>
    <w:basedOn w:val="76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5" w:customStyle="1">
    <w:name w:val="普通(网站)1"/>
    <w:basedOn w:val="763"/>
    <w:uiPriority w:val="0"/>
    <w:qFormat/>
    <w:rPr>
      <w:rFonts w:ascii="Times New Roman" w:hAnsi="Times New Roman"/>
      <w:sz w:val="24"/>
    </w:rPr>
  </w:style>
  <w:style w:type="paragraph" w:styleId="1016" w:customStyle="1">
    <w:name w:val="批注主题1"/>
    <w:basedOn w:val="1001"/>
    <w:next w:val="1001"/>
    <w:link w:val="1017"/>
    <w:uiPriority w:val="0"/>
    <w:qFormat/>
    <w:rPr>
      <w:b/>
      <w:bCs/>
    </w:rPr>
  </w:style>
  <w:style w:type="character" w:styleId="1017" w:customStyle="1">
    <w:name w:val="批注主题 Char"/>
    <w:link w:val="1016"/>
    <w:uiPriority w:val="0"/>
    <w:qFormat/>
    <w:rPr>
      <w:rFonts w:ascii="Calibri" w:hAnsi="Calibri"/>
      <w:b/>
      <w:bCs/>
      <w:sz w:val="21"/>
      <w:szCs w:val="22"/>
    </w:rPr>
  </w:style>
  <w:style w:type="paragraph" w:styleId="1018" w:customStyle="1">
    <w:name w:val="正文首行缩进 21"/>
    <w:basedOn w:val="998"/>
    <w:next w:val="763"/>
    <w:uiPriority w:val="0"/>
    <w:qFormat/>
    <w:pPr>
      <w:ind w:firstLine="420"/>
      <w:spacing w:before="100" w:beforeAutospacing="1"/>
    </w:pPr>
    <w:rPr>
      <w:rFonts w:ascii="Times New Roman" w:hAnsi="Times New Roman" w:eastAsia="宋体"/>
      <w:sz w:val="20"/>
      <w:szCs w:val="21"/>
    </w:rPr>
  </w:style>
  <w:style w:type="table" w:styleId="1019" w:customStyle="1">
    <w:name w:val="网格型1"/>
    <w:basedOn w:val="997"/>
    <w:uiPriority w:val="0"/>
    <w:qFormat/>
    <w:pPr>
      <w:jc w:val="both"/>
      <w:widowControl w:val="off"/>
    </w:pPr>
    <w:tblPr/>
  </w:style>
  <w:style w:type="character" w:styleId="1020" w:customStyle="1">
    <w:name w:val="要点1"/>
    <w:uiPriority w:val="0"/>
    <w:qFormat/>
    <w:rPr>
      <w:b/>
    </w:rPr>
  </w:style>
  <w:style w:type="character" w:styleId="1021" w:customStyle="1">
    <w:name w:val="强调1"/>
    <w:uiPriority w:val="0"/>
    <w:qFormat/>
    <w:rPr>
      <w:i/>
    </w:rPr>
  </w:style>
  <w:style w:type="character" w:styleId="1022" w:customStyle="1">
    <w:name w:val="超链接1"/>
    <w:uiPriority w:val="0"/>
    <w:qFormat/>
    <w:rPr>
      <w:color w:val="0000ff"/>
      <w:u w:val="single"/>
    </w:rPr>
  </w:style>
  <w:style w:type="character" w:styleId="1023" w:customStyle="1">
    <w:name w:val="批注引用1"/>
    <w:uiPriority w:val="0"/>
    <w:qFormat/>
    <w:rPr>
      <w:sz w:val="21"/>
      <w:szCs w:val="21"/>
    </w:rPr>
  </w:style>
  <w:style w:type="paragraph" w:styleId="1024" w:customStyle="1">
    <w:name w:val="正文（缩进）"/>
    <w:basedOn w:val="763"/>
    <w:uiPriority w:val="0"/>
    <w:qFormat/>
    <w:pPr>
      <w:ind w:firstLine="480"/>
      <w:spacing w:before="156" w:after="156"/>
    </w:pPr>
  </w:style>
  <w:style w:type="paragraph" w:styleId="1025" w:customStyle="1">
    <w:name w:val="正文1"/>
    <w:basedOn w:val="763"/>
    <w:next w:val="1026"/>
    <w:uiPriority w:val="0"/>
    <w:qFormat/>
    <w:pPr>
      <w:jc w:val="left"/>
      <w:spacing w:line="360" w:lineRule="atLeast"/>
    </w:pPr>
    <w:rPr>
      <w:rFonts w:ascii="宋体" w:cs="Arial"/>
      <w:sz w:val="24"/>
      <w:szCs w:val="20"/>
    </w:rPr>
  </w:style>
  <w:style w:type="paragraph" w:styleId="1026" w:customStyle="1">
    <w:name w:val="正文文本1"/>
    <w:basedOn w:val="1025"/>
    <w:next w:val="1027"/>
    <w:uiPriority w:val="0"/>
    <w:qFormat/>
    <w:pPr>
      <w:spacing w:after="120"/>
    </w:pPr>
    <w:rPr>
      <w:lang w:eastAsia="en-US"/>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76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9" w:customStyle="1">
    <w:name w:val="段"/>
    <w:basedOn w:val="1025"/>
    <w:next w:val="763"/>
    <w:uiPriority w:val="0"/>
    <w:qFormat/>
    <w:pPr>
      <w:ind w:firstLine="200"/>
      <w:widowControl/>
    </w:pPr>
    <w:rPr>
      <w:sz w:val="20"/>
    </w:rPr>
  </w:style>
  <w:style w:type="paragraph" w:styleId="1030"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1031" w:customStyle="1">
    <w:name w:val="Char"/>
    <w:basedOn w:val="763"/>
    <w:uiPriority w:val="0"/>
    <w:qFormat/>
    <w:pPr>
      <w:ind w:firstLine="200"/>
      <w:tabs>
        <w:tab w:val="left" w:pos="360" w:leader="none"/>
      </w:tabs>
    </w:pPr>
    <w:rPr>
      <w:rFonts w:ascii="Times New Roman" w:hAnsi="Times New Roman"/>
      <w:sz w:val="28"/>
      <w:szCs w:val="30"/>
    </w:rPr>
  </w:style>
  <w:style w:type="paragraph" w:styleId="1032" w:customStyle="1">
    <w:name w:val="Table Paragraph"/>
    <w:basedOn w:val="763"/>
    <w:uiPriority w:val="1"/>
    <w:qFormat/>
    <w:rPr>
      <w:rFonts w:ascii="Noto Sans CJK JP Regular" w:hAnsi="Noto Sans CJK JP Regular" w:eastAsia="Noto Sans CJK JP Regular" w:cs="Noto Sans CJK JP Regular"/>
    </w:rPr>
  </w:style>
  <w:style w:type="paragraph" w:styleId="1033" w:customStyle="1">
    <w:name w:val="正文（1）"/>
    <w:basedOn w:val="763"/>
    <w:uiPriority w:val="0"/>
    <w:qFormat/>
    <w:pPr>
      <w:numPr>
        <w:ilvl w:val="0"/>
        <w:numId w:val="1"/>
      </w:numPr>
      <w:ind w:firstLine="200"/>
    </w:pPr>
    <w:rPr>
      <w:szCs w:val="24"/>
    </w:rPr>
  </w:style>
  <w:style w:type="paragraph" w:styleId="1034" w:customStyle="1">
    <w:name w:val="朱-正文"/>
    <w:basedOn w:val="763"/>
    <w:uiPriority w:val="0"/>
    <w:qFormat/>
    <w:pPr>
      <w:ind w:firstLine="200"/>
    </w:pPr>
    <w:rPr>
      <w:rFonts w:ascii="Times New Roman"/>
      <w:color w:val="000000"/>
      <w:szCs w:val="24"/>
      <w:lang w:val="en-GB"/>
    </w:rPr>
  </w:style>
  <w:style w:type="paragraph" w:styleId="1035" w:customStyle="1">
    <w:name w:val="GP正文(首行缩进)"/>
    <w:basedOn w:val="763"/>
    <w:uiPriority w:val="0"/>
    <w:qFormat/>
    <w:pPr>
      <w:ind w:firstLine="480"/>
      <w:jc w:val="left"/>
    </w:pPr>
    <w:rPr>
      <w:rFonts w:ascii="Times New Roman" w:hAnsi="宋体"/>
      <w:sz w:val="24"/>
      <w:szCs w:val="24"/>
    </w:rPr>
  </w:style>
  <w:style w:type="character" w:styleId="1036" w:customStyle="1">
    <w:name w:val="font71"/>
    <w:uiPriority w:val="0"/>
    <w:qFormat/>
    <w:rPr>
      <w:rFonts w:hint="eastAsia" w:ascii="宋体" w:hAnsi="宋体" w:eastAsia="宋体" w:cs="宋体"/>
      <w:color w:val="ff0000"/>
      <w:sz w:val="21"/>
      <w:szCs w:val="21"/>
      <w:u w:val="none"/>
    </w:rPr>
  </w:style>
  <w:style w:type="character" w:styleId="1037" w:customStyle="1">
    <w:name w:val="font41"/>
    <w:uiPriority w:val="0"/>
    <w:qFormat/>
    <w:rPr>
      <w:rFonts w:hint="eastAsia" w:ascii="宋体" w:hAnsi="宋体" w:eastAsia="宋体" w:cs="宋体"/>
      <w:color w:val="000000"/>
      <w:sz w:val="21"/>
      <w:szCs w:val="21"/>
      <w:u w:val="none"/>
    </w:rPr>
  </w:style>
  <w:style w:type="paragraph" w:styleId="1038" w:customStyle="1">
    <w:name w:val="列出段落"/>
    <w:basedOn w:val="763"/>
    <w:uiPriority w:val="0"/>
    <w:qFormat/>
    <w:pPr>
      <w:ind w:firstLine="420"/>
    </w:pPr>
  </w:style>
  <w:style w:type="paragraph" w:styleId="1039" w:customStyle="1">
    <w:name w:val="列出段落2"/>
    <w:basedOn w:val="763"/>
    <w:uiPriority w:val="34"/>
    <w:qFormat/>
    <w:pPr>
      <w:ind w:firstLine="420"/>
    </w:pPr>
    <w:rPr>
      <w:rFonts w:ascii="宋体"/>
      <w:color w:val="404040"/>
    </w:rPr>
  </w:style>
  <w:style w:type="paragraph" w:styleId="1040" w:customStyle="1">
    <w:name w:val="列表段落1"/>
    <w:basedOn w:val="763"/>
    <w:uiPriority w:val="0"/>
    <w:qFormat/>
    <w:pPr>
      <w:ind w:firstLine="200"/>
    </w:pPr>
    <w:rPr>
      <w:rFonts w:cs="宋体"/>
    </w:rPr>
  </w:style>
  <w:style w:type="character" w:styleId="1041" w:customStyle="1">
    <w:name w:val="font51"/>
    <w:uiPriority w:val="0"/>
    <w:qFormat/>
    <w:rPr>
      <w:rFonts w:hint="eastAsia" w:ascii="宋体" w:hAnsi="宋体" w:eastAsia="宋体" w:cs="宋体"/>
      <w:color w:val="000000"/>
      <w:sz w:val="24"/>
      <w:szCs w:val="24"/>
      <w:u w:val="none"/>
      <w:vertAlign w:val="subscript"/>
    </w:rPr>
  </w:style>
  <w:style w:type="character" w:styleId="1042" w:customStyle="1">
    <w:name w:val="font61"/>
    <w:uiPriority w:val="0"/>
    <w:qFormat/>
    <w:rPr>
      <w:rFonts w:hint="eastAsia" w:ascii="宋体" w:hAnsi="宋体" w:eastAsia="宋体" w:cs="宋体"/>
      <w:color w:val="000000"/>
      <w:sz w:val="24"/>
      <w:szCs w:val="24"/>
      <w:u w:val="none"/>
    </w:rPr>
  </w:style>
  <w:style w:type="character" w:styleId="1043" w:customStyle="1">
    <w:name w:val="font01"/>
    <w:uiPriority w:val="0"/>
    <w:qFormat/>
    <w:rPr>
      <w:rFonts w:hint="eastAsia" w:ascii="宋体" w:hAnsi="宋体" w:eastAsia="宋体" w:cs="宋体"/>
      <w:color w:val="000000"/>
      <w:sz w:val="24"/>
      <w:szCs w:val="24"/>
      <w:u w:val="none"/>
    </w:rPr>
  </w:style>
  <w:style w:type="character" w:styleId="1044" w:customStyle="1">
    <w:name w:val="font81"/>
    <w:uiPriority w:val="0"/>
    <w:qFormat/>
    <w:rPr>
      <w:rFonts w:ascii="微软雅黑" w:hAnsi="微软雅黑" w:eastAsia="微软雅黑" w:cs="微软雅黑"/>
      <w:color w:val="000000"/>
      <w:sz w:val="24"/>
      <w:szCs w:val="24"/>
      <w:u w:val="none"/>
    </w:rPr>
  </w:style>
  <w:style w:type="character" w:styleId="1045" w:customStyle="1">
    <w:name w:val="font91"/>
    <w:uiPriority w:val="0"/>
    <w:qFormat/>
    <w:rPr>
      <w:rFonts w:ascii="Segoe UI Symbol" w:hAnsi="Segoe UI Symbol" w:eastAsia="Segoe UI Symbol" w:cs="Segoe UI Symbol"/>
      <w:color w:val="000000"/>
      <w:sz w:val="24"/>
      <w:szCs w:val="24"/>
      <w:u w:val="none"/>
    </w:rPr>
  </w:style>
  <w:style w:type="character" w:styleId="1046" w:customStyle="1">
    <w:name w:val="font101"/>
    <w:uiPriority w:val="0"/>
    <w:qFormat/>
    <w:rPr>
      <w:rFonts w:ascii="Calibri" w:hAnsi="Calibri" w:cs="Calibri"/>
      <w:color w:val="000000"/>
      <w:sz w:val="24"/>
      <w:szCs w:val="24"/>
      <w:u w:val="none"/>
    </w:rPr>
  </w:style>
  <w:style w:type="paragraph" w:styleId="1047"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8" w:customStyle="1">
    <w:name w:val="TableEmphasis"/>
    <w:basedOn w:val="763"/>
    <w:uiPriority w:val="0"/>
    <w:qFormat/>
    <w:rPr>
      <w:rFonts w:ascii="Times New Roman" w:hAnsi="Times New Roman" w:eastAsia="Times New Roman"/>
      <w:b/>
      <w:bCs/>
      <w:color w:val="3333ff"/>
      <w:sz w:val="16"/>
      <w:szCs w:val="18"/>
    </w:rPr>
  </w:style>
  <w:style w:type="paragraph" w:styleId="1049" w:customStyle="1">
    <w:name w:val="修订1"/>
    <w:uiPriority w:val="99"/>
    <w:unhideWhenUsed/>
    <w:qFormat/>
    <w:rPr>
      <w:rFonts w:hint="default" w:ascii="Calibri" w:hAnsi="Calibri" w:eastAsia="宋体" w:cs="Times New Roman"/>
      <w:sz w:val="21"/>
      <w:szCs w:val="22"/>
      <w:lang w:val="en-US" w:eastAsia="zh-CN" w:bidi="ar-SA"/>
    </w:rPr>
  </w:style>
  <w:style w:type="paragraph" w:styleId="1050" w:customStyle="1">
    <w:name w:val="修订2"/>
    <w:uiPriority w:val="99"/>
    <w:semiHidden/>
    <w:qFormat/>
    <w:rPr>
      <w:rFonts w:hint="default" w:ascii="Calibri" w:hAnsi="Calibri" w:eastAsia="宋体" w:cs="Times New Roman"/>
      <w:sz w:val="21"/>
      <w:szCs w:val="22"/>
      <w:lang w:val="en-US" w:eastAsia="zh-CN" w:bidi="ar-SA"/>
    </w:rPr>
  </w:style>
  <w:style w:type="character" w:styleId="1051" w:customStyle="1">
    <w:name w:val="font11"/>
    <w:uiPriority w:val="0"/>
    <w:qFormat/>
    <w:rPr>
      <w:rFonts w:hint="eastAsia" w:ascii="宋体" w:hAnsi="宋体" w:eastAsia="宋体" w:cs="宋体"/>
      <w:color w:val="000000"/>
      <w:sz w:val="24"/>
      <w:szCs w:val="24"/>
      <w:u w:val="none"/>
    </w:rPr>
  </w:style>
  <w:style w:type="character" w:styleId="1052" w:customStyle="1">
    <w:name w:val="font21"/>
    <w:link w:val="763"/>
    <w:uiPriority w:val="0"/>
    <w:qFormat/>
    <w:rPr>
      <w:rFonts w:ascii="Segoe UI Symbol" w:hAnsi="Segoe UI Symbol" w:eastAsia="Segoe UI Symbol" w:cs="Segoe UI Symbol"/>
      <w:color w:val="000000"/>
      <w:sz w:val="24"/>
      <w:szCs w:val="24"/>
      <w:u w:val="none"/>
    </w:rPr>
  </w:style>
  <w:style w:type="character" w:styleId="1053" w:customStyle="1">
    <w:name w:val="NormalCharacter1"/>
    <w:link w:val="763"/>
    <w:uiPriority w:val="0"/>
    <w:semiHidden/>
    <w:qFormat/>
    <w:rPr>
      <w:rFonts w:ascii="Calibri" w:hAnsi="Calibri" w:eastAsia="宋体" w:cs="Times New Roman"/>
      <w:sz w:val="21"/>
      <w:szCs w:val="22"/>
      <w:lang w:val="en-US" w:eastAsia="zh-CN" w:bidi="ar-SA"/>
    </w:rPr>
  </w:style>
  <w:style w:type="character" w:styleId="1054" w:customStyle="1">
    <w:name w:val="font31"/>
    <w:uiPriority w:val="0"/>
    <w:qFormat/>
    <w:rPr>
      <w:rFonts w:hint="eastAsia" w:ascii="宋体" w:hAnsi="宋体" w:eastAsia="宋体" w:cs="宋体"/>
      <w:color w:val="000000"/>
      <w:sz w:val="21"/>
      <w:szCs w:val="21"/>
      <w:u w:val="none"/>
    </w:rPr>
  </w:style>
  <w:style w:type="paragraph" w:styleId="1055" w:customStyle="1">
    <w:name w:val="无间隔1"/>
    <w:uiPriority w:val="1"/>
    <w:qFormat/>
    <w:rPr>
      <w:rFonts w:hint="default" w:ascii="Times New Roman" w:hAnsi="Times New Roman" w:eastAsia="宋体" w:cs="Times New Roman"/>
      <w:lang w:val="en-US" w:eastAsia="zh-CN" w:bidi="ar-SA"/>
    </w:rPr>
  </w:style>
  <w:style w:type="paragraph" w:styleId="1056" w:customStyle="1">
    <w:name w:val="索引 41"/>
    <w:basedOn w:val="763"/>
    <w:next w:val="763"/>
    <w:uiPriority w:val="99"/>
    <w:unhideWhenUsed/>
    <w:qFormat/>
    <w:pPr>
      <w:ind w:left="600"/>
    </w:pPr>
    <w:rPr>
      <w:rFonts w:ascii="Verdana" w:hAnsi="Verdana" w:eastAsia="微软雅黑"/>
      <w:szCs w:val="20"/>
    </w:rPr>
  </w:style>
  <w:style w:type="paragraph" w:styleId="1057" w:customStyle="1">
    <w:name w:val="首行缩进"/>
    <w:basedOn w:val="763"/>
    <w:uiPriority w:val="0"/>
    <w:qFormat/>
    <w:pPr>
      <w:ind w:firstLine="420"/>
      <w:spacing w:line="360" w:lineRule="auto"/>
    </w:pPr>
  </w:style>
  <w:style w:type="paragraph" w:styleId="1058" w:customStyle="1">
    <w:name w:val="表格文字"/>
    <w:basedOn w:val="763"/>
    <w:uiPriority w:val="0"/>
    <w:qFormat/>
    <w:pPr>
      <w:ind w:firstLine="0"/>
    </w:pPr>
    <w:rPr>
      <w:rFonts w:cs="宋体"/>
      <w:spacing w:val="2"/>
      <w:szCs w:val="21"/>
      <w:lang w:eastAsia="en-US"/>
    </w:rPr>
  </w:style>
  <w:style w:type="paragraph" w:styleId="1059" w:customStyle="1">
    <w:name w:val="列出段落1"/>
    <w:basedOn w:val="763"/>
    <w:uiPriority w:val="0"/>
    <w:qFormat/>
    <w:pPr>
      <w:ind w:firstLine="420"/>
      <w:jc w:val="left"/>
      <w:spacing w:line="240" w:lineRule="auto"/>
      <w:widowControl/>
    </w:pPr>
    <w:rPr>
      <w:rFonts w:ascii="Times New Roman" w:hAnsi="Times New Roman"/>
    </w:rPr>
  </w:style>
  <w:style w:type="paragraph" w:styleId="1060" w:customStyle="1">
    <w:name w:val="页眉11"/>
    <w:basedOn w:val="7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1" w:customStyle="1">
    <w:name w:val="页脚11"/>
    <w:basedOn w:val="763"/>
    <w:uiPriority w:val="99"/>
    <w:unhideWhenUsed/>
    <w:qFormat/>
    <w:pPr>
      <w:jc w:val="left"/>
      <w:tabs>
        <w:tab w:val="center" w:pos="4153" w:leader="none"/>
        <w:tab w:val="right" w:pos="8306" w:leader="none"/>
      </w:tabs>
    </w:pPr>
    <w:rPr>
      <w:sz w:val="18"/>
      <w:szCs w:val="18"/>
    </w:rPr>
  </w:style>
  <w:style w:type="paragraph" w:styleId="1062" w:customStyle="1">
    <w:name w:val="标题 311"/>
    <w:basedOn w:val="763"/>
    <w:next w:val="1063"/>
    <w:uiPriority w:val="0"/>
    <w:qFormat/>
    <w:pPr>
      <w:keepLines/>
      <w:keepNext/>
      <w:spacing w:before="260" w:after="260" w:line="416" w:lineRule="auto"/>
      <w:outlineLvl w:val="2"/>
    </w:pPr>
    <w:rPr>
      <w:b/>
      <w:bCs/>
      <w:sz w:val="32"/>
      <w:szCs w:val="32"/>
    </w:rPr>
  </w:style>
  <w:style w:type="paragraph" w:styleId="1063" w:customStyle="1">
    <w:name w:val="正文缩进11"/>
    <w:basedOn w:val="763"/>
    <w:uiPriority w:val="0"/>
    <w:unhideWhenUsed/>
    <w:qFormat/>
    <w:pPr>
      <w:ind w:firstLine="420"/>
    </w:pPr>
  </w:style>
  <w:style w:type="table" w:styleId="1064" w:customStyle="1">
    <w:name w:val="table"/>
    <w:basedOn w:val="774"/>
    <w:uiPriority w:val="0"/>
    <w:qFormat/>
    <w:rPr>
      <w:rFonts w:eastAsiaTheme="minorEastAsia"/>
    </w:rPr>
    <w:tblPr/>
  </w:style>
  <w:style w:type="numbering" w:styleId="206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赵凌云</cp:lastModifiedBy>
  <cp:revision>4</cp:revision>
  <dcterms:created xsi:type="dcterms:W3CDTF">2024-11-07T06:15:00Z</dcterms:created>
  <dcterms:modified xsi:type="dcterms:W3CDTF">2026-07-13T02:50:30Z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CB44862E67B5496095B6D173C6BFD1FA_13</vt:lpwstr>
  </property>
  <property fmtid="{D5CDD505-2E9C-101B-9397-08002B2CF9AE}" pid="4" name="KSOTemplateDocerSaveRecord">
    <vt:lpwstr>eyJoZGlkIjoiMmU0ZDNiZGQ3MGE0MGI4YjY5ZGRmN2U5ZDI5YWYzMTEiLCJ1c2VySWQiOiI0NjY3MzgyMDAifQ==</vt:lpwstr>
  </property>
</Properties>
</file>