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B03EDF">
      <w:pPr>
        <w:pStyle w:val="12"/>
        <w:ind w:firstLine="422"/>
        <w:jc w:val="center"/>
        <w:rPr>
          <w:rFonts w:eastAsia="黑体"/>
          <w:b/>
          <w:bCs/>
          <w:sz w:val="84"/>
          <w:highlight w:val="none"/>
        </w:rPr>
      </w:pPr>
      <w:bookmarkStart w:id="0" w:name="_Toc513029200"/>
      <w:bookmarkStart w:id="1" w:name="_Toc479757206"/>
      <w:bookmarkStart w:id="2" w:name="_Toc20823272"/>
      <w:bookmarkStart w:id="3" w:name="_Toc16938516"/>
      <w:bookmarkStart w:id="4" w:name="_Toc523127445"/>
      <w:r>
        <w:rPr>
          <w:rFonts w:hint="eastAsia" w:eastAsia="黑体"/>
          <w:b/>
          <w:bCs/>
          <w:sz w:val="84"/>
          <w:highlight w:val="none"/>
        </w:rPr>
        <w:t>招　标　文　件</w:t>
      </w:r>
    </w:p>
    <w:p w14:paraId="3DFA006A">
      <w:pPr>
        <w:pStyle w:val="12"/>
        <w:ind w:firstLine="161"/>
        <w:rPr>
          <w:b/>
          <w:bCs/>
          <w:sz w:val="32"/>
          <w:highlight w:val="none"/>
        </w:rPr>
      </w:pPr>
    </w:p>
    <w:p w14:paraId="5190A9FF">
      <w:pPr>
        <w:pStyle w:val="12"/>
        <w:ind w:firstLine="141"/>
        <w:rPr>
          <w:b/>
          <w:bCs/>
          <w:spacing w:val="-20"/>
          <w:sz w:val="32"/>
          <w:highlight w:val="none"/>
        </w:rPr>
      </w:pPr>
    </w:p>
    <w:p w14:paraId="538001BA">
      <w:pPr>
        <w:pStyle w:val="12"/>
        <w:keepNext w:val="0"/>
        <w:keepLines w:val="0"/>
        <w:pageBreakBefore w:val="0"/>
        <w:widowControl/>
        <w:kinsoku/>
        <w:wordWrap/>
        <w:overflowPunct/>
        <w:topLinePunct w:val="0"/>
        <w:autoSpaceDE/>
        <w:autoSpaceDN/>
        <w:bidi w:val="0"/>
        <w:adjustRightInd/>
        <w:snapToGrid/>
        <w:ind w:left="0" w:leftChars="0" w:right="-400" w:rightChars="-200" w:firstLine="0" w:firstLineChars="0"/>
        <w:textAlignment w:val="auto"/>
        <w:rPr>
          <w:rFonts w:hint="eastAsia" w:eastAsia="宋体" w:cs="宋体"/>
          <w:b/>
          <w:bCs/>
          <w:sz w:val="30"/>
          <w:szCs w:val="30"/>
          <w:highlight w:val="none"/>
          <w:lang w:val="en-US" w:eastAsia="zh-CN"/>
        </w:rPr>
      </w:pPr>
      <w:r>
        <w:rPr>
          <w:rFonts w:hint="eastAsia"/>
          <w:b/>
          <w:bCs/>
          <w:sz w:val="30"/>
          <w:szCs w:val="30"/>
          <w:highlight w:val="none"/>
        </w:rPr>
        <w:t>项目名称：</w:t>
      </w:r>
      <w:r>
        <w:rPr>
          <w:rFonts w:hint="eastAsia" w:cs="宋体"/>
          <w:b/>
          <w:bCs/>
          <w:sz w:val="30"/>
          <w:szCs w:val="30"/>
          <w:highlight w:val="none"/>
          <w:lang w:val="en-US" w:eastAsia="zh-CN"/>
        </w:rPr>
        <w:t>宝应县公安局交通管理大队执法专用停车场服务项目（二次）</w:t>
      </w:r>
    </w:p>
    <w:p w14:paraId="6CCA1348">
      <w:pPr>
        <w:pStyle w:val="12"/>
        <w:keepNext w:val="0"/>
        <w:keepLines w:val="0"/>
        <w:pageBreakBefore w:val="0"/>
        <w:widowControl/>
        <w:kinsoku/>
        <w:wordWrap/>
        <w:overflowPunct/>
        <w:topLinePunct w:val="0"/>
        <w:autoSpaceDE/>
        <w:autoSpaceDN/>
        <w:bidi w:val="0"/>
        <w:adjustRightInd/>
        <w:snapToGrid/>
        <w:ind w:left="0" w:leftChars="0" w:right="-400" w:rightChars="-200" w:firstLine="0" w:firstLineChars="0"/>
        <w:textAlignment w:val="auto"/>
        <w:rPr>
          <w:rFonts w:hint="eastAsia" w:ascii="Arial" w:hAnsi="Arial" w:eastAsia="宋体" w:cs="宋体"/>
          <w:b/>
          <w:bCs/>
          <w:sz w:val="30"/>
          <w:szCs w:val="30"/>
          <w:highlight w:val="none"/>
          <w:lang w:val="en-US" w:eastAsia="zh-CN" w:bidi="ar-SA"/>
        </w:rPr>
      </w:pPr>
      <w:r>
        <w:rPr>
          <w:rFonts w:hint="eastAsia" w:ascii="Arial" w:hAnsi="Arial"/>
          <w:b/>
          <w:bCs/>
          <w:sz w:val="30"/>
          <w:szCs w:val="30"/>
          <w:highlight w:val="none"/>
        </w:rPr>
        <w:t>项目编号：</w:t>
      </w:r>
      <w:r>
        <w:rPr>
          <w:rFonts w:hint="eastAsia" w:cs="宋体"/>
          <w:b/>
          <w:bCs/>
          <w:sz w:val="30"/>
          <w:szCs w:val="30"/>
          <w:highlight w:val="none"/>
          <w:lang w:val="en-US" w:eastAsia="zh-CN" w:bidi="ar-SA"/>
        </w:rPr>
        <w:t xml:space="preserve">JSZC-321023-JNZX-G2026-0014  </w:t>
      </w:r>
      <w:r>
        <w:rPr>
          <w:rFonts w:hint="eastAsia" w:ascii="Arial" w:hAnsi="Arial" w:eastAsia="宋体" w:cs="宋体"/>
          <w:b/>
          <w:bCs/>
          <w:sz w:val="30"/>
          <w:szCs w:val="30"/>
          <w:highlight w:val="none"/>
          <w:lang w:val="en-US" w:eastAsia="zh-CN" w:bidi="ar-SA"/>
        </w:rPr>
        <w:t xml:space="preserve"> </w:t>
      </w:r>
    </w:p>
    <w:p w14:paraId="69B4A207">
      <w:pPr>
        <w:pStyle w:val="12"/>
        <w:spacing w:before="0" w:after="0"/>
        <w:ind w:firstLine="120"/>
        <w:rPr>
          <w:rFonts w:ascii="宋体" w:hAnsi="宋体"/>
          <w:highlight w:val="none"/>
        </w:rPr>
      </w:pPr>
    </w:p>
    <w:p w14:paraId="64D5D51A">
      <w:pPr>
        <w:pStyle w:val="12"/>
        <w:spacing w:before="0" w:after="0"/>
        <w:ind w:firstLine="120"/>
        <w:rPr>
          <w:rFonts w:ascii="宋体" w:hAnsi="宋体"/>
          <w:highlight w:val="none"/>
        </w:rPr>
      </w:pPr>
    </w:p>
    <w:p w14:paraId="46429D0F">
      <w:pPr>
        <w:pStyle w:val="12"/>
        <w:spacing w:before="0" w:after="0"/>
        <w:ind w:firstLine="120"/>
        <w:rPr>
          <w:rFonts w:ascii="宋体" w:hAnsi="宋体"/>
          <w:highlight w:val="none"/>
        </w:rPr>
      </w:pPr>
    </w:p>
    <w:p w14:paraId="01352C14">
      <w:pPr>
        <w:pStyle w:val="12"/>
        <w:spacing w:before="0" w:after="0"/>
        <w:ind w:left="0" w:leftChars="0" w:firstLine="0" w:firstLineChars="0"/>
        <w:rPr>
          <w:rFonts w:ascii="宋体" w:hAnsi="宋体"/>
          <w:highlight w:val="none"/>
        </w:rPr>
      </w:pPr>
    </w:p>
    <w:p w14:paraId="231512FE">
      <w:pPr>
        <w:pStyle w:val="12"/>
        <w:spacing w:before="0" w:after="0"/>
        <w:ind w:firstLine="120"/>
        <w:rPr>
          <w:rFonts w:ascii="宋体" w:hAnsi="宋体"/>
          <w:highlight w:val="none"/>
        </w:rPr>
      </w:pPr>
    </w:p>
    <w:p w14:paraId="53C9DD49">
      <w:pPr>
        <w:pStyle w:val="12"/>
        <w:spacing w:before="0" w:after="0"/>
        <w:ind w:firstLine="120"/>
        <w:rPr>
          <w:rFonts w:ascii="宋体" w:hAnsi="宋体"/>
          <w:highlight w:val="none"/>
        </w:rPr>
      </w:pPr>
    </w:p>
    <w:p w14:paraId="5093D904">
      <w:pPr>
        <w:pStyle w:val="12"/>
        <w:spacing w:before="0" w:after="0"/>
        <w:ind w:firstLine="120"/>
        <w:rPr>
          <w:rFonts w:ascii="宋体" w:hAnsi="宋体"/>
          <w:highlight w:val="none"/>
        </w:rPr>
      </w:pPr>
    </w:p>
    <w:p w14:paraId="66C83F04">
      <w:pPr>
        <w:pStyle w:val="12"/>
        <w:spacing w:before="0" w:after="0"/>
        <w:ind w:firstLine="120"/>
        <w:rPr>
          <w:rFonts w:ascii="宋体" w:hAnsi="宋体"/>
          <w:highlight w:val="none"/>
        </w:rPr>
      </w:pPr>
    </w:p>
    <w:p w14:paraId="6659EAF5">
      <w:pPr>
        <w:pStyle w:val="12"/>
        <w:spacing w:before="0" w:after="0"/>
        <w:ind w:firstLine="120"/>
        <w:rPr>
          <w:rFonts w:ascii="宋体" w:hAnsi="宋体"/>
          <w:highlight w:val="none"/>
        </w:rPr>
      </w:pPr>
    </w:p>
    <w:p w14:paraId="15DDAF8E">
      <w:pPr>
        <w:ind w:firstLine="1440"/>
        <w:rPr>
          <w:rFonts w:hint="eastAsia"/>
          <w:sz w:val="32"/>
          <w:szCs w:val="32"/>
          <w:highlight w:val="none"/>
        </w:rPr>
      </w:pPr>
    </w:p>
    <w:p w14:paraId="70F42484">
      <w:pPr>
        <w:ind w:firstLine="960" w:firstLineChars="300"/>
        <w:rPr>
          <w:rFonts w:hint="eastAsia" w:ascii="宋体" w:hAnsi="宋体" w:eastAsia="宋体" w:cs="宋体"/>
          <w:sz w:val="32"/>
          <w:szCs w:val="32"/>
          <w:highlight w:val="none"/>
          <w:lang w:eastAsia="zh-CN"/>
        </w:rPr>
      </w:pPr>
      <w:r>
        <w:rPr>
          <w:rFonts w:hint="eastAsia"/>
          <w:sz w:val="32"/>
          <w:szCs w:val="32"/>
          <w:highlight w:val="none"/>
        </w:rPr>
        <w:t xml:space="preserve">采 </w:t>
      </w:r>
      <w:r>
        <w:rPr>
          <w:rFonts w:hint="eastAsia"/>
          <w:sz w:val="32"/>
          <w:szCs w:val="32"/>
          <w:highlight w:val="none"/>
          <w:lang w:val="en-US" w:eastAsia="zh-CN"/>
        </w:rPr>
        <w:t xml:space="preserve">  </w:t>
      </w:r>
      <w:r>
        <w:rPr>
          <w:rFonts w:hint="eastAsia"/>
          <w:sz w:val="32"/>
          <w:szCs w:val="32"/>
          <w:highlight w:val="none"/>
        </w:rPr>
        <w:t>购</w:t>
      </w:r>
      <w:r>
        <w:rPr>
          <w:rFonts w:hint="eastAsia"/>
          <w:sz w:val="32"/>
          <w:szCs w:val="32"/>
          <w:highlight w:val="none"/>
          <w:lang w:val="en-US" w:eastAsia="zh-CN"/>
        </w:rPr>
        <w:t xml:space="preserve">  </w:t>
      </w:r>
      <w:r>
        <w:rPr>
          <w:rFonts w:hint="eastAsia"/>
          <w:sz w:val="32"/>
          <w:szCs w:val="32"/>
          <w:highlight w:val="none"/>
        </w:rPr>
        <w:t xml:space="preserve"> 人：</w:t>
      </w:r>
      <w:r>
        <w:rPr>
          <w:rFonts w:hint="eastAsia" w:cs="宋体"/>
          <w:sz w:val="32"/>
          <w:szCs w:val="32"/>
          <w:highlight w:val="none"/>
          <w:lang w:eastAsia="zh-CN"/>
        </w:rPr>
        <w:t>宝应县公安局</w:t>
      </w:r>
    </w:p>
    <w:p w14:paraId="3285F90C">
      <w:pPr>
        <w:ind w:firstLine="960" w:firstLineChars="300"/>
        <w:rPr>
          <w:rFonts w:hint="eastAsia" w:eastAsia="宋体"/>
          <w:b/>
          <w:bCs/>
          <w:sz w:val="32"/>
          <w:highlight w:val="none"/>
          <w:lang w:eastAsia="zh-CN"/>
        </w:rPr>
      </w:pPr>
      <w:r>
        <w:rPr>
          <w:rFonts w:hint="eastAsia"/>
          <w:sz w:val="32"/>
          <w:szCs w:val="32"/>
          <w:highlight w:val="none"/>
        </w:rPr>
        <w:t>采购代理机构：</w:t>
      </w:r>
      <w:r>
        <w:rPr>
          <w:rFonts w:hint="eastAsia"/>
          <w:sz w:val="32"/>
          <w:szCs w:val="32"/>
          <w:highlight w:val="none"/>
          <w:lang w:eastAsia="zh-CN"/>
        </w:rPr>
        <w:t>江苏江南工程管理咨询有限公司</w:t>
      </w:r>
    </w:p>
    <w:p w14:paraId="4CB4C8BF">
      <w:pPr>
        <w:pStyle w:val="12"/>
        <w:ind w:firstLine="161"/>
        <w:jc w:val="center"/>
        <w:rPr>
          <w:b/>
          <w:bCs/>
          <w:sz w:val="32"/>
          <w:highlight w:val="none"/>
        </w:rPr>
      </w:pPr>
      <w:r>
        <w:rPr>
          <w:rFonts w:hint="eastAsia"/>
          <w:b/>
          <w:bCs/>
          <w:sz w:val="32"/>
          <w:highlight w:val="none"/>
        </w:rPr>
        <w:t>202</w:t>
      </w:r>
      <w:r>
        <w:rPr>
          <w:rFonts w:hint="eastAsia"/>
          <w:b/>
          <w:bCs/>
          <w:sz w:val="32"/>
          <w:highlight w:val="none"/>
          <w:lang w:val="en-US" w:eastAsia="zh-CN"/>
        </w:rPr>
        <w:t>6</w:t>
      </w:r>
      <w:r>
        <w:rPr>
          <w:rFonts w:hint="eastAsia"/>
          <w:b/>
          <w:bCs/>
          <w:sz w:val="32"/>
          <w:highlight w:val="none"/>
        </w:rPr>
        <w:t>年</w:t>
      </w:r>
      <w:r>
        <w:rPr>
          <w:rFonts w:hint="eastAsia"/>
          <w:b/>
          <w:bCs/>
          <w:sz w:val="32"/>
          <w:highlight w:val="none"/>
          <w:lang w:val="en-US" w:eastAsia="zh-CN"/>
        </w:rPr>
        <w:t>7</w:t>
      </w:r>
      <w:r>
        <w:rPr>
          <w:rFonts w:hint="eastAsia"/>
          <w:b/>
          <w:bCs/>
          <w:sz w:val="32"/>
          <w:highlight w:val="none"/>
        </w:rPr>
        <w:t xml:space="preserve">月  </w:t>
      </w:r>
    </w:p>
    <w:p w14:paraId="050343A8">
      <w:pPr>
        <w:pStyle w:val="12"/>
        <w:ind w:firstLine="120"/>
        <w:rPr>
          <w:rFonts w:hint="eastAsia" w:eastAsia="宋体"/>
          <w:highlight w:val="none"/>
          <w:u w:val="single"/>
          <w:lang w:val="en-US" w:eastAsia="zh-CN"/>
        </w:rPr>
      </w:pPr>
      <w:r>
        <w:rPr>
          <w:rFonts w:hint="eastAsia"/>
          <w:highlight w:val="none"/>
        </w:rPr>
        <w:t xml:space="preserve">           </w:t>
      </w:r>
    </w:p>
    <w:p w14:paraId="51B792E5">
      <w:pPr>
        <w:spacing w:line="480" w:lineRule="auto"/>
        <w:ind w:firstLine="2600" w:firstLineChars="1300"/>
        <w:jc w:val="both"/>
        <w:outlineLvl w:val="0"/>
        <w:rPr>
          <w:rFonts w:hint="eastAsia"/>
          <w:highlight w:val="none"/>
        </w:rPr>
      </w:pPr>
      <w:bookmarkStart w:id="5" w:name="_Toc120614210"/>
    </w:p>
    <w:p w14:paraId="4F536EBC">
      <w:pPr>
        <w:rPr>
          <w:rFonts w:hint="eastAsia"/>
          <w:highlight w:val="none"/>
        </w:rPr>
      </w:pPr>
      <w:r>
        <w:rPr>
          <w:rFonts w:hint="eastAsia"/>
          <w:highlight w:val="none"/>
        </w:rPr>
        <w:br w:type="page"/>
      </w:r>
    </w:p>
    <w:p w14:paraId="65F5CFB4">
      <w:pPr>
        <w:spacing w:line="480" w:lineRule="auto"/>
        <w:ind w:firstLine="2600" w:firstLineChars="1300"/>
        <w:jc w:val="both"/>
        <w:outlineLvl w:val="0"/>
        <w:rPr>
          <w:highlight w:val="none"/>
        </w:rPr>
      </w:pPr>
      <w:r>
        <w:rPr>
          <w:rFonts w:hint="eastAsia"/>
          <w:highlight w:val="none"/>
        </w:rPr>
        <w:t xml:space="preserve"> </w:t>
      </w:r>
      <w:r>
        <w:rPr>
          <w:rFonts w:hint="eastAsia" w:ascii="黑体" w:hAnsi="Arial" w:eastAsia="黑体"/>
          <w:b/>
          <w:sz w:val="44"/>
          <w:highlight w:val="none"/>
        </w:rPr>
        <w:t>总  目  录</w:t>
      </w:r>
    </w:p>
    <w:p w14:paraId="0451782F">
      <w:pPr>
        <w:widowControl w:val="0"/>
        <w:numPr>
          <w:ilvl w:val="0"/>
          <w:numId w:val="1"/>
        </w:numPr>
        <w:spacing w:line="480" w:lineRule="auto"/>
        <w:ind w:left="873" w:firstLine="181"/>
        <w:jc w:val="left"/>
        <w:outlineLvl w:val="0"/>
        <w:rPr>
          <w:rFonts w:hint="eastAsia" w:ascii="黑体" w:hAnsi="Showcard Gothic" w:eastAsia="黑体"/>
          <w:sz w:val="32"/>
          <w:highlight w:val="none"/>
        </w:rPr>
      </w:pPr>
      <w:r>
        <w:rPr>
          <w:rFonts w:hint="eastAsia" w:ascii="黑体" w:eastAsia="黑体"/>
          <w:sz w:val="36"/>
          <w:highlight w:val="none"/>
        </w:rPr>
        <w:t>投标邀请</w:t>
      </w:r>
      <w:r>
        <w:rPr>
          <w:rFonts w:hint="eastAsia" w:ascii="黑体" w:hAnsi="Showcard Gothic" w:eastAsia="黑体"/>
          <w:sz w:val="36"/>
          <w:highlight w:val="none"/>
        </w:rPr>
        <w:t xml:space="preserve">……………………………… </w:t>
      </w:r>
      <w:r>
        <w:rPr>
          <w:rFonts w:hint="eastAsia" w:ascii="黑体" w:hAnsi="Showcard Gothic" w:eastAsia="黑体"/>
          <w:sz w:val="36"/>
          <w:highlight w:val="none"/>
          <w:lang w:val="en-US" w:eastAsia="zh-CN"/>
        </w:rPr>
        <w:t>3</w:t>
      </w:r>
    </w:p>
    <w:p w14:paraId="2851CE87">
      <w:pPr>
        <w:widowControl w:val="0"/>
        <w:numPr>
          <w:ilvl w:val="0"/>
          <w:numId w:val="1"/>
        </w:numPr>
        <w:spacing w:line="480" w:lineRule="auto"/>
        <w:ind w:left="873" w:firstLine="181"/>
        <w:jc w:val="both"/>
        <w:outlineLvl w:val="0"/>
        <w:rPr>
          <w:rFonts w:hint="eastAsia" w:ascii="黑体" w:hAnsi="Showcard Gothic" w:eastAsia="黑体"/>
          <w:sz w:val="36"/>
          <w:highlight w:val="none"/>
        </w:rPr>
      </w:pPr>
      <w:r>
        <w:rPr>
          <w:rFonts w:hint="eastAsia" w:ascii="黑体" w:eastAsia="黑体"/>
          <w:bCs/>
          <w:sz w:val="36"/>
          <w:szCs w:val="36"/>
          <w:highlight w:val="none"/>
        </w:rPr>
        <w:t>投标人须知</w:t>
      </w:r>
      <w:r>
        <w:rPr>
          <w:rFonts w:hint="eastAsia" w:ascii="黑体" w:hAnsi="Showcard Gothic" w:eastAsia="黑体"/>
          <w:sz w:val="36"/>
          <w:szCs w:val="36"/>
          <w:highlight w:val="none"/>
        </w:rPr>
        <w:t>…</w:t>
      </w:r>
      <w:r>
        <w:rPr>
          <w:rFonts w:hint="eastAsia" w:ascii="黑体" w:hAnsi="Showcard Gothic" w:eastAsia="黑体"/>
          <w:sz w:val="36"/>
          <w:highlight w:val="none"/>
        </w:rPr>
        <w:t xml:space="preserve">………………………… </w:t>
      </w:r>
      <w:r>
        <w:rPr>
          <w:rFonts w:hint="eastAsia" w:ascii="黑体" w:hAnsi="Showcard Gothic" w:eastAsia="黑体"/>
          <w:sz w:val="36"/>
          <w:highlight w:val="none"/>
          <w:lang w:val="en-US" w:eastAsia="zh-CN"/>
        </w:rPr>
        <w:t>7</w:t>
      </w:r>
    </w:p>
    <w:p w14:paraId="66F9F465">
      <w:pPr>
        <w:widowControl w:val="0"/>
        <w:numPr>
          <w:ilvl w:val="0"/>
          <w:numId w:val="1"/>
        </w:numPr>
        <w:spacing w:line="480" w:lineRule="auto"/>
        <w:ind w:left="873" w:firstLine="181"/>
        <w:jc w:val="both"/>
        <w:outlineLvl w:val="0"/>
        <w:rPr>
          <w:rFonts w:hint="eastAsia" w:ascii="黑体" w:hAnsi="Showcard Gothic" w:eastAsia="黑体"/>
          <w:sz w:val="36"/>
          <w:highlight w:val="none"/>
        </w:rPr>
      </w:pPr>
      <w:r>
        <w:rPr>
          <w:rFonts w:hint="eastAsia" w:ascii="黑体" w:eastAsia="黑体"/>
          <w:sz w:val="36"/>
          <w:highlight w:val="none"/>
        </w:rPr>
        <w:t>合同文本</w:t>
      </w:r>
      <w:r>
        <w:rPr>
          <w:rFonts w:hint="eastAsia" w:ascii="黑体" w:hAnsi="Showcard Gothic" w:eastAsia="黑体"/>
          <w:sz w:val="36"/>
          <w:highlight w:val="none"/>
        </w:rPr>
        <w:t>………………………………</w:t>
      </w:r>
      <w:r>
        <w:rPr>
          <w:rFonts w:hint="eastAsia" w:ascii="黑体" w:hAnsi="Showcard Gothic" w:eastAsia="黑体"/>
          <w:sz w:val="36"/>
          <w:highlight w:val="none"/>
          <w:lang w:val="en-US" w:eastAsia="zh-CN"/>
        </w:rPr>
        <w:t>19</w:t>
      </w:r>
    </w:p>
    <w:p w14:paraId="0CD44618">
      <w:pPr>
        <w:widowControl w:val="0"/>
        <w:numPr>
          <w:ilvl w:val="0"/>
          <w:numId w:val="1"/>
        </w:numPr>
        <w:spacing w:line="480" w:lineRule="auto"/>
        <w:ind w:left="873" w:firstLine="181"/>
        <w:jc w:val="both"/>
        <w:outlineLvl w:val="0"/>
        <w:rPr>
          <w:rFonts w:hint="eastAsia" w:ascii="黑体" w:hAnsi="Showcard Gothic" w:eastAsia="黑体"/>
          <w:sz w:val="36"/>
          <w:highlight w:val="none"/>
        </w:rPr>
      </w:pPr>
      <w:r>
        <w:rPr>
          <w:rFonts w:hint="eastAsia" w:ascii="黑体" w:eastAsia="黑体"/>
          <w:sz w:val="36"/>
          <w:highlight w:val="none"/>
        </w:rPr>
        <w:t>采购需求</w:t>
      </w:r>
      <w:r>
        <w:rPr>
          <w:rFonts w:hint="eastAsia" w:ascii="黑体" w:hAnsi="Showcard Gothic" w:eastAsia="黑体"/>
          <w:sz w:val="36"/>
          <w:highlight w:val="none"/>
        </w:rPr>
        <w:t>………………………………</w:t>
      </w:r>
      <w:r>
        <w:rPr>
          <w:rFonts w:hint="eastAsia" w:ascii="黑体" w:hAnsi="Showcard Gothic" w:eastAsia="黑体"/>
          <w:sz w:val="36"/>
          <w:highlight w:val="none"/>
          <w:lang w:val="en-US" w:eastAsia="zh-CN"/>
        </w:rPr>
        <w:t>28</w:t>
      </w:r>
    </w:p>
    <w:p w14:paraId="43BA4BBA">
      <w:pPr>
        <w:widowControl w:val="0"/>
        <w:numPr>
          <w:ilvl w:val="0"/>
          <w:numId w:val="1"/>
        </w:numPr>
        <w:spacing w:line="480" w:lineRule="auto"/>
        <w:ind w:left="873" w:firstLine="181"/>
        <w:jc w:val="both"/>
        <w:outlineLvl w:val="0"/>
        <w:rPr>
          <w:rFonts w:hint="eastAsia" w:ascii="黑体" w:hAnsi="Showcard Gothic" w:eastAsia="黑体"/>
          <w:sz w:val="36"/>
          <w:highlight w:val="none"/>
        </w:rPr>
      </w:pPr>
      <w:r>
        <w:rPr>
          <w:rFonts w:hint="eastAsia" w:ascii="黑体" w:eastAsia="黑体"/>
          <w:bCs/>
          <w:sz w:val="36"/>
          <w:szCs w:val="36"/>
          <w:highlight w:val="none"/>
        </w:rPr>
        <w:t>评标方法与评标标准</w:t>
      </w:r>
      <w:r>
        <w:rPr>
          <w:rFonts w:hint="eastAsia" w:ascii="黑体" w:hAnsi="Showcard Gothic" w:eastAsia="黑体"/>
          <w:sz w:val="36"/>
          <w:highlight w:val="none"/>
        </w:rPr>
        <w:t>…………………</w:t>
      </w:r>
      <w:r>
        <w:rPr>
          <w:rFonts w:hint="eastAsia" w:ascii="黑体" w:hAnsi="Showcard Gothic" w:eastAsia="黑体"/>
          <w:sz w:val="36"/>
          <w:highlight w:val="none"/>
          <w:lang w:val="en-US" w:eastAsia="zh-CN"/>
        </w:rPr>
        <w:t>32</w:t>
      </w:r>
    </w:p>
    <w:p w14:paraId="52588501">
      <w:pPr>
        <w:widowControl w:val="0"/>
        <w:numPr>
          <w:ilvl w:val="0"/>
          <w:numId w:val="1"/>
        </w:numPr>
        <w:spacing w:line="480" w:lineRule="auto"/>
        <w:ind w:left="873" w:firstLine="181"/>
        <w:jc w:val="both"/>
        <w:outlineLvl w:val="0"/>
        <w:rPr>
          <w:rFonts w:hint="eastAsia" w:ascii="黑体" w:hAnsi="Showcard Gothic" w:eastAsia="黑体"/>
          <w:sz w:val="36"/>
          <w:highlight w:val="none"/>
        </w:rPr>
      </w:pPr>
      <w:r>
        <w:rPr>
          <w:rFonts w:hint="eastAsia" w:ascii="黑体" w:eastAsia="黑体"/>
          <w:sz w:val="36"/>
          <w:highlight w:val="none"/>
        </w:rPr>
        <w:t>投标文件格式</w:t>
      </w:r>
      <w:r>
        <w:rPr>
          <w:rFonts w:hint="eastAsia" w:ascii="黑体" w:hAnsi="Showcard Gothic" w:eastAsia="黑体"/>
          <w:sz w:val="36"/>
          <w:highlight w:val="none"/>
        </w:rPr>
        <w:t>…………………………</w:t>
      </w:r>
      <w:r>
        <w:rPr>
          <w:rFonts w:hint="eastAsia" w:ascii="黑体" w:hAnsi="Showcard Gothic" w:eastAsia="黑体"/>
          <w:sz w:val="36"/>
          <w:highlight w:val="none"/>
          <w:lang w:val="en-US" w:eastAsia="zh-CN"/>
        </w:rPr>
        <w:t>43</w:t>
      </w:r>
    </w:p>
    <w:p w14:paraId="7D21D1DC">
      <w:pPr>
        <w:rPr>
          <w:highlight w:val="none"/>
        </w:rPr>
      </w:pPr>
    </w:p>
    <w:p w14:paraId="49CF18DA">
      <w:pPr>
        <w:rPr>
          <w:rFonts w:hint="eastAsia" w:ascii="黑体" w:eastAsia="黑体"/>
          <w:sz w:val="44"/>
          <w:szCs w:val="44"/>
          <w:highlight w:val="none"/>
        </w:rPr>
      </w:pPr>
      <w:r>
        <w:rPr>
          <w:rFonts w:hint="eastAsia" w:ascii="黑体" w:eastAsia="黑体"/>
          <w:sz w:val="44"/>
          <w:szCs w:val="44"/>
          <w:highlight w:val="none"/>
        </w:rPr>
        <w:br w:type="page"/>
      </w:r>
    </w:p>
    <w:p w14:paraId="7A58FD1E">
      <w:pPr>
        <w:pStyle w:val="14"/>
        <w:ind w:firstLine="220"/>
        <w:rPr>
          <w:rFonts w:ascii="黑体" w:eastAsia="黑体"/>
          <w:bCs/>
          <w:sz w:val="44"/>
          <w:szCs w:val="44"/>
          <w:highlight w:val="none"/>
        </w:rPr>
      </w:pPr>
      <w:r>
        <w:rPr>
          <w:rFonts w:hint="eastAsia" w:ascii="黑体" w:eastAsia="黑体"/>
          <w:sz w:val="44"/>
          <w:szCs w:val="44"/>
          <w:highlight w:val="none"/>
        </w:rPr>
        <w:t xml:space="preserve">第一章  </w:t>
      </w:r>
      <w:bookmarkEnd w:id="5"/>
      <w:r>
        <w:rPr>
          <w:rFonts w:hint="eastAsia" w:ascii="黑体" w:eastAsia="黑体"/>
          <w:sz w:val="44"/>
          <w:szCs w:val="44"/>
          <w:highlight w:val="none"/>
        </w:rPr>
        <w:t>投标邀请</w:t>
      </w:r>
    </w:p>
    <w:p w14:paraId="3FC13B11">
      <w:pPr>
        <w:spacing w:line="400" w:lineRule="exact"/>
        <w:ind w:firstLine="240"/>
        <w:jc w:val="both"/>
        <w:rPr>
          <w:sz w:val="24"/>
          <w:szCs w:val="24"/>
          <w:highlight w:val="none"/>
        </w:rPr>
      </w:pPr>
      <w:r>
        <w:rPr>
          <w:rFonts w:hint="eastAsia"/>
          <w:sz w:val="24"/>
          <w:szCs w:val="24"/>
          <w:highlight w:val="none"/>
        </w:rPr>
        <w:t>受</w:t>
      </w:r>
      <w:r>
        <w:rPr>
          <w:rFonts w:hint="eastAsia"/>
          <w:sz w:val="24"/>
          <w:szCs w:val="24"/>
          <w:highlight w:val="none"/>
          <w:lang w:eastAsia="zh-CN"/>
        </w:rPr>
        <w:t>宝应县公安局</w:t>
      </w:r>
      <w:r>
        <w:rPr>
          <w:rFonts w:hint="eastAsia"/>
          <w:sz w:val="24"/>
          <w:szCs w:val="24"/>
          <w:highlight w:val="none"/>
        </w:rPr>
        <w:t>的委托，</w:t>
      </w:r>
      <w:r>
        <w:rPr>
          <w:rFonts w:hint="eastAsia"/>
          <w:sz w:val="24"/>
          <w:szCs w:val="24"/>
          <w:highlight w:val="none"/>
          <w:lang w:eastAsia="zh-CN"/>
        </w:rPr>
        <w:t>江苏江南工程管理咨询有限公司</w:t>
      </w:r>
      <w:r>
        <w:rPr>
          <w:rFonts w:hint="eastAsia"/>
          <w:sz w:val="24"/>
          <w:szCs w:val="24"/>
          <w:highlight w:val="none"/>
        </w:rPr>
        <w:t>就</w:t>
      </w:r>
      <w:r>
        <w:rPr>
          <w:rFonts w:hint="eastAsia"/>
          <w:sz w:val="24"/>
          <w:szCs w:val="24"/>
          <w:highlight w:val="none"/>
          <w:lang w:eastAsia="zh-CN"/>
        </w:rPr>
        <w:t>宝应县公安局交通管理大队执法专用停车场服务项目（二次）</w:t>
      </w:r>
      <w:r>
        <w:rPr>
          <w:rFonts w:hint="eastAsia"/>
          <w:sz w:val="24"/>
          <w:szCs w:val="24"/>
          <w:highlight w:val="none"/>
        </w:rPr>
        <w:t>(项目编号</w:t>
      </w:r>
      <w:r>
        <w:rPr>
          <w:rFonts w:hint="eastAsia"/>
          <w:sz w:val="24"/>
          <w:szCs w:val="24"/>
          <w:highlight w:val="none"/>
          <w:lang w:eastAsia="zh-CN"/>
        </w:rPr>
        <w:t>JSZC-321023-JNZX-G2026-0014</w:t>
      </w:r>
      <w:r>
        <w:rPr>
          <w:rFonts w:hint="eastAsia"/>
          <w:sz w:val="24"/>
          <w:szCs w:val="24"/>
          <w:highlight w:val="none"/>
        </w:rPr>
        <w:t>)项目进行公开招标采购，欢迎符合条件的供应商投标。</w:t>
      </w:r>
    </w:p>
    <w:p w14:paraId="7E825A1B">
      <w:pPr>
        <w:pBdr>
          <w:top w:val="single" w:color="000000" w:sz="4" w:space="0"/>
          <w:left w:val="single" w:color="000000" w:sz="4" w:space="3"/>
          <w:bottom w:val="single" w:color="000000" w:sz="4" w:space="0"/>
          <w:right w:val="single" w:color="000000" w:sz="4" w:space="3"/>
        </w:pBdr>
        <w:ind w:firstLine="120"/>
        <w:rPr>
          <w:sz w:val="24"/>
          <w:szCs w:val="24"/>
          <w:highlight w:val="none"/>
        </w:rPr>
      </w:pPr>
      <w:r>
        <w:rPr>
          <w:rFonts w:hint="eastAsia"/>
          <w:sz w:val="24"/>
          <w:szCs w:val="24"/>
          <w:highlight w:val="none"/>
        </w:rPr>
        <w:t>项目概况</w:t>
      </w:r>
    </w:p>
    <w:p w14:paraId="2216B564">
      <w:pPr>
        <w:pBdr>
          <w:top w:val="single" w:color="000000" w:sz="4" w:space="0"/>
          <w:left w:val="single" w:color="000000" w:sz="4" w:space="3"/>
          <w:bottom w:val="single" w:color="000000" w:sz="4" w:space="0"/>
          <w:right w:val="single" w:color="000000" w:sz="4" w:space="3"/>
        </w:pBdr>
        <w:spacing w:line="400" w:lineRule="exact"/>
        <w:ind w:firstLine="120"/>
        <w:rPr>
          <w:sz w:val="24"/>
          <w:szCs w:val="24"/>
          <w:highlight w:val="none"/>
        </w:rPr>
      </w:pPr>
      <w:r>
        <w:rPr>
          <w:rFonts w:hint="eastAsia"/>
          <w:sz w:val="24"/>
          <w:szCs w:val="24"/>
          <w:highlight w:val="none"/>
          <w:u w:val="single"/>
          <w:lang w:eastAsia="zh-CN"/>
        </w:rPr>
        <w:t>宝应县公安局交通管理大队执法专用停车场服务项目（二次）</w:t>
      </w:r>
      <w:r>
        <w:rPr>
          <w:rFonts w:hint="eastAsia"/>
          <w:sz w:val="24"/>
          <w:szCs w:val="24"/>
          <w:highlight w:val="none"/>
        </w:rPr>
        <w:t>招标项目的潜在投标人可在</w:t>
      </w:r>
      <w:r>
        <w:rPr>
          <w:rFonts w:hint="eastAsia"/>
          <w:sz w:val="24"/>
          <w:szCs w:val="24"/>
          <w:highlight w:val="none"/>
          <w:u w:val="single"/>
        </w:rPr>
        <w:t>“江苏政府采购网”、“扬州市政府采购网</w:t>
      </w:r>
      <w:r>
        <w:rPr>
          <w:sz w:val="24"/>
          <w:szCs w:val="24"/>
          <w:highlight w:val="none"/>
          <w:u w:val="single"/>
        </w:rPr>
        <w:t>”</w:t>
      </w:r>
      <w:r>
        <w:rPr>
          <w:rFonts w:hint="eastAsia"/>
          <w:sz w:val="24"/>
          <w:szCs w:val="24"/>
          <w:highlight w:val="none"/>
          <w:u w:val="single"/>
        </w:rPr>
        <w:t>自行免费下载</w:t>
      </w:r>
      <w:r>
        <w:rPr>
          <w:rFonts w:hint="eastAsia"/>
          <w:sz w:val="24"/>
          <w:szCs w:val="24"/>
          <w:highlight w:val="none"/>
        </w:rPr>
        <w:t>招标文件，并于</w:t>
      </w:r>
      <w:r>
        <w:rPr>
          <w:rFonts w:hint="eastAsia"/>
          <w:sz w:val="24"/>
          <w:szCs w:val="24"/>
          <w:highlight w:val="none"/>
          <w:u w:val="single"/>
        </w:rPr>
        <w:t xml:space="preserve"> </w:t>
      </w:r>
      <w:r>
        <w:rPr>
          <w:rFonts w:hint="eastAsia"/>
          <w:sz w:val="24"/>
          <w:szCs w:val="24"/>
          <w:highlight w:val="none"/>
          <w:u w:val="single"/>
          <w:lang w:eastAsia="zh-CN"/>
        </w:rPr>
        <w:t>2026 年07月28日</w:t>
      </w:r>
      <w:r>
        <w:rPr>
          <w:rFonts w:hint="eastAsia" w:cs="宋体"/>
          <w:sz w:val="24"/>
          <w:szCs w:val="24"/>
          <w:highlight w:val="none"/>
          <w:u w:val="single"/>
          <w:lang w:val="en-US" w:eastAsia="zh-CN"/>
        </w:rPr>
        <w:t>09</w:t>
      </w:r>
      <w:r>
        <w:rPr>
          <w:rFonts w:hint="eastAsia" w:ascii="宋体" w:hAnsi="宋体" w:eastAsia="宋体" w:cs="宋体"/>
          <w:sz w:val="24"/>
          <w:szCs w:val="24"/>
          <w:highlight w:val="none"/>
          <w:u w:val="single"/>
        </w:rPr>
        <w:t>点</w:t>
      </w:r>
      <w:r>
        <w:rPr>
          <w:rFonts w:hint="eastAsia" w:cs="宋体"/>
          <w:sz w:val="24"/>
          <w:szCs w:val="24"/>
          <w:highlight w:val="none"/>
          <w:u w:val="single"/>
          <w:lang w:val="en-US" w:eastAsia="zh-CN"/>
        </w:rPr>
        <w:t>30</w:t>
      </w:r>
      <w:r>
        <w:rPr>
          <w:rFonts w:hint="eastAsia" w:ascii="宋体" w:hAnsi="宋体" w:eastAsia="宋体" w:cs="宋体"/>
          <w:sz w:val="24"/>
          <w:szCs w:val="24"/>
          <w:highlight w:val="none"/>
          <w:u w:val="single"/>
        </w:rPr>
        <w:t>分</w:t>
      </w:r>
      <w:r>
        <w:rPr>
          <w:rFonts w:hint="eastAsia"/>
          <w:bCs/>
          <w:sz w:val="24"/>
          <w:szCs w:val="24"/>
          <w:highlight w:val="none"/>
          <w:u w:val="single"/>
        </w:rPr>
        <w:t>（</w:t>
      </w:r>
      <w:r>
        <w:rPr>
          <w:rFonts w:hint="eastAsia"/>
          <w:bCs/>
          <w:sz w:val="24"/>
          <w:szCs w:val="24"/>
          <w:highlight w:val="none"/>
        </w:rPr>
        <w:t>北京时间）前递交投标</w:t>
      </w:r>
      <w:r>
        <w:rPr>
          <w:bCs/>
          <w:sz w:val="24"/>
          <w:szCs w:val="24"/>
          <w:highlight w:val="none"/>
        </w:rPr>
        <w:t>文件</w:t>
      </w:r>
      <w:r>
        <w:rPr>
          <w:rFonts w:hint="eastAsia"/>
          <w:sz w:val="24"/>
          <w:szCs w:val="24"/>
          <w:highlight w:val="none"/>
        </w:rPr>
        <w:t>。</w:t>
      </w:r>
      <w:bookmarkStart w:id="6" w:name="_Toc35393621"/>
      <w:bookmarkStart w:id="7" w:name="_Toc28359079"/>
      <w:bookmarkStart w:id="8" w:name="_Hlk24379207"/>
      <w:bookmarkStart w:id="9" w:name="_Toc38985263"/>
      <w:bookmarkStart w:id="10" w:name="_Toc35393790"/>
      <w:bookmarkStart w:id="11" w:name="_Toc28359002"/>
    </w:p>
    <w:bookmarkEnd w:id="6"/>
    <w:bookmarkEnd w:id="7"/>
    <w:bookmarkEnd w:id="8"/>
    <w:bookmarkEnd w:id="9"/>
    <w:bookmarkEnd w:id="10"/>
    <w:bookmarkEnd w:id="11"/>
    <w:p w14:paraId="5366BE9A">
      <w:pPr>
        <w:pStyle w:val="15"/>
        <w:spacing w:before="145" w:after="145" w:line="360" w:lineRule="auto"/>
        <w:ind w:firstLine="161"/>
        <w:rPr>
          <w:highlight w:val="none"/>
        </w:rPr>
      </w:pPr>
      <w:r>
        <w:rPr>
          <w:rFonts w:hint="eastAsia"/>
          <w:highlight w:val="none"/>
        </w:rPr>
        <w:t>一、项目基本情况</w:t>
      </w:r>
    </w:p>
    <w:p w14:paraId="0403BE05">
      <w:pPr>
        <w:spacing w:line="440" w:lineRule="exact"/>
        <w:ind w:firstLine="119"/>
        <w:rPr>
          <w:rFonts w:hint="default" w:eastAsia="宋体"/>
          <w:sz w:val="24"/>
          <w:szCs w:val="24"/>
          <w:highlight w:val="none"/>
          <w:lang w:val="en-US" w:eastAsia="zh-CN"/>
        </w:rPr>
      </w:pPr>
      <w:r>
        <w:rPr>
          <w:rFonts w:hint="eastAsia"/>
          <w:sz w:val="24"/>
          <w:szCs w:val="24"/>
          <w:highlight w:val="none"/>
        </w:rPr>
        <w:t>1.项目编号：</w:t>
      </w:r>
      <w:r>
        <w:rPr>
          <w:rFonts w:hint="eastAsia"/>
          <w:sz w:val="24"/>
          <w:szCs w:val="24"/>
          <w:highlight w:val="none"/>
          <w:lang w:eastAsia="zh-CN"/>
        </w:rPr>
        <w:t>JSZC-321023-JNZX-G2026-0014</w:t>
      </w:r>
    </w:p>
    <w:p w14:paraId="5430BE55">
      <w:pPr>
        <w:spacing w:line="440" w:lineRule="exact"/>
        <w:ind w:firstLine="119"/>
        <w:rPr>
          <w:sz w:val="24"/>
          <w:szCs w:val="24"/>
          <w:highlight w:val="none"/>
        </w:rPr>
      </w:pPr>
      <w:r>
        <w:rPr>
          <w:rFonts w:hint="eastAsia"/>
          <w:sz w:val="24"/>
          <w:szCs w:val="24"/>
          <w:highlight w:val="none"/>
        </w:rPr>
        <w:t>2.项目名称：</w:t>
      </w:r>
      <w:r>
        <w:rPr>
          <w:rFonts w:hint="eastAsia"/>
          <w:sz w:val="24"/>
          <w:szCs w:val="24"/>
          <w:highlight w:val="none"/>
          <w:lang w:eastAsia="zh-CN"/>
        </w:rPr>
        <w:t>宝应县公安局交通管理大队执法专用停车场服务项目（二次）</w:t>
      </w:r>
    </w:p>
    <w:p w14:paraId="0C860592">
      <w:pPr>
        <w:spacing w:line="440" w:lineRule="exact"/>
        <w:ind w:firstLine="119"/>
        <w:rPr>
          <w:sz w:val="24"/>
          <w:szCs w:val="24"/>
          <w:highlight w:val="none"/>
        </w:rPr>
      </w:pPr>
      <w:r>
        <w:rPr>
          <w:rFonts w:hint="eastAsia"/>
          <w:sz w:val="24"/>
          <w:szCs w:val="24"/>
          <w:highlight w:val="none"/>
        </w:rPr>
        <w:t>3.预算金额：</w:t>
      </w:r>
      <w:r>
        <w:rPr>
          <w:rFonts w:hint="eastAsia"/>
          <w:sz w:val="24"/>
          <w:szCs w:val="24"/>
          <w:highlight w:val="none"/>
          <w:lang w:val="en-US" w:eastAsia="zh-CN"/>
        </w:rPr>
        <w:t>144万元</w:t>
      </w:r>
    </w:p>
    <w:p w14:paraId="7B7EDBF8">
      <w:pPr>
        <w:spacing w:line="440" w:lineRule="exact"/>
        <w:ind w:firstLine="119"/>
        <w:rPr>
          <w:sz w:val="24"/>
          <w:szCs w:val="24"/>
          <w:highlight w:val="none"/>
        </w:rPr>
      </w:pPr>
      <w:r>
        <w:rPr>
          <w:rFonts w:hint="eastAsia"/>
          <w:sz w:val="24"/>
          <w:szCs w:val="24"/>
          <w:highlight w:val="none"/>
        </w:rPr>
        <w:t>4.本项目设定最高限价</w:t>
      </w:r>
      <w:r>
        <w:rPr>
          <w:rFonts w:hint="eastAsia"/>
          <w:sz w:val="24"/>
          <w:szCs w:val="24"/>
          <w:highlight w:val="none"/>
          <w:lang w:eastAsia="zh-CN"/>
        </w:rPr>
        <w:t>：</w:t>
      </w:r>
      <w:r>
        <w:rPr>
          <w:rFonts w:hint="eastAsia"/>
          <w:sz w:val="24"/>
          <w:szCs w:val="24"/>
          <w:highlight w:val="none"/>
          <w:lang w:val="en-US" w:eastAsia="zh-CN"/>
        </w:rPr>
        <w:t>144万元</w:t>
      </w:r>
      <w:r>
        <w:rPr>
          <w:rFonts w:ascii="宋体" w:hAnsi="宋体" w:eastAsia="宋体" w:cs="宋体"/>
          <w:color w:val="FF0000"/>
          <w:sz w:val="24"/>
          <w:highlight w:val="none"/>
        </w:rPr>
        <w:t>（其中01包</w:t>
      </w:r>
      <w:r>
        <w:rPr>
          <w:rFonts w:hint="eastAsia" w:ascii="宋体" w:hAnsi="宋体" w:eastAsia="宋体" w:cs="宋体"/>
          <w:color w:val="FF0000"/>
          <w:sz w:val="24"/>
          <w:highlight w:val="none"/>
          <w:lang w:val="en-US" w:eastAsia="zh-CN"/>
        </w:rPr>
        <w:t>18</w:t>
      </w:r>
      <w:r>
        <w:rPr>
          <w:rFonts w:ascii="宋体" w:hAnsi="宋体" w:eastAsia="宋体" w:cs="宋体"/>
          <w:color w:val="FF0000"/>
          <w:sz w:val="24"/>
          <w:highlight w:val="none"/>
        </w:rPr>
        <w:t>万元</w:t>
      </w:r>
      <w:r>
        <w:rPr>
          <w:rFonts w:hint="eastAsia" w:ascii="宋体" w:hAnsi="宋体" w:eastAsia="宋体" w:cs="宋体"/>
          <w:color w:val="FF0000"/>
          <w:sz w:val="24"/>
          <w:highlight w:val="none"/>
        </w:rPr>
        <w:t>/年</w:t>
      </w:r>
      <w:r>
        <w:rPr>
          <w:rFonts w:ascii="宋体" w:hAnsi="宋体" w:eastAsia="宋体" w:cs="宋体"/>
          <w:color w:val="FF0000"/>
          <w:sz w:val="24"/>
          <w:highlight w:val="none"/>
        </w:rPr>
        <w:t>，0</w:t>
      </w:r>
      <w:r>
        <w:rPr>
          <w:rFonts w:hint="eastAsia" w:cs="宋体"/>
          <w:color w:val="FF0000"/>
          <w:sz w:val="24"/>
          <w:highlight w:val="none"/>
          <w:lang w:val="en-US" w:eastAsia="zh-CN"/>
        </w:rPr>
        <w:t>2</w:t>
      </w:r>
      <w:r>
        <w:rPr>
          <w:rFonts w:ascii="宋体" w:hAnsi="宋体" w:eastAsia="宋体" w:cs="宋体"/>
          <w:color w:val="FF0000"/>
          <w:sz w:val="24"/>
          <w:highlight w:val="none"/>
        </w:rPr>
        <w:t>包</w:t>
      </w:r>
      <w:r>
        <w:rPr>
          <w:rFonts w:hint="eastAsia" w:cs="宋体"/>
          <w:color w:val="FF0000"/>
          <w:sz w:val="24"/>
          <w:highlight w:val="none"/>
          <w:lang w:val="en-US" w:eastAsia="zh-CN"/>
        </w:rPr>
        <w:t>15</w:t>
      </w:r>
      <w:r>
        <w:rPr>
          <w:rFonts w:ascii="宋体" w:hAnsi="宋体" w:eastAsia="宋体" w:cs="宋体"/>
          <w:color w:val="FF0000"/>
          <w:sz w:val="24"/>
          <w:highlight w:val="none"/>
        </w:rPr>
        <w:t>万元</w:t>
      </w:r>
      <w:r>
        <w:rPr>
          <w:rFonts w:hint="eastAsia" w:ascii="宋体" w:hAnsi="宋体" w:eastAsia="宋体" w:cs="宋体"/>
          <w:color w:val="FF0000"/>
          <w:sz w:val="24"/>
          <w:highlight w:val="none"/>
        </w:rPr>
        <w:t>/年</w:t>
      </w:r>
      <w:r>
        <w:rPr>
          <w:rFonts w:hint="eastAsia" w:ascii="宋体" w:hAnsi="宋体" w:eastAsia="宋体" w:cs="宋体"/>
          <w:color w:val="FF0000"/>
          <w:sz w:val="24"/>
          <w:highlight w:val="none"/>
          <w:lang w:eastAsia="zh-CN"/>
        </w:rPr>
        <w:t>，</w:t>
      </w:r>
      <w:r>
        <w:rPr>
          <w:rFonts w:ascii="宋体" w:hAnsi="宋体" w:eastAsia="宋体" w:cs="宋体"/>
          <w:color w:val="FF0000"/>
          <w:sz w:val="24"/>
          <w:highlight w:val="none"/>
        </w:rPr>
        <w:t>0</w:t>
      </w:r>
      <w:r>
        <w:rPr>
          <w:rFonts w:hint="eastAsia" w:cs="宋体"/>
          <w:color w:val="FF0000"/>
          <w:sz w:val="24"/>
          <w:highlight w:val="none"/>
          <w:lang w:val="en-US" w:eastAsia="zh-CN"/>
        </w:rPr>
        <w:t>3</w:t>
      </w:r>
      <w:r>
        <w:rPr>
          <w:rFonts w:ascii="宋体" w:hAnsi="宋体" w:eastAsia="宋体" w:cs="宋体"/>
          <w:color w:val="FF0000"/>
          <w:sz w:val="24"/>
          <w:highlight w:val="none"/>
        </w:rPr>
        <w:t>包</w:t>
      </w:r>
      <w:r>
        <w:rPr>
          <w:rFonts w:hint="eastAsia" w:cs="宋体"/>
          <w:color w:val="FF0000"/>
          <w:sz w:val="24"/>
          <w:highlight w:val="none"/>
          <w:lang w:val="en-US" w:eastAsia="zh-CN"/>
        </w:rPr>
        <w:t>15</w:t>
      </w:r>
      <w:r>
        <w:rPr>
          <w:rFonts w:ascii="宋体" w:hAnsi="宋体" w:eastAsia="宋体" w:cs="宋体"/>
          <w:color w:val="FF0000"/>
          <w:sz w:val="24"/>
          <w:highlight w:val="none"/>
        </w:rPr>
        <w:t>万元</w:t>
      </w:r>
      <w:r>
        <w:rPr>
          <w:rFonts w:hint="eastAsia" w:ascii="宋体" w:hAnsi="宋体" w:eastAsia="宋体" w:cs="宋体"/>
          <w:color w:val="FF0000"/>
          <w:sz w:val="24"/>
          <w:highlight w:val="none"/>
        </w:rPr>
        <w:t>/年</w:t>
      </w:r>
      <w:r>
        <w:rPr>
          <w:rFonts w:ascii="宋体" w:hAnsi="宋体" w:eastAsia="宋体" w:cs="宋体"/>
          <w:color w:val="FF0000"/>
          <w:sz w:val="24"/>
          <w:highlight w:val="none"/>
        </w:rPr>
        <w:t>）</w:t>
      </w:r>
    </w:p>
    <w:p w14:paraId="140FA59A">
      <w:pPr>
        <w:spacing w:line="440" w:lineRule="exact"/>
        <w:ind w:firstLine="119"/>
        <w:rPr>
          <w:rFonts w:hint="eastAsia"/>
          <w:sz w:val="24"/>
          <w:szCs w:val="24"/>
          <w:highlight w:val="none"/>
        </w:rPr>
      </w:pPr>
      <w:r>
        <w:rPr>
          <w:rFonts w:hint="eastAsia"/>
          <w:sz w:val="24"/>
          <w:szCs w:val="24"/>
          <w:highlight w:val="none"/>
        </w:rPr>
        <w:t>5.采购需求：</w:t>
      </w:r>
      <w:bookmarkStart w:id="12" w:name="OLE_LINK7"/>
      <w:bookmarkStart w:id="13" w:name="OLE_LINK8"/>
    </w:p>
    <w:p w14:paraId="582C965E">
      <w:pPr>
        <w:spacing w:line="440" w:lineRule="exact"/>
        <w:ind w:firstLine="119"/>
        <w:rPr>
          <w:rFonts w:hint="default"/>
          <w:sz w:val="24"/>
          <w:szCs w:val="24"/>
          <w:highlight w:val="none"/>
          <w:lang w:val="en-US"/>
        </w:rPr>
      </w:pPr>
      <w:r>
        <w:rPr>
          <w:rFonts w:hint="eastAsia"/>
          <w:sz w:val="24"/>
          <w:szCs w:val="24"/>
          <w:highlight w:val="none"/>
          <w:lang w:eastAsia="zh-CN"/>
        </w:rPr>
        <w:t>（</w:t>
      </w:r>
      <w:r>
        <w:rPr>
          <w:rFonts w:hint="eastAsia"/>
          <w:sz w:val="24"/>
          <w:szCs w:val="24"/>
          <w:highlight w:val="none"/>
        </w:rPr>
        <w:t>1）</w:t>
      </w:r>
      <w:r>
        <w:rPr>
          <w:rFonts w:hint="eastAsia"/>
          <w:sz w:val="24"/>
          <w:szCs w:val="24"/>
          <w:highlight w:val="none"/>
          <w:lang w:val="en-US" w:eastAsia="zh-CN"/>
        </w:rPr>
        <w:t>本项目根据《中华人民共和国行政强制法》第二十六条“因查封、扣押发生的保管费用由政府机关承担”的规定，为了适应当前执法工作的需要，规范执法行为，拟在我县三个区域范围各购买一个执法专用停车场服务。本项目兼投不兼中，即一个投标单位只能中一个标的。</w:t>
      </w:r>
    </w:p>
    <w:p w14:paraId="3720E5C6">
      <w:pPr>
        <w:spacing w:line="440" w:lineRule="exact"/>
        <w:ind w:firstLine="119"/>
        <w:rPr>
          <w:rFonts w:hint="eastAsia"/>
          <w:sz w:val="24"/>
          <w:szCs w:val="24"/>
          <w:highlight w:val="none"/>
        </w:rPr>
      </w:pPr>
      <w:r>
        <w:rPr>
          <w:rFonts w:hint="eastAsia"/>
          <w:sz w:val="24"/>
          <w:szCs w:val="24"/>
          <w:highlight w:val="none"/>
          <w:lang w:eastAsia="zh-CN"/>
        </w:rPr>
        <w:t>（</w:t>
      </w:r>
      <w:r>
        <w:rPr>
          <w:rFonts w:hint="eastAsia"/>
          <w:sz w:val="24"/>
          <w:szCs w:val="24"/>
          <w:highlight w:val="none"/>
        </w:rPr>
        <w:t>2）招标区域划分及参标执法停车场地点设立要求：</w:t>
      </w:r>
    </w:p>
    <w:p w14:paraId="7F85EB35">
      <w:pPr>
        <w:spacing w:line="440" w:lineRule="exact"/>
        <w:ind w:firstLine="119"/>
        <w:rPr>
          <w:rFonts w:hint="eastAsia"/>
          <w:sz w:val="24"/>
          <w:szCs w:val="24"/>
          <w:highlight w:val="none"/>
        </w:rPr>
      </w:pPr>
      <w:r>
        <w:rPr>
          <w:rFonts w:hint="eastAsia"/>
          <w:sz w:val="24"/>
          <w:szCs w:val="24"/>
          <w:highlight w:val="none"/>
        </w:rPr>
        <w:sym w:font="Wingdings" w:char="F081"/>
      </w:r>
      <w:r>
        <w:rPr>
          <w:rFonts w:hint="eastAsia"/>
          <w:sz w:val="24"/>
          <w:szCs w:val="24"/>
          <w:highlight w:val="none"/>
        </w:rPr>
        <w:t>招标区域划分</w:t>
      </w:r>
    </w:p>
    <w:p w14:paraId="423DD6BB">
      <w:pPr>
        <w:spacing w:line="440" w:lineRule="exact"/>
        <w:ind w:firstLine="119"/>
        <w:rPr>
          <w:rFonts w:hint="eastAsia"/>
          <w:sz w:val="24"/>
          <w:szCs w:val="24"/>
          <w:highlight w:val="none"/>
        </w:rPr>
      </w:pPr>
      <w:r>
        <w:rPr>
          <w:rFonts w:hint="eastAsia"/>
          <w:sz w:val="24"/>
          <w:szCs w:val="24"/>
          <w:highlight w:val="none"/>
          <w:lang w:val="en-US" w:eastAsia="zh-CN"/>
        </w:rPr>
        <w:t>01包-</w:t>
      </w:r>
      <w:r>
        <w:rPr>
          <w:rFonts w:hint="eastAsia"/>
          <w:sz w:val="24"/>
          <w:szCs w:val="24"/>
          <w:highlight w:val="none"/>
        </w:rPr>
        <w:t>宝应北片：安宜镇叶挺路（含）及其延长线以北（不含原中港乡）、山阳镇、原黄塍镇、泾河镇、曹甸镇、西安丰镇区域。</w:t>
      </w:r>
    </w:p>
    <w:p w14:paraId="4820B3B3">
      <w:pPr>
        <w:spacing w:line="440" w:lineRule="exact"/>
        <w:ind w:firstLine="119"/>
        <w:rPr>
          <w:rFonts w:hint="eastAsia"/>
          <w:sz w:val="24"/>
          <w:szCs w:val="24"/>
          <w:highlight w:val="none"/>
        </w:rPr>
      </w:pPr>
      <w:r>
        <w:rPr>
          <w:rFonts w:hint="eastAsia"/>
          <w:sz w:val="24"/>
          <w:szCs w:val="24"/>
          <w:highlight w:val="none"/>
          <w:lang w:val="en-US" w:eastAsia="zh-CN"/>
        </w:rPr>
        <w:t>02包-</w:t>
      </w:r>
      <w:r>
        <w:rPr>
          <w:rFonts w:hint="eastAsia"/>
          <w:sz w:val="24"/>
          <w:szCs w:val="24"/>
          <w:highlight w:val="none"/>
        </w:rPr>
        <w:t>宝应南片：氾水镇、柳堡镇、夏集镇区域。</w:t>
      </w:r>
    </w:p>
    <w:p w14:paraId="5CDB9A82">
      <w:pPr>
        <w:spacing w:line="440" w:lineRule="exact"/>
        <w:ind w:firstLine="119"/>
        <w:rPr>
          <w:rFonts w:hint="eastAsia"/>
          <w:strike w:val="0"/>
          <w:dstrike w:val="0"/>
          <w:sz w:val="24"/>
          <w:szCs w:val="24"/>
          <w:highlight w:val="none"/>
        </w:rPr>
      </w:pPr>
      <w:r>
        <w:rPr>
          <w:rFonts w:hint="eastAsia"/>
          <w:strike w:val="0"/>
          <w:dstrike w:val="0"/>
          <w:sz w:val="24"/>
          <w:szCs w:val="24"/>
          <w:highlight w:val="none"/>
          <w:lang w:val="en-US" w:eastAsia="zh-CN"/>
        </w:rPr>
        <w:t>03包-</w:t>
      </w:r>
      <w:r>
        <w:rPr>
          <w:rFonts w:hint="eastAsia"/>
          <w:strike w:val="0"/>
          <w:dstrike w:val="0"/>
          <w:sz w:val="24"/>
          <w:szCs w:val="24"/>
          <w:highlight w:val="none"/>
        </w:rPr>
        <w:t>宝应东片：县经济技术开发区（除原黄塍镇）、望直港镇、射阳湖镇区域。</w:t>
      </w:r>
    </w:p>
    <w:p w14:paraId="39840CBF">
      <w:pPr>
        <w:spacing w:line="440" w:lineRule="exact"/>
        <w:ind w:firstLine="119"/>
        <w:rPr>
          <w:rFonts w:hint="eastAsia"/>
          <w:strike w:val="0"/>
          <w:dstrike w:val="0"/>
          <w:sz w:val="24"/>
          <w:szCs w:val="24"/>
          <w:highlight w:val="none"/>
        </w:rPr>
      </w:pPr>
      <w:r>
        <w:rPr>
          <w:rFonts w:hint="eastAsia"/>
          <w:strike w:val="0"/>
          <w:dstrike w:val="0"/>
          <w:sz w:val="24"/>
          <w:szCs w:val="24"/>
          <w:highlight w:val="none"/>
        </w:rPr>
        <w:t>②参标执法停车场设立地点要求</w:t>
      </w:r>
    </w:p>
    <w:p w14:paraId="5FE84010">
      <w:pPr>
        <w:spacing w:line="440" w:lineRule="exact"/>
        <w:ind w:firstLine="119"/>
        <w:rPr>
          <w:rFonts w:hint="default" w:eastAsia="宋体"/>
          <w:strike w:val="0"/>
          <w:dstrike w:val="0"/>
          <w:color w:val="FF0000"/>
          <w:sz w:val="24"/>
          <w:szCs w:val="24"/>
          <w:highlight w:val="none"/>
          <w:lang w:val="en-US" w:eastAsia="zh-CN"/>
        </w:rPr>
      </w:pPr>
      <w:r>
        <w:rPr>
          <w:rFonts w:hint="eastAsia"/>
          <w:strike w:val="0"/>
          <w:dstrike w:val="0"/>
          <w:color w:val="auto"/>
          <w:sz w:val="24"/>
          <w:szCs w:val="24"/>
          <w:highlight w:val="none"/>
          <w:lang w:val="en-US" w:eastAsia="zh-CN"/>
        </w:rPr>
        <w:t>停车场设立地点本着就近方便原则，具体位置参考项目需求中各片区位置基准点。</w:t>
      </w:r>
    </w:p>
    <w:bookmarkEnd w:id="12"/>
    <w:bookmarkEnd w:id="13"/>
    <w:p w14:paraId="67428008">
      <w:pPr>
        <w:spacing w:line="440" w:lineRule="exact"/>
        <w:ind w:firstLine="119"/>
        <w:rPr>
          <w:rFonts w:hint="default"/>
          <w:sz w:val="24"/>
          <w:szCs w:val="24"/>
          <w:highlight w:val="none"/>
          <w:lang w:val="en-US"/>
        </w:rPr>
      </w:pPr>
      <w:r>
        <w:rPr>
          <w:rFonts w:hint="eastAsia"/>
          <w:sz w:val="24"/>
          <w:szCs w:val="24"/>
          <w:highlight w:val="none"/>
        </w:rPr>
        <w:t>6.合同履行期限：</w:t>
      </w:r>
      <w:r>
        <w:rPr>
          <w:rFonts w:hint="eastAsia" w:cs="宋体"/>
          <w:sz w:val="24"/>
          <w:szCs w:val="24"/>
          <w:highlight w:val="none"/>
          <w:lang w:val="en-US" w:eastAsia="zh-CN"/>
        </w:rPr>
        <w:t>三年</w:t>
      </w:r>
    </w:p>
    <w:p w14:paraId="3DCDE910">
      <w:pPr>
        <w:pStyle w:val="15"/>
        <w:spacing w:before="145" w:after="145" w:line="360" w:lineRule="auto"/>
        <w:ind w:firstLine="161"/>
        <w:rPr>
          <w:highlight w:val="none"/>
        </w:rPr>
      </w:pPr>
      <w:bookmarkStart w:id="14" w:name="_Toc38985264"/>
      <w:bookmarkStart w:id="15" w:name="_Toc28359003"/>
      <w:bookmarkStart w:id="16" w:name="_Toc35393622"/>
      <w:bookmarkStart w:id="17" w:name="_Toc35393791"/>
      <w:bookmarkStart w:id="18" w:name="_Toc28359080"/>
      <w:r>
        <w:rPr>
          <w:rFonts w:hint="eastAsia"/>
          <w:highlight w:val="none"/>
        </w:rPr>
        <w:t>二、申请人的资格要求：</w:t>
      </w:r>
      <w:bookmarkEnd w:id="14"/>
      <w:bookmarkEnd w:id="15"/>
      <w:bookmarkEnd w:id="16"/>
      <w:bookmarkEnd w:id="17"/>
      <w:bookmarkEnd w:id="18"/>
    </w:p>
    <w:p w14:paraId="60058A7D">
      <w:pPr>
        <w:ind w:firstLine="120"/>
        <w:rPr>
          <w:sz w:val="24"/>
          <w:szCs w:val="24"/>
          <w:highlight w:val="none"/>
        </w:rPr>
      </w:pPr>
      <w:bookmarkStart w:id="19" w:name="_Toc35393792"/>
      <w:bookmarkStart w:id="20" w:name="_Toc38985265"/>
      <w:bookmarkStart w:id="21" w:name="_Toc28359004"/>
      <w:bookmarkStart w:id="22" w:name="_Toc35393623"/>
      <w:bookmarkStart w:id="23" w:name="_Toc28359081"/>
      <w:r>
        <w:rPr>
          <w:rFonts w:hint="eastAsia"/>
          <w:sz w:val="24"/>
          <w:szCs w:val="24"/>
          <w:highlight w:val="none"/>
        </w:rPr>
        <w:t>（一</w:t>
      </w:r>
      <w:r>
        <w:rPr>
          <w:sz w:val="24"/>
          <w:szCs w:val="24"/>
          <w:highlight w:val="none"/>
        </w:rPr>
        <w:t>）</w:t>
      </w:r>
      <w:r>
        <w:rPr>
          <w:rFonts w:hint="eastAsia"/>
          <w:sz w:val="24"/>
          <w:szCs w:val="24"/>
          <w:highlight w:val="none"/>
        </w:rPr>
        <w:t>通用</w:t>
      </w:r>
      <w:r>
        <w:rPr>
          <w:sz w:val="24"/>
          <w:szCs w:val="24"/>
          <w:highlight w:val="none"/>
        </w:rPr>
        <w:t>资格要求</w:t>
      </w:r>
    </w:p>
    <w:p w14:paraId="6A2E061D">
      <w:pPr>
        <w:spacing w:line="440" w:lineRule="exact"/>
        <w:ind w:firstLine="120"/>
        <w:rPr>
          <w:sz w:val="24"/>
          <w:szCs w:val="24"/>
          <w:highlight w:val="none"/>
        </w:rPr>
      </w:pPr>
      <w:r>
        <w:rPr>
          <w:rFonts w:hint="eastAsia"/>
          <w:sz w:val="24"/>
          <w:szCs w:val="24"/>
          <w:highlight w:val="none"/>
        </w:rPr>
        <w:t>1.满足《中华人民共和国政府采购法》第二十二条规定，并提供下列材料：</w:t>
      </w:r>
    </w:p>
    <w:p w14:paraId="3C600C0F">
      <w:pPr>
        <w:spacing w:line="440" w:lineRule="exact"/>
        <w:ind w:firstLine="12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1.1 法人或者其他组织的营业执照等证明文件，自然人的身份证明；</w:t>
      </w:r>
    </w:p>
    <w:p w14:paraId="15097A05">
      <w:pPr>
        <w:spacing w:line="440" w:lineRule="exact"/>
        <w:ind w:firstLine="12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1.2上一年度</w:t>
      </w:r>
      <w:r>
        <w:rPr>
          <w:rFonts w:hint="eastAsia" w:ascii="宋体" w:hAnsi="宋体" w:eastAsia="宋体" w:cs="宋体"/>
          <w:i/>
          <w:iCs/>
          <w:color w:val="auto"/>
          <w:sz w:val="24"/>
          <w:szCs w:val="24"/>
          <w:highlight w:val="none"/>
          <w:u w:val="single"/>
          <w:lang w:val="en-US" w:eastAsia="zh-CN"/>
        </w:rPr>
        <w:t>或2024年度</w:t>
      </w:r>
      <w:r>
        <w:rPr>
          <w:rFonts w:hint="eastAsia" w:ascii="宋体" w:hAnsi="宋体" w:eastAsia="宋体" w:cs="宋体"/>
          <w:i/>
          <w:iCs/>
          <w:color w:val="auto"/>
          <w:sz w:val="24"/>
          <w:szCs w:val="24"/>
          <w:highlight w:val="none"/>
          <w:u w:val="single"/>
        </w:rPr>
        <w:t>的财务状况报告（成立不满一年无需提供）；</w:t>
      </w:r>
    </w:p>
    <w:p w14:paraId="5DF69DD5">
      <w:pPr>
        <w:spacing w:line="440" w:lineRule="exact"/>
        <w:ind w:firstLine="12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053AFF7F">
      <w:pPr>
        <w:spacing w:line="440" w:lineRule="exact"/>
        <w:ind w:firstLine="12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1.4具备履行合同所必需的设备和专业技术能力的书面声明；</w:t>
      </w:r>
    </w:p>
    <w:p w14:paraId="4F29F014">
      <w:pPr>
        <w:spacing w:line="440" w:lineRule="exact"/>
        <w:ind w:firstLine="12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1.5参加政府采购活动前3年内在经营活动中没有重大违法记录的书面声明；</w:t>
      </w:r>
    </w:p>
    <w:p w14:paraId="4784422C">
      <w:pPr>
        <w:spacing w:line="440" w:lineRule="exact"/>
        <w:ind w:firstLine="12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1.6供应商信用承诺函；</w:t>
      </w:r>
    </w:p>
    <w:p w14:paraId="205179FD">
      <w:pPr>
        <w:spacing w:line="440" w:lineRule="exact"/>
        <w:ind w:firstLine="120"/>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p>
    <w:p w14:paraId="3B500EFD">
      <w:pPr>
        <w:spacing w:line="440" w:lineRule="exact"/>
        <w:ind w:firstLine="120"/>
        <w:rPr>
          <w:color w:val="000000"/>
          <w:sz w:val="24"/>
          <w:szCs w:val="24"/>
          <w:highlight w:val="none"/>
        </w:rPr>
      </w:pPr>
      <w:r>
        <w:rPr>
          <w:rFonts w:hint="eastAsia"/>
          <w:color w:val="000000"/>
          <w:sz w:val="24"/>
          <w:szCs w:val="24"/>
          <w:highlight w:val="none"/>
        </w:rPr>
        <w:t>3.落实政府采购政策需满足的资格要求：</w:t>
      </w:r>
    </w:p>
    <w:p w14:paraId="159DB32A">
      <w:pPr>
        <w:pStyle w:val="13"/>
        <w:spacing w:line="440" w:lineRule="exact"/>
        <w:rPr>
          <w:sz w:val="24"/>
          <w:szCs w:val="24"/>
          <w:highlight w:val="none"/>
        </w:rPr>
      </w:pPr>
      <w:r>
        <w:rPr>
          <w:rFonts w:hint="eastAsia"/>
          <w:highlight w:val="none"/>
        </w:rPr>
        <w:t xml:space="preserve">    </w:t>
      </w:r>
      <w:r>
        <w:rPr>
          <w:rFonts w:hint="eastAsia" w:hAnsi="宋体"/>
          <w:i/>
          <w:iCs/>
          <w:color w:val="auto"/>
          <w:sz w:val="24"/>
          <w:szCs w:val="24"/>
          <w:highlight w:val="none"/>
          <w:u w:val="single"/>
          <w:lang w:val="en-US" w:eastAsia="zh-CN"/>
        </w:rPr>
        <w:t>根据《政府采购促进中小企业发展管理办法》的规定，本项目专门面向中小企业采购，投标人投标时须提供《中小企业声明函》，《中小企业声明函》不符合要求或未提供的，投标文件无效。本项目招标文件载明的中小企业声明函所属行业为</w:t>
      </w:r>
      <w:r>
        <w:rPr>
          <w:rFonts w:hint="eastAsia" w:hAnsi="宋体"/>
          <w:b/>
          <w:bCs/>
          <w:i/>
          <w:iCs/>
          <w:color w:val="auto"/>
          <w:sz w:val="24"/>
          <w:szCs w:val="24"/>
          <w:highlight w:val="none"/>
          <w:u w:val="single"/>
          <w:lang w:val="en-US" w:eastAsia="zh-CN"/>
        </w:rPr>
        <w:t>其他未列明行业</w:t>
      </w:r>
      <w:r>
        <w:rPr>
          <w:rFonts w:hint="eastAsia" w:hAnsi="宋体"/>
          <w:i/>
          <w:iCs/>
          <w:color w:val="auto"/>
          <w:sz w:val="24"/>
          <w:szCs w:val="24"/>
          <w:highlight w:val="none"/>
          <w:u w:val="single"/>
          <w:lang w:val="en-US" w:eastAsia="zh-CN"/>
        </w:rPr>
        <w:t>（不得修改），投标供应商不得对招标文件载明的行业类别进行修改，如不满足，则为无效投标。</w:t>
      </w:r>
    </w:p>
    <w:p w14:paraId="50A872F5">
      <w:pPr>
        <w:spacing w:line="440" w:lineRule="exact"/>
        <w:ind w:firstLine="120"/>
        <w:rPr>
          <w:color w:val="000000"/>
          <w:sz w:val="24"/>
          <w:szCs w:val="24"/>
          <w:highlight w:val="none"/>
        </w:rPr>
      </w:pPr>
      <w:r>
        <w:rPr>
          <w:rFonts w:hint="eastAsia"/>
          <w:color w:val="000000"/>
          <w:sz w:val="24"/>
          <w:szCs w:val="24"/>
          <w:highlight w:val="none"/>
        </w:rPr>
        <w:t>4.本项目不接受联合体投标。</w:t>
      </w:r>
    </w:p>
    <w:p w14:paraId="22CE589F">
      <w:pPr>
        <w:spacing w:line="440" w:lineRule="exact"/>
        <w:ind w:firstLine="120"/>
        <w:rPr>
          <w:color w:val="000000"/>
          <w:sz w:val="24"/>
          <w:szCs w:val="24"/>
          <w:highlight w:val="none"/>
        </w:rPr>
      </w:pPr>
      <w:r>
        <w:rPr>
          <w:rFonts w:hint="eastAsia"/>
          <w:color w:val="000000"/>
          <w:sz w:val="24"/>
          <w:szCs w:val="24"/>
          <w:highlight w:val="none"/>
        </w:rPr>
        <w:t>5.本项目不接受进口产品投标。</w:t>
      </w:r>
    </w:p>
    <w:p w14:paraId="4445D78E">
      <w:pPr>
        <w:rPr>
          <w:rFonts w:hint="eastAsia" w:ascii="宋体" w:hAnsi="宋体" w:eastAsia="宋体" w:cs="宋体"/>
          <w:sz w:val="24"/>
          <w:szCs w:val="24"/>
          <w:highlight w:val="none"/>
        </w:rPr>
      </w:pPr>
    </w:p>
    <w:p w14:paraId="60BE6C17">
      <w:pPr>
        <w:ind w:firstLine="120"/>
        <w:rPr>
          <w:rFonts w:hint="eastAsia" w:ascii="宋体" w:hAnsi="宋体" w:eastAsia="宋体" w:cs="宋体"/>
          <w:i/>
          <w:iCs/>
          <w:color w:val="auto"/>
          <w:sz w:val="24"/>
          <w:szCs w:val="24"/>
          <w:highlight w:val="none"/>
          <w:u w:val="single"/>
          <w:lang w:val="en-US" w:eastAsia="zh-CN" w:bidi="ar-SA"/>
        </w:rPr>
      </w:pPr>
      <w:r>
        <w:rPr>
          <w:rFonts w:hint="eastAsia"/>
          <w:sz w:val="24"/>
          <w:szCs w:val="24"/>
          <w:highlight w:val="none"/>
        </w:rPr>
        <w:t>（</w:t>
      </w:r>
      <w:r>
        <w:rPr>
          <w:rFonts w:hint="eastAsia"/>
          <w:sz w:val="24"/>
          <w:szCs w:val="24"/>
          <w:highlight w:val="none"/>
          <w:lang w:val="en-US" w:eastAsia="zh-CN"/>
        </w:rPr>
        <w:t>二</w:t>
      </w:r>
      <w:r>
        <w:rPr>
          <w:sz w:val="24"/>
          <w:szCs w:val="24"/>
          <w:highlight w:val="none"/>
        </w:rPr>
        <w:t>）</w:t>
      </w:r>
      <w:r>
        <w:rPr>
          <w:rFonts w:hint="eastAsia" w:ascii="宋体" w:hAnsi="宋体" w:eastAsia="宋体" w:cs="宋体"/>
          <w:sz w:val="24"/>
          <w:szCs w:val="24"/>
          <w:highlight w:val="none"/>
        </w:rPr>
        <w:t>本项目的特定</w:t>
      </w:r>
      <w:r>
        <w:rPr>
          <w:rFonts w:hint="eastAsia"/>
          <w:sz w:val="24"/>
          <w:szCs w:val="24"/>
          <w:highlight w:val="none"/>
        </w:rPr>
        <w:t>资格要求</w:t>
      </w:r>
      <w:r>
        <w:rPr>
          <w:rFonts w:hint="eastAsia"/>
          <w:sz w:val="24"/>
          <w:szCs w:val="24"/>
          <w:highlight w:val="none"/>
          <w:lang w:eastAsia="zh-CN"/>
        </w:rPr>
        <w:t>：</w:t>
      </w:r>
      <w:r>
        <w:rPr>
          <w:rFonts w:hint="eastAsia" w:ascii="宋体" w:hAnsi="宋体" w:eastAsia="宋体" w:cs="宋体"/>
          <w:i/>
          <w:iCs/>
          <w:color w:val="auto"/>
          <w:sz w:val="24"/>
          <w:szCs w:val="24"/>
          <w:highlight w:val="none"/>
          <w:u w:val="single"/>
          <w:lang w:val="en-US" w:eastAsia="zh-CN" w:bidi="ar-SA"/>
        </w:rPr>
        <w:t>无</w:t>
      </w:r>
    </w:p>
    <w:p w14:paraId="293ED9E2">
      <w:pPr>
        <w:pStyle w:val="13"/>
        <w:rPr>
          <w:highlight w:val="none"/>
        </w:rPr>
      </w:pPr>
      <w:r>
        <w:rPr>
          <w:rFonts w:hint="eastAsia"/>
          <w:highlight w:val="none"/>
        </w:rPr>
        <w:t xml:space="preserve">    </w:t>
      </w:r>
    </w:p>
    <w:p w14:paraId="531452B6">
      <w:pPr>
        <w:pStyle w:val="15"/>
        <w:spacing w:before="145" w:after="145" w:line="360" w:lineRule="auto"/>
        <w:ind w:firstLine="161"/>
        <w:rPr>
          <w:highlight w:val="none"/>
        </w:rPr>
      </w:pPr>
      <w:r>
        <w:rPr>
          <w:rFonts w:hint="eastAsia"/>
          <w:highlight w:val="none"/>
        </w:rPr>
        <w:t>三、获取招标文件</w:t>
      </w:r>
      <w:bookmarkEnd w:id="19"/>
      <w:bookmarkEnd w:id="20"/>
      <w:bookmarkEnd w:id="21"/>
      <w:bookmarkEnd w:id="22"/>
      <w:bookmarkEnd w:id="23"/>
    </w:p>
    <w:p w14:paraId="6787FC48">
      <w:pPr>
        <w:spacing w:line="360" w:lineRule="auto"/>
        <w:ind w:firstLine="120"/>
        <w:rPr>
          <w:sz w:val="24"/>
          <w:szCs w:val="24"/>
          <w:highlight w:val="none"/>
        </w:rPr>
      </w:pPr>
      <w:bookmarkStart w:id="24" w:name="_Toc28359005"/>
      <w:bookmarkStart w:id="25" w:name="_Toc28359082"/>
      <w:bookmarkStart w:id="26" w:name="_Toc35393793"/>
      <w:bookmarkStart w:id="27" w:name="_Toc35393624"/>
      <w:bookmarkStart w:id="28" w:name="_Toc38985266"/>
      <w:r>
        <w:rPr>
          <w:rFonts w:hint="eastAsia"/>
          <w:sz w:val="24"/>
          <w:szCs w:val="24"/>
          <w:highlight w:val="none"/>
        </w:rPr>
        <w:t>1.时间：自</w:t>
      </w:r>
      <w:r>
        <w:rPr>
          <w:rFonts w:hint="eastAsia"/>
          <w:sz w:val="24"/>
          <w:szCs w:val="24"/>
          <w:highlight w:val="none"/>
          <w:lang w:val="en-US" w:eastAsia="zh-CN"/>
        </w:rPr>
        <w:t>招标</w:t>
      </w:r>
      <w:r>
        <w:rPr>
          <w:rFonts w:hint="eastAsia"/>
          <w:sz w:val="24"/>
          <w:szCs w:val="24"/>
          <w:highlight w:val="none"/>
        </w:rPr>
        <w:t>文件公告发布之日起至提交响应文件截止之日止。</w:t>
      </w:r>
    </w:p>
    <w:p w14:paraId="6C416E39">
      <w:pPr>
        <w:spacing w:line="360" w:lineRule="auto"/>
        <w:ind w:firstLine="120"/>
        <w:rPr>
          <w:sz w:val="24"/>
          <w:szCs w:val="24"/>
          <w:highlight w:val="none"/>
          <w:u w:val="single"/>
        </w:rPr>
      </w:pPr>
      <w:r>
        <w:rPr>
          <w:rFonts w:hint="eastAsia"/>
          <w:sz w:val="24"/>
          <w:szCs w:val="24"/>
          <w:highlight w:val="none"/>
        </w:rPr>
        <w:t>2.方式：在“江苏政府采购网、扬州市政府采购网”自行免费下载招标文件。</w:t>
      </w:r>
    </w:p>
    <w:p w14:paraId="4055BD41">
      <w:pPr>
        <w:pStyle w:val="15"/>
        <w:spacing w:before="145" w:after="145" w:line="360" w:lineRule="auto"/>
        <w:ind w:firstLine="161"/>
        <w:rPr>
          <w:highlight w:val="none"/>
        </w:rPr>
      </w:pPr>
      <w:r>
        <w:rPr>
          <w:rFonts w:hint="eastAsia"/>
          <w:highlight w:val="none"/>
        </w:rPr>
        <w:t>四、提交投标文件</w:t>
      </w:r>
      <w:bookmarkEnd w:id="24"/>
      <w:bookmarkEnd w:id="25"/>
      <w:r>
        <w:rPr>
          <w:rFonts w:hint="eastAsia"/>
          <w:highlight w:val="none"/>
        </w:rPr>
        <w:t>截止时间、开标时间和地点</w:t>
      </w:r>
      <w:bookmarkEnd w:id="26"/>
      <w:bookmarkEnd w:id="27"/>
      <w:bookmarkEnd w:id="28"/>
    </w:p>
    <w:p w14:paraId="14108CCB">
      <w:pPr>
        <w:spacing w:line="360" w:lineRule="auto"/>
        <w:ind w:firstLine="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w:t>
      </w:r>
      <w:r>
        <w:rPr>
          <w:rFonts w:hint="eastAsia" w:cs="宋体"/>
          <w:color w:val="000000" w:themeColor="text1"/>
          <w:sz w:val="24"/>
          <w:szCs w:val="24"/>
          <w:highlight w:val="none"/>
          <w:u w:val="single"/>
          <w:lang w:eastAsia="zh-CN"/>
          <w14:textFill>
            <w14:solidFill>
              <w14:schemeClr w14:val="tx1"/>
            </w14:solidFill>
          </w14:textFill>
        </w:rPr>
        <w:t>2026 年07月28日</w:t>
      </w:r>
      <w:r>
        <w:rPr>
          <w:rFonts w:hint="eastAsia" w:cs="宋体"/>
          <w:color w:val="000000" w:themeColor="text1"/>
          <w:sz w:val="24"/>
          <w:szCs w:val="24"/>
          <w:highlight w:val="none"/>
          <w:u w:val="single"/>
          <w:lang w:val="en-US" w:eastAsia="zh-CN"/>
          <w14:textFill>
            <w14:solidFill>
              <w14:schemeClr w14:val="tx1"/>
            </w14:solidFill>
          </w14:textFill>
        </w:rPr>
        <w:t>09</w:t>
      </w:r>
      <w:r>
        <w:rPr>
          <w:rFonts w:hint="eastAsia" w:ascii="宋体" w:hAnsi="宋体" w:eastAsia="宋体" w:cs="宋体"/>
          <w:color w:val="000000" w:themeColor="text1"/>
          <w:sz w:val="24"/>
          <w:szCs w:val="24"/>
          <w:highlight w:val="none"/>
          <w:u w:val="single"/>
          <w14:textFill>
            <w14:solidFill>
              <w14:schemeClr w14:val="tx1"/>
            </w14:solidFill>
          </w14:textFill>
        </w:rPr>
        <w:t>点</w:t>
      </w:r>
      <w:r>
        <w:rPr>
          <w:rFonts w:hint="eastAsia" w:cs="宋体"/>
          <w:color w:val="000000" w:themeColor="text1"/>
          <w:sz w:val="24"/>
          <w:szCs w:val="24"/>
          <w:highlight w:val="none"/>
          <w:u w:val="singl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u w:val="single"/>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（北京时间）</w:t>
      </w:r>
    </w:p>
    <w:p w14:paraId="43E4B610">
      <w:pPr>
        <w:spacing w:line="360" w:lineRule="auto"/>
        <w:ind w:firstLine="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2.地点：“苏采云”政府采购交易系统网上开标大厅。</w:t>
      </w:r>
    </w:p>
    <w:p w14:paraId="58DD0E43">
      <w:pPr>
        <w:pStyle w:val="15"/>
        <w:spacing w:before="145" w:after="145" w:line="360" w:lineRule="auto"/>
        <w:ind w:firstLine="161"/>
        <w:rPr>
          <w:color w:val="000000" w:themeColor="text1"/>
          <w:highlight w:val="none"/>
          <w14:textFill>
            <w14:solidFill>
              <w14:schemeClr w14:val="tx1"/>
            </w14:solidFill>
          </w14:textFill>
        </w:rPr>
      </w:pPr>
      <w:bookmarkStart w:id="29" w:name="_Toc28359007"/>
      <w:bookmarkStart w:id="30" w:name="_Toc35393625"/>
      <w:bookmarkStart w:id="31" w:name="_Toc28359084"/>
      <w:bookmarkStart w:id="32" w:name="_Toc38985267"/>
      <w:bookmarkStart w:id="33" w:name="_Toc35393794"/>
      <w:r>
        <w:rPr>
          <w:rFonts w:hint="eastAsia"/>
          <w:color w:val="000000" w:themeColor="text1"/>
          <w:highlight w:val="none"/>
          <w14:textFill>
            <w14:solidFill>
              <w14:schemeClr w14:val="tx1"/>
            </w14:solidFill>
          </w14:textFill>
        </w:rPr>
        <w:t>五、公告期限</w:t>
      </w:r>
      <w:bookmarkEnd w:id="29"/>
      <w:bookmarkEnd w:id="30"/>
      <w:bookmarkEnd w:id="31"/>
      <w:bookmarkEnd w:id="32"/>
      <w:bookmarkEnd w:id="33"/>
    </w:p>
    <w:p w14:paraId="6E49FE9C">
      <w:pPr>
        <w:spacing w:line="360" w:lineRule="auto"/>
        <w:ind w:firstLine="120"/>
        <w:rPr>
          <w:rFonts w:hint="eastAsia" w:ascii="宋体" w:hAnsi="宋体" w:eastAsia="宋体" w:cs="宋体"/>
          <w:color w:val="000000" w:themeColor="text1"/>
          <w:sz w:val="24"/>
          <w:szCs w:val="24"/>
          <w:highlight w:val="none"/>
          <w14:textFill>
            <w14:solidFill>
              <w14:schemeClr w14:val="tx1"/>
            </w14:solidFill>
          </w14:textFill>
        </w:rPr>
      </w:pPr>
      <w:bookmarkStart w:id="34" w:name="_Toc35393795"/>
      <w:bookmarkStart w:id="35" w:name="_Toc38985268"/>
      <w:bookmarkStart w:id="36" w:name="_Toc35393626"/>
      <w:r>
        <w:rPr>
          <w:rFonts w:hint="eastAsia" w:ascii="宋体" w:hAnsi="宋体" w:eastAsia="宋体" w:cs="宋体"/>
          <w:color w:val="000000" w:themeColor="text1"/>
          <w:sz w:val="24"/>
          <w:szCs w:val="24"/>
          <w:highlight w:val="none"/>
          <w14:textFill>
            <w14:solidFill>
              <w14:schemeClr w14:val="tx1"/>
            </w14:solidFill>
          </w14:textFill>
        </w:rPr>
        <w:t>招标公告及招标文件公告期限为自本公告发布之日起5个工作日。</w:t>
      </w:r>
    </w:p>
    <w:p w14:paraId="54EAA2FD">
      <w:pPr>
        <w:pStyle w:val="15"/>
        <w:spacing w:before="145" w:after="145" w:line="360" w:lineRule="auto"/>
        <w:ind w:firstLine="1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六、其他补充事宜</w:t>
      </w:r>
      <w:bookmarkEnd w:id="34"/>
      <w:bookmarkEnd w:id="35"/>
      <w:bookmarkEnd w:id="36"/>
    </w:p>
    <w:p w14:paraId="19C62BE4">
      <w:pPr>
        <w:spacing w:line="360" w:lineRule="auto"/>
        <w:ind w:firstLine="1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w:t>
      </w:r>
    </w:p>
    <w:p w14:paraId="1A58C1DC">
      <w:pPr>
        <w:pStyle w:val="15"/>
        <w:spacing w:before="145" w:after="145" w:line="360" w:lineRule="auto"/>
        <w:ind w:firstLine="161"/>
        <w:rPr>
          <w:color w:val="000000" w:themeColor="text1"/>
          <w:highlight w:val="none"/>
          <w14:textFill>
            <w14:solidFill>
              <w14:schemeClr w14:val="tx1"/>
            </w14:solidFill>
          </w14:textFill>
        </w:rPr>
      </w:pPr>
      <w:bookmarkStart w:id="37" w:name="_Toc35393796"/>
      <w:bookmarkStart w:id="38" w:name="_Toc38985269"/>
      <w:bookmarkStart w:id="39" w:name="_Toc35393627"/>
      <w:bookmarkStart w:id="40" w:name="_Toc28359008"/>
      <w:bookmarkStart w:id="41" w:name="_Toc28359085"/>
      <w:r>
        <w:rPr>
          <w:rFonts w:hint="eastAsia"/>
          <w:color w:val="000000" w:themeColor="text1"/>
          <w:highlight w:val="none"/>
          <w14:textFill>
            <w14:solidFill>
              <w14:schemeClr w14:val="tx1"/>
            </w14:solidFill>
          </w14:textFill>
        </w:rPr>
        <w:t>七、本次招标联系方式</w:t>
      </w:r>
      <w:bookmarkEnd w:id="37"/>
      <w:bookmarkEnd w:id="38"/>
      <w:bookmarkEnd w:id="39"/>
      <w:bookmarkEnd w:id="40"/>
      <w:bookmarkEnd w:id="41"/>
    </w:p>
    <w:p w14:paraId="58E04793">
      <w:pPr>
        <w:spacing w:line="560" w:lineRule="exact"/>
        <w:ind w:firstLine="140"/>
        <w:rPr>
          <w:color w:val="000000" w:themeColor="text1"/>
          <w:sz w:val="24"/>
          <w:szCs w:val="24"/>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w:t>
      </w:r>
      <w:r>
        <w:rPr>
          <w:rFonts w:hint="eastAsia"/>
          <w:color w:val="000000" w:themeColor="text1"/>
          <w:sz w:val="24"/>
          <w:szCs w:val="24"/>
          <w:highlight w:val="none"/>
          <w14:textFill>
            <w14:solidFill>
              <w14:schemeClr w14:val="tx1"/>
            </w14:solidFill>
          </w14:textFill>
        </w:rPr>
        <w:t>1.采购人信息</w:t>
      </w:r>
    </w:p>
    <w:p w14:paraId="631C9B75">
      <w:pPr>
        <w:spacing w:line="560" w:lineRule="exact"/>
        <w:ind w:firstLine="360"/>
        <w:rPr>
          <w:rFonts w:hint="eastAsia" w:eastAsia="宋体"/>
          <w:color w:val="000000" w:themeColor="text1"/>
          <w:sz w:val="24"/>
          <w:szCs w:val="24"/>
          <w:highlight w:val="none"/>
          <w:lang w:eastAsia="zh-CN"/>
          <w14:textFill>
            <w14:solidFill>
              <w14:schemeClr w14:val="tx1"/>
            </w14:solidFill>
          </w14:textFill>
        </w:rPr>
      </w:pPr>
      <w:bookmarkStart w:id="42" w:name="_Toc28359009"/>
      <w:bookmarkStart w:id="43" w:name="_Toc28359086"/>
      <w:r>
        <w:rPr>
          <w:rFonts w:hint="eastAsia"/>
          <w:color w:val="000000" w:themeColor="text1"/>
          <w:sz w:val="24"/>
          <w:szCs w:val="24"/>
          <w:highlight w:val="none"/>
          <w14:textFill>
            <w14:solidFill>
              <w14:schemeClr w14:val="tx1"/>
            </w14:solidFill>
          </w14:textFill>
        </w:rPr>
        <w:t>名 称：</w:t>
      </w:r>
      <w:r>
        <w:rPr>
          <w:rFonts w:hint="eastAsia"/>
          <w:color w:val="000000" w:themeColor="text1"/>
          <w:sz w:val="24"/>
          <w:szCs w:val="24"/>
          <w:highlight w:val="none"/>
          <w:lang w:eastAsia="zh-CN"/>
          <w14:textFill>
            <w14:solidFill>
              <w14:schemeClr w14:val="tx1"/>
            </w14:solidFill>
          </w14:textFill>
        </w:rPr>
        <w:t>宝应县公安局</w:t>
      </w:r>
    </w:p>
    <w:p w14:paraId="6D2D43FF">
      <w:pPr>
        <w:spacing w:line="560" w:lineRule="exact"/>
        <w:ind w:firstLine="36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地 址：</w:t>
      </w:r>
      <w:r>
        <w:rPr>
          <w:rFonts w:hint="eastAsia" w:cs="宋体"/>
          <w:color w:val="000000" w:themeColor="text1"/>
          <w:sz w:val="24"/>
          <w:szCs w:val="24"/>
          <w:highlight w:val="none"/>
          <w:lang w:eastAsia="zh-CN"/>
          <w14:textFill>
            <w14:solidFill>
              <w14:schemeClr w14:val="tx1"/>
            </w14:solidFill>
          </w14:textFill>
        </w:rPr>
        <w:t>宝应县叶挺路181号</w:t>
      </w:r>
    </w:p>
    <w:p w14:paraId="0785C645">
      <w:pPr>
        <w:spacing w:line="560" w:lineRule="exact"/>
        <w:ind w:firstLine="360"/>
        <w:rPr>
          <w:rFonts w:hint="default" w:hAnsi="宋体"/>
          <w:color w:val="000000" w:themeColor="text1"/>
          <w:szCs w:val="21"/>
          <w:highlight w:val="none"/>
          <w:lang w:val="en-US"/>
          <w14:textFill>
            <w14:solidFill>
              <w14:schemeClr w14:val="tx1"/>
            </w14:solidFill>
          </w14:textFill>
        </w:rPr>
      </w:pPr>
      <w:r>
        <w:rPr>
          <w:rFonts w:hint="eastAsia"/>
          <w:color w:val="000000" w:themeColor="text1"/>
          <w:sz w:val="24"/>
          <w:szCs w:val="24"/>
          <w:highlight w:val="none"/>
          <w14:textFill>
            <w14:solidFill>
              <w14:schemeClr w14:val="tx1"/>
            </w14:solidFill>
          </w14:textFill>
        </w:rPr>
        <w:t>联系人：</w:t>
      </w:r>
      <w:r>
        <w:rPr>
          <w:rFonts w:hint="eastAsia" w:cs="宋体"/>
          <w:color w:val="000000" w:themeColor="text1"/>
          <w:sz w:val="24"/>
          <w:szCs w:val="24"/>
          <w:highlight w:val="none"/>
          <w:lang w:val="en-US" w:eastAsia="zh-CN"/>
          <w14:textFill>
            <w14:solidFill>
              <w14:schemeClr w14:val="tx1"/>
            </w14:solidFill>
          </w14:textFill>
        </w:rPr>
        <w:t>王吉泰</w:t>
      </w:r>
    </w:p>
    <w:p w14:paraId="2B56176F">
      <w:pPr>
        <w:spacing w:line="560" w:lineRule="exact"/>
        <w:ind w:firstLine="36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联系方式：</w:t>
      </w:r>
      <w:r>
        <w:rPr>
          <w:rFonts w:hint="eastAsia" w:cs="宋体"/>
          <w:color w:val="000000" w:themeColor="text1"/>
          <w:sz w:val="24"/>
          <w:szCs w:val="24"/>
          <w:highlight w:val="none"/>
          <w:lang w:val="en-US" w:eastAsia="zh-CN"/>
          <w14:textFill>
            <w14:solidFill>
              <w14:schemeClr w14:val="tx1"/>
            </w14:solidFill>
          </w14:textFill>
        </w:rPr>
        <w:t>15062898933</w:t>
      </w:r>
    </w:p>
    <w:p w14:paraId="55A4C036">
      <w:pPr>
        <w:spacing w:line="560" w:lineRule="exact"/>
        <w:ind w:firstLine="36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w:t>
      </w:r>
      <w:bookmarkEnd w:id="42"/>
      <w:bookmarkEnd w:id="43"/>
      <w:r>
        <w:rPr>
          <w:rFonts w:hint="eastAsia"/>
          <w:color w:val="000000" w:themeColor="text1"/>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代理机构信息</w:t>
      </w:r>
    </w:p>
    <w:p w14:paraId="003A848A">
      <w:pPr>
        <w:spacing w:line="560" w:lineRule="exact"/>
        <w:ind w:firstLine="360"/>
        <w:jc w:val="both"/>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名 </w:t>
      </w:r>
      <w:r>
        <w:rPr>
          <w:rFonts w:hint="eastAsia"/>
          <w:color w:val="000000" w:themeColor="text1"/>
          <w:sz w:val="24"/>
          <w:szCs w:val="24"/>
          <w:highlight w:val="non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称：</w:t>
      </w:r>
      <w:r>
        <w:rPr>
          <w:rFonts w:hint="eastAsia"/>
          <w:color w:val="000000" w:themeColor="text1"/>
          <w:sz w:val="24"/>
          <w:szCs w:val="24"/>
          <w:highlight w:val="none"/>
          <w:lang w:eastAsia="zh-CN"/>
          <w14:textFill>
            <w14:solidFill>
              <w14:schemeClr w14:val="tx1"/>
            </w14:solidFill>
          </w14:textFill>
        </w:rPr>
        <w:t>江苏江南工程管理咨询有限公司</w:t>
      </w:r>
    </w:p>
    <w:p w14:paraId="2A9ABE5C">
      <w:pPr>
        <w:spacing w:line="560" w:lineRule="exact"/>
        <w:ind w:firstLine="360"/>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color w:val="000000" w:themeColor="text1"/>
          <w:sz w:val="24"/>
          <w:szCs w:val="24"/>
          <w:highlight w:val="none"/>
          <w14:textFill>
            <w14:solidFill>
              <w14:schemeClr w14:val="tx1"/>
            </w14:solidFill>
          </w14:textFill>
        </w:rPr>
        <w:t>地　址：</w:t>
      </w:r>
      <w:r>
        <w:rPr>
          <w:rFonts w:hint="eastAsia" w:cs="宋体"/>
          <w:color w:val="000000" w:themeColor="text1"/>
          <w:sz w:val="24"/>
          <w:szCs w:val="24"/>
          <w:highlight w:val="none"/>
          <w:lang w:val="en-US" w:eastAsia="zh-CN" w:bidi="ar-SA"/>
          <w14:textFill>
            <w14:solidFill>
              <w14:schemeClr w14:val="tx1"/>
            </w14:solidFill>
          </w14:textFill>
        </w:rPr>
        <w:t>宝应县柳河路86-1号</w:t>
      </w:r>
    </w:p>
    <w:p w14:paraId="19630E5E">
      <w:pPr>
        <w:spacing w:line="560" w:lineRule="exact"/>
        <w:ind w:firstLine="360"/>
        <w:jc w:val="both"/>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联系人：</w:t>
      </w:r>
      <w:r>
        <w:rPr>
          <w:rFonts w:hint="eastAsia" w:cs="宋体"/>
          <w:color w:val="000000" w:themeColor="text1"/>
          <w:sz w:val="24"/>
          <w:szCs w:val="24"/>
          <w:highlight w:val="none"/>
          <w:lang w:val="en-US" w:eastAsia="zh-CN"/>
          <w14:textFill>
            <w14:solidFill>
              <w14:schemeClr w14:val="tx1"/>
            </w14:solidFill>
          </w14:textFill>
        </w:rPr>
        <w:t>李昕玥</w:t>
      </w:r>
    </w:p>
    <w:p w14:paraId="4808CAC1">
      <w:pPr>
        <w:spacing w:line="560" w:lineRule="exact"/>
        <w:ind w:firstLine="360"/>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联系方式：</w:t>
      </w:r>
      <w:r>
        <w:rPr>
          <w:rFonts w:hint="eastAsia" w:cs="宋体"/>
          <w:color w:val="000000" w:themeColor="text1"/>
          <w:sz w:val="24"/>
          <w:szCs w:val="24"/>
          <w:highlight w:val="none"/>
          <w:lang w:val="en-US" w:eastAsia="zh-CN"/>
          <w14:textFill>
            <w14:solidFill>
              <w14:schemeClr w14:val="tx1"/>
            </w14:solidFill>
          </w14:textFill>
        </w:rPr>
        <w:t>15298472891</w:t>
      </w:r>
    </w:p>
    <w:p w14:paraId="0F1C6067">
      <w:pPr>
        <w:pStyle w:val="15"/>
        <w:widowControl w:val="0"/>
        <w:numPr>
          <w:ilvl w:val="0"/>
          <w:numId w:val="2"/>
        </w:numPr>
        <w:spacing w:before="145" w:after="145" w:line="360" w:lineRule="auto"/>
        <w:ind w:firstLine="161"/>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其他</w:t>
      </w:r>
    </w:p>
    <w:p w14:paraId="3487A8C1">
      <w:pPr>
        <w:pStyle w:val="15"/>
        <w:spacing w:before="145" w:after="145" w:line="360" w:lineRule="auto"/>
        <w:ind w:firstLine="120"/>
        <w:rPr>
          <w:color w:val="000000" w:themeColor="text1"/>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p>
    <w:p w14:paraId="7054D2CF">
      <w:pPr>
        <w:spacing w:line="560" w:lineRule="exact"/>
        <w:ind w:firstLine="36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领取CA和办理电子签章（请至扬州市文昌东路9号广陵新城市民中心1号楼5楼办理，具体联系方式：18952716110）。</w:t>
      </w:r>
    </w:p>
    <w:p w14:paraId="5648E66C">
      <w:pPr>
        <w:spacing w:line="560" w:lineRule="exact"/>
        <w:ind w:firstLine="36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 有关本次招标的事项若存在变动或修改，敬请及时关注代理机构在“江苏政府采购网”、“扬州市政府采购网”发布的更正公告。</w:t>
      </w:r>
    </w:p>
    <w:p w14:paraId="30F5DC50">
      <w:pPr>
        <w:spacing w:line="560" w:lineRule="exact"/>
        <w:ind w:firstLine="36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 本次招标不收取投标保证金。</w:t>
      </w:r>
    </w:p>
    <w:p w14:paraId="7B928E92">
      <w:pPr>
        <w:spacing w:line="560" w:lineRule="exact"/>
        <w:ind w:firstLine="120"/>
        <w:rPr>
          <w:color w:val="000000" w:themeColor="text1"/>
          <w:sz w:val="24"/>
          <w:highlight w:val="none"/>
          <w14:textFill>
            <w14:solidFill>
              <w14:schemeClr w14:val="tx1"/>
            </w14:solidFill>
          </w14:textFill>
        </w:rPr>
      </w:pPr>
    </w:p>
    <w:p w14:paraId="6A62BE8B">
      <w:pPr>
        <w:ind w:right="840" w:firstLine="12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p>
    <w:p w14:paraId="65BE1E75">
      <w:pPr>
        <w:pStyle w:val="16"/>
        <w:ind w:firstLine="2429"/>
        <w:jc w:val="both"/>
        <w:rPr>
          <w:rFonts w:ascii="黑体" w:eastAsia="黑体"/>
          <w:b w:val="0"/>
          <w:bCs w:val="0"/>
          <w:color w:val="000000" w:themeColor="text1"/>
          <w:highlight w:val="none"/>
          <w14:textFill>
            <w14:solidFill>
              <w14:schemeClr w14:val="tx1"/>
            </w14:solidFill>
          </w14:textFill>
        </w:rPr>
      </w:pPr>
      <w:bookmarkStart w:id="44" w:name="_Toc120614211"/>
      <w:r>
        <w:rPr>
          <w:rFonts w:hint="eastAsia" w:ascii="黑体" w:eastAsia="黑体"/>
          <w:color w:val="000000" w:themeColor="text1"/>
          <w:highlight w:val="none"/>
          <w14:textFill>
            <w14:solidFill>
              <w14:schemeClr w14:val="tx1"/>
            </w14:solidFill>
          </w14:textFill>
        </w:rPr>
        <w:t xml:space="preserve">第二章  </w:t>
      </w:r>
      <w:bookmarkEnd w:id="0"/>
      <w:bookmarkEnd w:id="1"/>
      <w:bookmarkEnd w:id="2"/>
      <w:bookmarkEnd w:id="3"/>
      <w:bookmarkEnd w:id="4"/>
      <w:bookmarkEnd w:id="44"/>
      <w:bookmarkStart w:id="45" w:name="_Toc16938518"/>
      <w:bookmarkStart w:id="46" w:name="_Toc513029202"/>
      <w:bookmarkStart w:id="47" w:name="_Toc20823274"/>
      <w:bookmarkStart w:id="48" w:name="_Toc120614213"/>
      <w:r>
        <w:rPr>
          <w:rFonts w:hint="eastAsia" w:ascii="黑体" w:eastAsia="黑体"/>
          <w:color w:val="000000" w:themeColor="text1"/>
          <w:highlight w:val="none"/>
          <w14:textFill>
            <w14:solidFill>
              <w14:schemeClr w14:val="tx1"/>
            </w14:solidFill>
          </w14:textFill>
        </w:rPr>
        <w:t>投标人须知</w:t>
      </w:r>
      <w:bookmarkEnd w:id="45"/>
      <w:bookmarkEnd w:id="46"/>
      <w:bookmarkEnd w:id="47"/>
      <w:bookmarkEnd w:id="48"/>
    </w:p>
    <w:p w14:paraId="56A475EC">
      <w:pPr>
        <w:pStyle w:val="15"/>
        <w:spacing w:before="145" w:after="145" w:line="360" w:lineRule="auto"/>
        <w:ind w:firstLine="161"/>
        <w:rPr>
          <w:color w:val="000000" w:themeColor="text1"/>
          <w:highlight w:val="none"/>
          <w14:textFill>
            <w14:solidFill>
              <w14:schemeClr w14:val="tx1"/>
            </w14:solidFill>
          </w14:textFill>
        </w:rPr>
      </w:pPr>
      <w:bookmarkStart w:id="49" w:name="_Toc120614221"/>
      <w:bookmarkStart w:id="50" w:name="_Toc20823314"/>
      <w:bookmarkStart w:id="51" w:name="_Toc479757207"/>
      <w:bookmarkStart w:id="52" w:name="_Toc513029242"/>
      <w:bookmarkStart w:id="53" w:name="_Toc16938558"/>
      <w:r>
        <w:rPr>
          <w:rFonts w:hint="eastAsia"/>
          <w:color w:val="000000" w:themeColor="text1"/>
          <w:highlight w:val="none"/>
          <w14:textFill>
            <w14:solidFill>
              <w14:schemeClr w14:val="tx1"/>
            </w14:solidFill>
          </w14:textFill>
        </w:rPr>
        <w:t>一、总则</w:t>
      </w:r>
    </w:p>
    <w:p w14:paraId="5D3061D0">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1、招标方式</w:t>
      </w:r>
    </w:p>
    <w:p w14:paraId="0F012313">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1.1 本次招标采取公开招标方式，本招标文件仅适用于招标公告中所述项目。</w:t>
      </w:r>
    </w:p>
    <w:p w14:paraId="4922CF9F">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2、合格的投标人</w:t>
      </w:r>
    </w:p>
    <w:p w14:paraId="6A9BE8DD">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2.1满足招标公告中供应商的资格要求的规定。</w:t>
      </w:r>
    </w:p>
    <w:p w14:paraId="4750F586">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2.2 满足本文件实质性要求和条件的规定。</w:t>
      </w:r>
    </w:p>
    <w:p w14:paraId="194192BB">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3、适用法律</w:t>
      </w:r>
    </w:p>
    <w:p w14:paraId="52C0F5C6">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3.1 本次招标及由此产生的合同受中华人民共和国有关的法律法规制约和保护。</w:t>
      </w:r>
    </w:p>
    <w:p w14:paraId="18440083">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4、投标费用</w:t>
      </w:r>
    </w:p>
    <w:p w14:paraId="1B35A507">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4.1 投标人应自行承担所有与参加投标有关的费用，无论投标过程中的做法和结果如何，江苏江南工程管理咨询有限公司（以下简称代理机构）在任何情况下均无义务和责任承担这些费用。</w:t>
      </w:r>
    </w:p>
    <w:p w14:paraId="198B7122">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4.2本次采购代理费由成交供应商支付。采购代理服务费按照关于印发《江苏省政府采购代理服务收费指导意见》的通知(苏政采协[2024</w:t>
      </w:r>
      <w:r>
        <w:rPr>
          <w:rFonts w:hint="eastAsia" w:cs="宋体"/>
          <w:bCs/>
          <w:color w:val="000000" w:themeColor="text1"/>
          <w:sz w:val="24"/>
          <w:highlight w:val="none"/>
          <w:lang w:val="en-US" w:eastAsia="zh-CN"/>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20号)规定标准</w:t>
      </w:r>
      <w:r>
        <w:rPr>
          <w:rFonts w:hint="eastAsia" w:cs="宋体"/>
          <w:bCs/>
          <w:color w:val="000000" w:themeColor="text1"/>
          <w:sz w:val="24"/>
          <w:highlight w:val="none"/>
          <w:lang w:val="en-US" w:eastAsia="zh-CN"/>
          <w14:textFill>
            <w14:solidFill>
              <w14:schemeClr w14:val="tx1"/>
            </w14:solidFill>
          </w14:textFill>
        </w:rPr>
        <w:t>的九折</w:t>
      </w:r>
      <w:r>
        <w:rPr>
          <w:rFonts w:hint="eastAsia" w:ascii="宋体" w:hAnsi="宋体" w:eastAsia="宋体" w:cs="宋体"/>
          <w:bCs/>
          <w:color w:val="000000" w:themeColor="text1"/>
          <w:sz w:val="24"/>
          <w:highlight w:val="none"/>
          <w:lang w:val="en-US" w:eastAsia="zh-CN"/>
          <w14:textFill>
            <w14:solidFill>
              <w14:schemeClr w14:val="tx1"/>
            </w14:solidFill>
          </w14:textFill>
        </w:rPr>
        <w:t>计取，不满伍仟按伍仟计取，在中标供应商领取中标通知书时支付。</w:t>
      </w:r>
    </w:p>
    <w:p w14:paraId="5B59CF9D">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（1）代理服务费以人民币支付； </w:t>
      </w:r>
    </w:p>
    <w:p w14:paraId="4196FC2D">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（2）代理服务费一次性以电汇、转账等非现金形式支付； </w:t>
      </w:r>
    </w:p>
    <w:p w14:paraId="22F212A1">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（3）招标代理服务费不在投标报价中单列，包含在总价中，由中标单位支付给代理机构。 </w:t>
      </w:r>
    </w:p>
    <w:p w14:paraId="0BD46C18">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招标代理服务费开户银行：中国工商银行股份有限公司宝应白田支行 </w:t>
      </w:r>
    </w:p>
    <w:p w14:paraId="7A788CA1">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开户名称：江苏江南工程管理咨询有限公司宝应开发区分公司</w:t>
      </w:r>
    </w:p>
    <w:p w14:paraId="797D6ABB">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开户账号：1108200609100069420 </w:t>
      </w:r>
    </w:p>
    <w:p w14:paraId="166150E5">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4.3本次专家评审费由采购人支付，专家评审费按宝财购(2020)14号《关于进一步规范宝应县政府采购专家评审费标准的通知》执行。</w:t>
      </w:r>
    </w:p>
    <w:p w14:paraId="1B29836E">
      <w:pPr>
        <w:spacing w:line="500" w:lineRule="exact"/>
        <w:ind w:firstLine="482" w:firstLineChars="200"/>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5、招标文件的约束力</w:t>
      </w:r>
    </w:p>
    <w:p w14:paraId="3E32EBE8">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5.1投标人一旦参加本项目采购活动，即被认为接受了本招标文件的规定和约束。</w:t>
      </w:r>
    </w:p>
    <w:p w14:paraId="214F8B39">
      <w:pPr>
        <w:pStyle w:val="15"/>
        <w:spacing w:before="145" w:after="145" w:line="360" w:lineRule="auto"/>
        <w:ind w:firstLine="1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二、招标文件</w:t>
      </w:r>
    </w:p>
    <w:p w14:paraId="40F69849">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6、招标文件构成</w:t>
      </w:r>
    </w:p>
    <w:p w14:paraId="1D01CD2A">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6.1 招标文件由以下部分组成：</w:t>
      </w:r>
    </w:p>
    <w:p w14:paraId="1382B836">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（1）投标邀请</w:t>
      </w:r>
    </w:p>
    <w:p w14:paraId="20CCAB24">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（2）投标人须知</w:t>
      </w:r>
    </w:p>
    <w:p w14:paraId="0DEE8BE5">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（3）合同文本</w:t>
      </w:r>
    </w:p>
    <w:p w14:paraId="7DBDFDE7">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（4）采购需求</w:t>
      </w:r>
    </w:p>
    <w:p w14:paraId="063A4E71">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（5）评标方法与评标标准</w:t>
      </w:r>
    </w:p>
    <w:p w14:paraId="253F4179">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（6）投标文件格式</w:t>
      </w:r>
    </w:p>
    <w:p w14:paraId="6D8229DC">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请仔细检查招标文件是否齐全，如有缺漏请立即与代理机构联系解决。</w:t>
      </w:r>
    </w:p>
    <w:p w14:paraId="6CB428EF">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F6C88A5">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7、招标文件的澄清</w:t>
      </w:r>
    </w:p>
    <w:p w14:paraId="1989BA2B">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7.1 任何要求对招标文件进行澄清的投标人，应在投标截止期十日前按招标公告中的通讯地址，以书面形式通知代理机构。</w:t>
      </w:r>
    </w:p>
    <w:p w14:paraId="0A788619">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8、招标文件的修改</w:t>
      </w:r>
    </w:p>
    <w:p w14:paraId="5245E35C">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8.1 在投标截止时间前，代理机构可以对招标文件进行修改。</w:t>
      </w:r>
    </w:p>
    <w:p w14:paraId="0FBD678F">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8.2代理机构有权按照法定的要求推迟投标截止日期和开标日期。</w:t>
      </w:r>
    </w:p>
    <w:p w14:paraId="7CFCD4E2">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8.3 招标文件的修改将在江苏政府采购网、扬州市政府采购网公布，补充文件将作为招标文件的组成部分，并对投标人具有约束力。</w:t>
      </w:r>
    </w:p>
    <w:p w14:paraId="210753F2">
      <w:pPr>
        <w:pStyle w:val="15"/>
        <w:spacing w:before="145" w:after="145" w:line="360" w:lineRule="auto"/>
        <w:ind w:firstLine="1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三、投标文件的编制</w:t>
      </w:r>
    </w:p>
    <w:p w14:paraId="0C6E12CE">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9、投标文件的语言及度量衡单位</w:t>
      </w:r>
      <w:bookmarkStart w:id="81" w:name="_GoBack"/>
      <w:bookmarkEnd w:id="81"/>
    </w:p>
    <w:p w14:paraId="2B4595BB">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9.1投标人提交的投标文件以及投标人与代理机构就有关投标的所有来往通知、函件和文件均应使用简体中文。</w:t>
      </w:r>
    </w:p>
    <w:p w14:paraId="4960A96F">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9.2 除技术性能另有规定外，投标文件所使用的度量衡单位，均须采用国家法定计量单位。</w:t>
      </w:r>
    </w:p>
    <w:p w14:paraId="4F843AB7">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10、投标文件构成</w:t>
      </w:r>
    </w:p>
    <w:p w14:paraId="7386044E">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10.1 投标人编写的投标文件应包括资格证明文件、符合性证明文件、投标分项报价表、技术要求响应及偏离表、商务要求响应及偏离表、其他证明文件、投标函、开标一览表等部分。</w:t>
      </w:r>
    </w:p>
    <w:p w14:paraId="045C92DD">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10.2 如标书制作工具中格式和内容与“江苏政府采购网”、“扬州市政府采购网”发布的招标文件不一致，请以“江苏政府采购网”、“扬州市政府采购网”发布的招标文件为准。</w:t>
      </w:r>
    </w:p>
    <w:p w14:paraId="3BA7A6B1">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11、证明投标人及投标标的符合招标文件规定的文件</w:t>
      </w:r>
    </w:p>
    <w:p w14:paraId="35927AF0">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11.1 投标人应按照法律、法规、规章和规范性文件以及招标文件要求提交证明文件，证明其及投标标的符合招标文件规定。</w:t>
      </w:r>
    </w:p>
    <w:p w14:paraId="2D61A47D">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11.2招标文件对证明文件无明确形式要求的，证明文件可以以文字资料、图纸和数据等形式提交。</w:t>
      </w:r>
    </w:p>
    <w:p w14:paraId="585AB86E">
      <w:pPr>
        <w:spacing w:line="500" w:lineRule="exact"/>
        <w:ind w:firstLine="482" w:firstLineChars="200"/>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12、投标分项报价表</w:t>
      </w:r>
    </w:p>
    <w:p w14:paraId="3C0B1E74">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12.1 投标人应按照招标文件规定格式填报投标分项报价表。</w:t>
      </w:r>
    </w:p>
    <w:p w14:paraId="0FF95148">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12.2投标货币。投标文件中的单价和总价无特殊规定的采用人民币报价，以元为单位标注。招标文件中另有规定的按规定执行。</w:t>
      </w:r>
    </w:p>
    <w:p w14:paraId="4D1033C6">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13、技术要求响应及偏离表、商务要求响应及偏离表</w:t>
      </w:r>
    </w:p>
    <w:p w14:paraId="47746C94">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13.1 投标人需对招标文件中的技术要求与商务要求逐项作出响应或偏离，并说明原因。</w:t>
      </w:r>
    </w:p>
    <w:p w14:paraId="557EE383">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13.2 投标人可在投标文件中提供认为需要的其他技术文件或说明。</w:t>
      </w:r>
    </w:p>
    <w:p w14:paraId="4C5BA883">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14、服务承诺、培训计划、人员安排及其他</w:t>
      </w:r>
    </w:p>
    <w:p w14:paraId="6BC7DA53">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14.1 投标人需根据招标文件要求提供有关售后服务的管理制度，售后服务机构的分布情况，售后服务人员的数量、素质、技术水平及售后服务的反应能力等。</w:t>
      </w:r>
    </w:p>
    <w:p w14:paraId="2A44A4A2">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14.2 投标人需根据招标文件要求提供培训计划。</w:t>
      </w:r>
    </w:p>
    <w:p w14:paraId="4A97E0E4">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14.3  投标人需根据招标文件要求提供所投标的的主要组成部分、功能设计、实现思路及关键技术等。</w:t>
      </w:r>
    </w:p>
    <w:p w14:paraId="4EA349DB">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15、投标函和开标一览表</w:t>
      </w:r>
    </w:p>
    <w:p w14:paraId="1E867ADA">
      <w:pPr>
        <w:spacing w:line="500" w:lineRule="exact"/>
        <w:ind w:firstLine="480" w:firstLineChars="20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15.1 投标人应按照招标文件中提供的格式完整、正确填写投标函、开标一览表。</w:t>
      </w:r>
    </w:p>
    <w:p w14:paraId="608E22BC">
      <w:pPr>
        <w:spacing w:line="440" w:lineRule="exact"/>
        <w:ind w:firstLine="48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15.2 对于采用货币报价的项目，开标一览表中的投标总报价应与投标分项报价表中的投标总报价一致，如不一致，不作为无效投标处理，但评标时按开标一览表中价格为准。</w:t>
      </w:r>
    </w:p>
    <w:p w14:paraId="5F251484">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16、投标有效期</w:t>
      </w:r>
    </w:p>
    <w:p w14:paraId="08D74BDA">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16.1 投标有效期为代理机构规定的开标之日后</w:t>
      </w:r>
      <w:r>
        <w:rPr>
          <w:rFonts w:hint="eastAsia" w:ascii="宋体" w:hAnsi="宋体" w:eastAsia="宋体" w:cs="宋体"/>
          <w:b/>
          <w:bCs w:val="0"/>
          <w:color w:val="000000" w:themeColor="text1"/>
          <w:sz w:val="24"/>
          <w:highlight w:val="none"/>
          <w:u w:val="single"/>
          <w:lang w:val="zh-CN" w:eastAsia="zh-CN"/>
          <w14:textFill>
            <w14:solidFill>
              <w14:schemeClr w14:val="tx1"/>
            </w14:solidFill>
          </w14:textFill>
        </w:rPr>
        <w:t>六十（60）天</w:t>
      </w:r>
      <w:r>
        <w:rPr>
          <w:rFonts w:hint="eastAsia" w:ascii="宋体" w:hAnsi="宋体" w:eastAsia="宋体" w:cs="宋体"/>
          <w:bCs/>
          <w:color w:val="000000" w:themeColor="text1"/>
          <w:sz w:val="24"/>
          <w:highlight w:val="none"/>
          <w:lang w:val="zh-CN" w:eastAsia="zh-CN"/>
          <w14:textFill>
            <w14:solidFill>
              <w14:schemeClr w14:val="tx1"/>
            </w14:solidFill>
          </w14:textFill>
        </w:rPr>
        <w:t>。投标有效期比规定短的将被视为未实质性响应招标文件而予以拒绝。</w:t>
      </w:r>
    </w:p>
    <w:p w14:paraId="44BA5D7E">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17、投标有效期的延长</w:t>
      </w:r>
    </w:p>
    <w:p w14:paraId="5A95B59C">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p>
    <w:p w14:paraId="1540BEFA">
      <w:pPr>
        <w:pStyle w:val="15"/>
        <w:spacing w:before="145" w:after="145" w:line="360" w:lineRule="auto"/>
        <w:ind w:firstLine="1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四、投标文件的递交</w:t>
      </w:r>
    </w:p>
    <w:p w14:paraId="17C93110">
      <w:pPr>
        <w:spacing w:line="500" w:lineRule="exact"/>
        <w:ind w:firstLine="482" w:firstLineChars="200"/>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18、投标文件的递交</w:t>
      </w:r>
    </w:p>
    <w:p w14:paraId="692DEF68">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18.1 电子投标文件的递交</w:t>
      </w:r>
    </w:p>
    <w:p w14:paraId="0D903DA2">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投标人应当按照《操作手册》规定，在投标截止时间前制作并上传电子投标文件。</w:t>
      </w:r>
    </w:p>
    <w:p w14:paraId="67463DB1">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19、投标截止时间</w:t>
      </w:r>
    </w:p>
    <w:p w14:paraId="1D251597">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i/>
          <w:iCs/>
          <w:color w:val="000000" w:themeColor="text1"/>
          <w:sz w:val="24"/>
          <w:highlight w:val="none"/>
          <w:u w:val="single"/>
          <w:lang w:val="zh-CN" w:eastAsia="zh-CN"/>
          <w14:textFill>
            <w14:solidFill>
              <w14:schemeClr w14:val="tx1"/>
            </w14:solidFill>
          </w14:textFill>
        </w:rPr>
        <w:t>19.1 投标人上传电子投标文件的时间不得迟于招标公告中规定的投标截止时间。</w:t>
      </w:r>
    </w:p>
    <w:p w14:paraId="0F5EA4A4">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投标人应充分考虑到网络环境、网络带宽等风险因素，如因投标人自身原因造成的电子投标文件上传不成功的按照本招标文件第二章第26.1.2条 规定做无效投标处理。</w:t>
      </w:r>
    </w:p>
    <w:p w14:paraId="407682FC">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19.2 代理机构可以按照规定，通过修改招标文件酌情延长投标截止时间，在此情况下，投标人的所有权利和义务以及投标人受制的截止时间均应以延长后新的截止时间为准。</w:t>
      </w:r>
    </w:p>
    <w:p w14:paraId="5879046E">
      <w:pPr>
        <w:spacing w:line="500" w:lineRule="exact"/>
        <w:ind w:firstLine="482"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20、投标文件的拒收</w:t>
      </w:r>
    </w:p>
    <w:p w14:paraId="72A8A7EA">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20.1代理机构拒绝接收在其规定的投标截止时间后上传的任何投标文件。</w:t>
      </w:r>
    </w:p>
    <w:p w14:paraId="547F5A4C">
      <w:pPr>
        <w:spacing w:line="500" w:lineRule="exact"/>
        <w:ind w:firstLine="482"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
          <w:bCs w:val="0"/>
          <w:color w:val="000000" w:themeColor="text1"/>
          <w:sz w:val="24"/>
          <w:highlight w:val="none"/>
          <w:lang w:val="zh-CN" w:eastAsia="zh-CN"/>
          <w14:textFill>
            <w14:solidFill>
              <w14:schemeClr w14:val="tx1"/>
            </w14:solidFill>
          </w14:textFill>
        </w:rPr>
        <w:t>21、投标文件的撤回和修改</w:t>
      </w:r>
    </w:p>
    <w:p w14:paraId="0D4ADD14">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21.1 投标文件的撤回</w:t>
      </w:r>
    </w:p>
    <w:p w14:paraId="5A23F5C2">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21.1.1 电子投标文件的撤回</w:t>
      </w:r>
    </w:p>
    <w:p w14:paraId="0CF540FF">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投标人可在投标截止时间前，撤回其电子投标文件，具体操作方法见《操作手册》。</w:t>
      </w:r>
    </w:p>
    <w:p w14:paraId="446EA082">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21.1.2 投标人撤回电子投标文件，则认为其不再参与本项目投标活动。</w:t>
      </w:r>
    </w:p>
    <w:p w14:paraId="70E0D56B">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21.2 投标文件的修改</w:t>
      </w:r>
    </w:p>
    <w:p w14:paraId="6B0D362D">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21.2.1投标人可在投标截止时间前，对其电子投标文件进行修改，具体操作方法见《操作手册》。</w:t>
      </w:r>
    </w:p>
    <w:p w14:paraId="12D8A3CB">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21.2.2 在投标截止时间之后，投标人不得对其电子投标文件作任何修改。</w:t>
      </w:r>
    </w:p>
    <w:p w14:paraId="543C133B">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21.3 在投标截止时间至招标文件中规定的投标有效期满之间的这段时间内，投标人不得撤回其投标。</w:t>
      </w:r>
    </w:p>
    <w:p w14:paraId="665490B6">
      <w:pPr>
        <w:pStyle w:val="15"/>
        <w:spacing w:before="145" w:after="145" w:line="360" w:lineRule="auto"/>
        <w:ind w:firstLine="1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五、开标与评标</w:t>
      </w:r>
    </w:p>
    <w:p w14:paraId="0BB4AC3D">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22、开标</w:t>
      </w:r>
    </w:p>
    <w:p w14:paraId="76693861">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22.1 代理机构将在招标公告中规定的时间和地点组织公开开标。投标人应当按照《操作手册》规定，参加开标活动和在苏采云系统规定的时间内对投标文件进行解密。</w:t>
      </w:r>
    </w:p>
    <w:p w14:paraId="3776E9C3">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22.2开标仪式由代理机构组织。苏采云系统将自动对项目进行开标，并宣布各投标人名称和投标价格。</w:t>
      </w:r>
    </w:p>
    <w:p w14:paraId="2B9B5CD4">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22.3投标人在开标过程中涉及到的投标文件解密、开标结果确认等工作，应按照《操作手册》规定执行。</w:t>
      </w:r>
    </w:p>
    <w:p w14:paraId="1F09678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22.4投标人如果对开标过程和开标记录有疑义，应当根据《操作手册》规定提出，如苏采云系统中《开标记录表》宣布后5分钟内未提出的，视同认可开标结果。</w:t>
      </w:r>
    </w:p>
    <w:p w14:paraId="1AC91C78">
      <w:pPr>
        <w:spacing w:line="500" w:lineRule="exact"/>
        <w:ind w:firstLine="482" w:firstLineChars="200"/>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23、评标委员会</w:t>
      </w:r>
    </w:p>
    <w:p w14:paraId="5EA26A9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23.1 开标后，代理机构将立即组织评标委员会（以下简称评委会）进行评标。</w:t>
      </w:r>
    </w:p>
    <w:p w14:paraId="31E2BCBB">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23.2 评委会由采购人代表和有关技术、经济等方面的专家组成，且人员构成符合政府采购有关规定。</w:t>
      </w:r>
    </w:p>
    <w:p w14:paraId="5D7C3420">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23.3评委会独立工作，负责评审所有投标文件并确定中标侯选人。</w:t>
      </w:r>
    </w:p>
    <w:p w14:paraId="319665C5">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24、评标过程的保密与公正</w:t>
      </w:r>
    </w:p>
    <w:p w14:paraId="02E7B3C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24.1凡是与审查、澄清、评价和比较投标的有关资料以及授标建议等，采购人、评委、代理机构均不得向投标人或与评标无关的其他人员透露。</w:t>
      </w:r>
    </w:p>
    <w:p w14:paraId="525B7383">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24.2在评标过程中，投标人不得以任何行为影响评标过程，否则其投标文件将被作为无效投标文件。</w:t>
      </w:r>
    </w:p>
    <w:p w14:paraId="09764FCA">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24.3 代理机构和评标委员会不向未中标的投标人解释未中标原因，也不公布评标过程中的相关细节。</w:t>
      </w:r>
    </w:p>
    <w:p w14:paraId="40A184F6">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24.4 采用综合评分法的项目，未中标的投标人可于中标结果公告期限届满之日起通过苏采云系统查看自己的评审得分及排序情况。</w:t>
      </w:r>
    </w:p>
    <w:p w14:paraId="4CE4FB8E">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25、投标文件的澄清</w:t>
      </w:r>
    </w:p>
    <w:p w14:paraId="64353DAB">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25.1评标期间，评委会对投标文件中含义不明确、同类问题表述不一致或者有明显文字和计算错误的内容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，有权要求投标人作出必要的澄清、说明或者补正。投标人的澄清、说明或者补正不得超出投标文件的范围或者改变投标文件的实质性内容。评标委员会并非对每个投标人都做澄清要求。</w:t>
      </w:r>
    </w:p>
    <w:p w14:paraId="27C8DFF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6410481">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25.3 接到评委会澄清、说明和补正要求的投标人如未按规定做出澄清、说明和补正，其风险由投标人自行承担。</w:t>
      </w:r>
    </w:p>
    <w:p w14:paraId="4781AB60">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26、对投标文件的初审</w:t>
      </w:r>
    </w:p>
    <w:p w14:paraId="79B2925F">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26.1投标文件初审分为资格审查和符合性审查。</w:t>
      </w:r>
    </w:p>
    <w:p w14:paraId="0F0E758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26.1.1 资格审查：依据法律法规和招标文件的规定，由采购人对投标文件中的资格证明文件进行审查。资格审查的结论，采购人以书面形式向评委会进行反馈。</w:t>
      </w:r>
    </w:p>
    <w:p w14:paraId="1A0003C8">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采购人在进行资格性审查的同时，将在“信用中国”网（www.creditchina.gov.cn）和“中国政府采购网"(www.ccgp.gov.cn)查询投标人的信用记录，以确定投标人是否具备投标资格,查询结果留存并归档。</w:t>
      </w:r>
    </w:p>
    <w:p w14:paraId="50C00983">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接受联合体的项目，两个以上的自然人、法人或者其他组织组成一个联合体，以一个供应商的身份共同参加政府采购活动的,联合体成员存在不良信用记录的，视同联合体存在不良应用记录。</w:t>
      </w:r>
    </w:p>
    <w:p w14:paraId="4F1FB26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26.1.2 符合性审查：依据招标文件的规定，由评委会从投标文件的有效性、完整性和对招标文件的响应程度进行审查，以确定是否对招标文件的实质性要求作出响应。</w:t>
      </w:r>
    </w:p>
    <w:p w14:paraId="068962B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26.1.3 未通过资格审查或符合性审查的投标人，代理机构将在苏采云系统中告知未通过资格审查或符合性审查的原因，评标结束后，代理机构将不再告知未通过资格审查和符合性审查的原因。</w:t>
      </w:r>
    </w:p>
    <w:p w14:paraId="7924E3AB">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26.2在详细评标之前，评委会将首先审查每份投标文件是否实质性响应了招标文件的要求。实质性响应的投标应该是与招标文件要求的全部条款、条件和规格相符，没有重大偏离或保留的投标。</w:t>
      </w:r>
    </w:p>
    <w:p w14:paraId="54A920F2">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D9C183E">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26.3如果投标文件实质上没有响应招标文件的要求，评委会将予以拒绝，投标人不得通过修改或撤销不合要求的偏离或保留而使其投标成为实质性响应的投标。</w:t>
      </w:r>
    </w:p>
    <w:p w14:paraId="5709F3BE">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26.4评委会将对确定为实质性响应的投标进行进一步审核，确定其是否有计算上或累加上的算术错误，修正错误的原则如下：</w:t>
      </w:r>
    </w:p>
    <w:p w14:paraId="3F0F5BEA">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（1）投标文件中开标一览表内容与投标文件中相应内容不一致的，以开标一览表为准。</w:t>
      </w:r>
    </w:p>
    <w:p w14:paraId="500E851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（2）大写金额和小写金额不一致的，以大写金额为准。</w:t>
      </w:r>
    </w:p>
    <w:p w14:paraId="26E58595">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（3）单价金额小数点或者百分比有明显错位的，以开标一览表的总价为准，并修改单价。</w:t>
      </w:r>
    </w:p>
    <w:p w14:paraId="14E76831">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（4）总价金额与按单价汇总金额不一致的，以单价金额计算结果为准。</w:t>
      </w:r>
    </w:p>
    <w:p w14:paraId="48F5B04F">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同时出现两种以上错误的，按照前款规定的顺序修正。</w:t>
      </w:r>
    </w:p>
    <w:p w14:paraId="2BB25365">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26.5 评委会将按上述修正错误的方法调整投标文件中的投标报价，并通过苏采云系统告知投标人，调整后的价格应对投标人具有约束力。如果投标人不接受修正后的价格，则其投标将被拒绝。</w:t>
      </w:r>
    </w:p>
    <w:p w14:paraId="2CA6EE7F">
      <w:pPr>
        <w:spacing w:line="500" w:lineRule="exact"/>
        <w:ind w:firstLine="480" w:firstLineChars="200"/>
        <w:rPr>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26.6投标人在开、评标全过程中应保持通讯畅通，及时登录苏采云系统查阅、答复相关信息，并安排专人与代理机构及评标委员会联系。</w:t>
      </w:r>
    </w:p>
    <w:p w14:paraId="3802A51D">
      <w:pPr>
        <w:spacing w:line="500" w:lineRule="exact"/>
        <w:ind w:firstLine="482" w:firstLineChars="200"/>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27、无效投标条款和废标条款</w:t>
      </w:r>
    </w:p>
    <w:p w14:paraId="26B3BBAF">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27.1无效投标条款</w:t>
      </w:r>
    </w:p>
    <w:p w14:paraId="730C17B2">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27.1.1 投标人在苏采云系统规定的时间内未成功解密电子投标文件的。</w:t>
      </w:r>
    </w:p>
    <w:p w14:paraId="73141B50">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27.1.2 投标人未按照招标文件要求上传电子投标文件的。</w:t>
      </w:r>
    </w:p>
    <w:p w14:paraId="247E54ED">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27.1.3同一投标人提交两个（含两个）以上不同的投标报价的。</w:t>
      </w:r>
    </w:p>
    <w:p w14:paraId="47F36E7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27.1.4投标人不具备招标文件中规定资格要求的。</w:t>
      </w:r>
    </w:p>
    <w:p w14:paraId="7A6215CA">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27.1.5投标人的报价超过了采购预算或最高限价的。</w:t>
      </w:r>
    </w:p>
    <w:p w14:paraId="2D9D1B3A">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27.1.6未通过符合性审查的。</w:t>
      </w:r>
    </w:p>
    <w:p w14:paraId="4C7CD398">
      <w:pPr>
        <w:spacing w:line="500" w:lineRule="exact"/>
        <w:ind w:firstLine="480" w:firstLineChars="200"/>
        <w:rPr>
          <w:rFonts w:hint="eastAsia" w:ascii="宋体" w:hAnsi="宋体" w:eastAsia="宋体" w:cs="宋体"/>
          <w:b w:val="0"/>
          <w:bCs/>
          <w:i/>
          <w:iCs/>
          <w:color w:val="000000" w:themeColor="text1"/>
          <w:sz w:val="24"/>
          <w:highlight w:val="none"/>
          <w:u w:val="singl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27.1.7不符合招标文件中规定的实质性要求和条件的</w:t>
      </w:r>
      <w:r>
        <w:rPr>
          <w:rFonts w:hint="eastAsia" w:ascii="宋体" w:hAnsi="宋体" w:eastAsia="宋体" w:cs="宋体"/>
          <w:b w:val="0"/>
          <w:bCs/>
          <w:i/>
          <w:iCs/>
          <w:color w:val="000000" w:themeColor="text1"/>
          <w:sz w:val="24"/>
          <w:highlight w:val="none"/>
          <w:u w:val="single"/>
          <w:lang w:val="zh-CN"/>
          <w14:textFill>
            <w14:solidFill>
              <w14:schemeClr w14:val="tx1"/>
            </w14:solidFill>
          </w14:textFill>
        </w:rPr>
        <w:t>（本招标文件中斜体且有下划线部分为实质性要求和条件）。</w:t>
      </w:r>
    </w:p>
    <w:p w14:paraId="4DA6DC1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p>
    <w:p w14:paraId="2D6866B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27.1.9 投标文件含有采购人不能接受的附加条件的。</w:t>
      </w:r>
    </w:p>
    <w:p w14:paraId="705BCAD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27.1.10评审委员会启动异常低价投标（响应）审查的情形和具体要求：</w:t>
      </w:r>
    </w:p>
    <w:p w14:paraId="616DDF96">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报价低于全部通过符合性审查供应商</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报价平均值50%的，即</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报价</w:t>
      </w:r>
      <w:r>
        <w:rPr>
          <w:rFonts w:hint="eastAsia" w:ascii="宋体" w:hAnsi="宋体" w:eastAsia="宋体" w:cs="宋体"/>
          <w:bCs/>
          <w:color w:val="000000" w:themeColor="text1"/>
          <w:sz w:val="24"/>
          <w:highlight w:val="none"/>
          <w:lang w:val="zh-CN" w:eastAsia="zh-CN"/>
          <w14:textFill>
            <w14:solidFill>
              <w14:schemeClr w14:val="tx1"/>
            </w14:solidFill>
          </w14:textFill>
        </w:rPr>
        <w:t>〈</w:t>
      </w:r>
      <w:r>
        <w:rPr>
          <w:rFonts w:hint="eastAsia" w:ascii="宋体" w:hAnsi="宋体" w:eastAsia="宋体" w:cs="宋体"/>
          <w:bCs/>
          <w:color w:val="000000" w:themeColor="text1"/>
          <w:sz w:val="24"/>
          <w:highlight w:val="none"/>
          <w:lang w:val="zh-CN"/>
          <w14:textFill>
            <w14:solidFill>
              <w14:schemeClr w14:val="tx1"/>
            </w14:solidFill>
          </w14:textFill>
        </w:rPr>
        <w:t>全部通过符合性审查供应商</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报价平均值×50%；</w:t>
      </w:r>
    </w:p>
    <w:p w14:paraId="4086FED1">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报价低于通过符合性审查的次低报价供应商</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报价50%的，即</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报价</w:t>
      </w:r>
      <w:r>
        <w:rPr>
          <w:rFonts w:hint="eastAsia" w:ascii="宋体" w:hAnsi="宋体" w:eastAsia="宋体" w:cs="宋体"/>
          <w:bCs/>
          <w:color w:val="000000" w:themeColor="text1"/>
          <w:sz w:val="24"/>
          <w:highlight w:val="none"/>
          <w:lang w:val="zh-CN" w:eastAsia="zh-CN"/>
          <w14:textFill>
            <w14:solidFill>
              <w14:schemeClr w14:val="tx1"/>
            </w14:solidFill>
          </w14:textFill>
        </w:rPr>
        <w:t>〈</w:t>
      </w:r>
      <w:r>
        <w:rPr>
          <w:rFonts w:hint="eastAsia" w:ascii="宋体" w:hAnsi="宋体" w:eastAsia="宋体" w:cs="宋体"/>
          <w:bCs/>
          <w:color w:val="000000" w:themeColor="text1"/>
          <w:sz w:val="24"/>
          <w:highlight w:val="none"/>
          <w:lang w:val="zh-CN"/>
          <w14:textFill>
            <w14:solidFill>
              <w14:schemeClr w14:val="tx1"/>
            </w14:solidFill>
          </w14:textFill>
        </w:rPr>
        <w:t>通过符合性审查的次低报价供应商</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报价×50%；</w:t>
      </w:r>
    </w:p>
    <w:p w14:paraId="04FA5298">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（3）</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报价低于采购项目最高限价45%的，即</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报价</w:t>
      </w:r>
      <w:r>
        <w:rPr>
          <w:rFonts w:hint="eastAsia" w:ascii="宋体" w:hAnsi="宋体" w:eastAsia="宋体" w:cs="宋体"/>
          <w:bCs/>
          <w:color w:val="000000" w:themeColor="text1"/>
          <w:sz w:val="24"/>
          <w:highlight w:val="none"/>
          <w:lang w:val="zh-CN" w:eastAsia="zh-CN"/>
          <w14:textFill>
            <w14:solidFill>
              <w14:schemeClr w14:val="tx1"/>
            </w14:solidFill>
          </w14:textFill>
        </w:rPr>
        <w:t>〈</w:t>
      </w:r>
      <w:r>
        <w:rPr>
          <w:rFonts w:hint="eastAsia" w:ascii="宋体" w:hAnsi="宋体" w:eastAsia="宋体" w:cs="宋体"/>
          <w:bCs/>
          <w:color w:val="000000" w:themeColor="text1"/>
          <w:sz w:val="24"/>
          <w:highlight w:val="none"/>
          <w:lang w:val="zh-CN"/>
          <w14:textFill>
            <w14:solidFill>
              <w14:schemeClr w14:val="tx1"/>
            </w14:solidFill>
          </w14:textFill>
        </w:rPr>
        <w:t>采购项目最高限价×45%；</w:t>
      </w:r>
    </w:p>
    <w:p w14:paraId="1E747DFD">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（4）评审委员会基于专业判断，认为供应商报价过低，有可能影响产品质量或者不能诚信履约的其他情形。</w:t>
      </w:r>
    </w:p>
    <w:p w14:paraId="2AF71E5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（5）相关法律法规对供应商报价有规定的，从其规定。</w:t>
      </w:r>
    </w:p>
    <w:p w14:paraId="3B5BDA0D">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（6）评审委员会启动异常低价响应审查后，属于上述第（1）项至第（4）项情形的，应当要求相关供应商在评审现场合理的时间内对</w:t>
      </w:r>
      <w:r>
        <w:rPr>
          <w:rFonts w:hint="eastAsia" w:cs="宋体"/>
          <w:bCs/>
          <w:color w:val="000000" w:themeColor="text1"/>
          <w:sz w:val="24"/>
          <w:highlight w:val="none"/>
          <w:lang w:val="en-US" w:eastAsia="zh-CN"/>
          <w14:textFill>
            <w14:solidFill>
              <w14:schemeClr w14:val="tx1"/>
            </w14:solidFill>
          </w14:textFill>
        </w:rPr>
        <w:t>投标报价</w:t>
      </w:r>
      <w:r>
        <w:rPr>
          <w:rFonts w:hint="eastAsia" w:ascii="宋体" w:hAnsi="宋体" w:eastAsia="宋体" w:cs="宋体"/>
          <w:bCs/>
          <w:color w:val="000000" w:themeColor="text1"/>
          <w:sz w:val="24"/>
          <w:highlight w:val="none"/>
          <w:lang w:val="zh-CN"/>
          <w14:textFill>
            <w14:solidFill>
              <w14:schemeClr w14:val="tx1"/>
            </w14:solidFill>
          </w14:textFill>
        </w:rPr>
        <w:t>价格作出解释，提供项目具体成本测算等与报价合理性相关的书面说明及必要的证明材料，包括但不限于原材料成本、人工成本、制造费用等，给予相关供应商的合理时间一般不少于30分钟。其中，属于上述第（3）项情形，供应商已随响应文件一并提交相关书面说明及必要的证明材料的，在评审现场可不再重复提交。</w:t>
      </w:r>
    </w:p>
    <w:p w14:paraId="3FF0EF2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7）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1ABEA093">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AE5B69D">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（9）异常低价投标（响应）审查的启动原因、审查意见和审查结果应当在评审报告中记录，并随供应商提供的相关书面说明及证明材料，以及评审委员会有关互联网浏览、查询历史一并归档。</w:t>
      </w:r>
    </w:p>
    <w:p w14:paraId="55F95D6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27.1.11 投标文件未按照招标文件要求加盖CA电子公章的。</w:t>
      </w:r>
    </w:p>
    <w:p w14:paraId="1DB32D78">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27.1.12其他法律、法规及本招标文件规定的属无效投标的情形。</w:t>
      </w:r>
    </w:p>
    <w:p w14:paraId="6BB606D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27.2废标条款</w:t>
      </w:r>
    </w:p>
    <w:p w14:paraId="4A6B1D8A">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27.2.1符合专业条件的供应商或者对招标文件作实质响应的供应商不足三家</w:t>
      </w:r>
    </w:p>
    <w:p w14:paraId="78E23F68">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27.2.2出现影响采购公正的违法、违规行为的。</w:t>
      </w:r>
    </w:p>
    <w:p w14:paraId="5A181A33">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27.2.3因重大变故，采购任务取消的。</w:t>
      </w:r>
    </w:p>
    <w:p w14:paraId="4C8ECF0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27.2.4评标委员会认定招标文件存在歧义、重大缺陷导致评审工作无法进行。</w:t>
      </w:r>
    </w:p>
    <w:p w14:paraId="0762DE05">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27.2.5 因苏采云系统系统故障原因造成开标不成功的。</w:t>
      </w:r>
    </w:p>
    <w:p w14:paraId="230CE780">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27.3 投标截止时间结束后参加投标的供应商不足三家的处理：</w:t>
      </w:r>
    </w:p>
    <w:p w14:paraId="645513AB">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27.3.1如出现投标截止时间结束后参加投标的供应商或者在评标期间对招标文件做出实质响应的供应商不足三家情况，按政府采购相关规定执行。</w:t>
      </w:r>
    </w:p>
    <w:p w14:paraId="5EC6ED15">
      <w:pPr>
        <w:pStyle w:val="15"/>
        <w:spacing w:before="145" w:after="145" w:line="360" w:lineRule="auto"/>
        <w:ind w:firstLine="1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六、定标</w:t>
      </w:r>
    </w:p>
    <w:p w14:paraId="4F70214E">
      <w:pPr>
        <w:spacing w:line="500" w:lineRule="exact"/>
        <w:ind w:firstLine="482" w:firstLineChars="200"/>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28、确定中标单位</w:t>
      </w:r>
    </w:p>
    <w:p w14:paraId="19C7AF3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28.1中标候选人的选取原则和数量见招标文件第五章规定。 </w:t>
      </w:r>
    </w:p>
    <w:p w14:paraId="339EB78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28.2 采购人应根据评委会推荐的中标候选人确定中标人。</w:t>
      </w:r>
    </w:p>
    <w:p w14:paraId="64F001E8">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28.3 代理机构将在“江苏政府采购网”、“扬州市政府采购网”发布中标公告，公告期限为1个工作日。</w:t>
      </w:r>
    </w:p>
    <w:p w14:paraId="34521ECD">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28.4  若有充分证据证明，中标人出现下列情况之一的，一经查实，将被取消中标资格：</w:t>
      </w:r>
    </w:p>
    <w:p w14:paraId="07B056CB">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28.4.1提供虚假材料谋取中标的。</w:t>
      </w:r>
    </w:p>
    <w:p w14:paraId="68E4F695">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28.4.2向采购人、代理机构行贿或者提供其他不正当利益的。</w:t>
      </w:r>
    </w:p>
    <w:p w14:paraId="0CF36960">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28.4.3属于本文件规定的无效条件，但在评标过程中又未被评委会发现的。</w:t>
      </w:r>
    </w:p>
    <w:p w14:paraId="23EBDE3E">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28.4.4与采购人或者其他供应商恶意串通的。</w:t>
      </w:r>
    </w:p>
    <w:p w14:paraId="0A9379C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28.4.5采取不正当手段诋毁、排挤其他供应商的。</w:t>
      </w:r>
    </w:p>
    <w:p w14:paraId="5991AC7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28.5 有下列情形之一的，视为投标人串通投标，投标无效：</w:t>
      </w:r>
    </w:p>
    <w:p w14:paraId="584272C6">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28.5.1不同投标人的投标文件由同一单位或者个人编制。</w:t>
      </w:r>
    </w:p>
    <w:p w14:paraId="6FE467B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28.5.2不同投标人委托同一单位或者个人办理投标事宜。</w:t>
      </w:r>
    </w:p>
    <w:p w14:paraId="397A512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28.5.3 不同投标人的投标文件载明的项目管理成员或者联系人员为同一人。</w:t>
      </w:r>
    </w:p>
    <w:p w14:paraId="2DFEF2FE">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28.5.4不同投标人的投标文件异常一致或者投标报价呈规律性差异。</w:t>
      </w:r>
    </w:p>
    <w:p w14:paraId="23BD363E">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29、质疑处理</w:t>
      </w:r>
    </w:p>
    <w:p w14:paraId="4B84AF30">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29.1 提出质疑的供应商应当是参与所质疑项目采购活动的供应商。潜在供应商依法获取其可质疑的采购文件的，可以对采购文件提出质疑。</w:t>
      </w:r>
    </w:p>
    <w:p w14:paraId="1FBA6F8A">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p>
    <w:p w14:paraId="0D826A51">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29.2.1对可以质疑的采购文件提出质疑的，为收到采购文件之日或者采购文件公告期限届满之日；</w:t>
      </w:r>
    </w:p>
    <w:p w14:paraId="69EB73C4">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29.2.2对采购过程提出质疑的，为各采购程序环节结束之日；</w:t>
      </w:r>
    </w:p>
    <w:p w14:paraId="4DB942F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29.2.3对中标或者成交结果提出质疑的，为中标或者成交结果公告期限届满之日。</w:t>
      </w:r>
    </w:p>
    <w:p w14:paraId="64322A80">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供应商应当在法定质疑期内一次性提出针对同一采购程序环节的质疑。供应商如在法定期限内对同一采购程序环节提出多次质疑的，代理机构、采购人将只对供应商第一次质疑作出答复。</w:t>
      </w:r>
    </w:p>
    <w:p w14:paraId="5079922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29.3质疑函必须按照本招标文件中《质疑函范本》要求的格式和内容进行填写。供应商如组成联合体参加投标，则《质疑函范本》中要求签字、盖章、加盖公章之处，联合体各方均须按要求签字、盖章、加盖公章。</w:t>
      </w:r>
    </w:p>
    <w:p w14:paraId="7EC4EEC1">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 </w:t>
      </w:r>
    </w:p>
    <w:p w14:paraId="0D9A2760">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供应商（含潜在供应商）对与本项目有关的所有询问、质疑均请向采购人提出，由采购人负责答复。</w:t>
      </w:r>
    </w:p>
    <w:p w14:paraId="01F7498A">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采购人及代理机构只接收以纸质原件形式送达的质疑,建议供应商尽量通过邮寄方式提交质疑（采购人和代理机构不接受未填写快递运单的快件）。</w:t>
      </w:r>
    </w:p>
    <w:p w14:paraId="08E58FCA">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代理机构质疑接受人及联系方式详见招标文件第一章。</w:t>
      </w:r>
    </w:p>
    <w:p w14:paraId="5B7FFA56">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采购人质疑接收人及联系方式见招标文件第一章。</w:t>
      </w:r>
    </w:p>
    <w:p w14:paraId="398A5DF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29.5 以下情形的质疑不予受理</w:t>
      </w:r>
    </w:p>
    <w:p w14:paraId="53A6AF22">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29.5.1 内容不符合《政府采购质疑和投诉办法》第十二条规定的质疑。</w:t>
      </w:r>
    </w:p>
    <w:p w14:paraId="542ECC05">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29.5.2 超出政府采购法定期限的质疑。</w:t>
      </w:r>
    </w:p>
    <w:p w14:paraId="5C6F690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29.5.3 以传真、电子邮件等方式递交的非原件形式的质疑。</w:t>
      </w:r>
    </w:p>
    <w:p w14:paraId="5635BF08">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29.5.4 未参加投标活动的供应商或在投标活动中自身权益未受到损害的供应商所提出的质疑。</w:t>
      </w:r>
    </w:p>
    <w:p w14:paraId="457316C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29.5.5供应商组成联合体参加投标，联合体中任何一方或多方未按要求签字、盖章、加盖公章的质疑。</w:t>
      </w:r>
    </w:p>
    <w:p w14:paraId="7780AF80">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617C9F5F">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30、中标通知书</w:t>
      </w:r>
    </w:p>
    <w:p w14:paraId="161AFBAA">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30.</w:t>
      </w:r>
      <w:r>
        <w:rPr>
          <w:rFonts w:hint="eastAsia" w:ascii="宋体" w:hAnsi="宋体" w:eastAsia="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lang w:val="zh-CN"/>
          <w14:textFill>
            <w14:solidFill>
              <w14:schemeClr w14:val="tx1"/>
            </w14:solidFill>
          </w14:textFill>
        </w:rPr>
        <w:t xml:space="preserve">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1C348F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30.2中标通知书将是合同的一个组成部分。对采购人和中标人均具有法律效力。中标通知书发出后，采购人改变中标结果的，或者中标人放弃中标项目的，应当依法承担法律责任。</w:t>
      </w:r>
    </w:p>
    <w:p w14:paraId="36E4C96A">
      <w:pPr>
        <w:pStyle w:val="15"/>
        <w:spacing w:before="145" w:after="145" w:line="360" w:lineRule="auto"/>
        <w:ind w:firstLine="1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七、授予合同</w:t>
      </w:r>
    </w:p>
    <w:p w14:paraId="3BA85DDB">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31. 签订合同</w:t>
      </w:r>
    </w:p>
    <w:p w14:paraId="0B584016">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31.</w:t>
      </w:r>
      <w:r>
        <w:rPr>
          <w:rFonts w:hint="eastAsia" w:ascii="宋体" w:hAnsi="宋体" w:eastAsia="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lang w:val="zh-CN"/>
          <w14:textFill>
            <w14:solidFill>
              <w14:schemeClr w14:val="tx1"/>
            </w14:solidFill>
          </w14:textFill>
        </w:rPr>
        <w:t>中标人应当在中标通知书发出之日起</w:t>
      </w:r>
      <w:r>
        <w:rPr>
          <w:rFonts w:hint="eastAsia" w:ascii="宋体" w:hAnsi="宋体" w:eastAsia="宋体" w:cs="宋体"/>
          <w:bCs/>
          <w:color w:val="000000" w:themeColor="text1"/>
          <w:sz w:val="24"/>
          <w:highlight w:val="none"/>
          <w:lang w:val="en-US" w:eastAsia="zh-CN"/>
          <w14:textFill>
            <w14:solidFill>
              <w14:schemeClr w14:val="tx1"/>
            </w14:solidFill>
          </w14:textFill>
        </w:rPr>
        <w:t>十五</w:t>
      </w:r>
      <w:r>
        <w:rPr>
          <w:rFonts w:hint="eastAsia" w:ascii="宋体" w:hAnsi="宋体" w:eastAsia="宋体" w:cs="宋体"/>
          <w:bCs/>
          <w:color w:val="000000" w:themeColor="text1"/>
          <w:sz w:val="24"/>
          <w:highlight w:val="none"/>
          <w:lang w:val="zh-CN"/>
          <w14:textFill>
            <w14:solidFill>
              <w14:schemeClr w14:val="tx1"/>
            </w14:solidFill>
          </w14:textFill>
        </w:rPr>
        <w:t>日内，按照招标文件确定的事项与采购人签订政府采购合同。</w:t>
      </w:r>
    </w:p>
    <w:p w14:paraId="458C4C5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31.2 招标文件、中标人的投标文件及招标过程中有关澄清、承诺文件均应作为合同附件。</w:t>
      </w:r>
    </w:p>
    <w:p w14:paraId="621CBF8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31.3 签订合同后，</w:t>
      </w:r>
      <w:r>
        <w:rPr>
          <w:rFonts w:hint="eastAsia" w:ascii="宋体" w:hAnsi="宋体" w:eastAsia="宋体" w:cs="宋体"/>
          <w:bCs/>
          <w:i/>
          <w:iCs/>
          <w:color w:val="000000" w:themeColor="text1"/>
          <w:sz w:val="24"/>
          <w:highlight w:val="none"/>
          <w:u w:val="single"/>
          <w:lang w:val="zh-CN"/>
          <w14:textFill>
            <w14:solidFill>
              <w14:schemeClr w14:val="tx1"/>
            </w14:solidFill>
          </w14:textFill>
        </w:rPr>
        <w:t>中标人不得将合同标的进行转包。</w:t>
      </w:r>
      <w:r>
        <w:rPr>
          <w:rFonts w:hint="eastAsia" w:ascii="宋体" w:hAnsi="宋体" w:eastAsia="宋体" w:cs="宋体"/>
          <w:bCs/>
          <w:color w:val="000000" w:themeColor="text1"/>
          <w:sz w:val="24"/>
          <w:highlight w:val="none"/>
          <w:lang w:val="zh-CN"/>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588AE7A1">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32、政府采购履约资金扶持政策</w:t>
      </w:r>
    </w:p>
    <w:p w14:paraId="2B1EF343">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中标人可凭政府采购合同办理融资贷款，详情请见江苏政府采购网、扬州市政府采购网“政采贷”专栏。</w:t>
      </w:r>
    </w:p>
    <w:bookmarkEnd w:id="49"/>
    <w:bookmarkEnd w:id="50"/>
    <w:bookmarkEnd w:id="51"/>
    <w:bookmarkEnd w:id="52"/>
    <w:bookmarkEnd w:id="53"/>
    <w:p w14:paraId="2EAE9F73">
      <w:pPr>
        <w:rPr>
          <w:rFonts w:hint="eastAsia"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br w:type="page"/>
      </w:r>
    </w:p>
    <w:p w14:paraId="43378310">
      <w:pPr>
        <w:pStyle w:val="14"/>
        <w:ind w:firstLine="2640" w:firstLineChars="600"/>
        <w:jc w:val="both"/>
        <w:rPr>
          <w:rFonts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t>第三章  合同文本</w:t>
      </w:r>
    </w:p>
    <w:p w14:paraId="3EA70194">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以下为中标后签定本项目合同的通用条款，中标人不得提出实质性的修改，关于专用条款将由采购人与中标人结合本项目具体情况协商后签订。</w:t>
      </w:r>
    </w:p>
    <w:p w14:paraId="0AE2EF89">
      <w:pPr>
        <w:spacing w:line="500" w:lineRule="exact"/>
        <w:ind w:firstLine="602" w:firstLineChars="200"/>
        <w:jc w:val="center"/>
        <w:rPr>
          <w:rFonts w:hint="eastAsia" w:ascii="宋体" w:hAnsi="宋体" w:eastAsia="宋体" w:cs="宋体"/>
          <w:b/>
          <w:bCs w:val="0"/>
          <w:color w:val="000000" w:themeColor="text1"/>
          <w:sz w:val="30"/>
          <w:szCs w:val="30"/>
          <w:highlight w:val="none"/>
          <w:lang w:val="zh-CN"/>
          <w14:textFill>
            <w14:solidFill>
              <w14:schemeClr w14:val="tx1"/>
            </w14:solidFill>
          </w14:textFill>
        </w:rPr>
      </w:pPr>
      <w:r>
        <w:rPr>
          <w:rFonts w:hint="eastAsia" w:ascii="宋体" w:hAnsi="宋体" w:eastAsia="宋体" w:cs="宋体"/>
          <w:b/>
          <w:bCs w:val="0"/>
          <w:color w:val="000000" w:themeColor="text1"/>
          <w:sz w:val="30"/>
          <w:szCs w:val="30"/>
          <w:highlight w:val="none"/>
          <w:lang w:val="zh-CN"/>
          <w14:textFill>
            <w14:solidFill>
              <w14:schemeClr w14:val="tx1"/>
            </w14:solidFill>
          </w14:textFill>
        </w:rPr>
        <w:t>江苏省政府采购合同（</w:t>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服务</w:t>
      </w:r>
      <w:r>
        <w:rPr>
          <w:rFonts w:hint="eastAsia" w:ascii="宋体" w:hAnsi="宋体" w:eastAsia="宋体" w:cs="宋体"/>
          <w:b/>
          <w:bCs w:val="0"/>
          <w:color w:val="000000" w:themeColor="text1"/>
          <w:sz w:val="30"/>
          <w:szCs w:val="30"/>
          <w:highlight w:val="none"/>
          <w:lang w:val="zh-CN"/>
          <w14:textFill>
            <w14:solidFill>
              <w14:schemeClr w14:val="tx1"/>
            </w14:solidFill>
          </w14:textFill>
        </w:rPr>
        <w:t>）</w:t>
      </w:r>
    </w:p>
    <w:p w14:paraId="5B6E2BE5">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项目名称：</w:t>
      </w:r>
      <w:r>
        <w:rPr>
          <w:rFonts w:hint="eastAsia" w:cs="宋体"/>
          <w:bCs/>
          <w:color w:val="000000" w:themeColor="text1"/>
          <w:sz w:val="24"/>
          <w:highlight w:val="none"/>
          <w:lang w:val="zh-CN" w:eastAsia="zh-CN"/>
          <w14:textFill>
            <w14:solidFill>
              <w14:schemeClr w14:val="tx1"/>
            </w14:solidFill>
          </w14:textFill>
        </w:rPr>
        <w:t>宝应县公安局交通管理大队执法专用停车场服务项目（二次）</w:t>
      </w:r>
    </w:p>
    <w:p w14:paraId="3F672382">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项目编号：</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p>
    <w:p w14:paraId="51276357">
      <w:pPr>
        <w:spacing w:line="500" w:lineRule="exact"/>
        <w:ind w:firstLine="480" w:firstLineChars="200"/>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甲方：（买方）</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p>
    <w:p w14:paraId="1CB5203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乙方：（卖方）</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                        </w:t>
      </w:r>
    </w:p>
    <w:p w14:paraId="3A9BF812">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见证方：</w:t>
      </w:r>
      <w:r>
        <w:rPr>
          <w:rFonts w:hint="eastAsia" w:ascii="宋体" w:hAnsi="宋体" w:eastAsia="宋体" w:cs="宋体"/>
          <w:bCs/>
          <w:color w:val="000000" w:themeColor="text1"/>
          <w:sz w:val="24"/>
          <w:highlight w:val="none"/>
          <w:u w:val="single"/>
          <w:lang w:val="zh-CN"/>
          <w14:textFill>
            <w14:solidFill>
              <w14:schemeClr w14:val="tx1"/>
            </w14:solidFill>
          </w14:textFill>
        </w:rPr>
        <w:t>江苏江南工程管理咨询有限公司</w:t>
      </w:r>
    </w:p>
    <w:p w14:paraId="617495E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甲、乙双方根据 </w:t>
      </w:r>
      <w:r>
        <w:rPr>
          <w:rFonts w:hint="eastAsia" w:cs="宋体"/>
          <w:bCs/>
          <w:color w:val="000000" w:themeColor="text1"/>
          <w:sz w:val="24"/>
          <w:highlight w:val="none"/>
          <w:lang w:val="zh-CN" w:eastAsia="zh-CN"/>
          <w14:textFill>
            <w14:solidFill>
              <w14:schemeClr w14:val="tx1"/>
            </w14:solidFill>
          </w14:textFill>
        </w:rPr>
        <w:t>宝应县公安局交通管理大队执法专用停车场服务项目（二次）</w:t>
      </w:r>
      <w:r>
        <w:rPr>
          <w:rFonts w:hint="eastAsia" w:ascii="宋体" w:hAnsi="宋体" w:eastAsia="宋体" w:cs="宋体"/>
          <w:bCs/>
          <w:color w:val="000000" w:themeColor="text1"/>
          <w:sz w:val="24"/>
          <w:highlight w:val="none"/>
          <w:lang w:val="en-US" w:eastAsia="zh-CN"/>
          <w14:textFill>
            <w14:solidFill>
              <w14:schemeClr w14:val="tx1"/>
            </w14:solidFill>
          </w14:textFill>
        </w:rPr>
        <w:t>公开招标</w:t>
      </w:r>
      <w:r>
        <w:rPr>
          <w:rFonts w:hint="eastAsia" w:ascii="宋体" w:hAnsi="宋体" w:eastAsia="宋体" w:cs="宋体"/>
          <w:bCs/>
          <w:color w:val="000000" w:themeColor="text1"/>
          <w:sz w:val="24"/>
          <w:highlight w:val="none"/>
          <w:lang w:val="zh-CN"/>
          <w14:textFill>
            <w14:solidFill>
              <w14:schemeClr w14:val="tx1"/>
            </w14:solidFill>
          </w14:textFill>
        </w:rPr>
        <w:t>结果，根据《中华人民共和国民法典》 及国家相关法规规定，为明确双方责任，保证项目的顺利完成，签订本合同，共同遵守。</w:t>
      </w:r>
    </w:p>
    <w:p w14:paraId="507BE6E3">
      <w:pPr>
        <w:spacing w:line="500" w:lineRule="exact"/>
        <w:ind w:firstLine="482" w:firstLineChars="200"/>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1、合同标的</w:t>
      </w:r>
    </w:p>
    <w:p w14:paraId="32056741">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乙方根据甲方需求，提供下列服务：</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w:t>
      </w:r>
    </w:p>
    <w:p w14:paraId="1BAD3C5D">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2、合同总金额</w:t>
      </w:r>
    </w:p>
    <w:p w14:paraId="5062280E">
      <w:pPr>
        <w:spacing w:line="500" w:lineRule="exact"/>
        <w:ind w:firstLine="480" w:firstLineChars="2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2.1 本合同金额为 (大写) ：</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元人民币 (¥</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 xml:space="preserve">元) </w:t>
      </w:r>
      <w:r>
        <w:rPr>
          <w:rFonts w:hint="eastAsia" w:ascii="宋体" w:hAnsi="宋体" w:eastAsia="宋体" w:cs="宋体"/>
          <w:color w:val="000000" w:themeColor="text1"/>
          <w:sz w:val="20"/>
          <w:szCs w:val="20"/>
          <w:highlight w:val="none"/>
          <w14:textFill>
            <w14:solidFill>
              <w14:schemeClr w14:val="tx1"/>
            </w14:solidFill>
          </w14:textFill>
        </w:rPr>
        <w:t>。</w:t>
      </w:r>
    </w:p>
    <w:p w14:paraId="65B10E33">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2.2 本合同总金额包括乙方提供的服务及其他有关的为完成本项目发生的所有费用，</w:t>
      </w:r>
      <w:r>
        <w:rPr>
          <w:rFonts w:hint="eastAsia" w:ascii="宋体" w:hAnsi="宋体" w:eastAsia="宋体" w:cs="宋体"/>
          <w:bCs/>
          <w:color w:val="000000" w:themeColor="text1"/>
          <w:sz w:val="24"/>
          <w:highlight w:val="none"/>
          <w:lang w:val="en-US" w:eastAsia="zh-CN"/>
          <w14:textFill>
            <w14:solidFill>
              <w14:schemeClr w14:val="tx1"/>
            </w14:solidFill>
          </w14:textFill>
        </w:rPr>
        <w:t>招标</w:t>
      </w:r>
      <w:r>
        <w:rPr>
          <w:rFonts w:hint="eastAsia" w:ascii="宋体" w:hAnsi="宋体" w:eastAsia="宋体" w:cs="宋体"/>
          <w:bCs/>
          <w:color w:val="000000" w:themeColor="text1"/>
          <w:sz w:val="24"/>
          <w:highlight w:val="none"/>
          <w:lang w:val="zh-CN"/>
          <w14:textFill>
            <w14:solidFill>
              <w14:schemeClr w14:val="tx1"/>
            </w14:solidFill>
          </w14:textFill>
        </w:rPr>
        <w:t>文件中另有规定的除外。</w:t>
      </w:r>
    </w:p>
    <w:p w14:paraId="5CE607FE">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2.3 在</w:t>
      </w:r>
      <w:r>
        <w:rPr>
          <w:rFonts w:hint="eastAsia" w:ascii="宋体" w:hAnsi="宋体" w:eastAsia="宋体" w:cs="宋体"/>
          <w:bCs/>
          <w:color w:val="000000" w:themeColor="text1"/>
          <w:sz w:val="24"/>
          <w:highlight w:val="none"/>
          <w:lang w:val="en-US" w:eastAsia="zh-CN"/>
          <w14:textFill>
            <w14:solidFill>
              <w14:schemeClr w14:val="tx1"/>
            </w14:solidFill>
          </w14:textFill>
        </w:rPr>
        <w:t>招标</w:t>
      </w:r>
      <w:r>
        <w:rPr>
          <w:rFonts w:hint="eastAsia" w:ascii="宋体" w:hAnsi="宋体" w:eastAsia="宋体" w:cs="宋体"/>
          <w:bCs/>
          <w:color w:val="000000" w:themeColor="text1"/>
          <w:sz w:val="24"/>
          <w:highlight w:val="none"/>
          <w:lang w:val="zh-CN"/>
          <w14:textFill>
            <w14:solidFill>
              <w14:schemeClr w14:val="tx1"/>
            </w14:solidFill>
          </w14:textFill>
        </w:rPr>
        <w:t>文件未列明，而乙方认为履行本合同必需的费用也包含在合同总金额中。</w:t>
      </w:r>
    </w:p>
    <w:p w14:paraId="5A5D700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2.4 本合同总金额还包含乙方提供的伴随服务/售后服务费用。</w:t>
      </w:r>
    </w:p>
    <w:p w14:paraId="1E5DD871">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2.5 本合同签订后：甲方需追加与合同标的相同的服务，在不改变合同其他条款的前提下，可以与乙方协商签订补充合同，但所有补充合同的增加的金额不超过原合同金额的 10%； 甲方若由于各种客观原因，必须对采购项目所牵涉的服务进行适当的减少时，在与乙方协商一致后，可以按照</w:t>
      </w:r>
      <w:r>
        <w:rPr>
          <w:rFonts w:hint="eastAsia" w:ascii="宋体" w:hAnsi="宋体" w:eastAsia="宋体" w:cs="宋体"/>
          <w:bCs/>
          <w:color w:val="000000" w:themeColor="text1"/>
          <w:sz w:val="24"/>
          <w:highlight w:val="none"/>
          <w:lang w:val="en-US" w:eastAsia="zh-CN"/>
          <w14:textFill>
            <w14:solidFill>
              <w14:schemeClr w14:val="tx1"/>
            </w14:solidFill>
          </w14:textFill>
        </w:rPr>
        <w:t>招标</w:t>
      </w:r>
      <w:r>
        <w:rPr>
          <w:rFonts w:hint="eastAsia" w:ascii="宋体" w:hAnsi="宋体" w:eastAsia="宋体" w:cs="宋体"/>
          <w:bCs/>
          <w:color w:val="000000" w:themeColor="text1"/>
          <w:sz w:val="24"/>
          <w:highlight w:val="none"/>
          <w:lang w:val="zh-CN"/>
          <w14:textFill>
            <w14:solidFill>
              <w14:schemeClr w14:val="tx1"/>
            </w14:solidFill>
          </w14:textFill>
        </w:rPr>
        <w:t>采购时的价格水平做相应的调减，并据此签订补充合同；除上述情况外，本合同执行期间合同总金额不变。</w:t>
      </w:r>
    </w:p>
    <w:p w14:paraId="0999FE61">
      <w:pPr>
        <w:spacing w:line="500" w:lineRule="exact"/>
        <w:ind w:firstLine="482" w:firstLineChars="200"/>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3、组成本合同的有关文件</w:t>
      </w:r>
    </w:p>
    <w:p w14:paraId="42ACC2BD">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3.1 乙方应按</w:t>
      </w:r>
      <w:r>
        <w:rPr>
          <w:rFonts w:hint="eastAsia" w:ascii="宋体" w:hAnsi="宋体" w:eastAsia="宋体" w:cs="宋体"/>
          <w:bCs/>
          <w:color w:val="000000" w:themeColor="text1"/>
          <w:sz w:val="24"/>
          <w:highlight w:val="none"/>
          <w:lang w:val="en-US" w:eastAsia="zh-CN"/>
          <w14:textFill>
            <w14:solidFill>
              <w14:schemeClr w14:val="tx1"/>
            </w14:solidFill>
          </w14:textFill>
        </w:rPr>
        <w:t>招标</w:t>
      </w:r>
      <w:r>
        <w:rPr>
          <w:rFonts w:hint="eastAsia" w:ascii="宋体" w:hAnsi="宋体" w:eastAsia="宋体" w:cs="宋体"/>
          <w:bCs/>
          <w:color w:val="000000" w:themeColor="text1"/>
          <w:sz w:val="24"/>
          <w:highlight w:val="none"/>
          <w:lang w:val="zh-CN"/>
          <w14:textFill>
            <w14:solidFill>
              <w14:schemeClr w14:val="tx1"/>
            </w14:solidFill>
          </w14:textFill>
        </w:rPr>
        <w:t>文件规定的时间向甲方提供服务的有关技术资料。</w:t>
      </w:r>
    </w:p>
    <w:p w14:paraId="5CAEBC53">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3.2 没有甲方事先书面同意，乙方不得将由甲方提供的有关合同或任何合同条文或资料提供给任何其他人。即使向履行本合同有关的人员提供，也应注意保密并限于履行合同的必需范围。</w:t>
      </w:r>
    </w:p>
    <w:p w14:paraId="580C68B9">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3.3 关于本项目政府采购的招投标文件或与本次采购活动方式相适应的文件及有关附件是本合同不可分割的组成部分，这些文件包括但不限于</w:t>
      </w:r>
      <w:r>
        <w:rPr>
          <w:rFonts w:hint="eastAsia" w:ascii="宋体" w:hAnsi="宋体" w:eastAsia="宋体" w:cs="宋体"/>
          <w:bCs/>
          <w:color w:val="000000" w:themeColor="text1"/>
          <w:sz w:val="24"/>
          <w:highlight w:val="none"/>
          <w:lang w:val="zh-CN" w:eastAsia="zh-CN"/>
          <w14:textFill>
            <w14:solidFill>
              <w14:schemeClr w14:val="tx1"/>
            </w14:solidFill>
          </w14:textFill>
        </w:rPr>
        <w:t>：</w:t>
      </w:r>
    </w:p>
    <w:p w14:paraId="0C84991A">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 投标响应文件；</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(2) 投标报价文件；</w:t>
      </w:r>
    </w:p>
    <w:p w14:paraId="763FC83E">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(3) 项目组人员表</w:t>
      </w:r>
      <w:r>
        <w:rPr>
          <w:rFonts w:hint="eastAsia" w:ascii="宋体" w:hAnsi="宋体" w:eastAsia="宋体" w:cs="宋体"/>
          <w:bCs/>
          <w:color w:val="000000" w:themeColor="text1"/>
          <w:sz w:val="24"/>
          <w:highlight w:val="none"/>
          <w:lang w:val="zh-CN" w:eastAsia="zh-CN"/>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(4) 技术参数、商务条款响应及偏离表；</w:t>
      </w:r>
    </w:p>
    <w:p w14:paraId="0D7E939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(5) 服务承诺；</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(6) 成交通知书；</w:t>
      </w:r>
    </w:p>
    <w:p w14:paraId="5BAC9434">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(7) 甲乙双方补充协议；</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(8) 乙方投标时提供的响应文件；</w:t>
      </w:r>
    </w:p>
    <w:p w14:paraId="7F9E4F9E">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4、知识产权保证</w:t>
      </w:r>
    </w:p>
    <w:p w14:paraId="2C1F0B70">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乙方保证甲方在使用、接受本合同服务或其任何一部分时，不受第三方提出侵犯其专利权、版权、商标权和工业设计权等知识产权的起诉。一旦出现侵权，由乙方负全部责任。</w:t>
      </w:r>
    </w:p>
    <w:p w14:paraId="285866A8">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5、产权保证</w:t>
      </w:r>
    </w:p>
    <w:p w14:paraId="6803739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乙方保证所交付的服务和服务所涉及的物品所有权无任何抵押、查封等权利瑕疵。</w:t>
      </w:r>
    </w:p>
    <w:p w14:paraId="5706D526">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6、履约保证金</w:t>
      </w:r>
    </w:p>
    <w:p w14:paraId="579F70B1">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双方签订合同后5日内，乙方可以自主选择支票、汇票、本票、保函等非现金形式缴纳中标金额的</w:t>
      </w:r>
      <w:r>
        <w:rPr>
          <w:rFonts w:hint="eastAsia" w:ascii="宋体" w:hAnsi="宋体" w:eastAsia="宋体" w:cs="宋体"/>
          <w:bCs/>
          <w:color w:val="000000" w:themeColor="text1"/>
          <w:sz w:val="24"/>
          <w:highlight w:val="none"/>
          <w:u w:val="single"/>
          <w:lang w:val="zh-CN"/>
          <w14:textFill>
            <w14:solidFill>
              <w14:schemeClr w14:val="tx1"/>
            </w14:solidFill>
          </w14:textFill>
        </w:rPr>
        <w:t>10%</w:t>
      </w:r>
      <w:r>
        <w:rPr>
          <w:rFonts w:hint="eastAsia" w:ascii="宋体" w:hAnsi="宋体" w:eastAsia="宋体" w:cs="宋体"/>
          <w:bCs/>
          <w:color w:val="000000" w:themeColor="text1"/>
          <w:sz w:val="24"/>
          <w:highlight w:val="none"/>
          <w:lang w:val="zh-CN"/>
          <w14:textFill>
            <w14:solidFill>
              <w14:schemeClr w14:val="tx1"/>
            </w14:solidFill>
          </w14:textFill>
        </w:rPr>
        <w:t>作为本合同的履约保证金。</w:t>
      </w:r>
    </w:p>
    <w:p w14:paraId="3746D34F">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6.1合同履行结束后，甲方应及时退还缴纳的履约保证金。</w:t>
      </w:r>
      <w:r>
        <w:rPr>
          <w:rFonts w:hint="eastAsia" w:ascii="宋体" w:hAnsi="宋体" w:eastAsia="宋体" w:cs="宋体"/>
          <w:bCs/>
          <w:color w:val="000000" w:themeColor="text1"/>
          <w:sz w:val="24"/>
          <w:highlight w:val="none"/>
          <w:lang w:val="en-US" w:eastAsia="zh-CN"/>
          <w14:textFill>
            <w14:solidFill>
              <w14:schemeClr w14:val="tx1"/>
            </w14:solidFill>
          </w14:textFill>
        </w:rPr>
        <w:br w:type="textWrapping"/>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en-US" w:eastAsia="zh-CN"/>
          <w14:textFill>
            <w14:solidFill>
              <w14:schemeClr w14:val="tx1"/>
            </w14:solidFill>
          </w14:textFill>
        </w:rPr>
        <w:t>6.2履约保证金退还方式：按照乙方缴纳的方式进行退还。</w:t>
      </w:r>
    </w:p>
    <w:p w14:paraId="1CD13B8D">
      <w:pPr>
        <w:spacing w:line="500" w:lineRule="exact"/>
        <w:ind w:firstLine="480" w:firstLineChars="200"/>
        <w:rPr>
          <w:rFonts w:hint="eastAsia" w:ascii="宋体" w:hAnsi="宋体" w:eastAsia="宋体" w:cs="宋体"/>
          <w:bCs/>
          <w:color w:val="000000" w:themeColor="text1"/>
          <w:sz w:val="24"/>
          <w:highlight w:val="none"/>
          <w:lang w:val="zh-CN"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6.3履约保证金退还时间：项目验收合格后15日内。</w:t>
      </w:r>
      <w:r>
        <w:rPr>
          <w:rFonts w:hint="eastAsia" w:ascii="宋体" w:hAnsi="宋体" w:eastAsia="宋体" w:cs="宋体"/>
          <w:bCs/>
          <w:color w:val="000000" w:themeColor="text1"/>
          <w:sz w:val="24"/>
          <w:highlight w:val="none"/>
          <w:lang w:val="en-US" w:eastAsia="zh-CN"/>
          <w14:textFill>
            <w14:solidFill>
              <w14:schemeClr w14:val="tx1"/>
            </w14:solidFill>
          </w14:textFill>
        </w:rPr>
        <w:br w:type="textWrapping"/>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en-US" w:eastAsia="zh-CN"/>
          <w14:textFill>
            <w14:solidFill>
              <w14:schemeClr w14:val="tx1"/>
            </w14:solidFill>
          </w14:textFill>
        </w:rPr>
        <w:t>6.4履约保证金退还条件：乙方在履约期间未给甲方造成损失或造成的损失经扣除后存有结余的。</w:t>
      </w:r>
      <w:r>
        <w:rPr>
          <w:rFonts w:hint="eastAsia" w:ascii="宋体" w:hAnsi="宋体" w:eastAsia="宋体" w:cs="宋体"/>
          <w:bCs/>
          <w:color w:val="000000" w:themeColor="text1"/>
          <w:sz w:val="24"/>
          <w:highlight w:val="none"/>
          <w:lang w:val="en-US" w:eastAsia="zh-CN"/>
          <w14:textFill>
            <w14:solidFill>
              <w14:schemeClr w14:val="tx1"/>
            </w14:solidFill>
          </w14:textFill>
        </w:rPr>
        <w:br w:type="textWrapping"/>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en-US" w:eastAsia="zh-CN"/>
          <w14:textFill>
            <w14:solidFill>
              <w14:schemeClr w14:val="tx1"/>
            </w14:solidFill>
          </w14:textFill>
        </w:rPr>
        <w:t>6.5履约保证金不予退还的情形：履约保证金额不足以弥补乙方违约造成甲方损失的。</w:t>
      </w:r>
      <w:r>
        <w:rPr>
          <w:rFonts w:hint="eastAsia" w:ascii="宋体" w:hAnsi="宋体" w:eastAsia="宋体" w:cs="宋体"/>
          <w:bCs/>
          <w:color w:val="000000" w:themeColor="text1"/>
          <w:sz w:val="24"/>
          <w:highlight w:val="none"/>
          <w:lang w:val="en-US" w:eastAsia="zh-CN"/>
          <w14:textFill>
            <w14:solidFill>
              <w14:schemeClr w14:val="tx1"/>
            </w14:solidFill>
          </w14:textFill>
        </w:rPr>
        <w:br w:type="textWrapping"/>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6.6履约保证金逾期退还的违约责任：按中国人民银行同期贷款基准利率上浮20%后的利率支付超期资金占用费，但因乙方自身原因导致无法及时退还的除外。</w:t>
      </w:r>
    </w:p>
    <w:p w14:paraId="4510AD6E">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7、转包或分包</w:t>
      </w:r>
    </w:p>
    <w:p w14:paraId="2F708DBD">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7.1 本合同禁止转包，本合同范围的服务，应由乙方直接提供的</w:t>
      </w:r>
      <w:r>
        <w:rPr>
          <w:rFonts w:hint="eastAsia" w:ascii="宋体" w:hAnsi="宋体" w:eastAsia="宋体" w:cs="宋体"/>
          <w:bCs/>
          <w:color w:val="000000" w:themeColor="text1"/>
          <w:sz w:val="24"/>
          <w:highlight w:val="none"/>
          <w:lang w:val="zh-CN" w:eastAsia="zh-CN"/>
          <w14:textFill>
            <w14:solidFill>
              <w14:schemeClr w14:val="tx1"/>
            </w14:solidFill>
          </w14:textFill>
        </w:rPr>
        <w:t>，</w:t>
      </w:r>
      <w:r>
        <w:rPr>
          <w:rFonts w:hint="eastAsia" w:ascii="宋体" w:hAnsi="宋体" w:eastAsia="宋体" w:cs="宋体"/>
          <w:bCs/>
          <w:color w:val="000000" w:themeColor="text1"/>
          <w:sz w:val="24"/>
          <w:highlight w:val="none"/>
          <w:lang w:val="zh-CN"/>
          <w14:textFill>
            <w14:solidFill>
              <w14:schemeClr w14:val="tx1"/>
            </w14:solidFill>
          </w14:textFill>
        </w:rPr>
        <w:t>不得转让他人提供。</w:t>
      </w:r>
    </w:p>
    <w:p w14:paraId="7BDF28B8">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7.2 经甲方同意，乙方可以依法采取分包方式履行合同，但是分包方式履行的，乙方应就采购项目向甲方负全责。</w:t>
      </w:r>
    </w:p>
    <w:p w14:paraId="6436B002">
      <w:pPr>
        <w:spacing w:line="500" w:lineRule="exact"/>
        <w:ind w:firstLine="482" w:firstLineChars="200"/>
        <w:rPr>
          <w:rFonts w:hint="eastAsia" w:ascii="宋体" w:hAnsi="宋体" w:eastAsia="宋体" w:cs="宋体"/>
          <w:b/>
          <w:bCs w:val="0"/>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8、服务期限</w:t>
      </w:r>
    </w:p>
    <w:p w14:paraId="35982040">
      <w:pPr>
        <w:spacing w:line="5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8.1 服务期限：</w:t>
      </w:r>
      <w:r>
        <w:rPr>
          <w:rFonts w:hint="eastAsia" w:ascii="宋体" w:hAnsi="宋体" w:eastAsia="宋体" w:cs="宋体"/>
          <w:bCs/>
          <w:color w:val="000000" w:themeColor="text1"/>
          <w:sz w:val="24"/>
          <w:highlight w:val="none"/>
          <w:lang w:val="en-US" w:eastAsia="zh-CN"/>
          <w14:textFill>
            <w14:solidFill>
              <w14:schemeClr w14:val="tx1"/>
            </w14:solidFill>
          </w14:textFill>
        </w:rPr>
        <w:t>三年（202</w:t>
      </w:r>
      <w:r>
        <w:rPr>
          <w:rFonts w:hint="eastAsia" w:cs="宋体"/>
          <w:bCs/>
          <w:color w:val="000000" w:themeColor="text1"/>
          <w:sz w:val="24"/>
          <w:highlight w:val="none"/>
          <w:lang w:val="en-US" w:eastAsia="zh-CN"/>
          <w14:textFill>
            <w14:solidFill>
              <w14:schemeClr w14:val="tx1"/>
            </w14:solidFill>
          </w14:textFill>
        </w:rPr>
        <w:t>6</w:t>
      </w:r>
      <w:r>
        <w:rPr>
          <w:rFonts w:hint="eastAsia" w:ascii="宋体" w:hAnsi="宋体" w:eastAsia="宋体" w:cs="宋体"/>
          <w:bCs/>
          <w:color w:val="000000" w:themeColor="text1"/>
          <w:sz w:val="24"/>
          <w:highlight w:val="none"/>
          <w:lang w:val="en-US" w:eastAsia="zh-CN"/>
          <w14:textFill>
            <w14:solidFill>
              <w14:schemeClr w14:val="tx1"/>
            </w14:solidFill>
          </w14:textFill>
        </w:rPr>
        <w:t>年  月   日202</w:t>
      </w:r>
      <w:r>
        <w:rPr>
          <w:rFonts w:hint="eastAsia" w:cs="宋体"/>
          <w:bCs/>
          <w:color w:val="000000" w:themeColor="text1"/>
          <w:sz w:val="24"/>
          <w:highlight w:val="none"/>
          <w:lang w:val="en-US" w:eastAsia="zh-CN"/>
          <w14:textFill>
            <w14:solidFill>
              <w14:schemeClr w14:val="tx1"/>
            </w14:solidFill>
          </w14:textFill>
        </w:rPr>
        <w:t>9</w:t>
      </w:r>
      <w:r>
        <w:rPr>
          <w:rFonts w:hint="eastAsia" w:ascii="宋体" w:hAnsi="宋体" w:eastAsia="宋体" w:cs="宋体"/>
          <w:bCs/>
          <w:color w:val="000000" w:themeColor="text1"/>
          <w:sz w:val="24"/>
          <w:highlight w:val="none"/>
          <w:lang w:val="en-US" w:eastAsia="zh-CN"/>
          <w14:textFill>
            <w14:solidFill>
              <w14:schemeClr w14:val="tx1"/>
            </w14:solidFill>
          </w14:textFill>
        </w:rPr>
        <w:t>年  月  日 ）。</w:t>
      </w:r>
    </w:p>
    <w:p w14:paraId="05450420">
      <w:pPr>
        <w:pageBreakBefore w:val="0"/>
        <w:spacing w:before="103" w:line="288" w:lineRule="auto"/>
        <w:ind w:left="433"/>
        <w:rPr>
          <w:rFonts w:hint="eastAsia" w:ascii="宋体" w:hAnsi="宋体" w:eastAsia="宋体" w:cs="宋体"/>
          <w:bCs/>
          <w:color w:val="000000" w:themeColor="text1"/>
          <w:sz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8.2 维保期：</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u w:val="none"/>
          <w:lang w:val="en-US" w:eastAsia="zh-CN"/>
          <w14:textFill>
            <w14:solidFill>
              <w14:schemeClr w14:val="tx1"/>
            </w14:solidFill>
          </w14:textFill>
        </w:rPr>
        <w:t>。</w:t>
      </w:r>
    </w:p>
    <w:p w14:paraId="77CC4410">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9、货款支付</w:t>
      </w:r>
    </w:p>
    <w:p w14:paraId="3DAADB5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9.1 本合同项下所有款项均以人民币支付。</w:t>
      </w:r>
    </w:p>
    <w:p w14:paraId="0436FA29">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9.2 本合同项下的采购资金由甲方支付，付款前乙方向甲方开具发票。</w:t>
      </w:r>
    </w:p>
    <w:p w14:paraId="3BF4A698">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9.3 付款方式：</w:t>
      </w:r>
    </w:p>
    <w:p w14:paraId="1FFCEEC5">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9.3.1</w:t>
      </w:r>
      <w:r>
        <w:rPr>
          <w:rFonts w:hint="eastAsia" w:cs="宋体"/>
          <w:bCs/>
          <w:color w:val="000000" w:themeColor="text1"/>
          <w:sz w:val="24"/>
          <w:highlight w:val="none"/>
          <w:lang w:val="en-US" w:eastAsia="zh-CN"/>
          <w14:textFill>
            <w14:solidFill>
              <w14:schemeClr w14:val="tx1"/>
            </w14:solidFill>
          </w14:textFill>
        </w:rPr>
        <w:t>签订合同后，乙方向甲方开具发票，甲方自收到发票后10个工作日内支付一年合同价的30%预付款。甲方将组成考核组依据考核办法对执法专用停车场进行考核，每月由考核组成员对各执法专用停车场进行一次考核。考核实行百分制，每月上旬以书面形式公布上个月考核分数，考核分数作为支付当月停车服务费、评价乙方服务质量、终止与乙方合同的凭据。停车服务费按年合同费用平摊到每月，每月考核分数满分100分，考核的分数为计取停车费用的百分比数，每月记账，按年付款。服务费用于一年服务期结束后，乙方向甲方开具发票，甲方自收到发票后10个工作日内一次性付清当年费用。</w:t>
      </w:r>
    </w:p>
    <w:p w14:paraId="6E03C421">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10、税费</w:t>
      </w:r>
    </w:p>
    <w:p w14:paraId="4A8D53E7">
      <w:pPr>
        <w:spacing w:line="500" w:lineRule="exact"/>
        <w:ind w:firstLine="480" w:firstLineChars="200"/>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本合同执行中相关的一切税费均由乙方负担。</w:t>
      </w:r>
    </w:p>
    <w:p w14:paraId="4DFAD971">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11、质量保证及售后服务</w:t>
      </w:r>
    </w:p>
    <w:p w14:paraId="3AFCA4A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11.1 乙方应按</w:t>
      </w:r>
      <w:r>
        <w:rPr>
          <w:rFonts w:hint="eastAsia" w:ascii="宋体" w:hAnsi="宋体" w:eastAsia="宋体" w:cs="宋体"/>
          <w:bCs/>
          <w:color w:val="000000" w:themeColor="text1"/>
          <w:sz w:val="24"/>
          <w:highlight w:val="none"/>
          <w:lang w:val="en-US" w:eastAsia="zh-CN"/>
          <w14:textFill>
            <w14:solidFill>
              <w14:schemeClr w14:val="tx1"/>
            </w14:solidFill>
          </w14:textFill>
        </w:rPr>
        <w:t>招标</w:t>
      </w:r>
      <w:r>
        <w:rPr>
          <w:rFonts w:hint="eastAsia" w:ascii="宋体" w:hAnsi="宋体" w:eastAsia="宋体" w:cs="宋体"/>
          <w:bCs/>
          <w:color w:val="000000" w:themeColor="text1"/>
          <w:sz w:val="24"/>
          <w:highlight w:val="none"/>
          <w:lang w:val="zh-CN"/>
          <w14:textFill>
            <w14:solidFill>
              <w14:schemeClr w14:val="tx1"/>
            </w14:solidFill>
          </w14:textFill>
        </w:rPr>
        <w:t>文件规定及</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文件承诺的技术性能、技术要求、质量标准向甲方提供服务；若无特殊说明，则按国家有关部门最新颁布的标准及规范为准。</w:t>
      </w:r>
    </w:p>
    <w:p w14:paraId="12E2FCD1">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11.2 乙方应保证其提供的服务是全面和规范的，并完全符合招投标文件。如因乙方提供的服务有瑕疵造成甲方损失的，所需费用由乙方承担。</w:t>
      </w:r>
    </w:p>
    <w:p w14:paraId="1745BEF8">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11.3 如在使用过程中发生质量问题，乙方在接到甲方通知后在24小时内到达甲方现场。</w:t>
      </w:r>
    </w:p>
    <w:p w14:paraId="6078A22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11.4 服务期内</w:t>
      </w:r>
      <w:r>
        <w:rPr>
          <w:rFonts w:hint="eastAsia" w:ascii="宋体" w:hAnsi="宋体" w:eastAsia="宋体" w:cs="宋体"/>
          <w:bCs/>
          <w:color w:val="000000" w:themeColor="text1"/>
          <w:sz w:val="24"/>
          <w:highlight w:val="none"/>
          <w:lang w:val="zh-CN" w:eastAsia="zh-CN"/>
          <w14:textFill>
            <w14:solidFill>
              <w14:schemeClr w14:val="tx1"/>
            </w14:solidFill>
          </w14:textFill>
        </w:rPr>
        <w:t>，</w:t>
      </w:r>
      <w:r>
        <w:rPr>
          <w:rFonts w:hint="eastAsia" w:ascii="宋体" w:hAnsi="宋体" w:eastAsia="宋体" w:cs="宋体"/>
          <w:bCs/>
          <w:color w:val="000000" w:themeColor="text1"/>
          <w:sz w:val="24"/>
          <w:highlight w:val="none"/>
          <w:lang w:val="zh-CN"/>
          <w14:textFill>
            <w14:solidFill>
              <w14:schemeClr w14:val="tx1"/>
            </w14:solidFill>
          </w14:textFill>
        </w:rPr>
        <w:t>乙方应对所提供服务出现的质量及安全问题负责处理解决并承担一切费用。</w:t>
      </w:r>
    </w:p>
    <w:p w14:paraId="2203643F">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12、交付和验收</w:t>
      </w:r>
    </w:p>
    <w:p w14:paraId="090F96F8">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12.1 乙方应当在合同签订后3天内开始实施服务事项，</w:t>
      </w:r>
      <w:r>
        <w:rPr>
          <w:rFonts w:hint="eastAsia" w:ascii="宋体" w:hAnsi="宋体" w:eastAsia="宋体" w:cs="宋体"/>
          <w:bCs/>
          <w:color w:val="000000" w:themeColor="text1"/>
          <w:sz w:val="24"/>
          <w:highlight w:val="none"/>
          <w:lang w:val="en-US" w:eastAsia="zh-CN"/>
          <w14:textFill>
            <w14:solidFill>
              <w14:schemeClr w14:val="tx1"/>
            </w14:solidFill>
          </w14:textFill>
        </w:rPr>
        <w:t>招标</w:t>
      </w:r>
      <w:r>
        <w:rPr>
          <w:rFonts w:hint="eastAsia" w:ascii="宋体" w:hAnsi="宋体" w:eastAsia="宋体" w:cs="宋体"/>
          <w:bCs/>
          <w:color w:val="000000" w:themeColor="text1"/>
          <w:sz w:val="24"/>
          <w:highlight w:val="none"/>
          <w:lang w:val="zh-CN"/>
          <w14:textFill>
            <w14:solidFill>
              <w14:schemeClr w14:val="tx1"/>
            </w14:solidFill>
          </w14:textFill>
        </w:rPr>
        <w:t>文件有约定的，从其约定。</w:t>
      </w:r>
    </w:p>
    <w:p w14:paraId="062ADB66">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 xml:space="preserve">12.1 乙方应当在合同签订后 </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天内完成服务事项，</w:t>
      </w:r>
      <w:r>
        <w:rPr>
          <w:rFonts w:hint="eastAsia" w:ascii="宋体" w:hAnsi="宋体" w:eastAsia="宋体" w:cs="宋体"/>
          <w:bCs/>
          <w:color w:val="000000" w:themeColor="text1"/>
          <w:sz w:val="24"/>
          <w:highlight w:val="none"/>
          <w:lang w:val="en-US" w:eastAsia="zh-CN"/>
          <w14:textFill>
            <w14:solidFill>
              <w14:schemeClr w14:val="tx1"/>
            </w14:solidFill>
          </w14:textFill>
        </w:rPr>
        <w:t>招标</w:t>
      </w:r>
      <w:r>
        <w:rPr>
          <w:rFonts w:hint="eastAsia" w:ascii="宋体" w:hAnsi="宋体" w:eastAsia="宋体" w:cs="宋体"/>
          <w:bCs/>
          <w:color w:val="000000" w:themeColor="text1"/>
          <w:sz w:val="24"/>
          <w:highlight w:val="none"/>
          <w:lang w:val="zh-CN"/>
          <w14:textFill>
            <w14:solidFill>
              <w14:schemeClr w14:val="tx1"/>
            </w14:solidFill>
          </w14:textFill>
        </w:rPr>
        <w:t>文件有约定的，从其约定。</w:t>
      </w:r>
    </w:p>
    <w:p w14:paraId="67A78F7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在交付前，乙方应作出全面检查和对验收文件进行整理，并列出清单，作为甲方初验收和使用的技术条件依据，检验的结果交甲方。</w:t>
      </w:r>
    </w:p>
    <w:p w14:paraId="7872A98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12.2 验收标准：按乙方</w:t>
      </w:r>
      <w:r>
        <w:rPr>
          <w:rFonts w:hint="eastAsia" w:ascii="宋体" w:hAnsi="宋体" w:eastAsia="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zh-CN"/>
          <w14:textFill>
            <w14:solidFill>
              <w14:schemeClr w14:val="tx1"/>
            </w14:solidFill>
          </w14:textFill>
        </w:rPr>
        <w:t>文件的承诺，并不低于国家相关标准。对于乙方要交付的服务， 甲乙双方须在</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工作日内初验收，甲方对乙方提交的服务依据</w:t>
      </w:r>
      <w:r>
        <w:rPr>
          <w:rFonts w:hint="eastAsia" w:ascii="宋体" w:hAnsi="宋体" w:eastAsia="宋体" w:cs="宋体"/>
          <w:bCs/>
          <w:color w:val="000000" w:themeColor="text1"/>
          <w:sz w:val="24"/>
          <w:highlight w:val="none"/>
          <w:lang w:val="en-US" w:eastAsia="zh-CN"/>
          <w14:textFill>
            <w14:solidFill>
              <w14:schemeClr w14:val="tx1"/>
            </w14:solidFill>
          </w14:textFill>
        </w:rPr>
        <w:t>招标文件</w:t>
      </w:r>
      <w:r>
        <w:rPr>
          <w:rFonts w:hint="eastAsia" w:ascii="宋体" w:hAnsi="宋体" w:eastAsia="宋体" w:cs="宋体"/>
          <w:bCs/>
          <w:color w:val="000000" w:themeColor="text1"/>
          <w:sz w:val="24"/>
          <w:highlight w:val="none"/>
          <w:lang w:val="zh-CN"/>
          <w14:textFill>
            <w14:solidFill>
              <w14:schemeClr w14:val="tx1"/>
            </w14:solidFill>
          </w14:textFill>
        </w:rPr>
        <w:t>上的技术要求和国家有关质量标准进行现场初步验收，外观、说明书、包装符合</w:t>
      </w:r>
      <w:r>
        <w:rPr>
          <w:rFonts w:hint="eastAsia" w:cs="宋体"/>
          <w:bCs/>
          <w:color w:val="000000" w:themeColor="text1"/>
          <w:sz w:val="24"/>
          <w:highlight w:val="none"/>
          <w:lang w:val="en-US" w:eastAsia="zh-CN"/>
          <w14:textFill>
            <w14:solidFill>
              <w14:schemeClr w14:val="tx1"/>
            </w14:solidFill>
          </w14:textFill>
        </w:rPr>
        <w:t>招标文件</w:t>
      </w:r>
      <w:r>
        <w:rPr>
          <w:rFonts w:hint="eastAsia" w:ascii="宋体" w:hAnsi="宋体" w:eastAsia="宋体" w:cs="宋体"/>
          <w:bCs/>
          <w:color w:val="000000" w:themeColor="text1"/>
          <w:sz w:val="24"/>
          <w:highlight w:val="none"/>
          <w:lang w:val="zh-CN"/>
          <w14:textFill>
            <w14:solidFill>
              <w14:schemeClr w14:val="tx1"/>
            </w14:solidFill>
          </w14:textFill>
        </w:rPr>
        <w:t>技术要求的，给予签收，初步验收不合格的不予签收。</w:t>
      </w:r>
    </w:p>
    <w:p w14:paraId="539253C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12.3 乙方按照</w:t>
      </w:r>
      <w:r>
        <w:rPr>
          <w:rFonts w:hint="eastAsia" w:cs="宋体"/>
          <w:bCs/>
          <w:color w:val="000000" w:themeColor="text1"/>
          <w:sz w:val="24"/>
          <w:highlight w:val="none"/>
          <w:lang w:val="en-US" w:eastAsia="zh-CN"/>
          <w14:textFill>
            <w14:solidFill>
              <w14:schemeClr w14:val="tx1"/>
            </w14:solidFill>
          </w14:textFill>
        </w:rPr>
        <w:t>招标文件</w:t>
      </w:r>
      <w:r>
        <w:rPr>
          <w:rFonts w:hint="eastAsia" w:ascii="宋体" w:hAnsi="宋体" w:eastAsia="宋体" w:cs="宋体"/>
          <w:bCs/>
          <w:color w:val="000000" w:themeColor="text1"/>
          <w:sz w:val="24"/>
          <w:highlight w:val="none"/>
          <w:lang w:val="zh-CN"/>
          <w14:textFill>
            <w14:solidFill>
              <w14:schemeClr w14:val="tx1"/>
            </w14:solidFill>
          </w14:textFill>
        </w:rPr>
        <w:t>要求负责安装并培训甲方的使用操作人员，乙方在甲方使用前进行调试，调试直到符合技术要求的甲方才做最终验收。</w:t>
      </w:r>
    </w:p>
    <w:p w14:paraId="34B69C3D">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12.4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p>
    <w:p w14:paraId="5FB22BD6">
      <w:pPr>
        <w:spacing w:line="500" w:lineRule="exact"/>
        <w:ind w:firstLine="480" w:firstLineChars="200"/>
        <w:rPr>
          <w:rFonts w:hint="default" w:ascii="宋体" w:hAnsi="宋体" w:eastAsia="宋体" w:cs="宋体"/>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12.5 甲乙双方关于调试和验收的其他约定：</w:t>
      </w:r>
      <w:r>
        <w:rPr>
          <w:rFonts w:hint="eastAsia" w:ascii="宋体" w:hAnsi="宋体" w:eastAsia="宋体" w:cs="宋体"/>
          <w:bCs/>
          <w:color w:val="000000" w:themeColor="text1"/>
          <w:sz w:val="24"/>
          <w:highlight w:val="none"/>
          <w:u w:val="single"/>
          <w:lang w:val="en-US" w:eastAsia="zh-CN"/>
          <w14:textFill>
            <w14:solidFill>
              <w14:schemeClr w14:val="tx1"/>
            </w14:solidFill>
          </w14:textFill>
        </w:rPr>
        <w:t xml:space="preserve">       </w:t>
      </w:r>
    </w:p>
    <w:p w14:paraId="184EBCFD">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13、包装、发运及运输</w:t>
      </w:r>
    </w:p>
    <w:p w14:paraId="4EB13BC2">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13.1 乙方应对其提供的服务所涉及物品在发运前对其进行满足运输距离、防潮、防震、防锈和防破损装卸等要求包装</w:t>
      </w:r>
      <w:r>
        <w:rPr>
          <w:rFonts w:hint="eastAsia" w:ascii="宋体" w:hAnsi="宋体" w:eastAsia="宋体" w:cs="宋体"/>
          <w:bCs/>
          <w:color w:val="000000" w:themeColor="text1"/>
          <w:sz w:val="24"/>
          <w:highlight w:val="none"/>
          <w:lang w:val="zh-CN" w:eastAsia="zh-CN"/>
          <w14:textFill>
            <w14:solidFill>
              <w14:schemeClr w14:val="tx1"/>
            </w14:solidFill>
          </w14:textFill>
        </w:rPr>
        <w:t>，</w:t>
      </w:r>
      <w:r>
        <w:rPr>
          <w:rFonts w:hint="eastAsia" w:ascii="宋体" w:hAnsi="宋体" w:eastAsia="宋体" w:cs="宋体"/>
          <w:bCs/>
          <w:color w:val="000000" w:themeColor="text1"/>
          <w:sz w:val="24"/>
          <w:highlight w:val="none"/>
          <w:lang w:val="zh-CN"/>
          <w14:textFill>
            <w14:solidFill>
              <w14:schemeClr w14:val="tx1"/>
            </w14:solidFill>
          </w14:textFill>
        </w:rPr>
        <w:t>以保证安全运达甲方指定地点。</w:t>
      </w:r>
    </w:p>
    <w:p w14:paraId="287B07C3">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13.2 乙方交付时，使用说明书、检验证明书、随配附件和工具以及清单一并附于内。</w:t>
      </w:r>
    </w:p>
    <w:p w14:paraId="54F52AE0">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13.3 乙方在提供的服务所涉及物品在货物发运手续办理完毕后24小时内或货到甲方 48 小时前通知甲方，以准备甲方接货。根据甲方通知的时间和指定的地点，乙方负责安排 送货、装卸、清点、堆放，设备初验收合格前的保管工作由乙方负责，费用乙方承担。</w:t>
      </w:r>
    </w:p>
    <w:p w14:paraId="53B3593C">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13.4 服务在交付甲方前发生的风险均由乙方负责。</w:t>
      </w:r>
    </w:p>
    <w:p w14:paraId="1FA74D8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13.5 服务在规定的交付期限内由乙方送达甲方指定的地点。</w:t>
      </w:r>
    </w:p>
    <w:p w14:paraId="23C47D8F">
      <w:pPr>
        <w:spacing w:line="500" w:lineRule="exact"/>
        <w:ind w:firstLine="482"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
          <w:bCs w:val="0"/>
          <w:color w:val="000000" w:themeColor="text1"/>
          <w:sz w:val="24"/>
          <w:highlight w:val="none"/>
          <w:lang w:val="zh-CN"/>
          <w14:textFill>
            <w14:solidFill>
              <w14:schemeClr w14:val="tx1"/>
            </w14:solidFill>
          </w14:textFill>
        </w:rPr>
        <w:t>14、违约责任</w:t>
      </w:r>
    </w:p>
    <w:p w14:paraId="61EF2287">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14.1 甲方无正当理由拒绝初验收和终验收服务项目的，甲方应按未付服务项目款金额每日万分之五向乙方支付违约金。</w:t>
      </w:r>
    </w:p>
    <w:p w14:paraId="6B9BBD7B">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14.2 甲方无故逾期验收和无故逾期办理款项支付手续的,甲方应按逾期付款金额每日万分之五向乙方支付违约金。</w:t>
      </w:r>
    </w:p>
    <w:p w14:paraId="75EAA602">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14.3 乙方违约，在消除违约情形前，应按本合同项目总额每日万分之五向甲方支付违约金，甲方可以从待付款项中扣除。</w:t>
      </w:r>
    </w:p>
    <w:p w14:paraId="30919FE3">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14.4 乙方因逾期交付服务项目或因其他违约行为，导致甲方解除合同的，乙方应向甲方支付合同总值5%的违约金，如造成甲方损失超过违约金的，超出部分由乙方继续承担赔偿责任。</w:t>
      </w:r>
    </w:p>
    <w:p w14:paraId="169E8713">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14.5 乙方所交的服务项目全部或部分质量不符合合同规定及</w:t>
      </w:r>
      <w:r>
        <w:rPr>
          <w:rFonts w:hint="eastAsia" w:cs="宋体"/>
          <w:bCs/>
          <w:color w:val="000000" w:themeColor="text1"/>
          <w:sz w:val="24"/>
          <w:highlight w:val="none"/>
          <w:lang w:val="en-US" w:eastAsia="zh-CN"/>
          <w14:textFill>
            <w14:solidFill>
              <w14:schemeClr w14:val="tx1"/>
            </w14:solidFill>
          </w14:textFill>
        </w:rPr>
        <w:t>招标</w:t>
      </w:r>
      <w:r>
        <w:rPr>
          <w:rFonts w:hint="eastAsia" w:ascii="宋体" w:hAnsi="宋体" w:eastAsia="宋体" w:cs="宋体"/>
          <w:bCs/>
          <w:color w:val="000000" w:themeColor="text1"/>
          <w:sz w:val="24"/>
          <w:highlight w:val="none"/>
          <w:lang w:val="zh-CN"/>
          <w14:textFill>
            <w14:solidFill>
              <w14:schemeClr w14:val="tx1"/>
            </w14:solidFill>
          </w14:textFill>
        </w:rPr>
        <w:t>文件规定标准的，乙方更换服务但逾期交付的 (甲方拒绝接受的除外) ，按乙方逾期交付处理；乙方拒绝更换的，甲方可选择解除本合同 或本合同的一部分，并可追究乙方的其他违约责任。</w:t>
      </w:r>
    </w:p>
    <w:p w14:paraId="6A9534C0">
      <w:pPr>
        <w:spacing w:line="500" w:lineRule="exact"/>
        <w:ind w:firstLine="480" w:firstLineChars="200"/>
        <w:rPr>
          <w:rFonts w:hint="eastAsia" w:ascii="宋体" w:hAnsi="宋体" w:eastAsia="宋体" w:cs="宋体"/>
          <w:bCs/>
          <w:color w:val="000000" w:themeColor="text1"/>
          <w:sz w:val="24"/>
          <w:highlight w:val="none"/>
          <w:lang w:val="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14.6 合同生效后，发现乙方投标属虚假承诺，或经权威部门监测提供的服务不能满足</w:t>
      </w:r>
      <w:r>
        <w:rPr>
          <w:rFonts w:hint="eastAsia" w:ascii="宋体" w:hAnsi="宋体" w:eastAsia="宋体" w:cs="宋体"/>
          <w:bCs/>
          <w:color w:val="000000" w:themeColor="text1"/>
          <w:sz w:val="24"/>
          <w:highlight w:val="none"/>
          <w:lang w:val="en-US" w:eastAsia="zh-CN"/>
          <w14:textFill>
            <w14:solidFill>
              <w14:schemeClr w14:val="tx1"/>
            </w14:solidFill>
          </w14:textFill>
        </w:rPr>
        <w:t>招标</w:t>
      </w:r>
      <w:r>
        <w:rPr>
          <w:rFonts w:hint="eastAsia" w:ascii="宋体" w:hAnsi="宋体" w:eastAsia="宋体" w:cs="宋体"/>
          <w:bCs/>
          <w:color w:val="000000" w:themeColor="text1"/>
          <w:sz w:val="24"/>
          <w:highlight w:val="none"/>
          <w:lang w:val="zh-CN"/>
          <w14:textFill>
            <w14:solidFill>
              <w14:schemeClr w14:val="tx1"/>
            </w14:solidFill>
          </w14:textFill>
        </w:rPr>
        <w:t>文件要求， 造成合同无法继续履行的，乙方履约保证金不予退还外，还应向甲方支付不少于合同总价</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cs="宋体"/>
          <w:bCs/>
          <w:color w:val="000000" w:themeColor="text1"/>
          <w:sz w:val="24"/>
          <w:highlight w:val="none"/>
          <w:u w:val="single"/>
          <w:lang w:val="en-US" w:eastAsia="zh-CN"/>
          <w14:textFill>
            <w14:solidFill>
              <w14:schemeClr w14:val="tx1"/>
            </w14:solidFill>
          </w14:textFill>
        </w:rPr>
        <w:t>5</w:t>
      </w:r>
      <w:r>
        <w:rPr>
          <w:rFonts w:hint="eastAsia" w:ascii="宋体" w:hAnsi="宋体" w:eastAsia="宋体" w:cs="宋体"/>
          <w:bCs/>
          <w:color w:val="000000" w:themeColor="text1"/>
          <w:sz w:val="24"/>
          <w:highlight w:val="none"/>
          <w:u w:val="single"/>
          <w:lang w:val="zh-CN"/>
          <w14:textFill>
            <w14:solidFill>
              <w14:schemeClr w14:val="tx1"/>
            </w14:solidFill>
          </w14:textFill>
        </w:rPr>
        <w:t xml:space="preserve"> %</w:t>
      </w:r>
      <w:r>
        <w:rPr>
          <w:rFonts w:hint="eastAsia" w:ascii="宋体" w:hAnsi="宋体" w:eastAsia="宋体" w:cs="宋体"/>
          <w:bCs/>
          <w:color w:val="000000" w:themeColor="text1"/>
          <w:sz w:val="24"/>
          <w:highlight w:val="none"/>
          <w:lang w:val="zh-CN"/>
          <w14:textFill>
            <w14:solidFill>
              <w14:schemeClr w14:val="tx1"/>
            </w14:solidFill>
          </w14:textFill>
        </w:rPr>
        <w:t>赔偿金。</w:t>
      </w:r>
    </w:p>
    <w:p w14:paraId="21254DC7">
      <w:pPr>
        <w:pStyle w:val="5"/>
        <w:numPr>
          <w:ilvl w:val="0"/>
          <w:numId w:val="0"/>
        </w:numPr>
        <w:snapToGrid w:val="0"/>
        <w:spacing w:before="120" w:after="120" w:line="360" w:lineRule="auto"/>
        <w:ind w:firstLine="480" w:firstLineChars="200"/>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15、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考核办法</w:t>
      </w:r>
    </w:p>
    <w:p w14:paraId="2A305441">
      <w:pPr>
        <w:pStyle w:val="5"/>
        <w:snapToGrid w:val="0"/>
        <w:spacing w:before="120" w:after="120" w:line="360" w:lineRule="auto"/>
        <w:ind w:firstLine="480" w:firstLineChars="200"/>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1</w:t>
      </w: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1经甲方查实乙方违规处置、变卖扣留的汽车的，终止合同，赔偿车主损失，取消合同履行期间未结付的停车保管费；违规处置、变卖扣留其他机动车和非机动车的，赔偿车主损失，取消已履行合同（至当月）的保管费，并在当年度保管费用中扣除2倍变卖车辆的收益，直至扣完全年保管费；查实两次的，在第一次扣除相关保管费的基础上，终止合同。</w:t>
      </w:r>
    </w:p>
    <w:p w14:paraId="03FF66B9">
      <w:pPr>
        <w:pStyle w:val="5"/>
        <w:snapToGrid w:val="0"/>
        <w:spacing w:before="120" w:after="120" w:line="360" w:lineRule="auto"/>
        <w:ind w:firstLine="480" w:firstLineChars="200"/>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1</w:t>
      </w:r>
      <w:r>
        <w:rPr>
          <w:rFonts w:hint="eastAsia" w:hAnsi="宋体" w:cs="宋体"/>
          <w:bCs/>
          <w:color w:val="000000" w:themeColor="text1"/>
          <w:sz w:val="24"/>
          <w:szCs w:val="20"/>
          <w:highlight w:val="none"/>
          <w:lang w:val="en-US" w:eastAsia="zh-CN" w:bidi="ar-SA"/>
          <w14:textFill>
            <w14:solidFill>
              <w14:schemeClr w14:val="tx1"/>
            </w14:solidFill>
          </w14:textFill>
        </w:rPr>
        <w:t>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.2乙方不得在合同期内将中标停车场转让给他人经营，不得在合同期内更换停车场地址（除因不可抗力等因素，且征得甲方书面同意），一经查实，终止合同，可在本年度合同结束后结付应得的保管费用。</w:t>
      </w:r>
    </w:p>
    <w:p w14:paraId="1EFC07D7">
      <w:pPr>
        <w:pStyle w:val="5"/>
        <w:snapToGrid w:val="0"/>
        <w:spacing w:before="120" w:after="120" w:line="360" w:lineRule="auto"/>
        <w:ind w:firstLine="480" w:firstLineChars="200"/>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1</w:t>
      </w:r>
      <w:r>
        <w:rPr>
          <w:rFonts w:hint="eastAsia" w:hAnsi="宋体" w:cs="宋体"/>
          <w:bCs/>
          <w:color w:val="000000" w:themeColor="text1"/>
          <w:sz w:val="24"/>
          <w:szCs w:val="20"/>
          <w:highlight w:val="none"/>
          <w:lang w:val="en-US" w:eastAsia="zh-CN" w:bidi="ar-SA"/>
          <w14:textFill>
            <w14:solidFill>
              <w14:schemeClr w14:val="tx1"/>
            </w14:solidFill>
          </w14:textFill>
        </w:rPr>
        <w:t>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.3因同一合同区同时发生多起事故等其他合理原因，本合同区因施救能力无法保证开展及时有效施救服务，在征得</w:t>
      </w:r>
      <w:r>
        <w:rPr>
          <w:rFonts w:hint="eastAsia" w:hAnsi="宋体" w:cs="宋体"/>
          <w:bCs/>
          <w:color w:val="000000" w:themeColor="text1"/>
          <w:sz w:val="24"/>
          <w:szCs w:val="20"/>
          <w:highlight w:val="none"/>
          <w:lang w:val="zh-CN" w:eastAsia="zh-CN" w:bidi="ar-SA"/>
          <w14:textFill>
            <w14:solidFill>
              <w14:schemeClr w14:val="tx1"/>
            </w14:solidFill>
          </w14:textFill>
        </w:rPr>
        <w:t>交管大队</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考核组长同意后，可调用其他中标区域施救车辆；非经</w:t>
      </w:r>
      <w:r>
        <w:rPr>
          <w:rFonts w:hint="eastAsia" w:hAnsi="宋体" w:cs="宋体"/>
          <w:bCs/>
          <w:color w:val="000000" w:themeColor="text1"/>
          <w:sz w:val="24"/>
          <w:szCs w:val="20"/>
          <w:highlight w:val="none"/>
          <w:lang w:val="zh-CN" w:eastAsia="zh-CN" w:bidi="ar-SA"/>
          <w14:textFill>
            <w14:solidFill>
              <w14:schemeClr w14:val="tx1"/>
            </w14:solidFill>
          </w14:textFill>
        </w:rPr>
        <w:t>交管大队</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考核组负责人同意跨区域施救的，被举报、查实一次，扣除跨区域施救执法停车场保管费5000元，一年内有两次的，扣除该停车场保管费2万元，有3次的，扣除全年保管费，并终止合同。</w:t>
      </w:r>
    </w:p>
    <w:p w14:paraId="7CEB7EDA">
      <w:pPr>
        <w:pStyle w:val="5"/>
        <w:snapToGrid w:val="0"/>
        <w:spacing w:before="120" w:after="120" w:line="360" w:lineRule="auto"/>
        <w:ind w:firstLine="480" w:firstLineChars="200"/>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1</w:t>
      </w:r>
      <w:r>
        <w:rPr>
          <w:rFonts w:hint="eastAsia" w:hAnsi="宋体" w:cs="宋体"/>
          <w:bCs/>
          <w:color w:val="000000" w:themeColor="text1"/>
          <w:sz w:val="24"/>
          <w:szCs w:val="20"/>
          <w:highlight w:val="none"/>
          <w:lang w:val="en-US" w:eastAsia="zh-CN" w:bidi="ar-SA"/>
          <w14:textFill>
            <w14:solidFill>
              <w14:schemeClr w14:val="tx1"/>
            </w14:solidFill>
          </w14:textFill>
        </w:rPr>
        <w:t>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.4乙方拒绝接受</w:t>
      </w:r>
      <w:r>
        <w:rPr>
          <w:rFonts w:hint="eastAsia" w:hAnsi="宋体" w:cs="宋体"/>
          <w:bCs/>
          <w:color w:val="000000" w:themeColor="text1"/>
          <w:sz w:val="24"/>
          <w:szCs w:val="20"/>
          <w:highlight w:val="none"/>
          <w:lang w:val="zh-CN" w:eastAsia="zh-CN" w:bidi="ar-SA"/>
          <w14:textFill>
            <w14:solidFill>
              <w14:schemeClr w14:val="tx1"/>
            </w14:solidFill>
          </w14:textFill>
        </w:rPr>
        <w:t>交管部门</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施救指令或因管理不当等原因致无施救力量开展施救的，一次扣10分，有两次以上行为的，终止合同。因上述原因本辖区执法停车场无法展开施救的，民警在征得考核组负责人同意后，可以指令其他区域施救力量进行施救。</w:t>
      </w:r>
    </w:p>
    <w:p w14:paraId="5D43A418">
      <w:pPr>
        <w:pStyle w:val="5"/>
        <w:snapToGrid w:val="0"/>
        <w:spacing w:before="120" w:after="120" w:line="360" w:lineRule="auto"/>
        <w:ind w:firstLine="480" w:firstLineChars="200"/>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1</w:t>
      </w:r>
      <w:r>
        <w:rPr>
          <w:rFonts w:hint="eastAsia" w:hAnsi="宋体" w:cs="宋体"/>
          <w:bCs/>
          <w:color w:val="000000" w:themeColor="text1"/>
          <w:sz w:val="24"/>
          <w:szCs w:val="20"/>
          <w:highlight w:val="none"/>
          <w:lang w:val="en-US" w:eastAsia="zh-CN" w:bidi="ar-SA"/>
          <w14:textFill>
            <w14:solidFill>
              <w14:schemeClr w14:val="tx1"/>
            </w14:solidFill>
          </w14:textFill>
        </w:rPr>
        <w:t>5</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.5乙方私自放车的，查实一次扣除执法停车场保管费5000元，并限期停车场追回违规被放车辆，两次的，终止合同。</w:t>
      </w:r>
    </w:p>
    <w:p w14:paraId="0CA25F2D">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hAnsi="宋体" w:cs="宋体"/>
          <w:bCs/>
          <w:color w:val="000000" w:themeColor="text1"/>
          <w:sz w:val="24"/>
          <w:szCs w:val="20"/>
          <w:highlight w:val="none"/>
          <w:lang w:val="en-US" w:eastAsia="zh-CN" w:bidi="ar-SA"/>
          <w14:textFill>
            <w14:solidFill>
              <w14:schemeClr w14:val="tx1"/>
            </w14:solidFill>
          </w14:textFill>
        </w:rPr>
        <w:t>15.6</w:t>
      </w:r>
      <w:r>
        <w:rPr>
          <w:rFonts w:hint="eastAsia" w:ascii="宋体" w:hAnsi="宋体" w:eastAsia="宋体" w:cs="宋体"/>
          <w:bCs/>
          <w:color w:val="000000" w:themeColor="text1"/>
          <w:sz w:val="24"/>
          <w:szCs w:val="20"/>
          <w:highlight w:val="none"/>
          <w:lang w:val="zh-CN" w:eastAsia="zh-CN" w:bidi="ar-SA"/>
          <w14:textFill>
            <w14:solidFill>
              <w14:schemeClr w14:val="tx1"/>
            </w14:solidFill>
          </w14:textFill>
        </w:rPr>
        <w:t>有指令放</w:t>
      </w:r>
      <w:r>
        <w:rPr>
          <w:rFonts w:hint="eastAsia" w:ascii="宋体" w:hAnsi="宋体" w:eastAsia="宋体" w:cs="宋体"/>
          <w:bCs/>
          <w:sz w:val="24"/>
          <w:szCs w:val="20"/>
          <w:highlight w:val="none"/>
          <w:lang w:val="zh-CN" w:eastAsia="zh-CN" w:bidi="ar-SA"/>
        </w:rPr>
        <w:t>车但未收到</w:t>
      </w:r>
      <w:r>
        <w:rPr>
          <w:rFonts w:hint="eastAsia" w:hAnsi="宋体" w:cs="宋体"/>
          <w:bCs/>
          <w:sz w:val="24"/>
          <w:szCs w:val="20"/>
          <w:highlight w:val="none"/>
          <w:lang w:val="zh-CN" w:eastAsia="zh-CN" w:bidi="ar-SA"/>
        </w:rPr>
        <w:t>交管部门</w:t>
      </w:r>
      <w:r>
        <w:rPr>
          <w:rFonts w:hint="eastAsia" w:ascii="宋体" w:hAnsi="宋体" w:eastAsia="宋体" w:cs="宋体"/>
          <w:bCs/>
          <w:sz w:val="24"/>
          <w:szCs w:val="20"/>
          <w:highlight w:val="none"/>
          <w:lang w:val="zh-CN" w:eastAsia="zh-CN" w:bidi="ar-SA"/>
        </w:rPr>
        <w:t>开具的放行单而放车的，每查实一辆扣1分，且要求在一个工作日内及时完善相关手续。</w:t>
      </w:r>
    </w:p>
    <w:p w14:paraId="46119544">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1</w:t>
      </w:r>
      <w:r>
        <w:rPr>
          <w:rFonts w:hint="eastAsia" w:hAnsi="宋体" w:cs="宋体"/>
          <w:bCs/>
          <w:sz w:val="24"/>
          <w:szCs w:val="20"/>
          <w:highlight w:val="none"/>
          <w:lang w:val="en-US" w:eastAsia="zh-CN" w:bidi="ar-SA"/>
        </w:rPr>
        <w:t>5</w:t>
      </w:r>
      <w:r>
        <w:rPr>
          <w:rFonts w:hint="eastAsia" w:ascii="宋体" w:hAnsi="宋体" w:eastAsia="宋体" w:cs="宋体"/>
          <w:bCs/>
          <w:sz w:val="24"/>
          <w:szCs w:val="20"/>
          <w:highlight w:val="none"/>
          <w:lang w:val="zh-CN" w:eastAsia="zh-CN" w:bidi="ar-SA"/>
        </w:rPr>
        <w:t>.7乙方私自将施救车辆拖移至非本区域中标执法停车场保管的，发现一次，扣10分，两次扣30分，第三次，终止合同。</w:t>
      </w:r>
    </w:p>
    <w:p w14:paraId="34890B19">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1</w:t>
      </w:r>
      <w:r>
        <w:rPr>
          <w:rFonts w:hint="eastAsia" w:hAnsi="宋体" w:cs="宋体"/>
          <w:bCs/>
          <w:sz w:val="24"/>
          <w:szCs w:val="20"/>
          <w:highlight w:val="none"/>
          <w:lang w:val="en-US" w:eastAsia="zh-CN" w:bidi="ar-SA"/>
        </w:rPr>
        <w:t>5</w:t>
      </w:r>
      <w:r>
        <w:rPr>
          <w:rFonts w:hint="eastAsia" w:ascii="宋体" w:hAnsi="宋体" w:eastAsia="宋体" w:cs="宋体"/>
          <w:bCs/>
          <w:sz w:val="24"/>
          <w:szCs w:val="20"/>
          <w:highlight w:val="none"/>
          <w:lang w:val="zh-CN" w:eastAsia="zh-CN" w:bidi="ar-SA"/>
        </w:rPr>
        <w:t>.8执法停车场强制保管车辆修理被投诉的，一次扣5分，两次扣15分，第三次，终止合同。</w:t>
      </w:r>
    </w:p>
    <w:p w14:paraId="2F77F22B">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1</w:t>
      </w:r>
      <w:r>
        <w:rPr>
          <w:rFonts w:hint="eastAsia" w:hAnsi="宋体" w:cs="宋体"/>
          <w:bCs/>
          <w:sz w:val="24"/>
          <w:szCs w:val="20"/>
          <w:highlight w:val="none"/>
          <w:lang w:val="en-US" w:eastAsia="zh-CN" w:bidi="ar-SA"/>
        </w:rPr>
        <w:t>5</w:t>
      </w:r>
      <w:r>
        <w:rPr>
          <w:rFonts w:hint="eastAsia" w:ascii="宋体" w:hAnsi="宋体" w:eastAsia="宋体" w:cs="宋体"/>
          <w:bCs/>
          <w:sz w:val="24"/>
          <w:szCs w:val="20"/>
          <w:highlight w:val="none"/>
          <w:lang w:val="zh-CN" w:eastAsia="zh-CN" w:bidi="ar-SA"/>
        </w:rPr>
        <w:t>.9被扣车辆在执法停车场内发生部件被拆除、物品被盗的，一次扣5分，并赔偿相应损失。</w:t>
      </w:r>
    </w:p>
    <w:p w14:paraId="0D9EDF4F">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1</w:t>
      </w:r>
      <w:r>
        <w:rPr>
          <w:rFonts w:hint="eastAsia" w:hAnsi="宋体" w:cs="宋体"/>
          <w:bCs/>
          <w:sz w:val="24"/>
          <w:szCs w:val="20"/>
          <w:highlight w:val="none"/>
          <w:lang w:val="en-US" w:eastAsia="zh-CN" w:bidi="ar-SA"/>
        </w:rPr>
        <w:t>5</w:t>
      </w:r>
      <w:r>
        <w:rPr>
          <w:rFonts w:hint="eastAsia" w:ascii="宋体" w:hAnsi="宋体" w:eastAsia="宋体" w:cs="宋体"/>
          <w:bCs/>
          <w:sz w:val="24"/>
          <w:szCs w:val="20"/>
          <w:highlight w:val="none"/>
          <w:lang w:val="zh-CN" w:eastAsia="zh-CN" w:bidi="ar-SA"/>
        </w:rPr>
        <w:t>.10车辆停放未按区域（车型类、违章类、事故类）停放，秩序混乱的，1次扣3分；社会车辆混放执法停车区域的，视情扣1至2分。</w:t>
      </w:r>
    </w:p>
    <w:p w14:paraId="6FD2FB58">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1</w:t>
      </w:r>
      <w:r>
        <w:rPr>
          <w:rFonts w:hint="eastAsia" w:hAnsi="宋体" w:cs="宋体"/>
          <w:bCs/>
          <w:sz w:val="24"/>
          <w:szCs w:val="20"/>
          <w:highlight w:val="none"/>
          <w:lang w:val="en-US" w:eastAsia="zh-CN" w:bidi="ar-SA"/>
        </w:rPr>
        <w:t>5</w:t>
      </w:r>
      <w:r>
        <w:rPr>
          <w:rFonts w:hint="eastAsia" w:ascii="宋体" w:hAnsi="宋体" w:eastAsia="宋体" w:cs="宋体"/>
          <w:bCs/>
          <w:sz w:val="24"/>
          <w:szCs w:val="20"/>
          <w:highlight w:val="none"/>
          <w:lang w:val="zh-CN" w:eastAsia="zh-CN" w:bidi="ar-SA"/>
        </w:rPr>
        <w:t>.11非因正在施救其他车辆的原因，超过正常应到达施救现场时间半小时的，扣2分，1小时扣4分。</w:t>
      </w:r>
    </w:p>
    <w:p w14:paraId="79388EE5">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hAnsi="宋体" w:cs="宋体"/>
          <w:bCs/>
          <w:sz w:val="24"/>
          <w:szCs w:val="20"/>
          <w:highlight w:val="none"/>
          <w:lang w:val="en-US" w:eastAsia="zh-CN" w:bidi="ar-SA"/>
        </w:rPr>
        <w:t>15</w:t>
      </w:r>
      <w:r>
        <w:rPr>
          <w:rFonts w:hint="eastAsia" w:ascii="宋体" w:hAnsi="宋体" w:eastAsia="宋体" w:cs="宋体"/>
          <w:bCs/>
          <w:sz w:val="24"/>
          <w:szCs w:val="20"/>
          <w:highlight w:val="none"/>
          <w:lang w:val="zh-CN" w:eastAsia="zh-CN" w:bidi="ar-SA"/>
        </w:rPr>
        <w:t>.12乙方违规收取停车费、施救费、被查实一次、两次、三次的，分别扣2分、4分、6分，并按当笔收取费用的2倍扣保管费用，一年内有四次这样的行为的，取消合同履行期间未给付的保管费用，并终止合同。</w:t>
      </w:r>
    </w:p>
    <w:p w14:paraId="52813FB6">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hAnsi="宋体" w:cs="宋体"/>
          <w:bCs/>
          <w:sz w:val="24"/>
          <w:szCs w:val="20"/>
          <w:highlight w:val="none"/>
          <w:lang w:val="en-US" w:eastAsia="zh-CN" w:bidi="ar-SA"/>
        </w:rPr>
        <w:t>15.13</w:t>
      </w:r>
      <w:r>
        <w:rPr>
          <w:rFonts w:hint="eastAsia" w:ascii="宋体" w:hAnsi="宋体" w:eastAsia="宋体" w:cs="宋体"/>
          <w:bCs/>
          <w:sz w:val="24"/>
          <w:szCs w:val="20"/>
          <w:highlight w:val="none"/>
          <w:lang w:val="zh-CN" w:eastAsia="zh-CN" w:bidi="ar-SA"/>
        </w:rPr>
        <w:t>乙方须妥善保护事故车辆上的痕迹，避免灭失或被损坏；车载货物须经承办事故民警手续发还；货物涉嫌超载的及时安排称重；需送检的车辆在接到通知后三日内送检。查实有违上述规定的，每次每项扣3分。</w:t>
      </w:r>
    </w:p>
    <w:p w14:paraId="5F68C64E">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hAnsi="宋体" w:cs="宋体"/>
          <w:bCs/>
          <w:sz w:val="24"/>
          <w:szCs w:val="20"/>
          <w:highlight w:val="none"/>
          <w:lang w:val="en-US" w:eastAsia="zh-CN" w:bidi="ar-SA"/>
        </w:rPr>
        <w:t>15</w:t>
      </w:r>
      <w:r>
        <w:rPr>
          <w:rFonts w:hint="eastAsia" w:ascii="宋体" w:hAnsi="宋体" w:eastAsia="宋体" w:cs="宋体"/>
          <w:bCs/>
          <w:sz w:val="24"/>
          <w:szCs w:val="20"/>
          <w:highlight w:val="none"/>
          <w:lang w:val="zh-CN" w:eastAsia="zh-CN" w:bidi="ar-SA"/>
        </w:rPr>
        <w:t>.1</w:t>
      </w:r>
      <w:r>
        <w:rPr>
          <w:rFonts w:hint="eastAsia" w:hAnsi="宋体" w:cs="宋体"/>
          <w:bCs/>
          <w:sz w:val="24"/>
          <w:szCs w:val="20"/>
          <w:highlight w:val="none"/>
          <w:lang w:val="en-US" w:eastAsia="zh-CN" w:bidi="ar-SA"/>
        </w:rPr>
        <w:t>4</w:t>
      </w:r>
      <w:r>
        <w:rPr>
          <w:rFonts w:hint="eastAsia" w:ascii="宋体" w:hAnsi="宋体" w:eastAsia="宋体" w:cs="宋体"/>
          <w:bCs/>
          <w:sz w:val="24"/>
          <w:szCs w:val="20"/>
          <w:highlight w:val="none"/>
          <w:lang w:val="zh-CN" w:eastAsia="zh-CN" w:bidi="ar-SA"/>
        </w:rPr>
        <w:t>乙方停车区设置不合理、不规范，检查组提出有具体整改措施的，每次扣2分。</w:t>
      </w:r>
    </w:p>
    <w:p w14:paraId="31B438A5">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hAnsi="宋体" w:cs="宋体"/>
          <w:bCs/>
          <w:sz w:val="24"/>
          <w:szCs w:val="20"/>
          <w:highlight w:val="none"/>
          <w:lang w:val="en-US" w:eastAsia="zh-CN" w:bidi="ar-SA"/>
        </w:rPr>
        <w:t>15</w:t>
      </w:r>
      <w:r>
        <w:rPr>
          <w:rFonts w:hint="eastAsia" w:ascii="宋体" w:hAnsi="宋体" w:eastAsia="宋体" w:cs="宋体"/>
          <w:bCs/>
          <w:sz w:val="24"/>
          <w:szCs w:val="20"/>
          <w:highlight w:val="none"/>
          <w:lang w:val="zh-CN" w:eastAsia="zh-CN" w:bidi="ar-SA"/>
        </w:rPr>
        <w:t>.14台账登记信息不全，经</w:t>
      </w:r>
      <w:r>
        <w:rPr>
          <w:rFonts w:hint="eastAsia" w:hAnsi="宋体" w:cs="宋体"/>
          <w:bCs/>
          <w:sz w:val="24"/>
          <w:szCs w:val="20"/>
          <w:highlight w:val="none"/>
          <w:lang w:val="zh-CN" w:eastAsia="zh-CN" w:bidi="ar-SA"/>
        </w:rPr>
        <w:t>交管部门</w:t>
      </w:r>
      <w:r>
        <w:rPr>
          <w:rFonts w:hint="eastAsia" w:ascii="宋体" w:hAnsi="宋体" w:eastAsia="宋体" w:cs="宋体"/>
          <w:bCs/>
          <w:sz w:val="24"/>
          <w:szCs w:val="20"/>
          <w:highlight w:val="none"/>
          <w:lang w:val="zh-CN" w:eastAsia="zh-CN" w:bidi="ar-SA"/>
        </w:rPr>
        <w:t>核对有出入的，有1辆扣1分，一个月内有3辆（含）以上车辆信息出入的，扣10分。</w:t>
      </w:r>
    </w:p>
    <w:p w14:paraId="0858ADEA">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hAnsi="宋体" w:cs="宋体"/>
          <w:bCs/>
          <w:sz w:val="24"/>
          <w:szCs w:val="20"/>
          <w:highlight w:val="none"/>
          <w:lang w:val="en-US" w:eastAsia="zh-CN" w:bidi="ar-SA"/>
        </w:rPr>
        <w:t>15</w:t>
      </w:r>
      <w:r>
        <w:rPr>
          <w:rFonts w:hint="eastAsia" w:ascii="宋体" w:hAnsi="宋体" w:eastAsia="宋体" w:cs="宋体"/>
          <w:bCs/>
          <w:sz w:val="24"/>
          <w:szCs w:val="20"/>
          <w:highlight w:val="none"/>
          <w:lang w:val="zh-CN" w:eastAsia="zh-CN" w:bidi="ar-SA"/>
        </w:rPr>
        <w:t>.1</w:t>
      </w:r>
      <w:r>
        <w:rPr>
          <w:rFonts w:hint="eastAsia" w:hAnsi="宋体" w:cs="宋体"/>
          <w:bCs/>
          <w:sz w:val="24"/>
          <w:szCs w:val="20"/>
          <w:highlight w:val="none"/>
          <w:lang w:val="en-US" w:eastAsia="zh-CN" w:bidi="ar-SA"/>
        </w:rPr>
        <w:t>6</w:t>
      </w:r>
      <w:r>
        <w:rPr>
          <w:rFonts w:hint="eastAsia" w:ascii="宋体" w:hAnsi="宋体" w:eastAsia="宋体" w:cs="宋体"/>
          <w:bCs/>
          <w:sz w:val="24"/>
          <w:szCs w:val="20"/>
          <w:highlight w:val="none"/>
          <w:lang w:val="zh-CN" w:eastAsia="zh-CN" w:bidi="ar-SA"/>
        </w:rPr>
        <w:t>乙方执法停车场必须铺设视频专网，保证县公安局实时监控车辆进出情况（进出场汽车必须至少拍照四张</w:t>
      </w:r>
      <w:r>
        <w:rPr>
          <w:rFonts w:hint="eastAsia" w:hAnsi="宋体" w:cs="宋体"/>
          <w:bCs/>
          <w:sz w:val="24"/>
          <w:szCs w:val="20"/>
          <w:highlight w:val="none"/>
          <w:lang w:val="en-US" w:eastAsia="zh-CN" w:bidi="ar-SA"/>
        </w:rPr>
        <w:t>&lt;</w:t>
      </w:r>
      <w:r>
        <w:rPr>
          <w:rFonts w:hint="eastAsia" w:ascii="宋体" w:hAnsi="宋体" w:eastAsia="宋体" w:cs="宋体"/>
          <w:bCs/>
          <w:sz w:val="24"/>
          <w:szCs w:val="20"/>
          <w:highlight w:val="none"/>
          <w:lang w:val="zh-CN" w:eastAsia="zh-CN" w:bidi="ar-SA"/>
        </w:rPr>
        <w:t>前后左右各一张&gt;，其他机动车至少拍照两张</w:t>
      </w:r>
      <w:r>
        <w:rPr>
          <w:rFonts w:hint="eastAsia" w:hAnsi="宋体" w:cs="宋体"/>
          <w:bCs/>
          <w:sz w:val="24"/>
          <w:szCs w:val="20"/>
          <w:highlight w:val="none"/>
          <w:lang w:val="en-US" w:eastAsia="zh-CN" w:bidi="ar-SA"/>
        </w:rPr>
        <w:t>&lt;</w:t>
      </w:r>
      <w:r>
        <w:rPr>
          <w:rFonts w:hint="eastAsia" w:ascii="宋体" w:hAnsi="宋体" w:eastAsia="宋体" w:cs="宋体"/>
          <w:bCs/>
          <w:sz w:val="24"/>
          <w:szCs w:val="20"/>
          <w:highlight w:val="none"/>
          <w:lang w:val="zh-CN" w:eastAsia="zh-CN" w:bidi="ar-SA"/>
        </w:rPr>
        <w:t>前后各一张&gt;，非机动车至少拍照一张传至公安监管系统，能反映车辆实际状况）。若不能按要求实时上传照片的，每次扣3分。</w:t>
      </w:r>
    </w:p>
    <w:p w14:paraId="73F48616">
      <w:pPr>
        <w:pStyle w:val="5"/>
        <w:snapToGrid w:val="0"/>
        <w:spacing w:before="120" w:after="120" w:line="360" w:lineRule="auto"/>
        <w:ind w:firstLine="480" w:firstLineChars="200"/>
        <w:rPr>
          <w:rFonts w:hint="eastAsia" w:ascii="宋体" w:hAnsi="宋体" w:eastAsia="宋体" w:cs="宋体"/>
          <w:bCs/>
          <w:sz w:val="24"/>
          <w:szCs w:val="20"/>
          <w:highlight w:val="none"/>
          <w:lang w:val="zh-CN" w:eastAsia="zh-CN" w:bidi="ar-SA"/>
        </w:rPr>
      </w:pPr>
      <w:r>
        <w:rPr>
          <w:rFonts w:hint="eastAsia" w:ascii="宋体" w:hAnsi="宋体" w:eastAsia="宋体" w:cs="宋体"/>
          <w:bCs/>
          <w:sz w:val="24"/>
          <w:szCs w:val="20"/>
          <w:highlight w:val="none"/>
          <w:lang w:val="zh-CN" w:eastAsia="zh-CN" w:bidi="ar-SA"/>
        </w:rPr>
        <w:t>乙方有上述终止合同情形的，纳入黑榜，取消下一次执法停车场参标资格。本区域内当时得分第二高的参标停车场（</w:t>
      </w:r>
      <w:r>
        <w:rPr>
          <w:rFonts w:hint="eastAsia" w:hAnsi="宋体" w:cs="宋体"/>
          <w:bCs/>
          <w:sz w:val="24"/>
          <w:szCs w:val="20"/>
          <w:highlight w:val="none"/>
          <w:lang w:val="zh-CN" w:eastAsia="zh-CN" w:bidi="ar-SA"/>
        </w:rPr>
        <w:t>交管大队</w:t>
      </w:r>
      <w:r>
        <w:rPr>
          <w:rFonts w:hint="eastAsia" w:ascii="宋体" w:hAnsi="宋体" w:eastAsia="宋体" w:cs="宋体"/>
          <w:bCs/>
          <w:sz w:val="24"/>
          <w:szCs w:val="20"/>
          <w:highlight w:val="none"/>
          <w:lang w:val="zh-CN" w:eastAsia="zh-CN" w:bidi="ar-SA"/>
        </w:rPr>
        <w:t>请第三方组织人员验收，符合执法停车场基本条件的）的接续履行本区域的合同；本区域没有其他参标停车场的，由</w:t>
      </w:r>
      <w:r>
        <w:rPr>
          <w:rFonts w:hint="eastAsia" w:hAnsi="宋体" w:cs="宋体"/>
          <w:bCs/>
          <w:sz w:val="24"/>
          <w:szCs w:val="20"/>
          <w:highlight w:val="none"/>
          <w:lang w:val="zh-CN" w:eastAsia="zh-CN" w:bidi="ar-SA"/>
        </w:rPr>
        <w:t>交管大队</w:t>
      </w:r>
      <w:r>
        <w:rPr>
          <w:rFonts w:hint="eastAsia" w:ascii="宋体" w:hAnsi="宋体" w:eastAsia="宋体" w:cs="宋体"/>
          <w:bCs/>
          <w:sz w:val="24"/>
          <w:szCs w:val="20"/>
          <w:highlight w:val="none"/>
          <w:lang w:val="zh-CN" w:eastAsia="zh-CN" w:bidi="ar-SA"/>
        </w:rPr>
        <w:t>指令当时考评得分最高的其他区域未中标参标停车场代为履行该区域的合同。</w:t>
      </w:r>
    </w:p>
    <w:p w14:paraId="67272CC9">
      <w:pPr>
        <w:spacing w:line="500" w:lineRule="exact"/>
        <w:ind w:firstLine="482" w:firstLineChars="200"/>
        <w:rPr>
          <w:rFonts w:hint="eastAsia" w:ascii="宋体" w:hAnsi="宋体" w:eastAsia="宋体" w:cs="宋体"/>
          <w:bCs/>
          <w:sz w:val="24"/>
          <w:highlight w:val="none"/>
          <w:lang w:val="zh-CN"/>
        </w:rPr>
      </w:pPr>
      <w:r>
        <w:rPr>
          <w:rFonts w:hint="eastAsia" w:ascii="宋体" w:hAnsi="宋体" w:eastAsia="宋体" w:cs="宋体"/>
          <w:b/>
          <w:bCs w:val="0"/>
          <w:sz w:val="24"/>
          <w:highlight w:val="none"/>
          <w:lang w:val="zh-CN"/>
        </w:rPr>
        <w:t>1</w:t>
      </w:r>
      <w:r>
        <w:rPr>
          <w:rFonts w:hint="eastAsia" w:cs="宋体"/>
          <w:b/>
          <w:bCs w:val="0"/>
          <w:sz w:val="24"/>
          <w:highlight w:val="none"/>
          <w:lang w:val="en-US" w:eastAsia="zh-CN"/>
        </w:rPr>
        <w:t>6</w:t>
      </w:r>
      <w:r>
        <w:rPr>
          <w:rFonts w:hint="eastAsia" w:ascii="宋体" w:hAnsi="宋体" w:eastAsia="宋体" w:cs="宋体"/>
          <w:b/>
          <w:bCs w:val="0"/>
          <w:sz w:val="24"/>
          <w:highlight w:val="none"/>
          <w:lang w:val="zh-CN"/>
        </w:rPr>
        <w:t>、不可抗力事件处理</w:t>
      </w:r>
    </w:p>
    <w:p w14:paraId="04AE8F14">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w:t>
      </w:r>
      <w:r>
        <w:rPr>
          <w:rFonts w:hint="eastAsia" w:cs="宋体"/>
          <w:bCs/>
          <w:sz w:val="24"/>
          <w:highlight w:val="none"/>
          <w:lang w:val="en-US" w:eastAsia="zh-CN"/>
        </w:rPr>
        <w:t>6</w:t>
      </w:r>
      <w:r>
        <w:rPr>
          <w:rFonts w:hint="eastAsia" w:ascii="宋体" w:hAnsi="宋体" w:eastAsia="宋体" w:cs="宋体"/>
          <w:bCs/>
          <w:sz w:val="24"/>
          <w:highlight w:val="none"/>
          <w:lang w:val="zh-CN"/>
        </w:rPr>
        <w:t>.1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74E33D50">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w:t>
      </w:r>
      <w:r>
        <w:rPr>
          <w:rFonts w:hint="eastAsia" w:cs="宋体"/>
          <w:bCs/>
          <w:sz w:val="24"/>
          <w:highlight w:val="none"/>
          <w:lang w:val="en-US" w:eastAsia="zh-CN"/>
        </w:rPr>
        <w:t>6</w:t>
      </w:r>
      <w:r>
        <w:rPr>
          <w:rFonts w:hint="eastAsia" w:ascii="宋体" w:hAnsi="宋体" w:eastAsia="宋体" w:cs="宋体"/>
          <w:bCs/>
          <w:sz w:val="24"/>
          <w:highlight w:val="none"/>
          <w:lang w:val="zh-CN"/>
        </w:rPr>
        <w:t>.2 不可抗力事件发生后，应立即通知对方，并寄送有关权威机构出具的证明。除甲方书面另行要 求外，乙方应尽实际可能继续履行合同义务，以及寻求采取合理的方案履行不受不可抗力影响的其他事项。若不可抗力事件延续 120 天以上，双方应通过友好协商，确定是否继续履行合同。</w:t>
      </w:r>
    </w:p>
    <w:p w14:paraId="3D79E42E">
      <w:pPr>
        <w:spacing w:line="500" w:lineRule="exact"/>
        <w:ind w:firstLine="482" w:firstLineChars="200"/>
        <w:rPr>
          <w:rFonts w:hint="eastAsia" w:ascii="宋体" w:hAnsi="宋体" w:eastAsia="宋体" w:cs="宋体"/>
          <w:b/>
          <w:bCs w:val="0"/>
          <w:sz w:val="24"/>
          <w:highlight w:val="none"/>
          <w:lang w:val="zh-CN"/>
        </w:rPr>
      </w:pPr>
      <w:r>
        <w:rPr>
          <w:rFonts w:hint="eastAsia" w:ascii="宋体" w:hAnsi="宋体" w:eastAsia="宋体" w:cs="宋体"/>
          <w:b/>
          <w:bCs w:val="0"/>
          <w:sz w:val="24"/>
          <w:highlight w:val="none"/>
          <w:lang w:val="zh-CN"/>
        </w:rPr>
        <w:t>1</w:t>
      </w:r>
      <w:r>
        <w:rPr>
          <w:rFonts w:hint="eastAsia" w:cs="宋体"/>
          <w:b/>
          <w:bCs w:val="0"/>
          <w:sz w:val="24"/>
          <w:highlight w:val="none"/>
          <w:lang w:val="en-US" w:eastAsia="zh-CN"/>
        </w:rPr>
        <w:t>7</w:t>
      </w:r>
      <w:r>
        <w:rPr>
          <w:rFonts w:hint="eastAsia" w:ascii="宋体" w:hAnsi="宋体" w:eastAsia="宋体" w:cs="宋体"/>
          <w:b/>
          <w:bCs w:val="0"/>
          <w:sz w:val="24"/>
          <w:highlight w:val="none"/>
          <w:lang w:val="zh-CN"/>
        </w:rPr>
        <w:t>、争议解决</w:t>
      </w:r>
    </w:p>
    <w:p w14:paraId="252632C9">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w:t>
      </w:r>
      <w:r>
        <w:rPr>
          <w:rFonts w:hint="eastAsia" w:cs="宋体"/>
          <w:bCs/>
          <w:sz w:val="24"/>
          <w:highlight w:val="none"/>
          <w:lang w:val="en-US" w:eastAsia="zh-CN"/>
        </w:rPr>
        <w:t>7</w:t>
      </w:r>
      <w:r>
        <w:rPr>
          <w:rFonts w:hint="eastAsia" w:ascii="宋体" w:hAnsi="宋体" w:eastAsia="宋体" w:cs="宋体"/>
          <w:bCs/>
          <w:sz w:val="24"/>
          <w:highlight w:val="none"/>
          <w:lang w:val="zh-CN"/>
        </w:rPr>
        <w:t>.1 因服务的品质质量问题发生争议的，可在国家认可的质量检测机构对服务内容质量进行鉴定。 服务符合标准的，鉴定费由甲方承担；服务项目不符合质量标准的，鉴定费由乙方承担。</w:t>
      </w:r>
    </w:p>
    <w:p w14:paraId="20790473">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w:t>
      </w:r>
      <w:r>
        <w:rPr>
          <w:rFonts w:hint="eastAsia" w:cs="宋体"/>
          <w:bCs/>
          <w:sz w:val="24"/>
          <w:highlight w:val="none"/>
          <w:lang w:val="en-US" w:eastAsia="zh-CN"/>
        </w:rPr>
        <w:t>7</w:t>
      </w:r>
      <w:r>
        <w:rPr>
          <w:rFonts w:hint="eastAsia" w:ascii="宋体" w:hAnsi="宋体" w:eastAsia="宋体" w:cs="宋体"/>
          <w:bCs/>
          <w:sz w:val="24"/>
          <w:highlight w:val="none"/>
          <w:lang w:val="zh-CN"/>
        </w:rPr>
        <w:t>.2 因履行本合同引起的或与本合同有关的争议，甲、乙双方应首先通过友好协商解决；如果协商 不能解决争议， 甲乙双方同意采取下列两种方式的第 ( 2 ) 种方式解决争议：</w:t>
      </w:r>
    </w:p>
    <w:p w14:paraId="2DA44141">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 向甲方所在地有管辖权的人民法院提起诉讼，适用中华人民共和国法律；</w:t>
      </w:r>
    </w:p>
    <w:p w14:paraId="464CFB6B">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(2) 向宝应仲裁委员会按其仲裁规则申请仲裁。</w:t>
      </w:r>
    </w:p>
    <w:p w14:paraId="4107FF00">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w:t>
      </w:r>
      <w:r>
        <w:rPr>
          <w:rFonts w:hint="eastAsia" w:cs="宋体"/>
          <w:bCs/>
          <w:sz w:val="24"/>
          <w:highlight w:val="none"/>
          <w:lang w:val="en-US" w:eastAsia="zh-CN"/>
        </w:rPr>
        <w:t>7</w:t>
      </w:r>
      <w:r>
        <w:rPr>
          <w:rFonts w:hint="eastAsia" w:ascii="宋体" w:hAnsi="宋体" w:eastAsia="宋体" w:cs="宋体"/>
          <w:bCs/>
          <w:sz w:val="24"/>
          <w:highlight w:val="none"/>
          <w:lang w:val="zh-CN"/>
        </w:rPr>
        <w:t>.3 若甲乙双方任何一方都没有选择解除合同的，为避免扩大损失，在诉讼或仲裁期间，双方应继续履行。</w:t>
      </w:r>
    </w:p>
    <w:p w14:paraId="15E280E8">
      <w:pPr>
        <w:spacing w:line="500" w:lineRule="exact"/>
        <w:ind w:firstLine="482" w:firstLineChars="200"/>
        <w:rPr>
          <w:rFonts w:hint="eastAsia" w:ascii="宋体" w:hAnsi="宋体" w:eastAsia="宋体" w:cs="宋体"/>
          <w:bCs/>
          <w:sz w:val="24"/>
          <w:highlight w:val="none"/>
          <w:lang w:val="zh-CN"/>
        </w:rPr>
      </w:pPr>
      <w:r>
        <w:rPr>
          <w:rFonts w:hint="eastAsia" w:ascii="宋体" w:hAnsi="宋体" w:eastAsia="宋体" w:cs="宋体"/>
          <w:b/>
          <w:bCs w:val="0"/>
          <w:sz w:val="24"/>
          <w:highlight w:val="none"/>
          <w:lang w:val="zh-CN"/>
        </w:rPr>
        <w:t>1</w:t>
      </w:r>
      <w:r>
        <w:rPr>
          <w:rFonts w:hint="eastAsia" w:cs="宋体"/>
          <w:b/>
          <w:bCs w:val="0"/>
          <w:sz w:val="24"/>
          <w:highlight w:val="none"/>
          <w:lang w:val="en-US" w:eastAsia="zh-CN"/>
        </w:rPr>
        <w:t>8</w:t>
      </w:r>
      <w:r>
        <w:rPr>
          <w:rFonts w:hint="eastAsia" w:ascii="宋体" w:hAnsi="宋体" w:eastAsia="宋体" w:cs="宋体"/>
          <w:b/>
          <w:bCs w:val="0"/>
          <w:sz w:val="24"/>
          <w:highlight w:val="none"/>
          <w:lang w:val="zh-CN"/>
        </w:rPr>
        <w:t>、合同其它</w:t>
      </w:r>
    </w:p>
    <w:p w14:paraId="27B62891">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w:t>
      </w:r>
      <w:r>
        <w:rPr>
          <w:rFonts w:hint="eastAsia" w:cs="宋体"/>
          <w:bCs/>
          <w:sz w:val="24"/>
          <w:highlight w:val="none"/>
          <w:lang w:val="en-US" w:eastAsia="zh-CN"/>
        </w:rPr>
        <w:t>8</w:t>
      </w:r>
      <w:r>
        <w:rPr>
          <w:rFonts w:hint="eastAsia" w:ascii="宋体" w:hAnsi="宋体" w:eastAsia="宋体" w:cs="宋体"/>
          <w:bCs/>
          <w:sz w:val="24"/>
          <w:highlight w:val="none"/>
          <w:lang w:val="zh-CN"/>
        </w:rPr>
        <w:t>.1 乙方应诚实信用，严格按照</w:t>
      </w:r>
      <w:r>
        <w:rPr>
          <w:rFonts w:hint="eastAsia" w:ascii="宋体" w:hAnsi="宋体" w:eastAsia="宋体" w:cs="宋体"/>
          <w:bCs/>
          <w:sz w:val="24"/>
          <w:highlight w:val="none"/>
          <w:lang w:val="en-US" w:eastAsia="zh-CN"/>
        </w:rPr>
        <w:t>招标</w:t>
      </w:r>
      <w:r>
        <w:rPr>
          <w:rFonts w:hint="eastAsia" w:ascii="宋体" w:hAnsi="宋体" w:eastAsia="宋体" w:cs="宋体"/>
          <w:bCs/>
          <w:sz w:val="24"/>
          <w:highlight w:val="none"/>
          <w:lang w:val="zh-CN"/>
        </w:rPr>
        <w:t>文件要求和投标承诺履行合同，不向甲方进行商业贿赂或者提供不正当利益。</w:t>
      </w:r>
    </w:p>
    <w:p w14:paraId="297F842C">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w:t>
      </w:r>
      <w:r>
        <w:rPr>
          <w:rFonts w:hint="eastAsia" w:cs="宋体"/>
          <w:bCs/>
          <w:sz w:val="24"/>
          <w:highlight w:val="none"/>
          <w:lang w:val="en-US" w:eastAsia="zh-CN"/>
        </w:rPr>
        <w:t>8</w:t>
      </w:r>
      <w:r>
        <w:rPr>
          <w:rFonts w:hint="eastAsia" w:ascii="宋体" w:hAnsi="宋体" w:eastAsia="宋体" w:cs="宋体"/>
          <w:bCs/>
          <w:sz w:val="24"/>
          <w:highlight w:val="none"/>
          <w:lang w:val="zh-CN"/>
        </w:rPr>
        <w:t>.2 合同经双方法定代表人或授权代表签字并加盖单位公章，并经江苏江南工程管理咨询有限公司见证盖章后生效。</w:t>
      </w:r>
    </w:p>
    <w:p w14:paraId="570CEA3E">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w:t>
      </w:r>
      <w:r>
        <w:rPr>
          <w:rFonts w:hint="eastAsia" w:cs="宋体"/>
          <w:bCs/>
          <w:sz w:val="24"/>
          <w:highlight w:val="none"/>
          <w:lang w:val="en-US" w:eastAsia="zh-CN"/>
        </w:rPr>
        <w:t>8</w:t>
      </w:r>
      <w:r>
        <w:rPr>
          <w:rFonts w:hint="eastAsia" w:ascii="宋体" w:hAnsi="宋体" w:eastAsia="宋体" w:cs="宋体"/>
          <w:bCs/>
          <w:sz w:val="24"/>
          <w:highlight w:val="none"/>
          <w:lang w:val="zh-CN"/>
        </w:rPr>
        <w:t>.3 本合同未尽事宜，遵照《民法典》有关条文执行。</w:t>
      </w:r>
    </w:p>
    <w:p w14:paraId="13D1FDBC">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w:t>
      </w:r>
      <w:r>
        <w:rPr>
          <w:rFonts w:hint="eastAsia" w:cs="宋体"/>
          <w:bCs/>
          <w:sz w:val="24"/>
          <w:highlight w:val="none"/>
          <w:lang w:val="en-US" w:eastAsia="zh-CN"/>
        </w:rPr>
        <w:t>8</w:t>
      </w:r>
      <w:r>
        <w:rPr>
          <w:rFonts w:hint="eastAsia" w:ascii="宋体" w:hAnsi="宋体" w:eastAsia="宋体" w:cs="宋体"/>
          <w:bCs/>
          <w:sz w:val="24"/>
          <w:highlight w:val="none"/>
          <w:lang w:val="zh-CN"/>
        </w:rPr>
        <w:t>.4 本合同正本一式</w:t>
      </w:r>
      <w:r>
        <w:rPr>
          <w:rFonts w:hint="eastAsia" w:ascii="宋体" w:hAnsi="宋体" w:eastAsia="宋体" w:cs="宋体"/>
          <w:bCs/>
          <w:sz w:val="24"/>
          <w:highlight w:val="none"/>
          <w:lang w:val="en-US" w:eastAsia="zh-CN"/>
        </w:rPr>
        <w:t>陆</w:t>
      </w:r>
      <w:r>
        <w:rPr>
          <w:rFonts w:hint="eastAsia" w:ascii="宋体" w:hAnsi="宋体" w:eastAsia="宋体" w:cs="宋体"/>
          <w:bCs/>
          <w:sz w:val="24"/>
          <w:highlight w:val="none"/>
          <w:lang w:val="zh-CN"/>
        </w:rPr>
        <w:t>份，具有同等法律效力， 甲方、乙方</w:t>
      </w:r>
      <w:r>
        <w:rPr>
          <w:rFonts w:hint="eastAsia" w:ascii="宋体" w:hAnsi="宋体" w:eastAsia="宋体" w:cs="宋体"/>
          <w:bCs/>
          <w:sz w:val="24"/>
          <w:highlight w:val="none"/>
          <w:lang w:val="en-US" w:eastAsia="zh-CN"/>
        </w:rPr>
        <w:t>及</w:t>
      </w:r>
      <w:r>
        <w:rPr>
          <w:rFonts w:hint="eastAsia" w:ascii="宋体" w:hAnsi="宋体" w:eastAsia="宋体" w:cs="宋体"/>
          <w:bCs/>
          <w:sz w:val="24"/>
          <w:highlight w:val="none"/>
          <w:lang w:val="zh-CN"/>
        </w:rPr>
        <w:t>见证方各执二份。</w:t>
      </w:r>
    </w:p>
    <w:p w14:paraId="2CCF03B8">
      <w:pPr>
        <w:pStyle w:val="17"/>
        <w:pageBreakBefore w:val="0"/>
        <w:spacing w:line="288" w:lineRule="auto"/>
        <w:ind w:firstLine="420"/>
        <w:jc w:val="left"/>
        <w:rPr>
          <w:rFonts w:hint="eastAsia" w:ascii="宋体" w:hAnsi="宋体"/>
          <w:color w:val="auto"/>
          <w:szCs w:val="21"/>
          <w:highlight w:val="none"/>
        </w:rPr>
      </w:pPr>
    </w:p>
    <w:p w14:paraId="5C4A755E">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甲  方（单位盖章）：    </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zh-CN"/>
        </w:rPr>
        <w:t xml:space="preserve">乙  方（单位盖章）：  </w:t>
      </w:r>
    </w:p>
    <w:p w14:paraId="48AB7CD7">
      <w:pPr>
        <w:spacing w:line="500" w:lineRule="exact"/>
        <w:ind w:firstLine="480" w:firstLineChars="200"/>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zh-CN"/>
        </w:rPr>
        <w:t xml:space="preserve">地  址：       </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zh-CN"/>
        </w:rPr>
        <w:t>地  址：</w:t>
      </w:r>
    </w:p>
    <w:p w14:paraId="56532C23">
      <w:pPr>
        <w:spacing w:line="500" w:lineRule="exact"/>
        <w:ind w:firstLine="480" w:firstLineChars="200"/>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zh-CN"/>
        </w:rPr>
        <w:t>代表签字：</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zh-CN"/>
        </w:rPr>
        <w:t>代表签字：</w:t>
      </w:r>
    </w:p>
    <w:p w14:paraId="08EAE480">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电  话：</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zh-CN"/>
        </w:rPr>
        <w:t>电  话：</w:t>
      </w:r>
    </w:p>
    <w:p w14:paraId="32A42B0E">
      <w:pPr>
        <w:spacing w:line="500" w:lineRule="exact"/>
        <w:ind w:firstLine="480" w:firstLineChars="20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 </w:t>
      </w:r>
    </w:p>
    <w:p w14:paraId="28E6DCCE">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见证方（单位盖章）：</w:t>
      </w:r>
    </w:p>
    <w:p w14:paraId="6649BB9E">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地  址：</w:t>
      </w:r>
    </w:p>
    <w:p w14:paraId="0CB608F9">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电  话：</w:t>
      </w:r>
    </w:p>
    <w:p w14:paraId="0FE992D1">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代表签字：</w:t>
      </w:r>
    </w:p>
    <w:p w14:paraId="45801B95">
      <w:pPr>
        <w:spacing w:line="500" w:lineRule="exact"/>
        <w:ind w:firstLine="480" w:firstLineChars="20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zh-CN"/>
        </w:rPr>
        <w:t>合同签订日期：   年   月</w:t>
      </w:r>
      <w:r>
        <w:rPr>
          <w:rFonts w:hint="eastAsia" w:ascii="宋体" w:hAnsi="宋体" w:eastAsia="宋体" w:cs="宋体"/>
          <w:bCs/>
          <w:sz w:val="24"/>
          <w:highlight w:val="none"/>
          <w:lang w:val="en-US" w:eastAsia="zh-CN"/>
        </w:rPr>
        <w:t xml:space="preserve">   日</w:t>
      </w:r>
    </w:p>
    <w:p w14:paraId="56DAB71B">
      <w:pPr>
        <w:rPr>
          <w:rFonts w:hint="default" w:cs="宋体"/>
          <w:bCs/>
          <w:sz w:val="24"/>
          <w:highlight w:val="none"/>
          <w:lang w:val="en-US" w:eastAsia="zh-CN"/>
        </w:rPr>
      </w:pPr>
      <w:r>
        <w:rPr>
          <w:rFonts w:hint="default" w:cs="宋体"/>
          <w:bCs/>
          <w:sz w:val="24"/>
          <w:highlight w:val="none"/>
          <w:lang w:val="en-US" w:eastAsia="zh-CN"/>
        </w:rPr>
        <w:br w:type="page"/>
      </w:r>
    </w:p>
    <w:p w14:paraId="43B4DA8B">
      <w:pPr>
        <w:pStyle w:val="18"/>
        <w:spacing w:before="120" w:after="120" w:line="0" w:lineRule="atLeast"/>
        <w:jc w:val="center"/>
        <w:rPr>
          <w:rFonts w:hAnsi="宋体"/>
          <w:sz w:val="24"/>
          <w:szCs w:val="24"/>
          <w:highlight w:val="none"/>
        </w:rPr>
      </w:pPr>
      <w:bookmarkStart w:id="54" w:name="_Toc120614281"/>
      <w:bookmarkStart w:id="55" w:name="_Toc26554093"/>
      <w:bookmarkStart w:id="56" w:name="_Toc49090575"/>
      <w:r>
        <w:rPr>
          <w:rFonts w:hint="eastAsia" w:ascii="黑体" w:eastAsia="黑体"/>
          <w:bCs/>
          <w:sz w:val="44"/>
          <w:highlight w:val="none"/>
        </w:rPr>
        <w:t>第四章 采购需求</w:t>
      </w:r>
    </w:p>
    <w:p w14:paraId="0C66D637">
      <w:pPr>
        <w:spacing w:line="360" w:lineRule="auto"/>
        <w:ind w:firstLine="384" w:firstLineChars="160"/>
        <w:rPr>
          <w:rFonts w:hint="eastAsia"/>
          <w:bCs/>
          <w:iCs/>
          <w:sz w:val="24"/>
          <w:szCs w:val="24"/>
          <w:highlight w:val="none"/>
        </w:rPr>
      </w:pPr>
      <w:bookmarkStart w:id="57" w:name="_Toc136347705"/>
      <w:bookmarkStart w:id="58" w:name="_Toc47940211"/>
      <w:r>
        <w:rPr>
          <w:rFonts w:hint="eastAsia"/>
          <w:bCs/>
          <w:iCs/>
          <w:sz w:val="24"/>
          <w:szCs w:val="24"/>
          <w:highlight w:val="none"/>
        </w:rPr>
        <w:t>项目属性：服务类项目</w:t>
      </w:r>
    </w:p>
    <w:p w14:paraId="44BCCA47">
      <w:pPr>
        <w:spacing w:line="360" w:lineRule="auto"/>
        <w:ind w:firstLine="384" w:firstLineChars="160"/>
        <w:rPr>
          <w:rFonts w:hint="eastAsia"/>
          <w:bCs/>
          <w:iCs/>
          <w:sz w:val="24"/>
          <w:szCs w:val="24"/>
          <w:highlight w:val="none"/>
        </w:rPr>
      </w:pPr>
      <w:r>
        <w:rPr>
          <w:rFonts w:hint="eastAsia"/>
          <w:bCs/>
          <w:iCs/>
          <w:sz w:val="24"/>
          <w:szCs w:val="24"/>
          <w:highlight w:val="none"/>
        </w:rPr>
        <w:t>其他要求</w:t>
      </w:r>
    </w:p>
    <w:p w14:paraId="456745AF">
      <w:pPr>
        <w:spacing w:line="360" w:lineRule="auto"/>
        <w:ind w:firstLine="384" w:firstLineChars="160"/>
        <w:rPr>
          <w:rFonts w:hint="eastAsia"/>
          <w:bCs/>
          <w:iCs/>
          <w:sz w:val="24"/>
          <w:szCs w:val="24"/>
          <w:highlight w:val="none"/>
        </w:rPr>
      </w:pPr>
      <w:r>
        <w:rPr>
          <w:rFonts w:hint="eastAsia"/>
          <w:bCs/>
          <w:iCs/>
          <w:sz w:val="24"/>
          <w:szCs w:val="24"/>
          <w:highlight w:val="none"/>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A241472">
      <w:pPr>
        <w:spacing w:line="360" w:lineRule="auto"/>
        <w:ind w:firstLine="384" w:firstLineChars="160"/>
        <w:rPr>
          <w:bCs/>
          <w:iCs/>
          <w:sz w:val="24"/>
          <w:szCs w:val="24"/>
          <w:highlight w:val="none"/>
        </w:rPr>
      </w:pPr>
      <w:r>
        <w:rPr>
          <w:rFonts w:hint="eastAsia"/>
          <w:bCs/>
          <w:iCs/>
          <w:sz w:val="24"/>
          <w:szCs w:val="24"/>
          <w:highlight w:val="none"/>
        </w:rPr>
        <w:t>供应商对于投标产品的包装应按照“财办库〔2020〕123号《关于印发《商品包装政府采购需求标准（试行）》、《快递包装政府采购需求标准（试行）》的通知》”执行。</w:t>
      </w:r>
    </w:p>
    <w:bookmarkEnd w:id="57"/>
    <w:bookmarkEnd w:id="58"/>
    <w:p w14:paraId="107C4044">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1、本项目根据《中华人民共和国行政强制法》第二十六条“因查封、扣押发生的保管费用由政府机关承担”的规定，为了适应当前执法工作的需要，规范执法行为，拟在我县范围内</w:t>
      </w:r>
      <w:r>
        <w:rPr>
          <w:rFonts w:hint="eastAsia" w:cs="宋体"/>
          <w:bCs/>
          <w:sz w:val="24"/>
          <w:highlight w:val="none"/>
          <w:lang w:val="en-US" w:eastAsia="zh-CN"/>
        </w:rPr>
        <w:t>三</w:t>
      </w:r>
      <w:r>
        <w:rPr>
          <w:rFonts w:hint="eastAsia" w:ascii="宋体" w:hAnsi="宋体" w:eastAsia="宋体" w:cs="宋体"/>
          <w:bCs/>
          <w:sz w:val="24"/>
          <w:highlight w:val="none"/>
          <w:lang w:val="zh-CN"/>
        </w:rPr>
        <w:t>个区域范围内各购买一个执法服务专用停车场。</w:t>
      </w:r>
      <w:r>
        <w:rPr>
          <w:rFonts w:hint="eastAsia"/>
          <w:sz w:val="24"/>
          <w:szCs w:val="24"/>
          <w:highlight w:val="none"/>
          <w:lang w:val="en-US" w:eastAsia="zh-CN"/>
        </w:rPr>
        <w:t>本项目兼投不兼中，,即一个投标单位只能中一个标的。</w:t>
      </w:r>
    </w:p>
    <w:p w14:paraId="636C9725">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2、招标区域划分及参标执法停车场地点设立需求：</w:t>
      </w:r>
    </w:p>
    <w:p w14:paraId="33EDD8E4">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（1）招标区域划分</w:t>
      </w:r>
    </w:p>
    <w:p w14:paraId="7B12905D">
      <w:pPr>
        <w:spacing w:line="500" w:lineRule="exact"/>
        <w:ind w:firstLine="480" w:firstLineChars="200"/>
        <w:rPr>
          <w:rFonts w:hint="eastAsia" w:ascii="宋体" w:hAnsi="宋体" w:eastAsia="宋体" w:cs="宋体"/>
          <w:bCs/>
          <w:sz w:val="24"/>
          <w:highlight w:val="none"/>
          <w:lang w:val="zh-CN"/>
        </w:rPr>
      </w:pPr>
      <w:r>
        <w:rPr>
          <w:rFonts w:hint="eastAsia" w:cs="宋体"/>
          <w:bCs/>
          <w:sz w:val="24"/>
          <w:highlight w:val="none"/>
          <w:lang w:val="en-US" w:eastAsia="zh-CN"/>
        </w:rPr>
        <w:t>01包-</w:t>
      </w:r>
      <w:r>
        <w:rPr>
          <w:rFonts w:hint="eastAsia" w:ascii="宋体" w:hAnsi="宋体" w:eastAsia="宋体" w:cs="宋体"/>
          <w:bCs/>
          <w:sz w:val="24"/>
          <w:highlight w:val="none"/>
          <w:lang w:val="zh-CN"/>
        </w:rPr>
        <w:t>宝应北片：安宜镇叶挺路（含）及其延长线以北（不含原中港乡）、山阳镇、原黄塍镇、泾河镇、曹甸镇、西安丰镇区域。</w:t>
      </w:r>
    </w:p>
    <w:p w14:paraId="2BC4E2F6">
      <w:pPr>
        <w:spacing w:line="500" w:lineRule="exact"/>
        <w:ind w:firstLine="480" w:firstLineChars="200"/>
        <w:rPr>
          <w:rFonts w:hint="eastAsia" w:ascii="宋体" w:hAnsi="宋体" w:eastAsia="宋体" w:cs="宋体"/>
          <w:bCs/>
          <w:sz w:val="24"/>
          <w:highlight w:val="none"/>
          <w:lang w:val="zh-CN"/>
        </w:rPr>
      </w:pPr>
      <w:r>
        <w:rPr>
          <w:rFonts w:hint="eastAsia" w:cs="宋体"/>
          <w:bCs/>
          <w:sz w:val="24"/>
          <w:highlight w:val="none"/>
          <w:lang w:val="en-US" w:eastAsia="zh-CN"/>
        </w:rPr>
        <w:t>02包-</w:t>
      </w:r>
      <w:r>
        <w:rPr>
          <w:rFonts w:hint="eastAsia" w:ascii="宋体" w:hAnsi="宋体" w:eastAsia="宋体" w:cs="宋体"/>
          <w:bCs/>
          <w:sz w:val="24"/>
          <w:highlight w:val="none"/>
          <w:lang w:val="zh-CN"/>
        </w:rPr>
        <w:t>宝应南片：氾水镇、柳堡镇、夏集镇区域。</w:t>
      </w:r>
    </w:p>
    <w:p w14:paraId="3CB90F57">
      <w:pPr>
        <w:spacing w:line="500" w:lineRule="exact"/>
        <w:ind w:firstLine="480" w:firstLineChars="200"/>
        <w:rPr>
          <w:rFonts w:hint="eastAsia" w:ascii="宋体" w:hAnsi="宋体" w:eastAsia="宋体" w:cs="宋体"/>
          <w:bCs/>
          <w:sz w:val="24"/>
          <w:highlight w:val="none"/>
          <w:lang w:val="zh-CN"/>
        </w:rPr>
      </w:pPr>
      <w:r>
        <w:rPr>
          <w:rFonts w:hint="eastAsia" w:cs="宋体"/>
          <w:bCs/>
          <w:sz w:val="24"/>
          <w:highlight w:val="none"/>
          <w:lang w:val="en-US" w:eastAsia="zh-CN"/>
        </w:rPr>
        <w:t>03包-</w:t>
      </w:r>
      <w:r>
        <w:rPr>
          <w:rFonts w:hint="eastAsia" w:ascii="宋体" w:hAnsi="宋体" w:eastAsia="宋体" w:cs="宋体"/>
          <w:bCs/>
          <w:sz w:val="24"/>
          <w:highlight w:val="none"/>
          <w:lang w:val="zh-CN"/>
        </w:rPr>
        <w:t>宝应东片：县经济技术开发区（除原黄塍镇）、望直港镇、射阳湖镇区域。</w:t>
      </w:r>
    </w:p>
    <w:p w14:paraId="303E6BA5">
      <w:pPr>
        <w:spacing w:line="500" w:lineRule="exact"/>
        <w:ind w:firstLine="480" w:firstLineChars="200"/>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注：各镇所辖区域在合同期内有变动的，从变动后的区域。</w:t>
      </w:r>
    </w:p>
    <w:p w14:paraId="00A01C35">
      <w:pPr>
        <w:spacing w:line="500" w:lineRule="exact"/>
        <w:ind w:firstLine="480" w:firstLineChars="200"/>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（2）参标执法停车场地点设立要求</w:t>
      </w:r>
    </w:p>
    <w:p w14:paraId="7F2D8B90">
      <w:pPr>
        <w:spacing w:line="500" w:lineRule="exact"/>
        <w:ind w:firstLine="480" w:firstLineChars="200"/>
        <w:rPr>
          <w:rFonts w:hint="eastAsia" w:cs="宋体"/>
          <w:bCs/>
          <w:i w:val="0"/>
          <w:iCs w:val="0"/>
          <w:sz w:val="24"/>
          <w:highlight w:val="none"/>
          <w:u w:val="none"/>
          <w:lang w:val="en-US" w:eastAsia="zh-CN"/>
        </w:rPr>
      </w:pPr>
    </w:p>
    <w:p w14:paraId="7A5D9973">
      <w:pPr>
        <w:spacing w:line="500" w:lineRule="exact"/>
        <w:ind w:firstLine="480" w:firstLineChars="200"/>
        <w:rPr>
          <w:rFonts w:hint="eastAsia"/>
          <w:strike w:val="0"/>
          <w:dstrike w:val="0"/>
          <w:color w:val="auto"/>
          <w:sz w:val="24"/>
          <w:szCs w:val="24"/>
          <w:highlight w:val="none"/>
          <w:lang w:val="en-US" w:eastAsia="zh-CN"/>
        </w:rPr>
      </w:pPr>
      <w:r>
        <w:rPr>
          <w:rFonts w:hint="eastAsia"/>
          <w:strike w:val="0"/>
          <w:dstrike w:val="0"/>
          <w:color w:val="auto"/>
          <w:sz w:val="24"/>
          <w:szCs w:val="24"/>
          <w:highlight w:val="none"/>
          <w:lang w:val="en-US" w:eastAsia="zh-CN"/>
        </w:rPr>
        <w:t>停车场设立地点本着就近方便原则，具体位置参考如下。</w:t>
      </w:r>
    </w:p>
    <w:p w14:paraId="7B219893">
      <w:pPr>
        <w:spacing w:line="500" w:lineRule="exact"/>
        <w:ind w:firstLine="480" w:firstLineChars="200"/>
        <w:rPr>
          <w:rFonts w:hint="eastAsia" w:ascii="宋体" w:hAnsi="宋体" w:eastAsia="宋体" w:cs="宋体"/>
          <w:bCs/>
          <w:i w:val="0"/>
          <w:iCs w:val="0"/>
          <w:sz w:val="24"/>
          <w:highlight w:val="none"/>
          <w:u w:val="none"/>
          <w:lang w:val="zh-CN"/>
        </w:rPr>
      </w:pPr>
      <w:r>
        <w:rPr>
          <w:rFonts w:hint="eastAsia" w:cs="宋体"/>
          <w:bCs/>
          <w:i w:val="0"/>
          <w:iCs w:val="0"/>
          <w:sz w:val="24"/>
          <w:highlight w:val="none"/>
          <w:u w:val="none"/>
          <w:lang w:val="en-US" w:eastAsia="zh-CN"/>
        </w:rPr>
        <w:t>01包-</w:t>
      </w:r>
      <w:r>
        <w:rPr>
          <w:rFonts w:hint="eastAsia" w:ascii="宋体" w:hAnsi="宋体" w:eastAsia="宋体" w:cs="宋体"/>
          <w:bCs/>
          <w:i w:val="0"/>
          <w:iCs w:val="0"/>
          <w:sz w:val="24"/>
          <w:highlight w:val="none"/>
          <w:u w:val="none"/>
          <w:lang w:val="zh-CN"/>
        </w:rPr>
        <w:t>宝应北片区域的参标执法停车场</w:t>
      </w:r>
      <w:r>
        <w:rPr>
          <w:rFonts w:hint="eastAsia" w:ascii="宋体" w:hAnsi="宋体" w:eastAsia="宋体" w:cs="宋体"/>
          <w:bCs/>
          <w:i w:val="0"/>
          <w:iCs w:val="0"/>
          <w:sz w:val="24"/>
          <w:highlight w:val="none"/>
          <w:u w:val="none"/>
          <w:lang w:val="zh-CN" w:eastAsia="zh-CN"/>
        </w:rPr>
        <w:t>位置基准点：城北派出所（宝应县宝胜路66号）</w:t>
      </w:r>
      <w:r>
        <w:rPr>
          <w:rFonts w:hint="eastAsia" w:cs="宋体"/>
          <w:bCs/>
          <w:i w:val="0"/>
          <w:iCs w:val="0"/>
          <w:sz w:val="24"/>
          <w:highlight w:val="none"/>
          <w:u w:val="none"/>
          <w:lang w:val="zh-CN" w:eastAsia="zh-CN"/>
        </w:rPr>
        <w:t>；</w:t>
      </w:r>
    </w:p>
    <w:p w14:paraId="099F6EEC">
      <w:pPr>
        <w:spacing w:line="500" w:lineRule="exact"/>
        <w:ind w:firstLine="480" w:firstLineChars="200"/>
        <w:rPr>
          <w:rFonts w:hint="eastAsia" w:ascii="宋体" w:hAnsi="宋体" w:eastAsia="宋体" w:cs="宋体"/>
          <w:bCs/>
          <w:i w:val="0"/>
          <w:iCs w:val="0"/>
          <w:sz w:val="24"/>
          <w:highlight w:val="none"/>
          <w:u w:val="none"/>
          <w:lang w:val="zh-CN"/>
        </w:rPr>
      </w:pPr>
      <w:r>
        <w:rPr>
          <w:rFonts w:hint="eastAsia" w:cs="宋体"/>
          <w:bCs/>
          <w:i w:val="0"/>
          <w:iCs w:val="0"/>
          <w:sz w:val="24"/>
          <w:highlight w:val="none"/>
          <w:u w:val="none"/>
          <w:lang w:val="en-US" w:eastAsia="zh-CN"/>
        </w:rPr>
        <w:t>02包-</w:t>
      </w:r>
      <w:r>
        <w:rPr>
          <w:rFonts w:hint="eastAsia" w:ascii="宋体" w:hAnsi="宋体" w:eastAsia="宋体" w:cs="宋体"/>
          <w:bCs/>
          <w:i w:val="0"/>
          <w:iCs w:val="0"/>
          <w:sz w:val="24"/>
          <w:highlight w:val="none"/>
          <w:u w:val="none"/>
          <w:lang w:val="zh-CN"/>
        </w:rPr>
        <w:t>宝应南片区域的参标执法停车场</w:t>
      </w:r>
      <w:r>
        <w:rPr>
          <w:rFonts w:hint="eastAsia" w:ascii="宋体" w:hAnsi="宋体" w:eastAsia="宋体" w:cs="宋体"/>
          <w:bCs/>
          <w:i w:val="0"/>
          <w:iCs w:val="0"/>
          <w:sz w:val="24"/>
          <w:highlight w:val="none"/>
          <w:u w:val="none"/>
          <w:lang w:val="zh-CN" w:eastAsia="zh-CN"/>
        </w:rPr>
        <w:t>位置基准点：氾水派出所（宝应县东园路251号）</w:t>
      </w:r>
      <w:r>
        <w:rPr>
          <w:rFonts w:hint="eastAsia" w:cs="宋体"/>
          <w:bCs/>
          <w:i w:val="0"/>
          <w:iCs w:val="0"/>
          <w:sz w:val="24"/>
          <w:highlight w:val="none"/>
          <w:u w:val="none"/>
          <w:lang w:val="zh-CN" w:eastAsia="zh-CN"/>
        </w:rPr>
        <w:t>；</w:t>
      </w:r>
    </w:p>
    <w:p w14:paraId="0C2A901C">
      <w:pPr>
        <w:spacing w:line="500" w:lineRule="exact"/>
        <w:ind w:firstLine="480" w:firstLineChars="200"/>
        <w:rPr>
          <w:rFonts w:hint="eastAsia" w:ascii="宋体" w:hAnsi="宋体" w:eastAsia="宋体" w:cs="宋体"/>
          <w:bCs/>
          <w:i w:val="0"/>
          <w:iCs w:val="0"/>
          <w:sz w:val="24"/>
          <w:highlight w:val="none"/>
          <w:u w:val="none"/>
          <w:lang w:val="zh-CN"/>
        </w:rPr>
      </w:pPr>
      <w:r>
        <w:rPr>
          <w:rFonts w:hint="eastAsia" w:cs="宋体"/>
          <w:bCs/>
          <w:i w:val="0"/>
          <w:iCs w:val="0"/>
          <w:sz w:val="24"/>
          <w:highlight w:val="none"/>
          <w:u w:val="none"/>
          <w:lang w:val="en-US" w:eastAsia="zh-CN"/>
        </w:rPr>
        <w:t>03包-</w:t>
      </w:r>
      <w:r>
        <w:rPr>
          <w:rFonts w:hint="eastAsia" w:ascii="宋体" w:hAnsi="宋体" w:eastAsia="宋体" w:cs="宋体"/>
          <w:bCs/>
          <w:i w:val="0"/>
          <w:iCs w:val="0"/>
          <w:sz w:val="24"/>
          <w:highlight w:val="none"/>
          <w:u w:val="none"/>
          <w:lang w:val="zh-CN"/>
        </w:rPr>
        <w:t>宝应东片区域的参标执法停车场</w:t>
      </w:r>
      <w:r>
        <w:rPr>
          <w:rFonts w:hint="eastAsia" w:ascii="宋体" w:hAnsi="宋体" w:eastAsia="宋体" w:cs="宋体"/>
          <w:bCs/>
          <w:i w:val="0"/>
          <w:iCs w:val="0"/>
          <w:sz w:val="24"/>
          <w:highlight w:val="none"/>
          <w:u w:val="none"/>
          <w:lang w:val="zh-CN" w:eastAsia="zh-CN"/>
        </w:rPr>
        <w:t>位置基准点：宝应县政务中心（宝应县宝应大道77号）</w:t>
      </w:r>
      <w:r>
        <w:rPr>
          <w:rFonts w:hint="eastAsia" w:ascii="宋体" w:hAnsi="宋体" w:eastAsia="宋体" w:cs="宋体"/>
          <w:bCs/>
          <w:i w:val="0"/>
          <w:iCs w:val="0"/>
          <w:sz w:val="24"/>
          <w:highlight w:val="none"/>
          <w:u w:val="none"/>
          <w:lang w:val="zh-CN"/>
        </w:rPr>
        <w:t>。</w:t>
      </w:r>
    </w:p>
    <w:p w14:paraId="6207DD8F">
      <w:pPr>
        <w:spacing w:line="500" w:lineRule="exact"/>
        <w:ind w:firstLine="480" w:firstLineChars="200"/>
        <w:rPr>
          <w:rFonts w:hint="eastAsia" w:ascii="宋体" w:hAnsi="宋体" w:eastAsia="宋体" w:cs="宋体"/>
          <w:bCs/>
          <w:i/>
          <w:iCs/>
          <w:sz w:val="24"/>
          <w:highlight w:val="none"/>
          <w:u w:val="single"/>
          <w:lang w:val="zh-CN"/>
        </w:rPr>
      </w:pPr>
      <w:r>
        <w:rPr>
          <w:rFonts w:hint="eastAsia" w:ascii="宋体" w:hAnsi="宋体" w:eastAsia="宋体" w:cs="宋体"/>
          <w:bCs/>
          <w:i w:val="0"/>
          <w:iCs w:val="0"/>
          <w:sz w:val="24"/>
          <w:highlight w:val="none"/>
          <w:u w:val="none"/>
          <w:lang w:val="zh-CN"/>
        </w:rPr>
        <w:t>3、参加投标供应商须提供意向参标停车场的自有产权或合法租赁手续，应达到如下需求：</w:t>
      </w:r>
    </w:p>
    <w:p w14:paraId="6EE5CEC9">
      <w:pPr>
        <w:spacing w:line="500" w:lineRule="exact"/>
        <w:ind w:firstLine="480" w:firstLineChars="200"/>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场地需求：</w:t>
      </w:r>
    </w:p>
    <w:p w14:paraId="04F68156">
      <w:pPr>
        <w:spacing w:line="500" w:lineRule="exact"/>
        <w:ind w:firstLine="480" w:firstLineChars="200"/>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（1）用地产权与使用权属明晰，不属于违法用地，需</w:t>
      </w:r>
      <w:r>
        <w:rPr>
          <w:rFonts w:hint="eastAsia" w:ascii="宋体" w:hAnsi="宋体" w:eastAsia="宋体" w:cs="宋体"/>
          <w:bCs/>
          <w:i w:val="0"/>
          <w:iCs w:val="0"/>
          <w:sz w:val="24"/>
          <w:highlight w:val="none"/>
          <w:u w:val="none"/>
          <w:lang w:val="zh-CN" w:eastAsia="zh-CN"/>
        </w:rPr>
        <w:t>有效</w:t>
      </w:r>
      <w:r>
        <w:rPr>
          <w:rFonts w:hint="eastAsia" w:ascii="宋体" w:hAnsi="宋体" w:eastAsia="宋体" w:cs="宋体"/>
          <w:bCs/>
          <w:i w:val="0"/>
          <w:iCs w:val="0"/>
          <w:sz w:val="24"/>
          <w:highlight w:val="none"/>
          <w:u w:val="none"/>
          <w:lang w:val="zh-CN"/>
        </w:rPr>
        <w:t xml:space="preserve">产权证或租赁期不低于服务期的协议； </w:t>
      </w:r>
    </w:p>
    <w:p w14:paraId="0CB2CD0E">
      <w:pPr>
        <w:spacing w:line="500" w:lineRule="exact"/>
        <w:ind w:firstLine="480" w:firstLineChars="200"/>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（2）场地停车面积：宝应北片区域停车场停车面积不少于3000平方米（误差3%以内）；宝应南片区域、东片区域停车场停车面积不少于2800平方米（误差3%以内）；</w:t>
      </w:r>
    </w:p>
    <w:p w14:paraId="3D21AFC1">
      <w:pPr>
        <w:spacing w:line="500" w:lineRule="exact"/>
        <w:ind w:firstLine="480" w:firstLineChars="200"/>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（3）场地必须为全封闭、整体连续的，不得拼凑。场内不得有其他经营性企业或项目；</w:t>
      </w:r>
    </w:p>
    <w:p w14:paraId="6EFA6899">
      <w:pPr>
        <w:spacing w:line="500" w:lineRule="exact"/>
        <w:ind w:firstLine="480" w:firstLineChars="200"/>
        <w:rPr>
          <w:rFonts w:cs="Times New Roman"/>
          <w:i w:val="0"/>
          <w:iCs w:val="0"/>
          <w:kern w:val="2"/>
          <w:sz w:val="21"/>
          <w:szCs w:val="21"/>
          <w:highlight w:val="none"/>
          <w:u w:val="none"/>
        </w:rPr>
      </w:pPr>
      <w:r>
        <w:rPr>
          <w:rFonts w:hint="eastAsia" w:ascii="宋体" w:hAnsi="宋体" w:eastAsia="宋体" w:cs="宋体"/>
          <w:bCs/>
          <w:i w:val="0"/>
          <w:iCs w:val="0"/>
          <w:sz w:val="24"/>
          <w:highlight w:val="none"/>
          <w:u w:val="none"/>
          <w:lang w:val="zh-CN"/>
        </w:rPr>
        <w:t>（4）停车场地面整平并经硬化处理</w:t>
      </w:r>
      <w:r>
        <w:rPr>
          <w:rFonts w:hint="eastAsia" w:ascii="宋体" w:hAnsi="宋体" w:eastAsia="宋体" w:cs="宋体"/>
          <w:bCs/>
          <w:i w:val="0"/>
          <w:iCs w:val="0"/>
          <w:sz w:val="24"/>
          <w:highlight w:val="none"/>
          <w:u w:val="none"/>
          <w:lang w:val="zh-CN" w:eastAsia="zh-CN"/>
        </w:rPr>
        <w:t>，</w:t>
      </w:r>
      <w:r>
        <w:rPr>
          <w:rFonts w:hint="eastAsia" w:ascii="宋体" w:hAnsi="宋体" w:eastAsia="宋体" w:cs="宋体"/>
          <w:bCs/>
          <w:i w:val="0"/>
          <w:iCs w:val="0"/>
          <w:sz w:val="24"/>
          <w:highlight w:val="none"/>
          <w:u w:val="none"/>
          <w:lang w:val="zh-CN"/>
        </w:rPr>
        <w:t>全部为</w:t>
      </w:r>
      <w:r>
        <w:rPr>
          <w:rFonts w:hint="eastAsia" w:ascii="宋体" w:hAnsi="宋体" w:eastAsia="宋体" w:cs="宋体"/>
          <w:bCs/>
          <w:i w:val="0"/>
          <w:iCs w:val="0"/>
          <w:sz w:val="24"/>
          <w:highlight w:val="none"/>
          <w:u w:val="none"/>
          <w:lang w:val="zh-CN" w:eastAsia="zh-CN"/>
        </w:rPr>
        <w:t>沙石地面</w:t>
      </w:r>
      <w:r>
        <w:rPr>
          <w:rFonts w:hint="eastAsia" w:ascii="宋体" w:hAnsi="宋体" w:eastAsia="宋体" w:cs="宋体"/>
          <w:bCs/>
          <w:i w:val="0"/>
          <w:iCs w:val="0"/>
          <w:sz w:val="24"/>
          <w:highlight w:val="none"/>
          <w:u w:val="none"/>
          <w:lang w:val="zh-CN"/>
        </w:rPr>
        <w:t>、水泥砼地面、沥青砼地面或者地面为混合材质；</w:t>
      </w:r>
    </w:p>
    <w:p w14:paraId="633B1E45">
      <w:pPr>
        <w:spacing w:line="500" w:lineRule="exact"/>
        <w:ind w:firstLine="480" w:firstLineChars="200"/>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（5）停车场内有200平方米</w:t>
      </w:r>
      <w:r>
        <w:rPr>
          <w:rFonts w:hint="eastAsia" w:cs="宋体"/>
          <w:bCs/>
          <w:i w:val="0"/>
          <w:iCs w:val="0"/>
          <w:sz w:val="24"/>
          <w:highlight w:val="none"/>
          <w:u w:val="none"/>
          <w:lang w:val="en-US" w:eastAsia="zh-CN"/>
        </w:rPr>
        <w:t>及</w:t>
      </w:r>
      <w:r>
        <w:rPr>
          <w:rFonts w:hint="eastAsia" w:ascii="宋体" w:hAnsi="宋体" w:eastAsia="宋体" w:cs="宋体"/>
          <w:bCs/>
          <w:i w:val="0"/>
          <w:iCs w:val="0"/>
          <w:sz w:val="24"/>
          <w:highlight w:val="none"/>
          <w:u w:val="none"/>
          <w:lang w:val="zh-CN"/>
        </w:rPr>
        <w:t>以上的带有遮篷的停车区域；</w:t>
      </w:r>
    </w:p>
    <w:p w14:paraId="5480BEF7">
      <w:pPr>
        <w:spacing w:line="500" w:lineRule="exact"/>
        <w:ind w:firstLine="480" w:firstLineChars="200"/>
        <w:rPr>
          <w:rFonts w:hint="eastAsia" w:ascii="宋体" w:hAnsi="宋体" w:eastAsia="宋体" w:cs="宋体"/>
          <w:bCs/>
          <w:i w:val="0"/>
          <w:iCs w:val="0"/>
          <w:sz w:val="24"/>
          <w:highlight w:val="none"/>
          <w:u w:val="none"/>
          <w:lang w:val="zh-CN"/>
        </w:rPr>
      </w:pPr>
      <w:r>
        <w:rPr>
          <w:rFonts w:hint="eastAsia" w:ascii="宋体" w:hAnsi="宋体" w:eastAsia="宋体" w:cs="宋体"/>
          <w:bCs/>
          <w:i w:val="0"/>
          <w:iCs w:val="0"/>
          <w:sz w:val="24"/>
          <w:highlight w:val="none"/>
          <w:u w:val="none"/>
          <w:lang w:val="zh-CN"/>
        </w:rPr>
        <w:t>（6）执法停车场进出口必须保持通畅，满足大型车辆进出要求，车场进出口搭接的道路宽度不小于3.5米；</w:t>
      </w:r>
    </w:p>
    <w:p w14:paraId="6B56EFEB">
      <w:pPr>
        <w:spacing w:line="500" w:lineRule="exact"/>
        <w:ind w:firstLine="480" w:firstLineChars="200"/>
        <w:rPr>
          <w:rFonts w:hint="default" w:ascii="宋体" w:hAnsi="宋体" w:eastAsia="宋体" w:cs="宋体"/>
          <w:bCs/>
          <w:i w:val="0"/>
          <w:iCs w:val="0"/>
          <w:sz w:val="24"/>
          <w:highlight w:val="none"/>
          <w:u w:val="none"/>
          <w:lang w:val="en-US"/>
        </w:rPr>
      </w:pPr>
      <w:r>
        <w:rPr>
          <w:rFonts w:hint="eastAsia" w:ascii="宋体" w:hAnsi="宋体" w:eastAsia="宋体" w:cs="宋体"/>
          <w:bCs/>
          <w:i w:val="0"/>
          <w:iCs w:val="0"/>
          <w:sz w:val="24"/>
          <w:highlight w:val="none"/>
          <w:u w:val="none"/>
          <w:lang w:val="zh-CN" w:eastAsia="zh-CN" w:bidi="ar-SA"/>
        </w:rPr>
        <w:t>（7）</w:t>
      </w:r>
      <w:r>
        <w:rPr>
          <w:rFonts w:hint="eastAsia" w:cs="宋体"/>
          <w:bCs/>
          <w:i w:val="0"/>
          <w:iCs w:val="0"/>
          <w:sz w:val="24"/>
          <w:highlight w:val="none"/>
          <w:u w:val="none"/>
          <w:lang w:val="en-US" w:eastAsia="zh-CN" w:bidi="ar-SA"/>
        </w:rPr>
        <w:t>停车场位置：停车场所在位置距离各片区执法停车场位置基准点不超过4公里</w:t>
      </w:r>
      <w:r>
        <w:rPr>
          <w:rFonts w:hint="eastAsia" w:ascii="宋体" w:hAnsi="宋体" w:eastAsia="宋体" w:cs="宋体"/>
          <w:bCs/>
          <w:i w:val="0"/>
          <w:iCs w:val="0"/>
          <w:sz w:val="24"/>
          <w:highlight w:val="none"/>
          <w:u w:val="none"/>
          <w:lang w:val="zh-CN"/>
        </w:rPr>
        <w:t>；</w:t>
      </w:r>
    </w:p>
    <w:p w14:paraId="185AD75E">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w:t>
      </w:r>
      <w:r>
        <w:rPr>
          <w:rFonts w:hint="eastAsia" w:cs="宋体"/>
          <w:bCs/>
          <w:i w:val="0"/>
          <w:iCs w:val="0"/>
          <w:sz w:val="24"/>
          <w:highlight w:val="none"/>
          <w:u w:val="none"/>
          <w:lang w:val="en-US" w:eastAsia="zh-CN" w:bidi="ar-SA"/>
        </w:rPr>
        <w:t>8</w:t>
      </w:r>
      <w:r>
        <w:rPr>
          <w:rFonts w:hint="eastAsia" w:ascii="宋体" w:hAnsi="宋体" w:eastAsia="宋体" w:cs="宋体"/>
          <w:bCs/>
          <w:i w:val="0"/>
          <w:iCs w:val="0"/>
          <w:sz w:val="24"/>
          <w:highlight w:val="none"/>
          <w:u w:val="none"/>
          <w:lang w:val="zh-CN" w:eastAsia="zh-CN" w:bidi="ar-SA"/>
        </w:rPr>
        <w:t>）合同期内，中标单位执法停车场不能适应停车需要，确需在本区域增加停车场的，中标单位须书面向甲方提出申请，甲方对其提出的申请审查，并对新增加的停车场验收合格，方可投入使用。如中标执法停车场不能满足停车要求，又不能实现新的符合甲方要求的执法停车场，甲方将临时指定其他中标单位代为施救、停放车辆；</w:t>
      </w:r>
    </w:p>
    <w:p w14:paraId="59FE9C3F">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w:t>
      </w:r>
      <w:r>
        <w:rPr>
          <w:rFonts w:hint="eastAsia" w:cs="宋体"/>
          <w:bCs/>
          <w:i w:val="0"/>
          <w:iCs w:val="0"/>
          <w:sz w:val="24"/>
          <w:highlight w:val="none"/>
          <w:u w:val="none"/>
          <w:lang w:val="en-US" w:eastAsia="zh-CN" w:bidi="ar-SA"/>
        </w:rPr>
        <w:t>9</w:t>
      </w:r>
      <w:r>
        <w:rPr>
          <w:rFonts w:hint="eastAsia" w:ascii="宋体" w:hAnsi="宋体" w:eastAsia="宋体" w:cs="宋体"/>
          <w:bCs/>
          <w:i w:val="0"/>
          <w:iCs w:val="0"/>
          <w:sz w:val="24"/>
          <w:highlight w:val="none"/>
          <w:u w:val="none"/>
          <w:lang w:val="zh-CN" w:eastAsia="zh-CN" w:bidi="ar-SA"/>
        </w:rPr>
        <w:t>）本次执法停车场招标，若有招标区域未产生合格的中标停车场，甲方有权指定本次其他区域中标停车场代为服务，直至该区域产生中标停车场。</w:t>
      </w:r>
    </w:p>
    <w:p w14:paraId="25BEF7E1">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设施需求：</w:t>
      </w:r>
    </w:p>
    <w:p w14:paraId="04B7A615">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w:t>
      </w:r>
      <w:r>
        <w:rPr>
          <w:rFonts w:hint="eastAsia" w:cs="宋体"/>
          <w:bCs/>
          <w:i w:val="0"/>
          <w:iCs w:val="0"/>
          <w:sz w:val="24"/>
          <w:highlight w:val="none"/>
          <w:u w:val="none"/>
          <w:lang w:val="en-US" w:eastAsia="zh-CN" w:bidi="ar-SA"/>
        </w:rPr>
        <w:t>10</w:t>
      </w:r>
      <w:r>
        <w:rPr>
          <w:rFonts w:hint="eastAsia" w:ascii="宋体" w:hAnsi="宋体" w:eastAsia="宋体" w:cs="宋体"/>
          <w:bCs/>
          <w:i w:val="0"/>
          <w:iCs w:val="0"/>
          <w:sz w:val="24"/>
          <w:highlight w:val="none"/>
          <w:u w:val="none"/>
          <w:lang w:val="zh-CN" w:eastAsia="zh-CN" w:bidi="ar-SA"/>
        </w:rPr>
        <w:t>）停车场功能区划分明确，设有规范的标志、标线、指示牌；</w:t>
      </w:r>
    </w:p>
    <w:p w14:paraId="039E0E7D">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（1</w:t>
      </w:r>
      <w:r>
        <w:rPr>
          <w:rFonts w:hint="eastAsia" w:cs="宋体"/>
          <w:bCs/>
          <w:i w:val="0"/>
          <w:iCs w:val="0"/>
          <w:sz w:val="24"/>
          <w:highlight w:val="none"/>
          <w:u w:val="none"/>
          <w:lang w:val="en-US" w:eastAsia="zh-CN" w:bidi="ar-SA"/>
        </w:rPr>
        <w:t>1</w:t>
      </w:r>
      <w:r>
        <w:rPr>
          <w:rFonts w:hint="eastAsia" w:ascii="宋体" w:hAnsi="宋体" w:eastAsia="宋体" w:cs="宋体"/>
          <w:bCs/>
          <w:i w:val="0"/>
          <w:iCs w:val="0"/>
          <w:sz w:val="24"/>
          <w:highlight w:val="none"/>
          <w:u w:val="none"/>
          <w:lang w:val="zh-CN" w:eastAsia="zh-CN" w:bidi="ar-SA"/>
        </w:rPr>
        <w:t>）停车场必须设立保卫室、办公室；</w:t>
      </w:r>
    </w:p>
    <w:p w14:paraId="4A3BAC28">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（1</w:t>
      </w:r>
      <w:r>
        <w:rPr>
          <w:rFonts w:hint="eastAsia" w:cs="宋体"/>
          <w:bCs/>
          <w:i w:val="0"/>
          <w:iCs w:val="0"/>
          <w:sz w:val="24"/>
          <w:highlight w:val="none"/>
          <w:u w:val="none"/>
          <w:lang w:val="en-US" w:eastAsia="zh-CN" w:bidi="ar-SA"/>
        </w:rPr>
        <w:t>2</w:t>
      </w:r>
      <w:r>
        <w:rPr>
          <w:rFonts w:hint="eastAsia" w:ascii="宋体" w:hAnsi="宋体" w:eastAsia="宋体" w:cs="宋体"/>
          <w:bCs/>
          <w:i w:val="0"/>
          <w:iCs w:val="0"/>
          <w:sz w:val="24"/>
          <w:highlight w:val="none"/>
          <w:u w:val="none"/>
          <w:lang w:val="zh-CN" w:eastAsia="zh-CN" w:bidi="ar-SA"/>
        </w:rPr>
        <w:t>）停车场须建设监控系统，监控要覆盖整个停车区域和出入口，监控保存期限不低于90天，监控需接入</w:t>
      </w:r>
      <w:r>
        <w:rPr>
          <w:rFonts w:hint="eastAsia" w:cs="宋体"/>
          <w:bCs/>
          <w:i w:val="0"/>
          <w:iCs w:val="0"/>
          <w:sz w:val="24"/>
          <w:highlight w:val="none"/>
          <w:u w:val="none"/>
          <w:lang w:val="zh-CN" w:eastAsia="zh-CN" w:bidi="ar-SA"/>
        </w:rPr>
        <w:t>交管大队</w:t>
      </w:r>
      <w:r>
        <w:rPr>
          <w:rFonts w:hint="eastAsia" w:ascii="宋体" w:hAnsi="宋体" w:eastAsia="宋体" w:cs="宋体"/>
          <w:bCs/>
          <w:i w:val="0"/>
          <w:iCs w:val="0"/>
          <w:sz w:val="24"/>
          <w:highlight w:val="none"/>
          <w:u w:val="none"/>
          <w:lang w:val="zh-CN" w:eastAsia="zh-CN" w:bidi="ar-SA"/>
        </w:rPr>
        <w:t>执法监督管理中心（所产生的费用由中标人负责）；</w:t>
      </w:r>
    </w:p>
    <w:p w14:paraId="52402477">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（1</w:t>
      </w:r>
      <w:r>
        <w:rPr>
          <w:rFonts w:hint="eastAsia" w:cs="宋体"/>
          <w:bCs/>
          <w:i w:val="0"/>
          <w:iCs w:val="0"/>
          <w:sz w:val="24"/>
          <w:highlight w:val="none"/>
          <w:u w:val="none"/>
          <w:lang w:val="en-US" w:eastAsia="zh-CN" w:bidi="ar-SA"/>
        </w:rPr>
        <w:t>3</w:t>
      </w:r>
      <w:r>
        <w:rPr>
          <w:rFonts w:hint="eastAsia" w:ascii="宋体" w:hAnsi="宋体" w:eastAsia="宋体" w:cs="宋体"/>
          <w:bCs/>
          <w:i w:val="0"/>
          <w:iCs w:val="0"/>
          <w:sz w:val="24"/>
          <w:highlight w:val="none"/>
          <w:u w:val="none"/>
          <w:lang w:val="zh-CN" w:eastAsia="zh-CN" w:bidi="ar-SA"/>
        </w:rPr>
        <w:t>）停车场应在醒目位置公示服务项目、收费标准、监督电话。</w:t>
      </w:r>
    </w:p>
    <w:p w14:paraId="32ED105F">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设备需求：</w:t>
      </w:r>
    </w:p>
    <w:p w14:paraId="740B4FAD">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（1</w:t>
      </w:r>
      <w:r>
        <w:rPr>
          <w:rFonts w:hint="eastAsia" w:cs="宋体"/>
          <w:bCs/>
          <w:i w:val="0"/>
          <w:iCs w:val="0"/>
          <w:sz w:val="24"/>
          <w:highlight w:val="none"/>
          <w:u w:val="none"/>
          <w:lang w:val="en-US" w:eastAsia="zh-CN" w:bidi="ar-SA"/>
        </w:rPr>
        <w:t>4</w:t>
      </w:r>
      <w:r>
        <w:rPr>
          <w:rFonts w:hint="eastAsia" w:ascii="宋体" w:hAnsi="宋体" w:eastAsia="宋体" w:cs="宋体"/>
          <w:bCs/>
          <w:i w:val="0"/>
          <w:iCs w:val="0"/>
          <w:sz w:val="24"/>
          <w:highlight w:val="none"/>
          <w:u w:val="none"/>
          <w:lang w:val="zh-CN" w:eastAsia="zh-CN" w:bidi="ar-SA"/>
        </w:rPr>
        <w:t>）停车场</w:t>
      </w:r>
      <w:r>
        <w:rPr>
          <w:rFonts w:hint="eastAsia" w:ascii="宋体" w:hAnsi="宋体" w:eastAsia="宋体" w:cs="宋体"/>
          <w:bCs/>
          <w:i w:val="0"/>
          <w:iCs w:val="0"/>
          <w:sz w:val="24"/>
          <w:highlight w:val="none"/>
          <w:u w:val="none"/>
          <w:lang w:val="en-US" w:eastAsia="zh-CN" w:bidi="ar-SA"/>
        </w:rPr>
        <w:t>应</w:t>
      </w:r>
      <w:r>
        <w:rPr>
          <w:rFonts w:hint="eastAsia" w:ascii="宋体" w:hAnsi="宋体" w:eastAsia="宋体" w:cs="宋体"/>
          <w:bCs/>
          <w:i w:val="0"/>
          <w:iCs w:val="0"/>
          <w:sz w:val="24"/>
          <w:highlight w:val="none"/>
          <w:u w:val="none"/>
          <w:lang w:val="zh-CN" w:eastAsia="zh-CN" w:bidi="ar-SA"/>
        </w:rPr>
        <w:t>配备拖车（</w:t>
      </w:r>
      <w:r>
        <w:rPr>
          <w:rFonts w:hint="eastAsia" w:ascii="宋体" w:hAnsi="宋体" w:eastAsia="宋体" w:cs="宋体"/>
          <w:bCs/>
          <w:i w:val="0"/>
          <w:iCs w:val="0"/>
          <w:sz w:val="24"/>
          <w:highlight w:val="none"/>
          <w:u w:val="none"/>
          <w:lang w:val="en-US" w:eastAsia="zh-CN" w:bidi="ar-SA"/>
        </w:rPr>
        <w:t>或</w:t>
      </w:r>
      <w:r>
        <w:rPr>
          <w:rFonts w:hint="eastAsia" w:ascii="宋体" w:hAnsi="宋体" w:eastAsia="宋体" w:cs="宋体"/>
          <w:bCs/>
          <w:i w:val="0"/>
          <w:iCs w:val="0"/>
          <w:sz w:val="24"/>
          <w:highlight w:val="none"/>
          <w:u w:val="none"/>
          <w:lang w:val="zh-CN" w:eastAsia="zh-CN" w:bidi="ar-SA"/>
        </w:rPr>
        <w:t>平板车）1辆、皮卡车1辆，</w:t>
      </w:r>
      <w:r>
        <w:rPr>
          <w:rFonts w:hint="eastAsia" w:ascii="宋体" w:hAnsi="宋体" w:eastAsia="宋体" w:cs="宋体"/>
          <w:bCs/>
          <w:i w:val="0"/>
          <w:iCs w:val="0"/>
          <w:sz w:val="24"/>
          <w:highlight w:val="none"/>
          <w:u w:val="none"/>
          <w:lang w:val="en-US" w:eastAsia="zh-CN" w:bidi="ar-SA"/>
        </w:rPr>
        <w:t>投标人自有或</w:t>
      </w:r>
      <w:r>
        <w:rPr>
          <w:rFonts w:hint="eastAsia" w:ascii="宋体" w:hAnsi="宋体" w:eastAsia="宋体" w:cs="宋体"/>
          <w:bCs/>
          <w:i w:val="0"/>
          <w:iCs w:val="0"/>
          <w:sz w:val="24"/>
          <w:highlight w:val="none"/>
          <w:u w:val="none"/>
          <w:lang w:val="zh-CN" w:eastAsia="zh-CN" w:bidi="ar-SA"/>
        </w:rPr>
        <w:t>签约具有30吨、50吨吊车、80吨拖车资质合作单位两家；</w:t>
      </w:r>
    </w:p>
    <w:p w14:paraId="4B6716A2">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人员需求：</w:t>
      </w:r>
    </w:p>
    <w:p w14:paraId="7C5B350F">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w:t>
      </w:r>
      <w:r>
        <w:rPr>
          <w:rFonts w:hint="eastAsia" w:cs="宋体"/>
          <w:bCs/>
          <w:i w:val="0"/>
          <w:iCs w:val="0"/>
          <w:sz w:val="24"/>
          <w:highlight w:val="none"/>
          <w:u w:val="none"/>
          <w:lang w:val="en-US" w:eastAsia="zh-CN" w:bidi="ar-SA"/>
        </w:rPr>
        <w:t>15</w:t>
      </w:r>
      <w:r>
        <w:rPr>
          <w:rFonts w:hint="eastAsia" w:ascii="宋体" w:hAnsi="宋体" w:eastAsia="宋体" w:cs="宋体"/>
          <w:bCs/>
          <w:i w:val="0"/>
          <w:iCs w:val="0"/>
          <w:sz w:val="24"/>
          <w:highlight w:val="none"/>
          <w:u w:val="none"/>
          <w:lang w:val="zh-CN" w:eastAsia="zh-CN" w:bidi="ar-SA"/>
        </w:rPr>
        <w:t>）施救人员：宝应北片每个停车场配备施救人员不少于6人，其中持A2驾驶证人员不少于2人，持C1</w:t>
      </w:r>
      <w:r>
        <w:rPr>
          <w:rFonts w:hint="eastAsia" w:cs="宋体"/>
          <w:bCs/>
          <w:i w:val="0"/>
          <w:iCs w:val="0"/>
          <w:sz w:val="24"/>
          <w:highlight w:val="none"/>
          <w:u w:val="none"/>
          <w:lang w:val="en-US" w:eastAsia="zh-CN" w:bidi="ar-SA"/>
        </w:rPr>
        <w:t>以上</w:t>
      </w:r>
      <w:r>
        <w:rPr>
          <w:rFonts w:hint="eastAsia" w:ascii="宋体" w:hAnsi="宋体" w:eastAsia="宋体" w:cs="宋体"/>
          <w:bCs/>
          <w:i w:val="0"/>
          <w:iCs w:val="0"/>
          <w:sz w:val="24"/>
          <w:highlight w:val="none"/>
          <w:u w:val="none"/>
          <w:lang w:val="zh-CN" w:eastAsia="zh-CN" w:bidi="ar-SA"/>
        </w:rPr>
        <w:t>驾驶证人员不少于4人；宝应南片、宝应东片每个停车场配备施救人员不少于5人，其中持A2驾驶证人员不少于2人，持C1</w:t>
      </w:r>
      <w:r>
        <w:rPr>
          <w:rFonts w:hint="eastAsia" w:cs="宋体"/>
          <w:bCs/>
          <w:i w:val="0"/>
          <w:iCs w:val="0"/>
          <w:sz w:val="24"/>
          <w:highlight w:val="none"/>
          <w:u w:val="none"/>
          <w:lang w:val="en-US" w:eastAsia="zh-CN" w:bidi="ar-SA"/>
        </w:rPr>
        <w:t>以上</w:t>
      </w:r>
      <w:r>
        <w:rPr>
          <w:rFonts w:hint="eastAsia" w:ascii="宋体" w:hAnsi="宋体" w:eastAsia="宋体" w:cs="宋体"/>
          <w:bCs/>
          <w:i w:val="0"/>
          <w:iCs w:val="0"/>
          <w:sz w:val="24"/>
          <w:highlight w:val="none"/>
          <w:u w:val="none"/>
          <w:lang w:val="zh-CN" w:eastAsia="zh-CN" w:bidi="ar-SA"/>
        </w:rPr>
        <w:t>驾驶证人员不少于3人；各停车场施救人员中必须有车辆维修能力的不少于1人；</w:t>
      </w:r>
    </w:p>
    <w:p w14:paraId="79ECCADD">
      <w:pPr>
        <w:pStyle w:val="7"/>
        <w:widowControl w:val="0"/>
        <w:snapToGrid w:val="0"/>
        <w:spacing w:before="120" w:beforeAutospacing="0" w:after="120" w:afterAutospacing="0" w:line="360" w:lineRule="auto"/>
        <w:ind w:firstLine="480" w:firstLineChars="200"/>
        <w:jc w:val="both"/>
        <w:rPr>
          <w:rFonts w:cs="Times New Roman"/>
          <w:kern w:val="2"/>
          <w:sz w:val="21"/>
          <w:szCs w:val="21"/>
          <w:highlight w:val="none"/>
        </w:rPr>
      </w:pPr>
      <w:r>
        <w:rPr>
          <w:rFonts w:hint="eastAsia" w:ascii="宋体" w:hAnsi="宋体" w:eastAsia="宋体" w:cs="宋体"/>
          <w:bCs/>
          <w:i w:val="0"/>
          <w:iCs w:val="0"/>
          <w:sz w:val="24"/>
          <w:highlight w:val="none"/>
          <w:u w:val="none"/>
          <w:lang w:val="zh-CN" w:eastAsia="zh-CN" w:bidi="ar-SA"/>
        </w:rPr>
        <w:t>（</w:t>
      </w:r>
      <w:r>
        <w:rPr>
          <w:rFonts w:hint="eastAsia" w:cs="宋体"/>
          <w:bCs/>
          <w:i w:val="0"/>
          <w:iCs w:val="0"/>
          <w:sz w:val="24"/>
          <w:highlight w:val="none"/>
          <w:u w:val="none"/>
          <w:lang w:val="en-US" w:eastAsia="zh-CN" w:bidi="ar-SA"/>
        </w:rPr>
        <w:t>16</w:t>
      </w:r>
      <w:r>
        <w:rPr>
          <w:rFonts w:hint="eastAsia" w:ascii="宋体" w:hAnsi="宋体" w:eastAsia="宋体" w:cs="宋体"/>
          <w:bCs/>
          <w:i w:val="0"/>
          <w:iCs w:val="0"/>
          <w:sz w:val="24"/>
          <w:highlight w:val="none"/>
          <w:u w:val="none"/>
          <w:lang w:val="zh-CN" w:eastAsia="zh-CN" w:bidi="ar-SA"/>
        </w:rPr>
        <w:t>）</w:t>
      </w:r>
      <w:r>
        <w:rPr>
          <w:rFonts w:hint="eastAsia" w:cs="宋体"/>
          <w:bCs/>
          <w:i w:val="0"/>
          <w:iCs w:val="0"/>
          <w:sz w:val="24"/>
          <w:highlight w:val="none"/>
          <w:u w:val="none"/>
          <w:lang w:val="en-US" w:eastAsia="zh-CN" w:bidi="ar-SA"/>
        </w:rPr>
        <w:t>现场看管</w:t>
      </w:r>
      <w:r>
        <w:rPr>
          <w:rFonts w:hint="eastAsia" w:ascii="宋体" w:hAnsi="宋体" w:eastAsia="宋体" w:cs="宋体"/>
          <w:bCs/>
          <w:i w:val="0"/>
          <w:iCs w:val="0"/>
          <w:sz w:val="24"/>
          <w:highlight w:val="none"/>
          <w:u w:val="none"/>
          <w:lang w:val="zh-CN" w:eastAsia="zh-CN" w:bidi="ar-SA"/>
        </w:rPr>
        <w:t>人员：各执法停车场须配备负责现场保卫、拍照、监控职责的人员1人，实行24小时值班</w:t>
      </w:r>
      <w:r>
        <w:rPr>
          <w:rFonts w:hint="eastAsia" w:cs="宋体"/>
          <w:bCs/>
          <w:i w:val="0"/>
          <w:iCs w:val="0"/>
          <w:sz w:val="24"/>
          <w:highlight w:val="none"/>
          <w:u w:val="none"/>
          <w:lang w:val="zh-CN" w:eastAsia="zh-CN" w:bidi="ar-SA"/>
        </w:rPr>
        <w:t>（</w:t>
      </w:r>
      <w:r>
        <w:rPr>
          <w:rFonts w:hint="eastAsia" w:cs="宋体"/>
          <w:bCs/>
          <w:i w:val="0"/>
          <w:iCs w:val="0"/>
          <w:sz w:val="24"/>
          <w:highlight w:val="none"/>
          <w:u w:val="none"/>
          <w:lang w:val="en-US" w:eastAsia="zh-CN" w:bidi="ar-SA"/>
        </w:rPr>
        <w:t>现场看管人员不得与施救人员兼任</w:t>
      </w:r>
      <w:r>
        <w:rPr>
          <w:rFonts w:hint="eastAsia" w:cs="宋体"/>
          <w:bCs/>
          <w:i w:val="0"/>
          <w:iCs w:val="0"/>
          <w:sz w:val="24"/>
          <w:highlight w:val="none"/>
          <w:u w:val="none"/>
          <w:lang w:val="zh-CN" w:eastAsia="zh-CN" w:bidi="ar-SA"/>
        </w:rPr>
        <w:t>）</w:t>
      </w:r>
      <w:r>
        <w:rPr>
          <w:rFonts w:hint="eastAsia" w:ascii="宋体" w:hAnsi="宋体" w:eastAsia="宋体" w:cs="宋体"/>
          <w:bCs/>
          <w:i w:val="0"/>
          <w:iCs w:val="0"/>
          <w:sz w:val="24"/>
          <w:highlight w:val="none"/>
          <w:u w:val="none"/>
          <w:lang w:val="zh-CN" w:eastAsia="zh-CN" w:bidi="ar-SA"/>
        </w:rPr>
        <w:t>。</w:t>
      </w:r>
    </w:p>
    <w:p w14:paraId="2E147FAA">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iCs/>
          <w:sz w:val="24"/>
          <w:highlight w:val="none"/>
          <w:u w:val="single"/>
          <w:lang w:val="zh-CN" w:eastAsia="zh-CN" w:bidi="ar-SA"/>
        </w:rPr>
      </w:pPr>
      <w:r>
        <w:rPr>
          <w:rFonts w:hint="eastAsia" w:ascii="宋体" w:hAnsi="宋体" w:eastAsia="宋体" w:cs="宋体"/>
          <w:bCs/>
          <w:i/>
          <w:iCs/>
          <w:sz w:val="24"/>
          <w:highlight w:val="none"/>
          <w:u w:val="single"/>
          <w:lang w:val="zh-CN" w:eastAsia="zh-CN" w:bidi="ar-SA"/>
        </w:rPr>
        <w:t>4、各执法停车场中标单位日常工作必须接受</w:t>
      </w:r>
      <w:r>
        <w:rPr>
          <w:rFonts w:hint="eastAsia" w:cs="宋体"/>
          <w:bCs/>
          <w:i/>
          <w:iCs/>
          <w:sz w:val="24"/>
          <w:highlight w:val="none"/>
          <w:u w:val="single"/>
          <w:lang w:val="zh-CN" w:eastAsia="zh-CN" w:bidi="ar-SA"/>
        </w:rPr>
        <w:t>交管大队</w:t>
      </w:r>
      <w:r>
        <w:rPr>
          <w:rFonts w:hint="eastAsia" w:ascii="宋体" w:hAnsi="宋体" w:eastAsia="宋体" w:cs="宋体"/>
          <w:bCs/>
          <w:i/>
          <w:iCs/>
          <w:sz w:val="24"/>
          <w:highlight w:val="none"/>
          <w:u w:val="single"/>
          <w:lang w:val="zh-CN" w:eastAsia="zh-CN" w:bidi="ar-SA"/>
        </w:rPr>
        <w:t>执法监督管理中心的管理和考核。</w:t>
      </w:r>
    </w:p>
    <w:p w14:paraId="09A889F1">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iCs/>
          <w:sz w:val="24"/>
          <w:highlight w:val="none"/>
          <w:u w:val="single"/>
          <w:lang w:val="zh-CN" w:eastAsia="zh-CN" w:bidi="ar-SA"/>
        </w:rPr>
      </w:pPr>
      <w:r>
        <w:rPr>
          <w:rFonts w:hint="eastAsia" w:ascii="宋体" w:hAnsi="宋体" w:eastAsia="宋体" w:cs="宋体"/>
          <w:bCs/>
          <w:i/>
          <w:iCs/>
          <w:sz w:val="24"/>
          <w:highlight w:val="none"/>
          <w:u w:val="single"/>
          <w:lang w:val="zh-CN" w:eastAsia="zh-CN" w:bidi="ar-SA"/>
        </w:rPr>
        <w:t>5、经</w:t>
      </w:r>
      <w:r>
        <w:rPr>
          <w:rFonts w:hint="eastAsia" w:cs="宋体"/>
          <w:bCs/>
          <w:i/>
          <w:iCs/>
          <w:sz w:val="24"/>
          <w:highlight w:val="none"/>
          <w:u w:val="single"/>
          <w:lang w:val="en-US" w:eastAsia="zh-CN" w:bidi="ar-SA"/>
        </w:rPr>
        <w:t>评审</w:t>
      </w:r>
      <w:r>
        <w:rPr>
          <w:rFonts w:hint="eastAsia" w:ascii="宋体" w:hAnsi="宋体" w:eastAsia="宋体" w:cs="宋体"/>
          <w:bCs/>
          <w:i/>
          <w:iCs/>
          <w:sz w:val="24"/>
          <w:highlight w:val="none"/>
          <w:u w:val="single"/>
          <w:lang w:val="zh-CN" w:eastAsia="zh-CN" w:bidi="ar-SA"/>
        </w:rPr>
        <w:t>小组对供应商的</w:t>
      </w:r>
      <w:r>
        <w:rPr>
          <w:rFonts w:hint="eastAsia" w:cs="宋体"/>
          <w:bCs/>
          <w:i/>
          <w:iCs/>
          <w:sz w:val="24"/>
          <w:highlight w:val="none"/>
          <w:u w:val="single"/>
          <w:lang w:val="en-US" w:eastAsia="zh-CN" w:bidi="ar-SA"/>
        </w:rPr>
        <w:t>投标</w:t>
      </w:r>
      <w:r>
        <w:rPr>
          <w:rFonts w:hint="eastAsia" w:ascii="宋体" w:hAnsi="宋体" w:eastAsia="宋体" w:cs="宋体"/>
          <w:bCs/>
          <w:i/>
          <w:iCs/>
          <w:sz w:val="24"/>
          <w:highlight w:val="none"/>
          <w:u w:val="single"/>
          <w:lang w:val="zh-CN" w:eastAsia="zh-CN" w:bidi="ar-SA"/>
        </w:rPr>
        <w:t>文件进行综合评分后，根据综合评分情况，按得分由高到低的顺序推荐3名候选供应商，随后，采购人组织第三方相关人员按得分排名的顺序，对得分最高的供应商参标的执法停车长进行现场核查，如与提交的采购文件承诺的文字、照片等证明材料不符的将取消其排名第一的资格，依次核查排名第二的供应商参标的执法停车场，依此类推。如排名第一、第二、第三名均不能满足执法停车场的采购需求。招标人有权终止采购活动或重新招标。</w:t>
      </w:r>
    </w:p>
    <w:p w14:paraId="6CCF0FBF">
      <w:pPr>
        <w:pStyle w:val="5"/>
        <w:snapToGrid w:val="0"/>
        <w:spacing w:before="120" w:after="120" w:line="360" w:lineRule="auto"/>
        <w:ind w:left="400" w:leftChars="200"/>
        <w:rPr>
          <w:rFonts w:cs="Times New Roman"/>
          <w:i/>
          <w:kern w:val="2"/>
          <w:sz w:val="21"/>
          <w:szCs w:val="21"/>
          <w:highlight w:val="none"/>
          <w:u w:val="single"/>
        </w:rPr>
      </w:pPr>
      <w:r>
        <w:rPr>
          <w:rFonts w:hint="eastAsia" w:ascii="宋体" w:hAnsi="宋体" w:eastAsia="宋体" w:cs="宋体"/>
          <w:bCs/>
          <w:i/>
          <w:iCs/>
          <w:sz w:val="24"/>
          <w:szCs w:val="20"/>
          <w:highlight w:val="none"/>
          <w:u w:val="single"/>
          <w:lang w:val="zh-CN" w:eastAsia="zh-CN" w:bidi="ar-SA"/>
        </w:rPr>
        <w:t>6、供应商提供虚假材料谋取中标的，一经查实，将被取消</w:t>
      </w:r>
      <w:r>
        <w:rPr>
          <w:rFonts w:hint="eastAsia" w:ascii="宋体" w:hAnsi="宋体" w:eastAsia="宋体" w:cs="宋体"/>
          <w:bCs/>
          <w:i/>
          <w:iCs/>
          <w:sz w:val="24"/>
          <w:szCs w:val="20"/>
          <w:highlight w:val="none"/>
          <w:u w:val="single"/>
          <w:lang w:val="en-US" w:eastAsia="zh-CN" w:bidi="ar-SA"/>
        </w:rPr>
        <w:t>中标</w:t>
      </w:r>
      <w:r>
        <w:rPr>
          <w:rFonts w:hint="eastAsia" w:ascii="宋体" w:hAnsi="宋体" w:eastAsia="宋体" w:cs="宋体"/>
          <w:bCs/>
          <w:i/>
          <w:iCs/>
          <w:sz w:val="24"/>
          <w:szCs w:val="20"/>
          <w:highlight w:val="none"/>
          <w:u w:val="single"/>
          <w:lang w:val="zh-CN" w:eastAsia="zh-CN" w:bidi="ar-SA"/>
        </w:rPr>
        <w:t>资格，供应商三年内不得参加政府采购项目，一切法律后果自负。</w:t>
      </w:r>
    </w:p>
    <w:p w14:paraId="3DDB133F">
      <w:pPr>
        <w:rPr>
          <w:rFonts w:hint="eastAsia" w:ascii="黑体" w:eastAsia="黑体"/>
          <w:bCs/>
          <w:sz w:val="44"/>
          <w:highlight w:val="none"/>
        </w:rPr>
      </w:pPr>
      <w:r>
        <w:rPr>
          <w:rFonts w:hint="eastAsia" w:ascii="黑体" w:eastAsia="黑体"/>
          <w:bCs/>
          <w:sz w:val="44"/>
          <w:highlight w:val="none"/>
        </w:rPr>
        <w:br w:type="page"/>
      </w:r>
    </w:p>
    <w:p w14:paraId="10A23132">
      <w:pPr>
        <w:pStyle w:val="14"/>
        <w:ind w:firstLine="220"/>
        <w:rPr>
          <w:rFonts w:ascii="黑体" w:eastAsia="黑体"/>
          <w:bCs/>
          <w:sz w:val="44"/>
          <w:highlight w:val="none"/>
        </w:rPr>
      </w:pPr>
      <w:r>
        <w:rPr>
          <w:rFonts w:hint="eastAsia" w:ascii="黑体" w:eastAsia="黑体"/>
          <w:bCs/>
          <w:sz w:val="44"/>
          <w:highlight w:val="none"/>
        </w:rPr>
        <w:t xml:space="preserve">第五章  </w:t>
      </w:r>
      <w:r>
        <w:rPr>
          <w:rFonts w:hint="eastAsia" w:ascii="黑体" w:eastAsia="黑体"/>
          <w:b/>
          <w:bCs/>
          <w:sz w:val="44"/>
          <w:highlight w:val="none"/>
        </w:rPr>
        <w:t>评标方法与评标标准</w:t>
      </w:r>
    </w:p>
    <w:p w14:paraId="10D09705">
      <w:pPr>
        <w:ind w:firstLine="120"/>
        <w:rPr>
          <w:sz w:val="24"/>
          <w:szCs w:val="24"/>
          <w:highlight w:val="none"/>
        </w:rPr>
      </w:pPr>
    </w:p>
    <w:p w14:paraId="4E507018">
      <w:pPr>
        <w:pStyle w:val="7"/>
        <w:widowControl w:val="0"/>
        <w:snapToGrid w:val="0"/>
        <w:spacing w:before="120" w:beforeAutospacing="0" w:after="120" w:afterAutospacing="0" w:line="360" w:lineRule="auto"/>
        <w:ind w:firstLine="482"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
          <w:bCs w:val="0"/>
          <w:i w:val="0"/>
          <w:iCs w:val="0"/>
          <w:sz w:val="24"/>
          <w:highlight w:val="none"/>
          <w:u w:val="none"/>
          <w:lang w:val="zh-CN" w:eastAsia="zh-CN" w:bidi="ar-SA"/>
        </w:rPr>
        <w:t>一、评标方法</w:t>
      </w:r>
    </w:p>
    <w:p w14:paraId="1F57F276">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512DC8B">
      <w:pPr>
        <w:pStyle w:val="7"/>
        <w:widowControl w:val="0"/>
        <w:snapToGrid w:val="0"/>
        <w:spacing w:before="120" w:beforeAutospacing="0" w:after="120" w:afterAutospacing="0" w:line="360" w:lineRule="auto"/>
        <w:ind w:firstLine="482" w:firstLineChars="200"/>
        <w:jc w:val="both"/>
        <w:rPr>
          <w:rFonts w:hint="eastAsia" w:ascii="宋体" w:hAnsi="宋体" w:eastAsia="宋体" w:cs="宋体"/>
          <w:bCs/>
          <w:i w:val="0"/>
          <w:iCs w:val="0"/>
          <w:sz w:val="24"/>
          <w:highlight w:val="none"/>
          <w:u w:val="none"/>
          <w:lang w:val="zh-CN" w:eastAsia="zh-CN" w:bidi="ar-SA"/>
        </w:rPr>
      </w:pPr>
      <w:bookmarkStart w:id="59" w:name="_Toc449016388"/>
      <w:bookmarkStart w:id="60" w:name="_Toc449017024"/>
      <w:r>
        <w:rPr>
          <w:rFonts w:hint="eastAsia" w:ascii="宋体" w:hAnsi="宋体" w:eastAsia="宋体" w:cs="宋体"/>
          <w:b/>
          <w:bCs w:val="0"/>
          <w:i w:val="0"/>
          <w:iCs w:val="0"/>
          <w:sz w:val="24"/>
          <w:highlight w:val="none"/>
          <w:u w:val="none"/>
          <w:lang w:val="zh-CN" w:eastAsia="zh-CN" w:bidi="ar-SA"/>
        </w:rPr>
        <w:t>二、</w:t>
      </w:r>
      <w:bookmarkEnd w:id="59"/>
      <w:bookmarkEnd w:id="60"/>
      <w:r>
        <w:rPr>
          <w:rFonts w:hint="eastAsia" w:ascii="宋体" w:hAnsi="宋体" w:eastAsia="宋体" w:cs="宋体"/>
          <w:b/>
          <w:bCs w:val="0"/>
          <w:i w:val="0"/>
          <w:iCs w:val="0"/>
          <w:sz w:val="24"/>
          <w:highlight w:val="none"/>
          <w:u w:val="none"/>
          <w:lang w:val="zh-CN" w:eastAsia="zh-CN" w:bidi="ar-SA"/>
        </w:rPr>
        <w:t>政府采购政策功能落实</w:t>
      </w:r>
    </w:p>
    <w:p w14:paraId="76773BE7">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按照《政府采购促进中小企业发展管理办法》的规定，未预留份额专门面向中小企业采购的采购项目或分包，具体如下：</w:t>
      </w:r>
    </w:p>
    <w:p w14:paraId="1F877D73">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1、本项目专门面向中小企业采购</w:t>
      </w:r>
    </w:p>
    <w:p w14:paraId="5774245C">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（1）供应商需按照采购文件的要求提供相应的《中小企业声明函》，并装订于投标文件中，《中小企业声明函》不符合要求或未提供的，投标文件无效。</w:t>
      </w:r>
    </w:p>
    <w:p w14:paraId="4273210A">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zh-CN" w:eastAsia="zh-CN" w:bidi="ar-SA"/>
        </w:rPr>
      </w:pPr>
      <w:r>
        <w:rPr>
          <w:rFonts w:hint="eastAsia" w:ascii="宋体" w:hAnsi="宋体" w:eastAsia="宋体" w:cs="宋体"/>
          <w:bCs/>
          <w:i w:val="0"/>
          <w:iCs w:val="0"/>
          <w:sz w:val="24"/>
          <w:highlight w:val="none"/>
          <w:u w:val="none"/>
          <w:lang w:val="zh-CN" w:eastAsia="zh-CN" w:bidi="ar-SA"/>
        </w:rPr>
        <w:t>（2）企业标准请参照《关于印发中小企业划型标准规定的通知》（工信部联企业[2011]300号）文件规定自行填写。</w:t>
      </w:r>
    </w:p>
    <w:p w14:paraId="67F53F5E">
      <w:pPr>
        <w:pStyle w:val="7"/>
        <w:widowControl w:val="0"/>
        <w:snapToGrid w:val="0"/>
        <w:spacing w:before="120" w:beforeAutospacing="0" w:after="120" w:afterAutospacing="0" w:line="360" w:lineRule="auto"/>
        <w:ind w:firstLine="480" w:firstLineChars="200"/>
        <w:jc w:val="both"/>
        <w:rPr>
          <w:rFonts w:hint="eastAsia" w:ascii="宋体" w:hAnsi="宋体" w:eastAsia="宋体" w:cs="宋体"/>
          <w:bCs/>
          <w:i w:val="0"/>
          <w:iCs w:val="0"/>
          <w:sz w:val="24"/>
          <w:highlight w:val="none"/>
          <w:u w:val="none"/>
          <w:lang w:val="en-US" w:eastAsia="zh-CN" w:bidi="ar-SA"/>
        </w:rPr>
      </w:pPr>
      <w:r>
        <w:rPr>
          <w:rFonts w:hint="eastAsia" w:ascii="宋体" w:hAnsi="宋体" w:eastAsia="宋体" w:cs="宋体"/>
          <w:bCs/>
          <w:i w:val="0"/>
          <w:iCs w:val="0"/>
          <w:sz w:val="24"/>
          <w:highlight w:val="none"/>
          <w:u w:val="none"/>
          <w:lang w:val="zh-CN" w:eastAsia="zh-CN" w:bidi="ar-SA"/>
        </w:rPr>
        <w:t>（3）本项目对残疾人福利性单位、监狱和戒毒企业视同小型、微型企业。</w:t>
      </w:r>
    </w:p>
    <w:p w14:paraId="472D3216">
      <w:pPr>
        <w:rPr>
          <w:rFonts w:hint="eastAsia" w:ascii="宋体" w:hAnsi="宋体"/>
          <w:b/>
          <w:highlight w:val="none"/>
        </w:rPr>
      </w:pPr>
      <w:r>
        <w:rPr>
          <w:rFonts w:hint="eastAsia" w:ascii="宋体" w:hAnsi="宋体"/>
          <w:b/>
          <w:highlight w:val="none"/>
        </w:rPr>
        <w:br w:type="page"/>
      </w:r>
    </w:p>
    <w:p w14:paraId="599E1331">
      <w:pPr>
        <w:pStyle w:val="12"/>
        <w:ind w:firstLine="120"/>
        <w:rPr>
          <w:highlight w:val="none"/>
        </w:rPr>
      </w:pPr>
      <w:r>
        <w:rPr>
          <w:rFonts w:hint="eastAsia" w:ascii="宋体" w:hAnsi="宋体"/>
          <w:b/>
          <w:highlight w:val="none"/>
          <w:lang w:val="en-US" w:eastAsia="zh-CN"/>
        </w:rPr>
        <w:t>01包宝应北片区</w:t>
      </w:r>
      <w:r>
        <w:rPr>
          <w:rFonts w:hint="eastAsia" w:ascii="宋体" w:hAnsi="宋体"/>
          <w:b/>
          <w:highlight w:val="none"/>
        </w:rPr>
        <w:t>评标标准</w:t>
      </w:r>
    </w:p>
    <w:tbl>
      <w:tblPr>
        <w:tblStyle w:val="9"/>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1"/>
        <w:gridCol w:w="1344"/>
        <w:gridCol w:w="6056"/>
      </w:tblGrid>
      <w:tr w14:paraId="1D174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781" w:type="dxa"/>
            <w:tcBorders>
              <w:top w:val="single" w:color="auto" w:sz="4" w:space="0"/>
              <w:left w:val="single" w:color="auto" w:sz="4" w:space="0"/>
              <w:bottom w:val="single" w:color="auto" w:sz="4" w:space="0"/>
              <w:right w:val="single" w:color="auto" w:sz="4" w:space="0"/>
            </w:tcBorders>
            <w:noWrap w:val="0"/>
            <w:vAlign w:val="center"/>
          </w:tcPr>
          <w:p w14:paraId="043FCF7F">
            <w:pPr>
              <w:widowControl/>
              <w:autoSpaceDE w:val="0"/>
              <w:autoSpaceDN w:val="0"/>
              <w:adjustRightInd w:val="0"/>
              <w:spacing w:line="40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项  目</w:t>
            </w:r>
          </w:p>
        </w:tc>
        <w:tc>
          <w:tcPr>
            <w:tcW w:w="7400" w:type="dxa"/>
            <w:gridSpan w:val="2"/>
            <w:tcBorders>
              <w:top w:val="single" w:color="auto" w:sz="4" w:space="0"/>
              <w:left w:val="single" w:color="auto" w:sz="4" w:space="0"/>
              <w:bottom w:val="single" w:color="auto" w:sz="4" w:space="0"/>
              <w:right w:val="single" w:color="auto" w:sz="4" w:space="0"/>
            </w:tcBorders>
            <w:noWrap w:val="0"/>
            <w:vAlign w:val="center"/>
          </w:tcPr>
          <w:p w14:paraId="20391F65">
            <w:pPr>
              <w:widowControl/>
              <w:autoSpaceDE w:val="0"/>
              <w:autoSpaceDN w:val="0"/>
              <w:adjustRightInd w:val="0"/>
              <w:spacing w:line="40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  分  标  准</w:t>
            </w:r>
          </w:p>
        </w:tc>
      </w:tr>
      <w:tr w14:paraId="19DFE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1" w:hRule="atLeast"/>
          <w:jc w:val="center"/>
        </w:trPr>
        <w:tc>
          <w:tcPr>
            <w:tcW w:w="1781" w:type="dxa"/>
            <w:tcBorders>
              <w:top w:val="single" w:color="auto" w:sz="4" w:space="0"/>
              <w:left w:val="single" w:color="auto" w:sz="4" w:space="0"/>
              <w:bottom w:val="single" w:color="auto" w:sz="4" w:space="0"/>
              <w:right w:val="single" w:color="auto" w:sz="4" w:space="0"/>
            </w:tcBorders>
            <w:noWrap w:val="0"/>
            <w:vAlign w:val="center"/>
          </w:tcPr>
          <w:p w14:paraId="3B7088EE">
            <w:pPr>
              <w:spacing w:line="400" w:lineRule="exact"/>
              <w:jc w:val="center"/>
              <w:rPr>
                <w:rFonts w:ascii="宋体" w:hAnsi="宋体" w:cs="宋体"/>
                <w:color w:val="auto"/>
                <w:kern w:val="0"/>
                <w:szCs w:val="21"/>
                <w:highlight w:val="none"/>
              </w:rPr>
            </w:pPr>
            <w:r>
              <w:rPr>
                <w:rFonts w:hint="eastAsia" w:ascii="宋体" w:hAnsi="宋体"/>
                <w:color w:val="auto"/>
                <w:szCs w:val="21"/>
                <w:highlight w:val="none"/>
              </w:rPr>
              <w:t>报价（10分）</w:t>
            </w:r>
          </w:p>
        </w:tc>
        <w:tc>
          <w:tcPr>
            <w:tcW w:w="7400" w:type="dxa"/>
            <w:gridSpan w:val="2"/>
            <w:tcBorders>
              <w:top w:val="single" w:color="auto" w:sz="4" w:space="0"/>
              <w:left w:val="single" w:color="auto" w:sz="4" w:space="0"/>
              <w:bottom w:val="single" w:color="auto" w:sz="4" w:space="0"/>
              <w:right w:val="single" w:color="auto" w:sz="4" w:space="0"/>
            </w:tcBorders>
            <w:noWrap w:val="0"/>
            <w:vAlign w:val="center"/>
          </w:tcPr>
          <w:p w14:paraId="0655AAC6">
            <w:pPr>
              <w:spacing w:line="400" w:lineRule="exact"/>
              <w:ind w:right="-132" w:rightChars="-66"/>
              <w:rPr>
                <w:rFonts w:ascii="宋体" w:hAnsi="宋体"/>
                <w:color w:val="auto"/>
                <w:szCs w:val="21"/>
                <w:highlight w:val="none"/>
              </w:rPr>
            </w:pPr>
            <w:r>
              <w:rPr>
                <w:rFonts w:hint="eastAsia" w:ascii="宋体" w:hAnsi="宋体"/>
                <w:color w:val="auto"/>
                <w:szCs w:val="21"/>
                <w:highlight w:val="none"/>
              </w:rPr>
              <w:t>满足招标文件要求且投标价格最低的投标报价为评标基准价，其价格分为满分。其他投标人的价格分统一按照下列公式计算：</w:t>
            </w:r>
          </w:p>
          <w:p w14:paraId="4B575B3D">
            <w:pPr>
              <w:spacing w:line="400" w:lineRule="exact"/>
              <w:rPr>
                <w:rFonts w:ascii="宋体" w:hAnsi="宋体"/>
                <w:color w:val="auto"/>
                <w:szCs w:val="21"/>
                <w:highlight w:val="none"/>
              </w:rPr>
            </w:pPr>
            <w:r>
              <w:rPr>
                <w:rFonts w:hint="eastAsia" w:ascii="宋体" w:hAnsi="宋体"/>
                <w:color w:val="auto"/>
                <w:szCs w:val="21"/>
                <w:highlight w:val="none"/>
              </w:rPr>
              <w:t>投标报价得分＝（评标基准价／投标报价）×10，小数点保留2位。</w:t>
            </w:r>
          </w:p>
        </w:tc>
      </w:tr>
      <w:tr w14:paraId="08B43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781" w:type="dxa"/>
            <w:vMerge w:val="restart"/>
            <w:tcBorders>
              <w:left w:val="single" w:color="auto" w:sz="4" w:space="0"/>
              <w:right w:val="single" w:color="auto" w:sz="4" w:space="0"/>
            </w:tcBorders>
            <w:noWrap w:val="0"/>
            <w:vAlign w:val="center"/>
          </w:tcPr>
          <w:p w14:paraId="29B54457">
            <w:pPr>
              <w:spacing w:line="400" w:lineRule="exact"/>
              <w:jc w:val="center"/>
              <w:rPr>
                <w:rFonts w:ascii="宋体" w:hAnsi="宋体"/>
                <w:color w:val="auto"/>
                <w:szCs w:val="21"/>
                <w:highlight w:val="none"/>
              </w:rPr>
            </w:pPr>
            <w:r>
              <w:rPr>
                <w:rFonts w:hint="eastAsia" w:ascii="宋体" w:hAnsi="宋体"/>
                <w:color w:val="auto"/>
                <w:szCs w:val="21"/>
                <w:highlight w:val="none"/>
              </w:rPr>
              <w:t>场地要求（</w:t>
            </w:r>
            <w:r>
              <w:rPr>
                <w:rFonts w:hint="eastAsia"/>
                <w:color w:val="auto"/>
                <w:szCs w:val="21"/>
                <w:highlight w:val="none"/>
                <w:lang w:val="en-US" w:eastAsia="zh-CN"/>
              </w:rPr>
              <w:t>34</w:t>
            </w:r>
            <w:r>
              <w:rPr>
                <w:rFonts w:hint="eastAsia" w:ascii="宋体" w:hAnsi="宋体"/>
                <w:color w:val="auto"/>
                <w:szCs w:val="21"/>
                <w:highlight w:val="none"/>
              </w:rPr>
              <w:t>分）</w:t>
            </w:r>
          </w:p>
        </w:tc>
        <w:tc>
          <w:tcPr>
            <w:tcW w:w="1344" w:type="dxa"/>
            <w:tcBorders>
              <w:top w:val="single" w:color="auto" w:sz="4" w:space="0"/>
              <w:left w:val="single" w:color="auto" w:sz="4" w:space="0"/>
              <w:bottom w:val="single" w:color="auto" w:sz="4" w:space="0"/>
              <w:right w:val="single" w:color="auto" w:sz="4" w:space="0"/>
            </w:tcBorders>
            <w:noWrap w:val="0"/>
            <w:vAlign w:val="center"/>
          </w:tcPr>
          <w:p w14:paraId="3EE9A21A">
            <w:pPr>
              <w:spacing w:line="400" w:lineRule="exact"/>
              <w:jc w:val="center"/>
              <w:rPr>
                <w:rFonts w:ascii="宋体" w:hAnsi="宋体"/>
                <w:color w:val="auto"/>
                <w:szCs w:val="21"/>
                <w:highlight w:val="none"/>
              </w:rPr>
            </w:pPr>
            <w:r>
              <w:rPr>
                <w:rFonts w:hint="eastAsia"/>
                <w:color w:val="auto"/>
                <w:szCs w:val="21"/>
                <w:highlight w:val="none"/>
                <w:lang w:val="en-US" w:eastAsia="zh-CN"/>
              </w:rPr>
              <w:t>10</w:t>
            </w:r>
            <w:r>
              <w:rPr>
                <w:rFonts w:hint="eastAsia" w:ascii="宋体" w:hAnsi="宋体"/>
                <w:color w:val="auto"/>
                <w:szCs w:val="21"/>
                <w:highlight w:val="none"/>
              </w:rPr>
              <w:t>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16041555">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宝应北片</w:t>
            </w:r>
            <w:r>
              <w:rPr>
                <w:rFonts w:hint="eastAsia"/>
                <w:color w:val="auto"/>
                <w:szCs w:val="21"/>
                <w:highlight w:val="none"/>
                <w:lang w:val="en-US" w:eastAsia="zh-CN"/>
              </w:rPr>
              <w:t>区</w:t>
            </w:r>
            <w:r>
              <w:rPr>
                <w:rFonts w:hint="eastAsia" w:ascii="宋体" w:hAnsi="宋体"/>
                <w:color w:val="auto"/>
                <w:szCs w:val="21"/>
                <w:highlight w:val="none"/>
              </w:rPr>
              <w:t>停车场停车面积</w:t>
            </w:r>
            <w:r>
              <w:rPr>
                <w:rFonts w:hint="eastAsia" w:ascii="宋体" w:hAnsi="宋体"/>
                <w:color w:val="auto"/>
                <w:szCs w:val="21"/>
                <w:highlight w:val="none"/>
                <w:lang w:val="en-US" w:eastAsia="zh-CN"/>
              </w:rPr>
              <w:t>（S）（须全部用于停放车辆，不得挪作他用）</w:t>
            </w:r>
            <w:r>
              <w:rPr>
                <w:rFonts w:hint="eastAsia" w:ascii="宋体" w:hAnsi="宋体" w:eastAsia="宋体" w:cs="宋体"/>
                <w:color w:val="auto"/>
                <w:szCs w:val="21"/>
                <w:highlight w:val="none"/>
                <w:lang w:val="en-US" w:eastAsia="zh-CN"/>
              </w:rPr>
              <w:t>：S≥4500㎡，得10分；4500㎡＜</w:t>
            </w:r>
            <w:r>
              <w:rPr>
                <w:rFonts w:hint="eastAsia" w:ascii="宋体" w:hAnsi="宋体"/>
                <w:color w:val="auto"/>
                <w:szCs w:val="21"/>
                <w:highlight w:val="none"/>
                <w:lang w:val="en-US" w:eastAsia="zh-CN"/>
              </w:rPr>
              <w:t>S≤</w:t>
            </w:r>
            <w:r>
              <w:rPr>
                <w:rFonts w:hint="eastAsia" w:ascii="宋体" w:hAnsi="宋体" w:eastAsia="宋体" w:cs="宋体"/>
                <w:color w:val="auto"/>
                <w:szCs w:val="21"/>
                <w:highlight w:val="none"/>
                <w:lang w:val="en-US" w:eastAsia="zh-CN"/>
              </w:rPr>
              <w:t>4000㎡，得</w:t>
            </w:r>
            <w:r>
              <w:rPr>
                <w:rFonts w:hint="eastAsia"/>
                <w:color w:val="auto"/>
                <w:szCs w:val="21"/>
                <w:highlight w:val="none"/>
                <w:lang w:val="en-US" w:eastAsia="zh-CN"/>
              </w:rPr>
              <w:t>8</w:t>
            </w:r>
            <w:r>
              <w:rPr>
                <w:rFonts w:hint="eastAsia" w:ascii="宋体" w:hAnsi="宋体"/>
                <w:color w:val="auto"/>
                <w:szCs w:val="21"/>
                <w:highlight w:val="none"/>
                <w:lang w:val="en-US" w:eastAsia="zh-CN"/>
              </w:rPr>
              <w:t>分；</w:t>
            </w:r>
            <w:r>
              <w:rPr>
                <w:rFonts w:hint="eastAsia"/>
                <w:color w:val="auto"/>
                <w:szCs w:val="21"/>
                <w:highlight w:val="none"/>
                <w:lang w:val="en-US" w:eastAsia="zh-CN"/>
              </w:rPr>
              <w:t>4000</w:t>
            </w:r>
            <w:r>
              <w:rPr>
                <w:rFonts w:hint="eastAsia" w:ascii="宋体" w:hAnsi="宋体"/>
                <w:color w:val="auto"/>
                <w:szCs w:val="21"/>
                <w:highlight w:val="none"/>
                <w:lang w:val="en-US" w:eastAsia="zh-CN"/>
              </w:rPr>
              <w:t>㎡</w:t>
            </w:r>
            <w:r>
              <w:rPr>
                <w:rFonts w:hint="eastAsia" w:ascii="宋体" w:hAnsi="宋体" w:eastAsia="宋体" w:cs="宋体"/>
                <w:color w:val="auto"/>
                <w:szCs w:val="21"/>
                <w:highlight w:val="none"/>
                <w:lang w:val="en-US" w:eastAsia="zh-CN"/>
              </w:rPr>
              <w:t>＜</w:t>
            </w:r>
            <w:r>
              <w:rPr>
                <w:rFonts w:hint="eastAsia" w:ascii="宋体" w:hAnsi="宋体"/>
                <w:color w:val="auto"/>
                <w:szCs w:val="21"/>
                <w:highlight w:val="none"/>
                <w:lang w:val="en-US" w:eastAsia="zh-CN"/>
              </w:rPr>
              <w:t>S≤</w:t>
            </w:r>
            <w:r>
              <w:rPr>
                <w:rFonts w:hint="eastAsia"/>
                <w:color w:val="auto"/>
                <w:szCs w:val="21"/>
                <w:highlight w:val="none"/>
                <w:lang w:val="en-US" w:eastAsia="zh-CN"/>
              </w:rPr>
              <w:t>35</w:t>
            </w:r>
            <w:r>
              <w:rPr>
                <w:rFonts w:hint="eastAsia" w:ascii="宋体" w:hAnsi="宋体"/>
                <w:color w:val="auto"/>
                <w:szCs w:val="21"/>
                <w:highlight w:val="none"/>
                <w:lang w:val="en-US" w:eastAsia="zh-CN"/>
              </w:rPr>
              <w:t>00㎡，得</w:t>
            </w:r>
            <w:r>
              <w:rPr>
                <w:rFonts w:hint="eastAsia"/>
                <w:color w:val="auto"/>
                <w:szCs w:val="21"/>
                <w:highlight w:val="none"/>
                <w:lang w:val="en-US" w:eastAsia="zh-CN"/>
              </w:rPr>
              <w:t>6</w:t>
            </w:r>
            <w:r>
              <w:rPr>
                <w:rFonts w:hint="eastAsia" w:ascii="宋体" w:hAnsi="宋体"/>
                <w:color w:val="auto"/>
                <w:szCs w:val="21"/>
                <w:highlight w:val="none"/>
                <w:lang w:val="en-US" w:eastAsia="zh-CN"/>
              </w:rPr>
              <w:t>分；</w:t>
            </w:r>
            <w:r>
              <w:rPr>
                <w:rFonts w:hint="eastAsia"/>
                <w:color w:val="auto"/>
                <w:szCs w:val="21"/>
                <w:highlight w:val="none"/>
                <w:lang w:val="en-US" w:eastAsia="zh-CN"/>
              </w:rPr>
              <w:t>35</w:t>
            </w:r>
            <w:r>
              <w:rPr>
                <w:rFonts w:hint="eastAsia" w:ascii="宋体" w:hAnsi="宋体"/>
                <w:color w:val="auto"/>
                <w:szCs w:val="21"/>
                <w:highlight w:val="none"/>
                <w:lang w:val="en-US" w:eastAsia="zh-CN"/>
              </w:rPr>
              <w:t>00㎡</w:t>
            </w:r>
            <w:r>
              <w:rPr>
                <w:rFonts w:hint="eastAsia" w:ascii="宋体" w:hAnsi="宋体" w:eastAsia="宋体" w:cs="宋体"/>
                <w:color w:val="auto"/>
                <w:szCs w:val="21"/>
                <w:highlight w:val="none"/>
                <w:lang w:val="en-US" w:eastAsia="zh-CN"/>
              </w:rPr>
              <w:t>＜</w:t>
            </w:r>
            <w:r>
              <w:rPr>
                <w:rFonts w:hint="eastAsia" w:ascii="宋体" w:hAnsi="宋体"/>
                <w:color w:val="auto"/>
                <w:szCs w:val="21"/>
                <w:highlight w:val="none"/>
                <w:lang w:val="en-US" w:eastAsia="zh-CN"/>
              </w:rPr>
              <w:t>S≤</w:t>
            </w:r>
            <w:r>
              <w:rPr>
                <w:rFonts w:hint="eastAsia"/>
                <w:color w:val="auto"/>
                <w:szCs w:val="21"/>
                <w:highlight w:val="none"/>
                <w:lang w:val="en-US" w:eastAsia="zh-CN"/>
              </w:rPr>
              <w:t>3</w:t>
            </w:r>
            <w:r>
              <w:rPr>
                <w:rFonts w:hint="eastAsia" w:ascii="宋体" w:hAnsi="宋体"/>
                <w:color w:val="auto"/>
                <w:szCs w:val="21"/>
                <w:highlight w:val="none"/>
                <w:lang w:val="en-US" w:eastAsia="zh-CN"/>
              </w:rPr>
              <w:t>000㎡，得</w:t>
            </w:r>
            <w:r>
              <w:rPr>
                <w:rFonts w:hint="eastAsia"/>
                <w:color w:val="auto"/>
                <w:szCs w:val="21"/>
                <w:highlight w:val="none"/>
                <w:lang w:val="en-US" w:eastAsia="zh-CN"/>
              </w:rPr>
              <w:t>4</w:t>
            </w:r>
            <w:r>
              <w:rPr>
                <w:rFonts w:hint="eastAsia" w:ascii="宋体" w:hAnsi="宋体"/>
                <w:color w:val="auto"/>
                <w:szCs w:val="21"/>
                <w:highlight w:val="none"/>
                <w:lang w:val="en-US" w:eastAsia="zh-CN"/>
              </w:rPr>
              <w:t>分；其余情况不得分</w:t>
            </w:r>
            <w:r>
              <w:rPr>
                <w:rFonts w:hint="eastAsia" w:ascii="宋体" w:hAnsi="宋体"/>
                <w:color w:val="auto"/>
                <w:szCs w:val="21"/>
                <w:highlight w:val="none"/>
              </w:rPr>
              <w:t>。</w:t>
            </w:r>
          </w:p>
          <w:p w14:paraId="4ED2F43E">
            <w:pPr>
              <w:spacing w:line="400" w:lineRule="exact"/>
              <w:ind w:firstLine="400" w:firstLineChars="200"/>
              <w:rPr>
                <w:rFonts w:ascii="宋体" w:hAnsi="宋体"/>
                <w:color w:val="auto"/>
                <w:szCs w:val="21"/>
                <w:highlight w:val="none"/>
              </w:rPr>
            </w:pPr>
            <w:r>
              <w:rPr>
                <w:rFonts w:hint="eastAsia" w:ascii="宋体" w:hAnsi="宋体"/>
                <w:color w:val="auto"/>
                <w:szCs w:val="21"/>
                <w:highlight w:val="none"/>
              </w:rPr>
              <w:t>投标人提供现场照片及文字说明制作在投标文件中，照片要求道路全景和局部照片，能够</w:t>
            </w:r>
            <w:r>
              <w:rPr>
                <w:rFonts w:hint="eastAsia" w:ascii="宋体" w:hAnsi="宋体"/>
                <w:color w:val="auto"/>
                <w:szCs w:val="21"/>
                <w:highlight w:val="none"/>
                <w:lang w:eastAsia="zh-CN"/>
              </w:rPr>
              <w:t>反映</w:t>
            </w:r>
            <w:r>
              <w:rPr>
                <w:rFonts w:hint="eastAsia" w:ascii="宋体" w:hAnsi="宋体"/>
                <w:color w:val="auto"/>
                <w:szCs w:val="21"/>
                <w:highlight w:val="none"/>
              </w:rPr>
              <w:t>道路长度、宽度。无照片不得分。</w:t>
            </w:r>
          </w:p>
        </w:tc>
      </w:tr>
      <w:tr w14:paraId="2781D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781" w:type="dxa"/>
            <w:vMerge w:val="continue"/>
            <w:tcBorders>
              <w:left w:val="single" w:color="auto" w:sz="4" w:space="0"/>
              <w:right w:val="single" w:color="auto" w:sz="4" w:space="0"/>
            </w:tcBorders>
            <w:noWrap w:val="0"/>
            <w:vAlign w:val="center"/>
          </w:tcPr>
          <w:p w14:paraId="67005806">
            <w:pPr>
              <w:spacing w:line="400" w:lineRule="exact"/>
              <w:jc w:val="center"/>
              <w:rPr>
                <w:rFonts w:ascii="宋体" w:hAnsi="宋体"/>
                <w:color w:val="auto"/>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7E74385F">
            <w:pPr>
              <w:spacing w:line="400" w:lineRule="exact"/>
              <w:jc w:val="center"/>
              <w:rPr>
                <w:rFonts w:ascii="宋体" w:hAnsi="宋体"/>
                <w:color w:val="auto"/>
                <w:szCs w:val="21"/>
                <w:highlight w:val="none"/>
              </w:rPr>
            </w:pPr>
            <w:r>
              <w:rPr>
                <w:rFonts w:hint="eastAsia"/>
                <w:color w:val="auto"/>
                <w:szCs w:val="21"/>
                <w:highlight w:val="none"/>
                <w:lang w:val="en-US" w:eastAsia="zh-CN"/>
              </w:rPr>
              <w:t>6</w:t>
            </w:r>
            <w:r>
              <w:rPr>
                <w:rFonts w:hint="eastAsia" w:ascii="宋体" w:hAnsi="宋体"/>
                <w:color w:val="auto"/>
                <w:szCs w:val="21"/>
                <w:highlight w:val="none"/>
              </w:rPr>
              <w:t>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7E952142">
            <w:pPr>
              <w:spacing w:line="400" w:lineRule="exact"/>
              <w:ind w:firstLine="400" w:firstLineChars="200"/>
              <w:rPr>
                <w:rFonts w:ascii="宋体" w:hAnsi="宋体"/>
                <w:color w:val="auto"/>
                <w:szCs w:val="21"/>
                <w:highlight w:val="none"/>
              </w:rPr>
            </w:pPr>
            <w:r>
              <w:rPr>
                <w:rFonts w:hint="eastAsia" w:ascii="宋体" w:hAnsi="宋体"/>
                <w:color w:val="auto"/>
                <w:szCs w:val="21"/>
                <w:highlight w:val="none"/>
              </w:rPr>
              <w:t>执法停车场进出口搭接道路（硬质路面）宽度</w:t>
            </w:r>
            <w:r>
              <w:rPr>
                <w:rFonts w:hint="eastAsia"/>
                <w:color w:val="auto"/>
                <w:szCs w:val="21"/>
                <w:highlight w:val="none"/>
                <w:lang w:eastAsia="zh-CN"/>
              </w:rPr>
              <w:t>（</w:t>
            </w:r>
            <w:r>
              <w:rPr>
                <w:rFonts w:hint="eastAsia"/>
                <w:color w:val="auto"/>
                <w:szCs w:val="21"/>
                <w:highlight w:val="none"/>
                <w:lang w:val="en-US" w:eastAsia="zh-CN"/>
              </w:rPr>
              <w:t>W</w:t>
            </w:r>
            <w:r>
              <w:rPr>
                <w:rFonts w:hint="eastAsia"/>
                <w:color w:val="auto"/>
                <w:szCs w:val="21"/>
                <w:highlight w:val="none"/>
                <w:lang w:eastAsia="zh-CN"/>
              </w:rPr>
              <w:t>）：</w:t>
            </w:r>
            <w:r>
              <w:rPr>
                <w:rFonts w:hint="eastAsia"/>
                <w:color w:val="auto"/>
                <w:szCs w:val="21"/>
                <w:highlight w:val="none"/>
                <w:lang w:val="en-US" w:eastAsia="zh-CN"/>
              </w:rPr>
              <w:t>W≥</w:t>
            </w:r>
            <w:r>
              <w:rPr>
                <w:rFonts w:hint="eastAsia" w:ascii="宋体" w:hAnsi="宋体"/>
                <w:color w:val="auto"/>
                <w:szCs w:val="21"/>
                <w:highlight w:val="none"/>
              </w:rPr>
              <w:t>5m，得</w:t>
            </w:r>
            <w:r>
              <w:rPr>
                <w:rFonts w:hint="eastAsia"/>
                <w:color w:val="auto"/>
                <w:szCs w:val="21"/>
                <w:highlight w:val="none"/>
                <w:lang w:val="en-US" w:eastAsia="zh-CN"/>
              </w:rPr>
              <w:t>6</w:t>
            </w:r>
            <w:r>
              <w:rPr>
                <w:rFonts w:hint="eastAsia" w:ascii="宋体" w:hAnsi="宋体"/>
                <w:color w:val="auto"/>
                <w:szCs w:val="21"/>
                <w:highlight w:val="none"/>
              </w:rPr>
              <w:t>分。5m</w:t>
            </w:r>
            <w:r>
              <w:rPr>
                <w:rFonts w:hint="eastAsia" w:ascii="宋体" w:hAnsi="宋体" w:eastAsia="宋体" w:cs="宋体"/>
                <w:color w:val="auto"/>
                <w:szCs w:val="21"/>
                <w:highlight w:val="none"/>
                <w:lang w:val="en-US" w:eastAsia="zh-CN"/>
              </w:rPr>
              <w:t>＜</w:t>
            </w:r>
            <w:r>
              <w:rPr>
                <w:rFonts w:hint="eastAsia" w:ascii="宋体" w:hAnsi="宋体"/>
                <w:color w:val="auto"/>
                <w:szCs w:val="21"/>
                <w:highlight w:val="none"/>
                <w:lang w:val="en-US" w:eastAsia="zh-CN"/>
              </w:rPr>
              <w:t>W≤4</w:t>
            </w:r>
            <w:r>
              <w:rPr>
                <w:rFonts w:hint="eastAsia" w:ascii="宋体" w:hAnsi="宋体"/>
                <w:color w:val="auto"/>
                <w:szCs w:val="21"/>
                <w:highlight w:val="none"/>
              </w:rPr>
              <w:t>m，得</w:t>
            </w:r>
            <w:r>
              <w:rPr>
                <w:rFonts w:hint="eastAsia"/>
                <w:color w:val="auto"/>
                <w:szCs w:val="21"/>
                <w:highlight w:val="none"/>
                <w:lang w:val="en-US" w:eastAsia="zh-CN"/>
              </w:rPr>
              <w:t>4</w:t>
            </w:r>
            <w:r>
              <w:rPr>
                <w:rFonts w:hint="eastAsia" w:ascii="宋体" w:hAnsi="宋体"/>
                <w:color w:val="auto"/>
                <w:szCs w:val="21"/>
                <w:highlight w:val="none"/>
              </w:rPr>
              <w:t>分；</w:t>
            </w:r>
            <w:r>
              <w:rPr>
                <w:rFonts w:hint="eastAsia"/>
                <w:color w:val="auto"/>
                <w:szCs w:val="21"/>
                <w:highlight w:val="none"/>
                <w:lang w:val="en-US" w:eastAsia="zh-CN"/>
              </w:rPr>
              <w:t>4</w:t>
            </w:r>
            <w:r>
              <w:rPr>
                <w:rFonts w:hint="eastAsia" w:ascii="宋体" w:hAnsi="宋体"/>
                <w:color w:val="auto"/>
                <w:szCs w:val="21"/>
                <w:highlight w:val="none"/>
              </w:rPr>
              <w:t>m</w:t>
            </w:r>
            <w:r>
              <w:rPr>
                <w:rFonts w:hint="eastAsia" w:ascii="宋体" w:hAnsi="宋体" w:eastAsia="宋体" w:cs="宋体"/>
                <w:color w:val="auto"/>
                <w:szCs w:val="21"/>
                <w:highlight w:val="none"/>
                <w:lang w:val="en-US" w:eastAsia="zh-CN"/>
              </w:rPr>
              <w:t>＜</w:t>
            </w:r>
            <w:r>
              <w:rPr>
                <w:rFonts w:hint="eastAsia" w:ascii="宋体" w:hAnsi="宋体"/>
                <w:color w:val="auto"/>
                <w:szCs w:val="21"/>
                <w:highlight w:val="none"/>
                <w:lang w:val="en-US" w:eastAsia="zh-CN"/>
              </w:rPr>
              <w:t>W≤</w:t>
            </w:r>
            <w:r>
              <w:rPr>
                <w:rFonts w:hint="eastAsia"/>
                <w:color w:val="auto"/>
                <w:szCs w:val="21"/>
                <w:highlight w:val="none"/>
                <w:lang w:val="en-US" w:eastAsia="zh-CN"/>
              </w:rPr>
              <w:t>3.5</w:t>
            </w:r>
            <w:r>
              <w:rPr>
                <w:rFonts w:hint="eastAsia" w:ascii="宋体" w:hAnsi="宋体"/>
                <w:color w:val="auto"/>
                <w:szCs w:val="21"/>
                <w:highlight w:val="none"/>
              </w:rPr>
              <w:t>m，得</w:t>
            </w:r>
            <w:r>
              <w:rPr>
                <w:rFonts w:hint="eastAsia"/>
                <w:color w:val="auto"/>
                <w:szCs w:val="21"/>
                <w:highlight w:val="none"/>
                <w:lang w:val="en-US" w:eastAsia="zh-CN"/>
              </w:rPr>
              <w:t>2</w:t>
            </w:r>
            <w:r>
              <w:rPr>
                <w:rFonts w:hint="eastAsia" w:ascii="宋体" w:hAnsi="宋体"/>
                <w:color w:val="auto"/>
                <w:szCs w:val="21"/>
                <w:highlight w:val="none"/>
              </w:rPr>
              <w:t>分</w:t>
            </w:r>
            <w:r>
              <w:rPr>
                <w:rFonts w:hint="eastAsia"/>
                <w:color w:val="auto"/>
                <w:szCs w:val="21"/>
                <w:highlight w:val="none"/>
                <w:lang w:eastAsia="zh-CN"/>
              </w:rPr>
              <w:t>；</w:t>
            </w:r>
            <w:r>
              <w:rPr>
                <w:rFonts w:hint="eastAsia"/>
                <w:color w:val="auto"/>
                <w:szCs w:val="21"/>
                <w:highlight w:val="none"/>
                <w:lang w:val="en-US" w:eastAsia="zh-CN"/>
              </w:rPr>
              <w:t>其余情况不得分</w:t>
            </w:r>
            <w:r>
              <w:rPr>
                <w:rFonts w:hint="eastAsia" w:ascii="宋体" w:hAnsi="宋体"/>
                <w:color w:val="auto"/>
                <w:szCs w:val="21"/>
                <w:highlight w:val="none"/>
              </w:rPr>
              <w:t>。</w:t>
            </w:r>
          </w:p>
          <w:p w14:paraId="596B0E14">
            <w:pPr>
              <w:spacing w:line="400" w:lineRule="exact"/>
              <w:ind w:firstLine="400" w:firstLineChars="200"/>
              <w:rPr>
                <w:rFonts w:ascii="宋体" w:hAnsi="宋体"/>
                <w:color w:val="auto"/>
                <w:szCs w:val="21"/>
                <w:highlight w:val="none"/>
              </w:rPr>
            </w:pPr>
            <w:r>
              <w:rPr>
                <w:rFonts w:hint="eastAsia" w:ascii="宋体" w:hAnsi="宋体"/>
                <w:color w:val="auto"/>
                <w:szCs w:val="21"/>
                <w:highlight w:val="none"/>
              </w:rPr>
              <w:t>投标人提供现场照片及文字说明制作在投标文件中，照片要求道路全景和局部照片，能够</w:t>
            </w:r>
            <w:r>
              <w:rPr>
                <w:rFonts w:hint="eastAsia" w:ascii="宋体" w:hAnsi="宋体"/>
                <w:color w:val="auto"/>
                <w:szCs w:val="21"/>
                <w:highlight w:val="none"/>
                <w:lang w:eastAsia="zh-CN"/>
              </w:rPr>
              <w:t>反映</w:t>
            </w:r>
            <w:r>
              <w:rPr>
                <w:rFonts w:hint="eastAsia" w:ascii="宋体" w:hAnsi="宋体"/>
                <w:color w:val="auto"/>
                <w:szCs w:val="21"/>
                <w:highlight w:val="none"/>
              </w:rPr>
              <w:t>道路长度、宽度。无照片不得分。</w:t>
            </w:r>
          </w:p>
        </w:tc>
      </w:tr>
      <w:tr w14:paraId="46239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781" w:type="dxa"/>
            <w:vMerge w:val="continue"/>
            <w:tcBorders>
              <w:left w:val="single" w:color="auto" w:sz="4" w:space="0"/>
              <w:right w:val="single" w:color="auto" w:sz="4" w:space="0"/>
            </w:tcBorders>
            <w:noWrap w:val="0"/>
            <w:vAlign w:val="center"/>
          </w:tcPr>
          <w:p w14:paraId="78C89D72">
            <w:pPr>
              <w:spacing w:line="400" w:lineRule="exact"/>
              <w:rPr>
                <w:rFonts w:ascii="宋体" w:hAnsi="宋体"/>
                <w:color w:val="auto"/>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27A5EC78">
            <w:pPr>
              <w:spacing w:line="400" w:lineRule="exact"/>
              <w:jc w:val="center"/>
              <w:rPr>
                <w:rFonts w:hint="default" w:ascii="宋体" w:hAnsi="宋体" w:eastAsia="宋体"/>
                <w:color w:val="auto"/>
                <w:szCs w:val="21"/>
                <w:highlight w:val="none"/>
                <w:lang w:val="en-US" w:eastAsia="zh-CN"/>
              </w:rPr>
            </w:pPr>
            <w:r>
              <w:rPr>
                <w:rFonts w:hint="eastAsia"/>
                <w:color w:val="auto"/>
                <w:szCs w:val="21"/>
                <w:highlight w:val="none"/>
                <w:lang w:val="en-US" w:eastAsia="zh-CN"/>
              </w:rPr>
              <w:t>12分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22F9F25A">
            <w:pPr>
              <w:spacing w:line="400" w:lineRule="exact"/>
              <w:ind w:firstLine="400" w:firstLineChars="200"/>
              <w:rPr>
                <w:rFonts w:hint="eastAsia"/>
                <w:color w:val="auto"/>
                <w:highlight w:val="none"/>
                <w:lang w:val="en-US" w:eastAsia="zh-CN"/>
              </w:rPr>
            </w:pPr>
            <w:r>
              <w:rPr>
                <w:rFonts w:hint="eastAsia"/>
                <w:color w:val="auto"/>
                <w:szCs w:val="21"/>
                <w:highlight w:val="none"/>
                <w:lang w:val="en-US" w:eastAsia="zh-CN"/>
              </w:rPr>
              <w:t>停车场所在位置到</w:t>
            </w:r>
            <w:r>
              <w:rPr>
                <w:rFonts w:hint="eastAsia"/>
                <w:color w:val="auto"/>
                <w:highlight w:val="none"/>
                <w:lang w:val="en-US" w:eastAsia="zh-CN"/>
              </w:rPr>
              <w:t>停车场位置基准点距离（L）（距离指停车场所在位置到各片区位置基准点汽车导航距离）：L≤</w:t>
            </w:r>
            <w:r>
              <w:rPr>
                <w:rFonts w:hint="eastAsia" w:ascii="宋体" w:hAnsi="宋体" w:eastAsia="宋体" w:cs="宋体"/>
                <w:color w:val="auto"/>
                <w:szCs w:val="21"/>
                <w:highlight w:val="none"/>
                <w:lang w:val="en-US" w:eastAsia="zh-CN"/>
              </w:rPr>
              <w:t>2公里，得12分；2.5公里≤</w:t>
            </w:r>
            <w:r>
              <w:rPr>
                <w:rFonts w:hint="eastAsia"/>
                <w:color w:val="auto"/>
                <w:highlight w:val="none"/>
                <w:lang w:val="en-US" w:eastAsia="zh-CN"/>
              </w:rPr>
              <w:t>L＜</w:t>
            </w:r>
            <w:r>
              <w:rPr>
                <w:rFonts w:hint="eastAsia" w:ascii="宋体" w:hAnsi="宋体" w:eastAsia="宋体" w:cs="宋体"/>
                <w:color w:val="auto"/>
                <w:szCs w:val="21"/>
                <w:highlight w:val="none"/>
                <w:lang w:val="en-US" w:eastAsia="zh-CN"/>
              </w:rPr>
              <w:t>2公里，得10分；3公里≤</w:t>
            </w:r>
            <w:r>
              <w:rPr>
                <w:rFonts w:hint="eastAsia"/>
                <w:color w:val="auto"/>
                <w:highlight w:val="none"/>
                <w:lang w:val="en-US" w:eastAsia="zh-CN"/>
              </w:rPr>
              <w:t>L＜</w:t>
            </w:r>
            <w:r>
              <w:rPr>
                <w:rFonts w:hint="eastAsia" w:ascii="宋体" w:hAnsi="宋体" w:eastAsia="宋体" w:cs="宋体"/>
                <w:color w:val="auto"/>
                <w:szCs w:val="21"/>
                <w:highlight w:val="none"/>
                <w:lang w:val="en-US" w:eastAsia="zh-CN"/>
              </w:rPr>
              <w:t>2.5公里，得8分；3.5公里≤</w:t>
            </w:r>
            <w:r>
              <w:rPr>
                <w:rFonts w:hint="eastAsia"/>
                <w:color w:val="auto"/>
                <w:highlight w:val="none"/>
                <w:lang w:val="en-US" w:eastAsia="zh-CN"/>
              </w:rPr>
              <w:t>L＜</w:t>
            </w:r>
            <w:r>
              <w:rPr>
                <w:rFonts w:hint="eastAsia" w:ascii="宋体" w:hAnsi="宋体" w:eastAsia="宋体" w:cs="宋体"/>
                <w:color w:val="auto"/>
                <w:szCs w:val="21"/>
                <w:highlight w:val="none"/>
                <w:lang w:val="en-US" w:eastAsia="zh-CN"/>
              </w:rPr>
              <w:t>3公里，得6分；4公里≤</w:t>
            </w:r>
            <w:r>
              <w:rPr>
                <w:rFonts w:hint="eastAsia"/>
                <w:color w:val="auto"/>
                <w:highlight w:val="none"/>
                <w:lang w:val="en-US" w:eastAsia="zh-CN"/>
              </w:rPr>
              <w:t>L＜</w:t>
            </w:r>
            <w:r>
              <w:rPr>
                <w:rFonts w:hint="eastAsia" w:ascii="宋体" w:hAnsi="宋体" w:eastAsia="宋体" w:cs="宋体"/>
                <w:color w:val="auto"/>
                <w:szCs w:val="21"/>
                <w:highlight w:val="none"/>
                <w:lang w:val="en-US" w:eastAsia="zh-CN"/>
              </w:rPr>
              <w:t>3.5公里，得4分；</w:t>
            </w:r>
            <w:r>
              <w:rPr>
                <w:rFonts w:hint="eastAsia" w:ascii="宋体" w:hAnsi="宋体"/>
                <w:color w:val="auto"/>
                <w:szCs w:val="21"/>
                <w:highlight w:val="none"/>
                <w:lang w:val="en-US" w:eastAsia="zh-CN"/>
              </w:rPr>
              <w:t>其余情况不得分</w:t>
            </w:r>
            <w:r>
              <w:rPr>
                <w:rFonts w:hint="eastAsia"/>
                <w:color w:val="auto"/>
                <w:highlight w:val="none"/>
                <w:lang w:val="en-US" w:eastAsia="zh-CN"/>
              </w:rPr>
              <w:t>。</w:t>
            </w:r>
          </w:p>
          <w:p w14:paraId="0B23F4CD">
            <w:pPr>
              <w:spacing w:line="400" w:lineRule="exact"/>
              <w:ind w:firstLine="400" w:firstLineChars="200"/>
              <w:rPr>
                <w:rFonts w:hint="default"/>
                <w:color w:val="auto"/>
                <w:highlight w:val="none"/>
                <w:lang w:val="en-US" w:eastAsia="zh-CN"/>
              </w:rPr>
            </w:pPr>
            <w:r>
              <w:rPr>
                <w:rFonts w:hint="eastAsia"/>
                <w:color w:val="auto"/>
                <w:highlight w:val="none"/>
                <w:lang w:val="en-US" w:eastAsia="zh-CN"/>
              </w:rPr>
              <w:t>投标人需提供停车场所在位置到各片区位置基准点汽车导航路线图，目的地以各片区执法停车场位置基准点为准。未提供汽车导航路线图得不得分。</w:t>
            </w:r>
          </w:p>
        </w:tc>
      </w:tr>
      <w:tr w14:paraId="0358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5" w:hRule="atLeast"/>
          <w:jc w:val="center"/>
        </w:trPr>
        <w:tc>
          <w:tcPr>
            <w:tcW w:w="1781" w:type="dxa"/>
            <w:vMerge w:val="continue"/>
            <w:tcBorders>
              <w:left w:val="single" w:color="auto" w:sz="4" w:space="0"/>
              <w:right w:val="single" w:color="auto" w:sz="4" w:space="0"/>
            </w:tcBorders>
            <w:noWrap w:val="0"/>
            <w:vAlign w:val="center"/>
          </w:tcPr>
          <w:p w14:paraId="03C3C7B2">
            <w:pPr>
              <w:spacing w:line="400" w:lineRule="exact"/>
              <w:rPr>
                <w:rFonts w:ascii="宋体" w:hAnsi="宋体"/>
                <w:color w:val="auto"/>
                <w:szCs w:val="21"/>
                <w:highlight w:val="none"/>
              </w:rPr>
            </w:pPr>
          </w:p>
        </w:tc>
        <w:tc>
          <w:tcPr>
            <w:tcW w:w="1344" w:type="dxa"/>
            <w:tcBorders>
              <w:top w:val="single" w:color="auto" w:sz="4" w:space="0"/>
              <w:left w:val="single" w:color="auto" w:sz="4" w:space="0"/>
              <w:right w:val="single" w:color="auto" w:sz="4" w:space="0"/>
            </w:tcBorders>
            <w:noWrap w:val="0"/>
            <w:vAlign w:val="center"/>
          </w:tcPr>
          <w:p w14:paraId="256D7C06">
            <w:pPr>
              <w:spacing w:line="400" w:lineRule="exact"/>
              <w:jc w:val="center"/>
              <w:rPr>
                <w:rFonts w:ascii="宋体" w:hAnsi="宋体"/>
                <w:color w:val="auto"/>
                <w:szCs w:val="21"/>
                <w:highlight w:val="none"/>
              </w:rPr>
            </w:pPr>
            <w:r>
              <w:rPr>
                <w:rFonts w:hint="eastAsia"/>
                <w:color w:val="auto"/>
                <w:szCs w:val="21"/>
                <w:highlight w:val="none"/>
                <w:lang w:val="en-US" w:eastAsia="zh-CN"/>
              </w:rPr>
              <w:t>3</w:t>
            </w:r>
            <w:r>
              <w:rPr>
                <w:rFonts w:hint="eastAsia" w:ascii="宋体" w:hAnsi="宋体"/>
                <w:color w:val="auto"/>
                <w:szCs w:val="21"/>
                <w:highlight w:val="none"/>
              </w:rPr>
              <w:t>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4F86536D">
            <w:pPr>
              <w:spacing w:line="400" w:lineRule="exact"/>
              <w:ind w:firstLine="400" w:firstLineChars="200"/>
              <w:rPr>
                <w:rFonts w:hint="eastAsia"/>
                <w:color w:val="auto"/>
                <w:szCs w:val="21"/>
                <w:highlight w:val="none"/>
                <w:lang w:eastAsia="zh-CN"/>
              </w:rPr>
            </w:pPr>
            <w:r>
              <w:rPr>
                <w:rFonts w:hint="eastAsia" w:ascii="宋体" w:hAnsi="宋体"/>
                <w:color w:val="auto"/>
                <w:szCs w:val="21"/>
                <w:highlight w:val="none"/>
              </w:rPr>
              <w:t>停车场必须设立保卫室、办公室，地面整平并经硬化处理，得基本分</w:t>
            </w:r>
            <w:r>
              <w:rPr>
                <w:rFonts w:hint="eastAsia"/>
                <w:color w:val="auto"/>
                <w:szCs w:val="21"/>
                <w:highlight w:val="none"/>
                <w:lang w:val="en-US" w:eastAsia="zh-CN"/>
              </w:rPr>
              <w:t>3</w:t>
            </w:r>
            <w:r>
              <w:rPr>
                <w:rFonts w:hint="eastAsia" w:ascii="宋体" w:hAnsi="宋体"/>
                <w:color w:val="auto"/>
                <w:szCs w:val="21"/>
                <w:highlight w:val="none"/>
              </w:rPr>
              <w:t>分，地面不平整，有坑洼的扣</w:t>
            </w:r>
            <w:r>
              <w:rPr>
                <w:rFonts w:hint="eastAsia"/>
                <w:color w:val="auto"/>
                <w:szCs w:val="21"/>
                <w:highlight w:val="none"/>
                <w:lang w:val="en-US" w:eastAsia="zh-CN"/>
              </w:rPr>
              <w:t>1</w:t>
            </w:r>
            <w:r>
              <w:rPr>
                <w:rFonts w:hint="eastAsia" w:ascii="宋体" w:hAnsi="宋体"/>
                <w:color w:val="auto"/>
                <w:szCs w:val="21"/>
                <w:highlight w:val="none"/>
              </w:rPr>
              <w:t>分</w:t>
            </w:r>
            <w:r>
              <w:rPr>
                <w:rFonts w:hint="eastAsia"/>
                <w:color w:val="auto"/>
                <w:szCs w:val="21"/>
                <w:highlight w:val="none"/>
                <w:lang w:eastAsia="zh-CN"/>
              </w:rPr>
              <w:t>。</w:t>
            </w:r>
          </w:p>
          <w:p w14:paraId="302D2F82">
            <w:pPr>
              <w:spacing w:line="400" w:lineRule="exact"/>
              <w:ind w:firstLine="400" w:firstLineChars="200"/>
              <w:rPr>
                <w:rFonts w:ascii="宋体" w:hAnsi="宋体"/>
                <w:color w:val="auto"/>
                <w:szCs w:val="21"/>
                <w:highlight w:val="none"/>
              </w:rPr>
            </w:pPr>
            <w:r>
              <w:rPr>
                <w:rFonts w:hint="eastAsia" w:ascii="宋体" w:hAnsi="宋体"/>
                <w:color w:val="auto"/>
                <w:szCs w:val="21"/>
                <w:highlight w:val="none"/>
              </w:rPr>
              <w:t>投标人提供现场照片及文字说明制作在投标文件中，照片能反映保卫室、办公室</w:t>
            </w:r>
            <w:r>
              <w:rPr>
                <w:rFonts w:hint="eastAsia"/>
                <w:color w:val="auto"/>
                <w:szCs w:val="21"/>
                <w:highlight w:val="none"/>
                <w:lang w:val="en-US" w:eastAsia="zh-CN"/>
              </w:rPr>
              <w:t>及</w:t>
            </w:r>
            <w:r>
              <w:rPr>
                <w:rFonts w:hint="eastAsia" w:ascii="宋体" w:hAnsi="宋体"/>
                <w:color w:val="auto"/>
                <w:szCs w:val="21"/>
                <w:highlight w:val="none"/>
              </w:rPr>
              <w:t>地面具体</w:t>
            </w:r>
            <w:r>
              <w:rPr>
                <w:rFonts w:hint="eastAsia"/>
                <w:color w:val="auto"/>
                <w:szCs w:val="21"/>
                <w:highlight w:val="none"/>
                <w:lang w:val="en-US" w:eastAsia="zh-CN"/>
              </w:rPr>
              <w:t>情况</w:t>
            </w:r>
            <w:r>
              <w:rPr>
                <w:rFonts w:hint="eastAsia" w:ascii="宋体" w:hAnsi="宋体"/>
                <w:color w:val="auto"/>
                <w:szCs w:val="21"/>
                <w:highlight w:val="none"/>
              </w:rPr>
              <w:t>，无照片不得分。</w:t>
            </w:r>
          </w:p>
        </w:tc>
      </w:tr>
      <w:tr w14:paraId="2A79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5" w:hRule="atLeast"/>
          <w:jc w:val="center"/>
        </w:trPr>
        <w:tc>
          <w:tcPr>
            <w:tcW w:w="1781" w:type="dxa"/>
            <w:vMerge w:val="continue"/>
            <w:tcBorders>
              <w:left w:val="single" w:color="auto" w:sz="4" w:space="0"/>
              <w:right w:val="single" w:color="auto" w:sz="4" w:space="0"/>
            </w:tcBorders>
            <w:noWrap w:val="0"/>
            <w:vAlign w:val="center"/>
          </w:tcPr>
          <w:p w14:paraId="5CEB54F0">
            <w:pPr>
              <w:spacing w:line="400" w:lineRule="exact"/>
              <w:ind w:firstLine="400" w:firstLineChars="200"/>
              <w:rPr>
                <w:highlight w:val="none"/>
              </w:rPr>
            </w:pPr>
          </w:p>
        </w:tc>
        <w:tc>
          <w:tcPr>
            <w:tcW w:w="1344" w:type="dxa"/>
            <w:tcBorders>
              <w:left w:val="single" w:color="auto" w:sz="4" w:space="0"/>
              <w:bottom w:val="single" w:color="auto" w:sz="4" w:space="0"/>
              <w:right w:val="single" w:color="auto" w:sz="4" w:space="0"/>
            </w:tcBorders>
            <w:noWrap w:val="0"/>
            <w:vAlign w:val="center"/>
          </w:tcPr>
          <w:p w14:paraId="02860F10">
            <w:pPr>
              <w:spacing w:line="400" w:lineRule="exact"/>
              <w:ind w:firstLine="400" w:firstLineChars="200"/>
              <w:rPr>
                <w:highlight w:val="none"/>
              </w:rPr>
            </w:pPr>
            <w:r>
              <w:rPr>
                <w:rFonts w:hint="eastAsia"/>
                <w:highlight w:val="none"/>
                <w:lang w:val="en-US" w:eastAsia="zh-CN"/>
              </w:rPr>
              <w:t>3分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38AF33F9">
            <w:pPr>
              <w:spacing w:line="400" w:lineRule="exact"/>
              <w:ind w:firstLine="400" w:firstLineChars="200"/>
              <w:rPr>
                <w:rFonts w:hint="eastAsia" w:ascii="宋体" w:hAnsi="宋体"/>
                <w:color w:val="auto"/>
                <w:szCs w:val="21"/>
                <w:highlight w:val="none"/>
              </w:rPr>
            </w:pPr>
            <w:r>
              <w:rPr>
                <w:rFonts w:hint="eastAsia"/>
                <w:color w:val="auto"/>
                <w:szCs w:val="21"/>
                <w:highlight w:val="none"/>
                <w:lang w:val="en-US" w:eastAsia="zh-CN"/>
              </w:rPr>
              <w:t>如地面</w:t>
            </w:r>
            <w:r>
              <w:rPr>
                <w:rFonts w:hint="eastAsia" w:ascii="宋体" w:hAnsi="宋体"/>
                <w:color w:val="auto"/>
                <w:szCs w:val="21"/>
                <w:highlight w:val="none"/>
              </w:rPr>
              <w:t>全部为</w:t>
            </w:r>
            <w:r>
              <w:rPr>
                <w:rFonts w:hint="eastAsia" w:ascii="宋体" w:hAnsi="宋体"/>
                <w:color w:val="auto"/>
                <w:szCs w:val="21"/>
                <w:highlight w:val="none"/>
                <w:lang w:eastAsia="zh-CN"/>
              </w:rPr>
              <w:t>沙石地面</w:t>
            </w:r>
            <w:r>
              <w:rPr>
                <w:rFonts w:hint="eastAsia"/>
                <w:color w:val="auto"/>
                <w:szCs w:val="21"/>
                <w:highlight w:val="none"/>
                <w:lang w:val="en-US" w:eastAsia="zh-CN"/>
              </w:rPr>
              <w:t>得</w:t>
            </w:r>
            <w:r>
              <w:rPr>
                <w:rFonts w:hint="eastAsia" w:ascii="宋体" w:hAnsi="宋体"/>
                <w:color w:val="auto"/>
                <w:szCs w:val="21"/>
                <w:highlight w:val="none"/>
              </w:rPr>
              <w:t>1分，全部为水泥砼地面</w:t>
            </w:r>
            <w:r>
              <w:rPr>
                <w:rFonts w:hint="eastAsia"/>
                <w:color w:val="auto"/>
                <w:szCs w:val="21"/>
                <w:highlight w:val="none"/>
                <w:lang w:val="en-US" w:eastAsia="zh-CN"/>
              </w:rPr>
              <w:t>得2</w:t>
            </w:r>
            <w:r>
              <w:rPr>
                <w:rFonts w:hint="eastAsia" w:ascii="宋体" w:hAnsi="宋体"/>
                <w:color w:val="auto"/>
                <w:szCs w:val="21"/>
                <w:highlight w:val="none"/>
              </w:rPr>
              <w:t>分，全部为沥青砼地面</w:t>
            </w:r>
            <w:r>
              <w:rPr>
                <w:rFonts w:hint="eastAsia"/>
                <w:color w:val="auto"/>
                <w:szCs w:val="21"/>
                <w:highlight w:val="none"/>
                <w:lang w:val="en-US" w:eastAsia="zh-CN"/>
              </w:rPr>
              <w:t>得3</w:t>
            </w:r>
            <w:r>
              <w:rPr>
                <w:rFonts w:hint="eastAsia" w:ascii="宋体" w:hAnsi="宋体"/>
                <w:color w:val="auto"/>
                <w:szCs w:val="21"/>
                <w:highlight w:val="none"/>
              </w:rPr>
              <w:t>分。</w:t>
            </w:r>
          </w:p>
          <w:p w14:paraId="4AAAB35E">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如地面为混合材质的，水泥砼地面</w:t>
            </w:r>
            <w:r>
              <w:rPr>
                <w:rFonts w:hint="eastAsia"/>
                <w:color w:val="auto"/>
                <w:szCs w:val="21"/>
                <w:highlight w:val="none"/>
                <w:lang w:val="en-US" w:eastAsia="zh-CN"/>
              </w:rPr>
              <w:t>面积（水泥砼s）</w:t>
            </w:r>
            <w:r>
              <w:rPr>
                <w:rFonts w:hint="eastAsia" w:ascii="宋体" w:hAnsi="宋体"/>
                <w:color w:val="auto"/>
                <w:szCs w:val="21"/>
                <w:highlight w:val="none"/>
              </w:rPr>
              <w:t>每1000平方米</w:t>
            </w:r>
            <w:r>
              <w:rPr>
                <w:rFonts w:hint="eastAsia"/>
                <w:color w:val="auto"/>
                <w:szCs w:val="21"/>
                <w:highlight w:val="none"/>
                <w:lang w:val="en-US" w:eastAsia="zh-CN"/>
              </w:rPr>
              <w:t>区间</w:t>
            </w:r>
            <w:r>
              <w:rPr>
                <w:rFonts w:hint="eastAsia" w:ascii="宋体" w:hAnsi="宋体"/>
                <w:color w:val="auto"/>
                <w:szCs w:val="21"/>
                <w:highlight w:val="none"/>
              </w:rPr>
              <w:t>加0.5分</w:t>
            </w:r>
            <w:r>
              <w:rPr>
                <w:rFonts w:hint="eastAsia"/>
                <w:color w:val="auto"/>
                <w:szCs w:val="21"/>
                <w:highlight w:val="none"/>
                <w:lang w:eastAsia="zh-CN"/>
              </w:rPr>
              <w:t>（</w:t>
            </w:r>
            <w:r>
              <w:rPr>
                <w:rFonts w:hint="eastAsia"/>
                <w:color w:val="auto"/>
                <w:szCs w:val="21"/>
                <w:highlight w:val="none"/>
                <w:lang w:val="en-US" w:eastAsia="zh-CN"/>
              </w:rPr>
              <w:t>计分如下：0㎡＞水泥砼s≥1000㎡得0.5分；1000㎡＞水泥砼s≥2000㎡得1分，根据面积依次递增分值</w:t>
            </w:r>
            <w:r>
              <w:rPr>
                <w:rFonts w:hint="eastAsia"/>
                <w:color w:val="auto"/>
                <w:szCs w:val="21"/>
                <w:highlight w:val="none"/>
                <w:lang w:eastAsia="zh-CN"/>
              </w:rPr>
              <w:t>）</w:t>
            </w:r>
            <w:r>
              <w:rPr>
                <w:rFonts w:hint="eastAsia" w:ascii="宋体" w:hAnsi="宋体"/>
                <w:color w:val="auto"/>
                <w:szCs w:val="21"/>
                <w:highlight w:val="none"/>
              </w:rPr>
              <w:t>，沥青砼地面</w:t>
            </w:r>
            <w:r>
              <w:rPr>
                <w:rFonts w:hint="eastAsia"/>
                <w:color w:val="auto"/>
                <w:szCs w:val="21"/>
                <w:highlight w:val="none"/>
                <w:lang w:val="en-US" w:eastAsia="zh-CN"/>
              </w:rPr>
              <w:t>面积（沥青砼s）</w:t>
            </w:r>
            <w:r>
              <w:rPr>
                <w:rFonts w:hint="eastAsia" w:ascii="宋体" w:hAnsi="宋体"/>
                <w:color w:val="auto"/>
                <w:szCs w:val="21"/>
                <w:highlight w:val="none"/>
              </w:rPr>
              <w:t>每1000平方米</w:t>
            </w:r>
            <w:r>
              <w:rPr>
                <w:rFonts w:hint="eastAsia"/>
                <w:color w:val="auto"/>
                <w:szCs w:val="21"/>
                <w:highlight w:val="none"/>
                <w:lang w:val="en-US" w:eastAsia="zh-CN"/>
              </w:rPr>
              <w:t>区间</w:t>
            </w:r>
            <w:r>
              <w:rPr>
                <w:rFonts w:hint="eastAsia" w:ascii="宋体" w:hAnsi="宋体"/>
                <w:color w:val="auto"/>
                <w:szCs w:val="21"/>
                <w:highlight w:val="none"/>
              </w:rPr>
              <w:t>加1分</w:t>
            </w:r>
            <w:r>
              <w:rPr>
                <w:rFonts w:hint="eastAsia"/>
                <w:color w:val="auto"/>
                <w:szCs w:val="21"/>
                <w:highlight w:val="none"/>
                <w:lang w:eastAsia="zh-CN"/>
              </w:rPr>
              <w:t>（</w:t>
            </w:r>
            <w:r>
              <w:rPr>
                <w:rFonts w:hint="eastAsia"/>
                <w:color w:val="auto"/>
                <w:szCs w:val="21"/>
                <w:highlight w:val="none"/>
                <w:lang w:val="en-US" w:eastAsia="zh-CN"/>
              </w:rPr>
              <w:t>计分如下：0㎡＞沥青砼s≥1000㎡得1分；1000㎡＞沥青砼s≥2000㎡得2分，根据面积依次递增分值</w:t>
            </w:r>
            <w:r>
              <w:rPr>
                <w:rFonts w:hint="eastAsia"/>
                <w:color w:val="auto"/>
                <w:szCs w:val="21"/>
                <w:highlight w:val="none"/>
                <w:lang w:eastAsia="zh-CN"/>
              </w:rPr>
              <w:t>）</w:t>
            </w:r>
            <w:r>
              <w:rPr>
                <w:rFonts w:hint="eastAsia" w:ascii="宋体" w:hAnsi="宋体"/>
                <w:color w:val="auto"/>
                <w:szCs w:val="21"/>
                <w:highlight w:val="none"/>
              </w:rPr>
              <w:t>，本项</w:t>
            </w:r>
            <w:r>
              <w:rPr>
                <w:rFonts w:hint="eastAsia"/>
                <w:color w:val="auto"/>
                <w:szCs w:val="21"/>
                <w:highlight w:val="none"/>
                <w:lang w:val="en-US" w:eastAsia="zh-CN"/>
              </w:rPr>
              <w:t>合计</w:t>
            </w:r>
            <w:r>
              <w:rPr>
                <w:rFonts w:hint="eastAsia" w:ascii="宋体" w:hAnsi="宋体"/>
                <w:color w:val="auto"/>
                <w:szCs w:val="21"/>
                <w:highlight w:val="none"/>
              </w:rPr>
              <w:t>最高得</w:t>
            </w:r>
            <w:r>
              <w:rPr>
                <w:rFonts w:hint="eastAsia"/>
                <w:color w:val="auto"/>
                <w:szCs w:val="21"/>
                <w:highlight w:val="none"/>
                <w:lang w:val="en-US" w:eastAsia="zh-CN"/>
              </w:rPr>
              <w:t>3</w:t>
            </w:r>
            <w:r>
              <w:rPr>
                <w:rFonts w:hint="eastAsia" w:ascii="宋体" w:hAnsi="宋体"/>
                <w:color w:val="auto"/>
                <w:szCs w:val="21"/>
                <w:highlight w:val="none"/>
              </w:rPr>
              <w:t>分。</w:t>
            </w:r>
          </w:p>
          <w:p w14:paraId="45819758">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投标人提供现场照片及文字说明制作在投标文件中，照片能反映地面材质及具体面积，无照片不得分。</w:t>
            </w:r>
          </w:p>
        </w:tc>
      </w:tr>
      <w:tr w14:paraId="30091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781" w:type="dxa"/>
            <w:vMerge w:val="restart"/>
            <w:tcBorders>
              <w:left w:val="single" w:color="auto" w:sz="4" w:space="0"/>
              <w:right w:val="single" w:color="auto" w:sz="4" w:space="0"/>
            </w:tcBorders>
            <w:noWrap w:val="0"/>
            <w:vAlign w:val="center"/>
          </w:tcPr>
          <w:p w14:paraId="3F865F40">
            <w:pPr>
              <w:spacing w:line="400" w:lineRule="exact"/>
              <w:rPr>
                <w:rFonts w:ascii="宋体" w:hAnsi="宋体"/>
                <w:color w:val="auto"/>
                <w:szCs w:val="21"/>
                <w:highlight w:val="none"/>
              </w:rPr>
            </w:pPr>
            <w:r>
              <w:rPr>
                <w:rFonts w:hint="eastAsia" w:ascii="宋体" w:hAnsi="宋体"/>
                <w:color w:val="auto"/>
                <w:szCs w:val="21"/>
                <w:highlight w:val="none"/>
              </w:rPr>
              <w:t>设施要求（</w:t>
            </w:r>
            <w:r>
              <w:rPr>
                <w:rFonts w:hint="eastAsia"/>
                <w:color w:val="auto"/>
                <w:szCs w:val="21"/>
                <w:highlight w:val="none"/>
                <w:lang w:val="en-US" w:eastAsia="zh-CN"/>
              </w:rPr>
              <w:t>28</w:t>
            </w:r>
            <w:r>
              <w:rPr>
                <w:rFonts w:hint="eastAsia" w:ascii="宋体" w:hAnsi="宋体"/>
                <w:color w:val="auto"/>
                <w:szCs w:val="21"/>
                <w:highlight w:val="none"/>
              </w:rPr>
              <w:t>分）</w:t>
            </w:r>
          </w:p>
        </w:tc>
        <w:tc>
          <w:tcPr>
            <w:tcW w:w="1344" w:type="dxa"/>
            <w:tcBorders>
              <w:top w:val="single" w:color="auto" w:sz="4" w:space="0"/>
              <w:left w:val="single" w:color="auto" w:sz="4" w:space="0"/>
              <w:bottom w:val="single" w:color="auto" w:sz="4" w:space="0"/>
              <w:right w:val="single" w:color="auto" w:sz="4" w:space="0"/>
            </w:tcBorders>
            <w:noWrap w:val="0"/>
            <w:vAlign w:val="center"/>
          </w:tcPr>
          <w:p w14:paraId="6BEF5DBC">
            <w:pPr>
              <w:spacing w:line="400" w:lineRule="exact"/>
              <w:jc w:val="center"/>
              <w:rPr>
                <w:rFonts w:ascii="宋体" w:hAnsi="宋体"/>
                <w:color w:val="auto"/>
                <w:szCs w:val="21"/>
                <w:highlight w:val="none"/>
              </w:rPr>
            </w:pPr>
            <w:r>
              <w:rPr>
                <w:rFonts w:hint="eastAsia" w:ascii="宋体" w:hAnsi="宋体"/>
                <w:color w:val="auto"/>
                <w:szCs w:val="21"/>
                <w:highlight w:val="none"/>
              </w:rPr>
              <w:t>10分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1EDE0F59">
            <w:pPr>
              <w:spacing w:line="5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配备照明、消防、排水、物理隔离（如实体围墙、透视围墙等）等必要的安全运营设施，设施齐全且能完全满足安全运营的得10分。设施完备情况能满足安全运营的得8分；设施完备情况能基本满足安全运营的得6分；有明显缺陷但能承诺整改到位的得4分；不能满足安全运营要求的不得分。</w:t>
            </w:r>
          </w:p>
          <w:p w14:paraId="49BE2986">
            <w:pPr>
              <w:spacing w:line="500" w:lineRule="exact"/>
              <w:ind w:firstLine="400" w:firstLineChars="200"/>
              <w:rPr>
                <w:rFonts w:ascii="宋体" w:hAnsi="宋体"/>
                <w:color w:val="auto"/>
                <w:szCs w:val="21"/>
                <w:highlight w:val="none"/>
              </w:rPr>
            </w:pPr>
            <w:r>
              <w:rPr>
                <w:rFonts w:hint="eastAsia" w:ascii="宋体" w:hAnsi="宋体"/>
                <w:color w:val="auto"/>
                <w:szCs w:val="21"/>
                <w:highlight w:val="none"/>
              </w:rPr>
              <w:t xml:space="preserve"> 以上内容投标单位应以文字说明并配有现场照片制作在投标文件中，无照片不得分。</w:t>
            </w:r>
          </w:p>
        </w:tc>
      </w:tr>
      <w:tr w14:paraId="7B079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3" w:hRule="atLeast"/>
          <w:jc w:val="center"/>
        </w:trPr>
        <w:tc>
          <w:tcPr>
            <w:tcW w:w="1781" w:type="dxa"/>
            <w:vMerge w:val="continue"/>
            <w:tcBorders>
              <w:left w:val="single" w:color="auto" w:sz="4" w:space="0"/>
              <w:right w:val="single" w:color="auto" w:sz="4" w:space="0"/>
            </w:tcBorders>
            <w:noWrap w:val="0"/>
            <w:vAlign w:val="center"/>
          </w:tcPr>
          <w:p w14:paraId="29FC807E">
            <w:pPr>
              <w:spacing w:line="400" w:lineRule="exact"/>
              <w:rPr>
                <w:rFonts w:ascii="宋体" w:hAnsi="宋体"/>
                <w:color w:val="auto"/>
                <w:szCs w:val="21"/>
                <w:highlight w:val="none"/>
              </w:rPr>
            </w:pPr>
          </w:p>
        </w:tc>
        <w:tc>
          <w:tcPr>
            <w:tcW w:w="1344" w:type="dxa"/>
            <w:vMerge w:val="restart"/>
            <w:tcBorders>
              <w:top w:val="single" w:color="auto" w:sz="4" w:space="0"/>
              <w:left w:val="single" w:color="auto" w:sz="4" w:space="0"/>
              <w:right w:val="single" w:color="auto" w:sz="4" w:space="0"/>
            </w:tcBorders>
            <w:noWrap w:val="0"/>
            <w:vAlign w:val="center"/>
          </w:tcPr>
          <w:p w14:paraId="154D70BB">
            <w:pPr>
              <w:spacing w:line="400" w:lineRule="exact"/>
              <w:jc w:val="center"/>
              <w:rPr>
                <w:rFonts w:ascii="宋体" w:hAnsi="宋体"/>
                <w:color w:val="auto"/>
                <w:szCs w:val="21"/>
                <w:highlight w:val="none"/>
              </w:rPr>
            </w:pPr>
            <w:r>
              <w:rPr>
                <w:rFonts w:hint="eastAsia"/>
                <w:color w:val="auto"/>
                <w:szCs w:val="21"/>
                <w:highlight w:val="none"/>
                <w:lang w:val="en-US" w:eastAsia="zh-CN"/>
              </w:rPr>
              <w:t>13</w:t>
            </w:r>
            <w:r>
              <w:rPr>
                <w:rFonts w:hint="eastAsia" w:ascii="宋体" w:hAnsi="宋体"/>
                <w:color w:val="auto"/>
                <w:szCs w:val="21"/>
                <w:highlight w:val="none"/>
              </w:rPr>
              <w:t>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620214AC">
            <w:pPr>
              <w:spacing w:line="400" w:lineRule="exact"/>
              <w:ind w:firstLine="400" w:firstLineChars="200"/>
              <w:rPr>
                <w:rFonts w:ascii="宋体" w:hAnsi="宋体"/>
                <w:color w:val="auto"/>
                <w:szCs w:val="21"/>
                <w:highlight w:val="none"/>
              </w:rPr>
            </w:pPr>
            <w:r>
              <w:rPr>
                <w:rFonts w:hint="eastAsia" w:ascii="宋体" w:hAnsi="宋体"/>
                <w:color w:val="auto"/>
                <w:szCs w:val="21"/>
                <w:highlight w:val="none"/>
              </w:rPr>
              <w:t>场内标志、标线、指示牌、停车场管理制度齐全规范，运行有序，人员分工明确，得3分；标志、标牌设置不全或不清的得2分；无标志标牌的不得分。</w:t>
            </w:r>
          </w:p>
          <w:p w14:paraId="1A05F3DC">
            <w:pPr>
              <w:spacing w:line="400" w:lineRule="exact"/>
              <w:ind w:firstLine="400" w:firstLineChars="200"/>
              <w:rPr>
                <w:rFonts w:ascii="宋体" w:hAnsi="宋体"/>
                <w:color w:val="auto"/>
                <w:szCs w:val="21"/>
                <w:highlight w:val="none"/>
              </w:rPr>
            </w:pPr>
            <w:r>
              <w:rPr>
                <w:rFonts w:hint="eastAsia" w:ascii="宋体" w:hAnsi="宋体"/>
                <w:color w:val="auto"/>
                <w:szCs w:val="21"/>
                <w:highlight w:val="none"/>
              </w:rPr>
              <w:t>以上内容投标人提供现场照片及文字说明制作在投标文件中，无照片不得分。</w:t>
            </w:r>
          </w:p>
        </w:tc>
      </w:tr>
      <w:tr w14:paraId="6493F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3" w:hRule="atLeast"/>
          <w:jc w:val="center"/>
        </w:trPr>
        <w:tc>
          <w:tcPr>
            <w:tcW w:w="1781" w:type="dxa"/>
            <w:vMerge w:val="continue"/>
            <w:tcBorders>
              <w:left w:val="single" w:color="auto" w:sz="4" w:space="0"/>
              <w:right w:val="single" w:color="auto" w:sz="4" w:space="0"/>
            </w:tcBorders>
            <w:noWrap w:val="0"/>
            <w:vAlign w:val="center"/>
          </w:tcPr>
          <w:p w14:paraId="2AD1F713">
            <w:pPr>
              <w:spacing w:line="400" w:lineRule="exact"/>
              <w:rPr>
                <w:color w:val="auto"/>
                <w:highlight w:val="none"/>
              </w:rPr>
            </w:pPr>
          </w:p>
        </w:tc>
        <w:tc>
          <w:tcPr>
            <w:tcW w:w="1344" w:type="dxa"/>
            <w:vMerge w:val="continue"/>
            <w:tcBorders>
              <w:left w:val="single" w:color="auto" w:sz="4" w:space="0"/>
              <w:right w:val="single" w:color="auto" w:sz="4" w:space="0"/>
            </w:tcBorders>
            <w:noWrap w:val="0"/>
            <w:vAlign w:val="center"/>
          </w:tcPr>
          <w:p w14:paraId="2E26D00F">
            <w:pPr>
              <w:spacing w:line="400" w:lineRule="exact"/>
              <w:rPr>
                <w:color w:val="auto"/>
                <w:highlight w:val="none"/>
              </w:rPr>
            </w:pPr>
          </w:p>
        </w:tc>
        <w:tc>
          <w:tcPr>
            <w:tcW w:w="6056" w:type="dxa"/>
            <w:tcBorders>
              <w:top w:val="single" w:color="auto" w:sz="4" w:space="0"/>
              <w:left w:val="single" w:color="auto" w:sz="4" w:space="0"/>
              <w:bottom w:val="single" w:color="auto" w:sz="4" w:space="0"/>
              <w:right w:val="single" w:color="auto" w:sz="4" w:space="0"/>
            </w:tcBorders>
            <w:noWrap w:val="0"/>
            <w:vAlign w:val="center"/>
          </w:tcPr>
          <w:p w14:paraId="40FCF706">
            <w:pPr>
              <w:spacing w:line="400" w:lineRule="exact"/>
              <w:ind w:firstLine="40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rPr>
              <w:t>功能区划分明确（大小车型、事故、违章、特种车型），且带有遮篷的停车区域</w:t>
            </w:r>
            <w:r>
              <w:rPr>
                <w:rFonts w:hint="eastAsia"/>
                <w:color w:val="auto"/>
                <w:szCs w:val="21"/>
                <w:highlight w:val="none"/>
                <w:lang w:eastAsia="zh-CN"/>
              </w:rPr>
              <w:t>（</w:t>
            </w:r>
            <w:r>
              <w:rPr>
                <w:rFonts w:hint="eastAsia"/>
                <w:color w:val="auto"/>
                <w:szCs w:val="21"/>
                <w:highlight w:val="none"/>
                <w:lang w:val="en-US" w:eastAsia="zh-CN"/>
              </w:rPr>
              <w:t>s</w:t>
            </w:r>
            <w:r>
              <w:rPr>
                <w:rFonts w:hint="eastAsia"/>
                <w:color w:val="auto"/>
                <w:szCs w:val="21"/>
                <w:highlight w:val="none"/>
                <w:lang w:eastAsia="zh-CN"/>
              </w:rPr>
              <w:t>）</w:t>
            </w:r>
            <w:r>
              <w:rPr>
                <w:rFonts w:hint="eastAsia"/>
                <w:color w:val="auto"/>
                <w:szCs w:val="21"/>
                <w:highlight w:val="none"/>
                <w:lang w:val="en-US" w:eastAsia="zh-CN"/>
              </w:rPr>
              <w:t>：s≥400平方米，得8分</w:t>
            </w:r>
            <w:r>
              <w:rPr>
                <w:rFonts w:hint="eastAsia" w:ascii="宋体" w:hAnsi="宋体"/>
                <w:color w:val="auto"/>
                <w:szCs w:val="21"/>
                <w:highlight w:val="none"/>
              </w:rPr>
              <w:t>；</w:t>
            </w:r>
            <w:r>
              <w:rPr>
                <w:rFonts w:hint="eastAsia"/>
                <w:color w:val="auto"/>
                <w:szCs w:val="21"/>
                <w:highlight w:val="none"/>
                <w:lang w:val="en-US" w:eastAsia="zh-CN"/>
              </w:rPr>
              <w:t>400平方米＜s≤300平方米，得6分；300平方米＜s≤200平方米，得4分；</w:t>
            </w:r>
            <w:r>
              <w:rPr>
                <w:rFonts w:hint="eastAsia" w:ascii="宋体" w:hAnsi="宋体"/>
                <w:color w:val="auto"/>
                <w:szCs w:val="21"/>
                <w:highlight w:val="none"/>
              </w:rPr>
              <w:t xml:space="preserve"> </w:t>
            </w:r>
            <w:r>
              <w:rPr>
                <w:rFonts w:hint="eastAsia"/>
                <w:color w:val="auto"/>
                <w:szCs w:val="21"/>
                <w:highlight w:val="none"/>
                <w:lang w:val="en-US" w:eastAsia="zh-CN"/>
              </w:rPr>
              <w:t>s＜</w:t>
            </w:r>
            <w:r>
              <w:rPr>
                <w:rFonts w:hint="eastAsia" w:ascii="宋体" w:hAnsi="宋体"/>
                <w:color w:val="auto"/>
                <w:szCs w:val="21"/>
                <w:highlight w:val="none"/>
                <w:lang w:val="en-US" w:eastAsia="zh-CN"/>
              </w:rPr>
              <w:t>200平方米或</w:t>
            </w:r>
            <w:r>
              <w:rPr>
                <w:rFonts w:hint="eastAsia" w:ascii="宋体" w:hAnsi="宋体"/>
                <w:color w:val="auto"/>
                <w:szCs w:val="21"/>
                <w:highlight w:val="none"/>
              </w:rPr>
              <w:t>未划分功能区的不得分。</w:t>
            </w:r>
          </w:p>
          <w:p w14:paraId="65A9186B">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有200平方米</w:t>
            </w:r>
            <w:r>
              <w:rPr>
                <w:rFonts w:hint="eastAsia"/>
                <w:color w:val="auto"/>
                <w:szCs w:val="21"/>
                <w:highlight w:val="none"/>
                <w:lang w:val="en-US" w:eastAsia="zh-CN"/>
              </w:rPr>
              <w:t>及</w:t>
            </w:r>
            <w:r>
              <w:rPr>
                <w:rFonts w:hint="eastAsia" w:ascii="宋体" w:hAnsi="宋体"/>
                <w:color w:val="auto"/>
                <w:szCs w:val="21"/>
                <w:highlight w:val="none"/>
              </w:rPr>
              <w:t>以上的带有遮篷的停车区域</w:t>
            </w:r>
            <w:r>
              <w:rPr>
                <w:rFonts w:hint="eastAsia" w:ascii="宋体" w:hAnsi="宋体"/>
                <w:color w:val="auto"/>
                <w:szCs w:val="21"/>
                <w:highlight w:val="none"/>
                <w:lang w:val="en-US" w:eastAsia="zh-CN"/>
              </w:rPr>
              <w:t>但</w:t>
            </w:r>
            <w:r>
              <w:rPr>
                <w:rFonts w:hint="eastAsia" w:ascii="宋体" w:hAnsi="宋体"/>
                <w:color w:val="auto"/>
                <w:szCs w:val="21"/>
                <w:highlight w:val="none"/>
              </w:rPr>
              <w:t>功能区划分不明确或划分混乱的得2分；</w:t>
            </w:r>
          </w:p>
          <w:p w14:paraId="7713E73B">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以上内容投标人提供现场照片及文字说明制作在投标文件中，无照片不得分。</w:t>
            </w:r>
          </w:p>
        </w:tc>
      </w:tr>
      <w:tr w14:paraId="58352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3" w:hRule="atLeast"/>
          <w:jc w:val="center"/>
        </w:trPr>
        <w:tc>
          <w:tcPr>
            <w:tcW w:w="1781" w:type="dxa"/>
            <w:vMerge w:val="continue"/>
            <w:tcBorders>
              <w:left w:val="single" w:color="auto" w:sz="4" w:space="0"/>
              <w:right w:val="single" w:color="auto" w:sz="4" w:space="0"/>
            </w:tcBorders>
            <w:noWrap w:val="0"/>
            <w:vAlign w:val="center"/>
          </w:tcPr>
          <w:p w14:paraId="1D7151C1">
            <w:pPr>
              <w:spacing w:line="400" w:lineRule="exact"/>
              <w:rPr>
                <w:rFonts w:hint="eastAsia" w:ascii="宋体" w:hAnsi="宋体"/>
                <w:color w:val="auto"/>
                <w:szCs w:val="21"/>
                <w:highlight w:val="none"/>
              </w:rPr>
            </w:pPr>
          </w:p>
        </w:tc>
        <w:tc>
          <w:tcPr>
            <w:tcW w:w="1344" w:type="dxa"/>
            <w:vMerge w:val="continue"/>
            <w:tcBorders>
              <w:left w:val="single" w:color="auto" w:sz="4" w:space="0"/>
              <w:bottom w:val="single" w:color="auto" w:sz="4" w:space="0"/>
              <w:right w:val="single" w:color="auto" w:sz="4" w:space="0"/>
            </w:tcBorders>
            <w:noWrap w:val="0"/>
            <w:vAlign w:val="center"/>
          </w:tcPr>
          <w:p w14:paraId="66F5ADDC">
            <w:pPr>
              <w:spacing w:line="400" w:lineRule="exact"/>
              <w:rPr>
                <w:rFonts w:hint="eastAsia" w:ascii="宋体" w:hAnsi="宋体"/>
                <w:color w:val="auto"/>
                <w:szCs w:val="21"/>
                <w:highlight w:val="none"/>
              </w:rPr>
            </w:pPr>
          </w:p>
        </w:tc>
        <w:tc>
          <w:tcPr>
            <w:tcW w:w="6056" w:type="dxa"/>
            <w:tcBorders>
              <w:top w:val="single" w:color="auto" w:sz="4" w:space="0"/>
              <w:left w:val="single" w:color="auto" w:sz="4" w:space="0"/>
              <w:bottom w:val="single" w:color="auto" w:sz="4" w:space="0"/>
              <w:right w:val="single" w:color="auto" w:sz="4" w:space="0"/>
            </w:tcBorders>
            <w:noWrap w:val="0"/>
            <w:vAlign w:val="center"/>
          </w:tcPr>
          <w:p w14:paraId="02C9E621">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在醒目位置设置无乱收费及偷盗车辆设施设备车载物品的承诺、公示服务项目、收费标准、监督电话，服务项目范围明确、详细，收费标准合理规范且各项设置醒目的，得</w:t>
            </w:r>
            <w:r>
              <w:rPr>
                <w:rFonts w:hint="eastAsia"/>
                <w:color w:val="auto"/>
                <w:szCs w:val="21"/>
                <w:highlight w:val="none"/>
                <w:lang w:val="en-US" w:eastAsia="zh-CN"/>
              </w:rPr>
              <w:t>2</w:t>
            </w:r>
            <w:r>
              <w:rPr>
                <w:rFonts w:hint="eastAsia" w:ascii="宋体" w:hAnsi="宋体"/>
                <w:color w:val="auto"/>
                <w:szCs w:val="21"/>
                <w:highlight w:val="none"/>
              </w:rPr>
              <w:t>分；服务项目简单、粗略，收费标准模糊、界限不清，监督电话隐蔽不清的得</w:t>
            </w:r>
            <w:r>
              <w:rPr>
                <w:rFonts w:hint="eastAsia"/>
                <w:color w:val="auto"/>
                <w:szCs w:val="21"/>
                <w:highlight w:val="none"/>
                <w:lang w:val="en-US" w:eastAsia="zh-CN"/>
              </w:rPr>
              <w:t>1</w:t>
            </w:r>
            <w:r>
              <w:rPr>
                <w:rFonts w:hint="eastAsia" w:ascii="宋体" w:hAnsi="宋体"/>
                <w:color w:val="auto"/>
                <w:szCs w:val="21"/>
                <w:highlight w:val="none"/>
              </w:rPr>
              <w:t>分。未设置以上内容的不得分。</w:t>
            </w:r>
          </w:p>
          <w:p w14:paraId="5486ABE3">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以上内容投标人提供现场照片及文字说明制作在投标文件中，无照片不得分。</w:t>
            </w:r>
          </w:p>
        </w:tc>
      </w:tr>
      <w:tr w14:paraId="194AF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03" w:hRule="atLeast"/>
          <w:jc w:val="center"/>
        </w:trPr>
        <w:tc>
          <w:tcPr>
            <w:tcW w:w="1781" w:type="dxa"/>
            <w:vMerge w:val="continue"/>
            <w:tcBorders>
              <w:left w:val="single" w:color="auto" w:sz="4" w:space="0"/>
              <w:right w:val="single" w:color="auto" w:sz="4" w:space="0"/>
            </w:tcBorders>
            <w:noWrap w:val="0"/>
            <w:vAlign w:val="center"/>
          </w:tcPr>
          <w:p w14:paraId="00455F7F">
            <w:pPr>
              <w:spacing w:line="400" w:lineRule="exact"/>
              <w:rPr>
                <w:rFonts w:ascii="宋体" w:hAnsi="宋体"/>
                <w:color w:val="auto"/>
                <w:szCs w:val="21"/>
                <w:highlight w:val="none"/>
              </w:rPr>
            </w:pPr>
            <w:r>
              <w:rPr>
                <w:rFonts w:hint="eastAsia" w:ascii="宋体" w:hAnsi="宋体"/>
                <w:color w:val="auto"/>
                <w:szCs w:val="21"/>
                <w:highlight w:val="none"/>
              </w:rPr>
              <w:t>㪰</w:t>
            </w:r>
          </w:p>
        </w:tc>
        <w:tc>
          <w:tcPr>
            <w:tcW w:w="1344" w:type="dxa"/>
            <w:tcBorders>
              <w:top w:val="single" w:color="auto" w:sz="4" w:space="0"/>
              <w:left w:val="single" w:color="auto" w:sz="4" w:space="0"/>
              <w:bottom w:val="single" w:color="auto" w:sz="4" w:space="0"/>
              <w:right w:val="single" w:color="auto" w:sz="4" w:space="0"/>
            </w:tcBorders>
            <w:noWrap w:val="0"/>
            <w:vAlign w:val="center"/>
          </w:tcPr>
          <w:p w14:paraId="5334AA94">
            <w:pPr>
              <w:spacing w:line="400" w:lineRule="exact"/>
              <w:jc w:val="center"/>
              <w:rPr>
                <w:rFonts w:ascii="宋体" w:hAnsi="宋体"/>
                <w:color w:val="auto"/>
                <w:szCs w:val="21"/>
                <w:highlight w:val="none"/>
              </w:rPr>
            </w:pPr>
            <w:r>
              <w:rPr>
                <w:rFonts w:hint="eastAsia" w:ascii="宋体" w:hAnsi="宋体"/>
                <w:color w:val="auto"/>
                <w:szCs w:val="21"/>
                <w:highlight w:val="none"/>
              </w:rPr>
              <w:t>5分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1232ED4F">
            <w:pPr>
              <w:spacing w:line="400" w:lineRule="exact"/>
              <w:rPr>
                <w:color w:val="auto"/>
                <w:highlight w:val="none"/>
              </w:rPr>
            </w:pPr>
            <w:r>
              <w:rPr>
                <w:rFonts w:hint="eastAsia"/>
                <w:color w:val="auto"/>
                <w:highlight w:val="none"/>
              </w:rPr>
              <w:t>配备电子监控设施，监控要覆盖整个停车区域和出入口，拍摄图像能清晰反映车号、车辆类型、进出停车场时间，得5分。</w:t>
            </w:r>
          </w:p>
          <w:p w14:paraId="1762671D">
            <w:pPr>
              <w:spacing w:line="400" w:lineRule="exact"/>
              <w:rPr>
                <w:color w:val="auto"/>
                <w:highlight w:val="none"/>
              </w:rPr>
            </w:pPr>
            <w:r>
              <w:rPr>
                <w:rFonts w:hint="eastAsia"/>
                <w:color w:val="auto"/>
                <w:highlight w:val="none"/>
              </w:rPr>
              <w:t>电子监控设施能覆盖出入口和大部分停车区，拍摄图像能清晰反映车号、车辆类型、进出停车场时间，得4分。</w:t>
            </w:r>
          </w:p>
          <w:p w14:paraId="1F99B5EF">
            <w:pPr>
              <w:spacing w:line="400" w:lineRule="exact"/>
              <w:rPr>
                <w:color w:val="auto"/>
                <w:highlight w:val="none"/>
              </w:rPr>
            </w:pPr>
            <w:r>
              <w:rPr>
                <w:rFonts w:hint="eastAsia"/>
                <w:color w:val="auto"/>
                <w:highlight w:val="none"/>
              </w:rPr>
              <w:t>配备电子监控设施不全，监控只能覆盖部分停车区和出入口，拍摄图像勉强反映车号、车辆类型、进出停车场时间的，得3分。</w:t>
            </w:r>
          </w:p>
          <w:p w14:paraId="6644DFEC">
            <w:pPr>
              <w:spacing w:line="400" w:lineRule="exact"/>
              <w:rPr>
                <w:rFonts w:hint="default" w:eastAsiaTheme="minorEastAsia"/>
                <w:color w:val="auto"/>
                <w:highlight w:val="none"/>
                <w:lang w:val="en-US" w:eastAsia="zh-CN"/>
              </w:rPr>
            </w:pPr>
            <w:r>
              <w:rPr>
                <w:rFonts w:hint="eastAsia"/>
                <w:color w:val="auto"/>
                <w:highlight w:val="none"/>
              </w:rPr>
              <w:t>配备电子监控设施不全，监控只能覆盖部分停车区和出入口，拍摄图像不能清晰反映车号、车辆类型、进出停车场时间的，得2分。</w:t>
            </w:r>
            <w:r>
              <w:rPr>
                <w:rFonts w:hint="eastAsia"/>
                <w:color w:val="auto"/>
                <w:highlight w:val="none"/>
                <w:lang w:val="en-US" w:eastAsia="zh-CN"/>
              </w:rPr>
              <w:t>未配备的不得分。</w:t>
            </w:r>
          </w:p>
          <w:p w14:paraId="11FEBEAE">
            <w:pPr>
              <w:spacing w:line="400" w:lineRule="exact"/>
              <w:rPr>
                <w:color w:val="auto"/>
                <w:highlight w:val="none"/>
              </w:rPr>
            </w:pPr>
            <w:r>
              <w:rPr>
                <w:rFonts w:hint="eastAsia" w:ascii="宋体" w:hAnsi="宋体"/>
                <w:color w:val="auto"/>
                <w:szCs w:val="21"/>
                <w:highlight w:val="none"/>
              </w:rPr>
              <w:t>以上内容投标人提供现场照片及文字说明制作在投标文件中，无照片不得分。</w:t>
            </w:r>
          </w:p>
        </w:tc>
      </w:tr>
      <w:tr w14:paraId="308DB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4" w:hRule="atLeast"/>
          <w:jc w:val="center"/>
        </w:trPr>
        <w:tc>
          <w:tcPr>
            <w:tcW w:w="1781" w:type="dxa"/>
            <w:vMerge w:val="restart"/>
            <w:tcBorders>
              <w:top w:val="single" w:color="auto" w:sz="4" w:space="0"/>
              <w:left w:val="single" w:color="auto" w:sz="4" w:space="0"/>
              <w:right w:val="single" w:color="auto" w:sz="4" w:space="0"/>
            </w:tcBorders>
            <w:noWrap w:val="0"/>
            <w:vAlign w:val="center"/>
          </w:tcPr>
          <w:p w14:paraId="0A0E8D3D">
            <w:pPr>
              <w:spacing w:line="400" w:lineRule="exact"/>
              <w:rPr>
                <w:rFonts w:ascii="宋体" w:hAnsi="宋体"/>
                <w:color w:val="auto"/>
                <w:szCs w:val="21"/>
                <w:highlight w:val="none"/>
              </w:rPr>
            </w:pPr>
            <w:r>
              <w:rPr>
                <w:rFonts w:hint="eastAsia" w:ascii="宋体" w:hAnsi="宋体"/>
                <w:color w:val="auto"/>
                <w:szCs w:val="21"/>
                <w:highlight w:val="none"/>
              </w:rPr>
              <w:t>设备要求（1</w:t>
            </w:r>
            <w:r>
              <w:rPr>
                <w:rFonts w:hint="eastAsia"/>
                <w:color w:val="auto"/>
                <w:szCs w:val="21"/>
                <w:highlight w:val="none"/>
                <w:lang w:val="en-US" w:eastAsia="zh-CN"/>
              </w:rPr>
              <w:t>3</w:t>
            </w:r>
            <w:r>
              <w:rPr>
                <w:rFonts w:hint="eastAsia" w:ascii="宋体" w:hAnsi="宋体"/>
                <w:color w:val="auto"/>
                <w:szCs w:val="21"/>
                <w:highlight w:val="none"/>
              </w:rPr>
              <w:t>分）</w:t>
            </w:r>
          </w:p>
        </w:tc>
        <w:tc>
          <w:tcPr>
            <w:tcW w:w="1344" w:type="dxa"/>
            <w:vMerge w:val="restart"/>
            <w:tcBorders>
              <w:top w:val="single" w:color="auto" w:sz="4" w:space="0"/>
              <w:left w:val="single" w:color="auto" w:sz="4" w:space="0"/>
              <w:right w:val="single" w:color="auto" w:sz="4" w:space="0"/>
            </w:tcBorders>
            <w:noWrap w:val="0"/>
            <w:vAlign w:val="center"/>
          </w:tcPr>
          <w:p w14:paraId="141FD2BE">
            <w:pPr>
              <w:spacing w:line="400" w:lineRule="exact"/>
              <w:jc w:val="center"/>
              <w:rPr>
                <w:rFonts w:ascii="宋体" w:hAnsi="宋体"/>
                <w:color w:val="auto"/>
                <w:szCs w:val="21"/>
                <w:highlight w:val="none"/>
              </w:rPr>
            </w:pPr>
            <w:r>
              <w:rPr>
                <w:rFonts w:hint="eastAsia" w:ascii="宋体" w:hAnsi="宋体"/>
                <w:color w:val="auto"/>
                <w:szCs w:val="21"/>
                <w:highlight w:val="none"/>
              </w:rPr>
              <w:t>1</w:t>
            </w:r>
            <w:r>
              <w:rPr>
                <w:rFonts w:hint="eastAsia"/>
                <w:color w:val="auto"/>
                <w:szCs w:val="21"/>
                <w:highlight w:val="none"/>
                <w:lang w:val="en-US" w:eastAsia="zh-CN"/>
              </w:rPr>
              <w:t>3</w:t>
            </w:r>
            <w:r>
              <w:rPr>
                <w:rFonts w:hint="eastAsia" w:ascii="宋体" w:hAnsi="宋体"/>
                <w:color w:val="auto"/>
                <w:szCs w:val="21"/>
                <w:highlight w:val="none"/>
              </w:rPr>
              <w:t>分</w:t>
            </w:r>
          </w:p>
        </w:tc>
        <w:tc>
          <w:tcPr>
            <w:tcW w:w="6056" w:type="dxa"/>
            <w:tcBorders>
              <w:top w:val="single" w:color="auto" w:sz="4" w:space="0"/>
              <w:left w:val="single" w:color="auto" w:sz="4" w:space="0"/>
              <w:right w:val="single" w:color="auto" w:sz="4" w:space="0"/>
            </w:tcBorders>
            <w:noWrap w:val="0"/>
            <w:vAlign w:val="center"/>
          </w:tcPr>
          <w:p w14:paraId="433FE82D">
            <w:pPr>
              <w:tabs>
                <w:tab w:val="left" w:pos="312"/>
              </w:tabs>
              <w:spacing w:line="400" w:lineRule="exact"/>
              <w:rPr>
                <w:color w:val="auto"/>
                <w:highlight w:val="none"/>
              </w:rPr>
            </w:pPr>
            <w:r>
              <w:rPr>
                <w:rFonts w:hint="eastAsia"/>
                <w:color w:val="auto"/>
                <w:highlight w:val="none"/>
              </w:rPr>
              <w:t>施救拖移车辆要求</w:t>
            </w:r>
            <w:r>
              <w:rPr>
                <w:rFonts w:hint="eastAsia"/>
                <w:color w:val="auto"/>
                <w:highlight w:val="none"/>
                <w:lang w:val="en-US" w:eastAsia="zh-CN"/>
              </w:rPr>
              <w:t>-1</w:t>
            </w:r>
            <w:r>
              <w:rPr>
                <w:rFonts w:hint="eastAsia"/>
                <w:color w:val="auto"/>
                <w:highlight w:val="none"/>
              </w:rPr>
              <w:t>（本</w:t>
            </w:r>
            <w:r>
              <w:rPr>
                <w:rFonts w:hint="eastAsia"/>
                <w:color w:val="auto"/>
                <w:highlight w:val="none"/>
                <w:lang w:val="en-US" w:eastAsia="zh-CN"/>
              </w:rPr>
              <w:t>小</w:t>
            </w:r>
            <w:r>
              <w:rPr>
                <w:rFonts w:hint="eastAsia"/>
                <w:color w:val="auto"/>
                <w:highlight w:val="none"/>
              </w:rPr>
              <w:t>项最高得</w:t>
            </w:r>
            <w:r>
              <w:rPr>
                <w:rFonts w:hint="eastAsia"/>
                <w:color w:val="auto"/>
                <w:highlight w:val="none"/>
                <w:lang w:val="en-US" w:eastAsia="zh-CN"/>
              </w:rPr>
              <w:t>8</w:t>
            </w:r>
            <w:r>
              <w:rPr>
                <w:rFonts w:hint="eastAsia"/>
                <w:color w:val="auto"/>
                <w:highlight w:val="none"/>
              </w:rPr>
              <w:t>分）：</w:t>
            </w:r>
          </w:p>
          <w:p w14:paraId="7598126A">
            <w:pPr>
              <w:pStyle w:val="7"/>
              <w:widowControl w:val="0"/>
              <w:topLinePunct/>
              <w:snapToGrid w:val="0"/>
              <w:spacing w:before="120" w:beforeAutospacing="0" w:after="120" w:afterAutospacing="0" w:line="360" w:lineRule="auto"/>
              <w:ind w:firstLine="400" w:firstLineChars="200"/>
              <w:contextualSpacing/>
              <w:jc w:val="both"/>
              <w:rPr>
                <w:rFonts w:hint="default"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满足车辆配置基准要求【即：拖车（或平板车）1辆、皮卡车1辆】的</w:t>
            </w:r>
            <w:r>
              <w:rPr>
                <w:rFonts w:hint="eastAsia" w:cs="宋体"/>
                <w:color w:val="auto"/>
                <w:sz w:val="20"/>
                <w:highlight w:val="none"/>
                <w:lang w:val="en-US" w:eastAsia="zh-CN" w:bidi="ar-SA"/>
              </w:rPr>
              <w:t>得</w:t>
            </w:r>
            <w:r>
              <w:rPr>
                <w:rFonts w:hint="eastAsia" w:ascii="宋体" w:hAnsi="宋体" w:eastAsia="宋体" w:cs="宋体"/>
                <w:color w:val="auto"/>
                <w:sz w:val="20"/>
                <w:highlight w:val="none"/>
                <w:lang w:val="en-US" w:eastAsia="zh-CN" w:bidi="ar-SA"/>
              </w:rPr>
              <w:t>基本分</w:t>
            </w:r>
            <w:r>
              <w:rPr>
                <w:rFonts w:hint="eastAsia" w:cs="宋体"/>
                <w:color w:val="auto"/>
                <w:sz w:val="20"/>
                <w:highlight w:val="none"/>
                <w:lang w:val="en-US" w:eastAsia="zh-CN" w:bidi="ar-SA"/>
              </w:rPr>
              <w:t>4</w:t>
            </w:r>
            <w:r>
              <w:rPr>
                <w:rFonts w:hint="eastAsia" w:ascii="宋体" w:hAnsi="宋体" w:eastAsia="宋体" w:cs="宋体"/>
                <w:color w:val="auto"/>
                <w:sz w:val="20"/>
                <w:highlight w:val="none"/>
                <w:lang w:val="en-US" w:eastAsia="zh-CN" w:bidi="ar-SA"/>
              </w:rPr>
              <w:t>分</w:t>
            </w:r>
            <w:r>
              <w:rPr>
                <w:rFonts w:hint="eastAsia" w:cs="宋体"/>
                <w:color w:val="auto"/>
                <w:sz w:val="20"/>
                <w:highlight w:val="none"/>
                <w:lang w:val="en-US" w:eastAsia="zh-CN" w:bidi="ar-SA"/>
              </w:rPr>
              <w:t>；不满足的不得分。</w:t>
            </w:r>
          </w:p>
          <w:p w14:paraId="63B811EE">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在满足车辆配置基准要求的基础上，每增加1辆自有（或租赁）拖车</w:t>
            </w:r>
            <w:r>
              <w:rPr>
                <w:rFonts w:hint="eastAsia" w:cs="宋体"/>
                <w:color w:val="auto"/>
                <w:sz w:val="20"/>
                <w:highlight w:val="none"/>
                <w:lang w:val="en-US" w:eastAsia="zh-CN" w:bidi="ar-SA"/>
              </w:rPr>
              <w:t>（或平板车）</w:t>
            </w:r>
            <w:r>
              <w:rPr>
                <w:rFonts w:hint="eastAsia" w:ascii="宋体" w:hAnsi="宋体" w:eastAsia="宋体" w:cs="宋体"/>
                <w:color w:val="auto"/>
                <w:sz w:val="20"/>
                <w:highlight w:val="none"/>
                <w:lang w:val="en-US" w:eastAsia="zh-CN" w:bidi="ar-SA"/>
              </w:rPr>
              <w:t>加1分，自有（或租赁）拖车</w:t>
            </w:r>
            <w:r>
              <w:rPr>
                <w:rFonts w:hint="eastAsia" w:cs="宋体"/>
                <w:color w:val="auto"/>
                <w:sz w:val="20"/>
                <w:highlight w:val="none"/>
                <w:lang w:val="en-US" w:eastAsia="zh-CN" w:bidi="ar-SA"/>
              </w:rPr>
              <w:t>（或平板车）</w:t>
            </w:r>
            <w:r>
              <w:rPr>
                <w:rFonts w:hint="eastAsia" w:ascii="宋体" w:hAnsi="宋体" w:eastAsia="宋体" w:cs="宋体"/>
                <w:color w:val="auto"/>
                <w:sz w:val="20"/>
                <w:highlight w:val="none"/>
                <w:lang w:val="en-US" w:eastAsia="zh-CN" w:bidi="ar-SA"/>
              </w:rPr>
              <w:t>至多加至2分；每增加1辆自有（或租赁）</w:t>
            </w:r>
            <w:r>
              <w:rPr>
                <w:rFonts w:hint="eastAsia" w:cs="宋体"/>
                <w:color w:val="auto"/>
                <w:sz w:val="20"/>
                <w:highlight w:val="none"/>
                <w:lang w:val="en-US" w:eastAsia="zh-CN" w:bidi="ar-SA"/>
              </w:rPr>
              <w:t>皮卡车</w:t>
            </w:r>
            <w:r>
              <w:rPr>
                <w:rFonts w:hint="eastAsia" w:ascii="宋体" w:hAnsi="宋体" w:eastAsia="宋体" w:cs="宋体"/>
                <w:color w:val="auto"/>
                <w:sz w:val="20"/>
                <w:highlight w:val="none"/>
                <w:lang w:val="en-US" w:eastAsia="zh-CN" w:bidi="ar-SA"/>
              </w:rPr>
              <w:t>加</w:t>
            </w:r>
            <w:r>
              <w:rPr>
                <w:rFonts w:hint="eastAsia" w:cs="宋体"/>
                <w:color w:val="auto"/>
                <w:sz w:val="20"/>
                <w:highlight w:val="none"/>
                <w:lang w:val="en-US" w:eastAsia="zh-CN" w:bidi="ar-SA"/>
              </w:rPr>
              <w:t>1</w:t>
            </w:r>
            <w:r>
              <w:rPr>
                <w:rFonts w:hint="eastAsia" w:ascii="宋体" w:hAnsi="宋体" w:eastAsia="宋体" w:cs="宋体"/>
                <w:color w:val="auto"/>
                <w:sz w:val="20"/>
                <w:highlight w:val="none"/>
                <w:lang w:val="en-US" w:eastAsia="zh-CN" w:bidi="ar-SA"/>
              </w:rPr>
              <w:t>分，自有（或租赁）</w:t>
            </w:r>
            <w:r>
              <w:rPr>
                <w:rFonts w:hint="eastAsia" w:cs="宋体"/>
                <w:color w:val="auto"/>
                <w:sz w:val="20"/>
                <w:highlight w:val="none"/>
                <w:lang w:val="en-US" w:eastAsia="zh-CN" w:bidi="ar-SA"/>
              </w:rPr>
              <w:t>皮卡车</w:t>
            </w:r>
            <w:r>
              <w:rPr>
                <w:rFonts w:hint="eastAsia" w:ascii="宋体" w:hAnsi="宋体" w:eastAsia="宋体" w:cs="宋体"/>
                <w:color w:val="auto"/>
                <w:sz w:val="20"/>
                <w:highlight w:val="none"/>
                <w:lang w:val="en-US" w:eastAsia="zh-CN" w:bidi="ar-SA"/>
              </w:rPr>
              <w:t>至多加至</w:t>
            </w:r>
            <w:r>
              <w:rPr>
                <w:rFonts w:hint="eastAsia" w:cs="宋体"/>
                <w:color w:val="auto"/>
                <w:sz w:val="20"/>
                <w:highlight w:val="none"/>
                <w:lang w:val="en-US" w:eastAsia="zh-CN" w:bidi="ar-SA"/>
              </w:rPr>
              <w:t>2</w:t>
            </w:r>
            <w:r>
              <w:rPr>
                <w:rFonts w:hint="eastAsia" w:ascii="宋体" w:hAnsi="宋体" w:eastAsia="宋体" w:cs="宋体"/>
                <w:color w:val="auto"/>
                <w:sz w:val="20"/>
                <w:highlight w:val="none"/>
                <w:lang w:val="en-US" w:eastAsia="zh-CN" w:bidi="ar-SA"/>
              </w:rPr>
              <w:t>分；本项最多加</w:t>
            </w:r>
            <w:r>
              <w:rPr>
                <w:rFonts w:hint="eastAsia" w:cs="宋体"/>
                <w:color w:val="auto"/>
                <w:sz w:val="20"/>
                <w:highlight w:val="none"/>
                <w:lang w:val="en-US" w:eastAsia="zh-CN" w:bidi="ar-SA"/>
              </w:rPr>
              <w:t>4</w:t>
            </w:r>
            <w:r>
              <w:rPr>
                <w:rFonts w:hint="eastAsia" w:ascii="宋体" w:hAnsi="宋体" w:eastAsia="宋体" w:cs="宋体"/>
                <w:color w:val="auto"/>
                <w:sz w:val="20"/>
                <w:highlight w:val="none"/>
                <w:lang w:val="en-US" w:eastAsia="zh-CN" w:bidi="ar-SA"/>
              </w:rPr>
              <w:t xml:space="preserve">分。              </w:t>
            </w:r>
          </w:p>
          <w:p w14:paraId="482603F0">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注：自有的以发票、车辆行驶证或登记证书户主为准；租赁的以租赁合同</w:t>
            </w:r>
            <w:r>
              <w:rPr>
                <w:rFonts w:hint="eastAsia" w:cs="宋体"/>
                <w:color w:val="auto"/>
                <w:sz w:val="20"/>
                <w:highlight w:val="none"/>
                <w:lang w:val="en-US" w:eastAsia="zh-CN" w:bidi="ar-SA"/>
              </w:rPr>
              <w:t>（租期应覆盖本项目服务期限）</w:t>
            </w:r>
            <w:r>
              <w:rPr>
                <w:rFonts w:hint="eastAsia" w:ascii="宋体" w:hAnsi="宋体" w:eastAsia="宋体" w:cs="宋体"/>
                <w:color w:val="auto"/>
                <w:sz w:val="20"/>
                <w:highlight w:val="none"/>
                <w:lang w:val="en-US" w:eastAsia="zh-CN" w:bidi="ar-SA"/>
              </w:rPr>
              <w:t>为准。</w:t>
            </w:r>
          </w:p>
          <w:p w14:paraId="79BD4109">
            <w:pPr>
              <w:pStyle w:val="7"/>
              <w:widowControl w:val="0"/>
              <w:topLinePunct/>
              <w:snapToGrid w:val="0"/>
              <w:spacing w:before="120" w:beforeAutospacing="0" w:after="120" w:afterAutospacing="0" w:line="360" w:lineRule="auto"/>
              <w:ind w:firstLine="400" w:firstLineChars="200"/>
              <w:contextualSpacing/>
              <w:jc w:val="both"/>
              <w:rPr>
                <w:color w:val="auto"/>
                <w:highlight w:val="none"/>
              </w:rPr>
            </w:pPr>
            <w:r>
              <w:rPr>
                <w:rFonts w:hint="eastAsia" w:ascii="宋体" w:hAnsi="宋体" w:eastAsia="宋体" w:cs="宋体"/>
                <w:color w:val="auto"/>
                <w:sz w:val="20"/>
                <w:highlight w:val="none"/>
                <w:lang w:val="en-US" w:eastAsia="zh-CN" w:bidi="ar-SA"/>
              </w:rPr>
              <w:t>投标人提供以上证书、发票、合同等的原件扫描件制作在投标文件中，不提供不得分。</w:t>
            </w:r>
          </w:p>
        </w:tc>
      </w:tr>
      <w:tr w14:paraId="2D41E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19" w:hRule="atLeast"/>
          <w:jc w:val="center"/>
        </w:trPr>
        <w:tc>
          <w:tcPr>
            <w:tcW w:w="1781" w:type="dxa"/>
            <w:vMerge w:val="continue"/>
            <w:tcBorders>
              <w:left w:val="single" w:color="auto" w:sz="4" w:space="0"/>
              <w:right w:val="single" w:color="auto" w:sz="4" w:space="0"/>
            </w:tcBorders>
            <w:noWrap w:val="0"/>
            <w:vAlign w:val="center"/>
          </w:tcPr>
          <w:p w14:paraId="00B954D8">
            <w:pPr>
              <w:pStyle w:val="7"/>
              <w:widowControl w:val="0"/>
              <w:topLinePunct/>
              <w:snapToGrid w:val="0"/>
              <w:spacing w:before="120" w:beforeAutospacing="0" w:after="120" w:afterAutospacing="0" w:line="360" w:lineRule="auto"/>
              <w:ind w:firstLine="480" w:firstLineChars="200"/>
              <w:contextualSpacing/>
              <w:jc w:val="both"/>
              <w:rPr>
                <w:color w:val="auto"/>
                <w:highlight w:val="none"/>
              </w:rPr>
            </w:pPr>
          </w:p>
        </w:tc>
        <w:tc>
          <w:tcPr>
            <w:tcW w:w="1344" w:type="dxa"/>
            <w:vMerge w:val="continue"/>
            <w:tcBorders>
              <w:left w:val="single" w:color="auto" w:sz="4" w:space="0"/>
              <w:right w:val="single" w:color="auto" w:sz="4" w:space="0"/>
            </w:tcBorders>
            <w:noWrap w:val="0"/>
            <w:vAlign w:val="center"/>
          </w:tcPr>
          <w:p w14:paraId="3CA9314F">
            <w:pPr>
              <w:pStyle w:val="7"/>
              <w:widowControl w:val="0"/>
              <w:topLinePunct/>
              <w:snapToGrid w:val="0"/>
              <w:spacing w:before="120" w:beforeAutospacing="0" w:after="120" w:afterAutospacing="0" w:line="360" w:lineRule="auto"/>
              <w:ind w:firstLine="480" w:firstLineChars="200"/>
              <w:contextualSpacing/>
              <w:jc w:val="both"/>
              <w:rPr>
                <w:color w:val="auto"/>
                <w:highlight w:val="none"/>
              </w:rPr>
            </w:pPr>
          </w:p>
        </w:tc>
        <w:tc>
          <w:tcPr>
            <w:tcW w:w="6056" w:type="dxa"/>
            <w:tcBorders>
              <w:top w:val="single" w:color="auto" w:sz="4" w:space="0"/>
              <w:left w:val="single" w:color="auto" w:sz="4" w:space="0"/>
              <w:right w:val="single" w:color="auto" w:sz="4" w:space="0"/>
            </w:tcBorders>
            <w:noWrap w:val="0"/>
            <w:vAlign w:val="center"/>
          </w:tcPr>
          <w:p w14:paraId="7E3F384B">
            <w:pPr>
              <w:tabs>
                <w:tab w:val="left" w:pos="312"/>
              </w:tabs>
              <w:spacing w:line="400" w:lineRule="exact"/>
              <w:rPr>
                <w:color w:val="auto"/>
                <w:highlight w:val="none"/>
              </w:rPr>
            </w:pPr>
            <w:r>
              <w:rPr>
                <w:rFonts w:hint="eastAsia"/>
                <w:color w:val="auto"/>
                <w:highlight w:val="none"/>
              </w:rPr>
              <w:t>施救拖移车辆要求</w:t>
            </w:r>
            <w:r>
              <w:rPr>
                <w:rFonts w:hint="eastAsia"/>
                <w:color w:val="auto"/>
                <w:highlight w:val="none"/>
                <w:lang w:val="en-US" w:eastAsia="zh-CN"/>
              </w:rPr>
              <w:t>-2</w:t>
            </w:r>
            <w:r>
              <w:rPr>
                <w:rFonts w:hint="eastAsia"/>
                <w:color w:val="auto"/>
                <w:highlight w:val="none"/>
              </w:rPr>
              <w:t>（本</w:t>
            </w:r>
            <w:r>
              <w:rPr>
                <w:rFonts w:hint="eastAsia"/>
                <w:color w:val="auto"/>
                <w:highlight w:val="none"/>
                <w:lang w:val="en-US" w:eastAsia="zh-CN"/>
              </w:rPr>
              <w:t>小</w:t>
            </w:r>
            <w:r>
              <w:rPr>
                <w:rFonts w:hint="eastAsia"/>
                <w:color w:val="auto"/>
                <w:highlight w:val="none"/>
              </w:rPr>
              <w:t>项最高得</w:t>
            </w:r>
            <w:r>
              <w:rPr>
                <w:rFonts w:hint="eastAsia"/>
                <w:color w:val="auto"/>
                <w:highlight w:val="none"/>
                <w:lang w:val="en-US" w:eastAsia="zh-CN"/>
              </w:rPr>
              <w:t>2</w:t>
            </w:r>
            <w:r>
              <w:rPr>
                <w:rFonts w:hint="eastAsia"/>
                <w:color w:val="auto"/>
                <w:highlight w:val="none"/>
              </w:rPr>
              <w:t>分）：</w:t>
            </w:r>
          </w:p>
          <w:p w14:paraId="40889728">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投标人自有或</w:t>
            </w:r>
            <w:r>
              <w:rPr>
                <w:rFonts w:hint="eastAsia" w:ascii="宋体" w:hAnsi="宋体" w:eastAsia="宋体" w:cs="宋体"/>
                <w:color w:val="auto"/>
                <w:sz w:val="20"/>
                <w:highlight w:val="none"/>
                <w:lang w:val="zh-CN" w:eastAsia="zh-CN" w:bidi="ar-SA"/>
              </w:rPr>
              <w:t>签约具有30吨、50吨吊车、80吨拖车资质合作单位两家</w:t>
            </w:r>
            <w:r>
              <w:rPr>
                <w:rFonts w:hint="eastAsia" w:ascii="宋体" w:hAnsi="宋体" w:eastAsia="宋体" w:cs="宋体"/>
                <w:color w:val="auto"/>
                <w:sz w:val="20"/>
                <w:highlight w:val="none"/>
                <w:lang w:val="en-US" w:eastAsia="zh-CN" w:bidi="ar-SA"/>
              </w:rPr>
              <w:t>的得2分，自己没有或未签</w:t>
            </w:r>
            <w:r>
              <w:rPr>
                <w:rFonts w:hint="eastAsia" w:cs="宋体"/>
                <w:color w:val="auto"/>
                <w:sz w:val="20"/>
                <w:highlight w:val="none"/>
                <w:lang w:val="en-US" w:eastAsia="zh-CN" w:bidi="ar-SA"/>
              </w:rPr>
              <w:t>约</w:t>
            </w:r>
            <w:r>
              <w:rPr>
                <w:rFonts w:hint="eastAsia" w:ascii="宋体" w:hAnsi="宋体" w:eastAsia="宋体" w:cs="宋体"/>
                <w:color w:val="auto"/>
                <w:sz w:val="20"/>
                <w:highlight w:val="none"/>
                <w:lang w:val="en-US" w:eastAsia="zh-CN" w:bidi="ar-SA"/>
              </w:rPr>
              <w:t xml:space="preserve">两家相应吨位吊车、拖车合作单位的，不得分。 </w:t>
            </w:r>
          </w:p>
          <w:p w14:paraId="78D3BB62">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注：自有的以发票、车辆行驶证或登记证书户主为准；</w:t>
            </w:r>
            <w:r>
              <w:rPr>
                <w:rFonts w:hint="eastAsia" w:cs="宋体"/>
                <w:color w:val="auto"/>
                <w:sz w:val="20"/>
                <w:highlight w:val="none"/>
                <w:lang w:val="en-US" w:eastAsia="zh-CN" w:bidi="ar-SA"/>
              </w:rPr>
              <w:t>签约</w:t>
            </w:r>
            <w:r>
              <w:rPr>
                <w:rFonts w:hint="eastAsia" w:ascii="宋体" w:hAnsi="宋体" w:eastAsia="宋体" w:cs="宋体"/>
                <w:color w:val="auto"/>
                <w:sz w:val="20"/>
                <w:highlight w:val="none"/>
                <w:lang w:val="en-US" w:eastAsia="zh-CN" w:bidi="ar-SA"/>
              </w:rPr>
              <w:t>的以合同</w:t>
            </w:r>
            <w:r>
              <w:rPr>
                <w:rFonts w:hint="eastAsia" w:cs="宋体"/>
                <w:color w:val="auto"/>
                <w:sz w:val="20"/>
                <w:highlight w:val="none"/>
                <w:lang w:val="en-US" w:eastAsia="zh-CN" w:bidi="ar-SA"/>
              </w:rPr>
              <w:t>（签约合作期应覆盖本项目服务期限）</w:t>
            </w:r>
            <w:r>
              <w:rPr>
                <w:rFonts w:hint="eastAsia" w:ascii="宋体" w:hAnsi="宋体" w:eastAsia="宋体" w:cs="宋体"/>
                <w:color w:val="auto"/>
                <w:sz w:val="20"/>
                <w:highlight w:val="none"/>
                <w:lang w:val="en-US" w:eastAsia="zh-CN" w:bidi="ar-SA"/>
              </w:rPr>
              <w:t>为准。</w:t>
            </w:r>
          </w:p>
          <w:p w14:paraId="15E15087">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投标人提供以上证书、发票、合同等的原件扫描件制作在投标文件中，不提供不得分。         </w:t>
            </w:r>
          </w:p>
        </w:tc>
      </w:tr>
      <w:tr w14:paraId="2DEEF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43" w:hRule="atLeast"/>
          <w:jc w:val="center"/>
        </w:trPr>
        <w:tc>
          <w:tcPr>
            <w:tcW w:w="1781" w:type="dxa"/>
            <w:vMerge w:val="continue"/>
            <w:tcBorders>
              <w:left w:val="single" w:color="auto" w:sz="4" w:space="0"/>
              <w:right w:val="single" w:color="auto" w:sz="4" w:space="0"/>
            </w:tcBorders>
            <w:noWrap w:val="0"/>
            <w:vAlign w:val="center"/>
          </w:tcPr>
          <w:p w14:paraId="37F2A3A1">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p>
        </w:tc>
        <w:tc>
          <w:tcPr>
            <w:tcW w:w="1344" w:type="dxa"/>
            <w:vMerge w:val="continue"/>
            <w:tcBorders>
              <w:left w:val="single" w:color="auto" w:sz="4" w:space="0"/>
              <w:bottom w:val="single" w:color="auto" w:sz="4" w:space="0"/>
              <w:right w:val="single" w:color="auto" w:sz="4" w:space="0"/>
            </w:tcBorders>
            <w:noWrap w:val="0"/>
            <w:vAlign w:val="center"/>
          </w:tcPr>
          <w:p w14:paraId="75C915A3">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p>
        </w:tc>
        <w:tc>
          <w:tcPr>
            <w:tcW w:w="6056" w:type="dxa"/>
            <w:tcBorders>
              <w:top w:val="single" w:color="auto" w:sz="4" w:space="0"/>
              <w:left w:val="single" w:color="auto" w:sz="4" w:space="0"/>
              <w:right w:val="single" w:color="auto" w:sz="4" w:space="0"/>
            </w:tcBorders>
            <w:noWrap w:val="0"/>
            <w:vAlign w:val="center"/>
          </w:tcPr>
          <w:p w14:paraId="77B837E3">
            <w:pPr>
              <w:tabs>
                <w:tab w:val="left" w:pos="312"/>
              </w:tabs>
              <w:spacing w:line="400" w:lineRule="exact"/>
              <w:rPr>
                <w:color w:val="auto"/>
                <w:highlight w:val="none"/>
              </w:rPr>
            </w:pPr>
            <w:r>
              <w:rPr>
                <w:rFonts w:hint="eastAsia"/>
                <w:color w:val="auto"/>
                <w:highlight w:val="none"/>
              </w:rPr>
              <w:t>施救拖移车辆要求</w:t>
            </w:r>
            <w:r>
              <w:rPr>
                <w:rFonts w:hint="eastAsia"/>
                <w:color w:val="auto"/>
                <w:highlight w:val="none"/>
                <w:lang w:val="en-US" w:eastAsia="zh-CN"/>
              </w:rPr>
              <w:t>-3</w:t>
            </w:r>
            <w:r>
              <w:rPr>
                <w:rFonts w:hint="eastAsia"/>
                <w:color w:val="auto"/>
                <w:highlight w:val="none"/>
              </w:rPr>
              <w:t>（本</w:t>
            </w:r>
            <w:r>
              <w:rPr>
                <w:rFonts w:hint="eastAsia"/>
                <w:color w:val="auto"/>
                <w:highlight w:val="none"/>
                <w:lang w:val="en-US" w:eastAsia="zh-CN"/>
              </w:rPr>
              <w:t>小</w:t>
            </w:r>
            <w:r>
              <w:rPr>
                <w:rFonts w:hint="eastAsia"/>
                <w:color w:val="auto"/>
                <w:highlight w:val="none"/>
              </w:rPr>
              <w:t>项最高得</w:t>
            </w:r>
            <w:r>
              <w:rPr>
                <w:rFonts w:hint="eastAsia"/>
                <w:color w:val="auto"/>
                <w:highlight w:val="none"/>
                <w:lang w:val="en-US" w:eastAsia="zh-CN"/>
              </w:rPr>
              <w:t>3</w:t>
            </w:r>
            <w:r>
              <w:rPr>
                <w:rFonts w:hint="eastAsia"/>
                <w:color w:val="auto"/>
                <w:highlight w:val="none"/>
              </w:rPr>
              <w:t>分）：</w:t>
            </w:r>
          </w:p>
          <w:p w14:paraId="26223BFA">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配有一套破拆器材，照明、消防器材，警示桩、警示牌、警戒带、警示灯等安全防护装置的，得3分，未配全的，有一种器材，得0.3分。</w:t>
            </w:r>
          </w:p>
          <w:p w14:paraId="157231F9">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投标人提供以上</w:t>
            </w:r>
            <w:r>
              <w:rPr>
                <w:rFonts w:hint="eastAsia" w:cs="宋体"/>
                <w:color w:val="auto"/>
                <w:sz w:val="20"/>
                <w:highlight w:val="none"/>
                <w:lang w:val="en-US" w:eastAsia="zh-CN" w:bidi="ar-SA"/>
              </w:rPr>
              <w:t>器材图片</w:t>
            </w:r>
            <w:r>
              <w:rPr>
                <w:rFonts w:hint="eastAsia" w:ascii="宋体" w:hAnsi="宋体" w:eastAsia="宋体" w:cs="宋体"/>
                <w:color w:val="auto"/>
                <w:sz w:val="20"/>
                <w:highlight w:val="none"/>
                <w:lang w:val="en-US" w:eastAsia="zh-CN" w:bidi="ar-SA"/>
              </w:rPr>
              <w:t>、发票、合同等的原件扫描件制作在投标文件中，不提供不得分。</w:t>
            </w:r>
          </w:p>
        </w:tc>
      </w:tr>
      <w:tr w14:paraId="3AEF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5" w:hRule="atLeast"/>
          <w:jc w:val="center"/>
        </w:trPr>
        <w:tc>
          <w:tcPr>
            <w:tcW w:w="1781" w:type="dxa"/>
            <w:vMerge w:val="restart"/>
            <w:tcBorders>
              <w:left w:val="single" w:color="auto" w:sz="4" w:space="0"/>
              <w:right w:val="single" w:color="auto" w:sz="4" w:space="0"/>
            </w:tcBorders>
            <w:noWrap w:val="0"/>
            <w:vAlign w:val="center"/>
          </w:tcPr>
          <w:p w14:paraId="19D1974C">
            <w:pPr>
              <w:spacing w:line="400" w:lineRule="exact"/>
              <w:rPr>
                <w:rFonts w:ascii="宋体" w:hAnsi="宋体"/>
                <w:color w:val="auto"/>
                <w:szCs w:val="21"/>
                <w:highlight w:val="none"/>
              </w:rPr>
            </w:pPr>
            <w:r>
              <w:rPr>
                <w:rFonts w:hint="eastAsia" w:ascii="宋体" w:hAnsi="宋体"/>
                <w:color w:val="auto"/>
                <w:szCs w:val="21"/>
                <w:highlight w:val="none"/>
              </w:rPr>
              <w:t>人员要求（15分）</w:t>
            </w:r>
          </w:p>
        </w:tc>
        <w:tc>
          <w:tcPr>
            <w:tcW w:w="1344" w:type="dxa"/>
            <w:vMerge w:val="restart"/>
            <w:tcBorders>
              <w:top w:val="single" w:color="auto" w:sz="4" w:space="0"/>
              <w:left w:val="single" w:color="auto" w:sz="4" w:space="0"/>
              <w:right w:val="single" w:color="auto" w:sz="4" w:space="0"/>
            </w:tcBorders>
            <w:noWrap w:val="0"/>
            <w:vAlign w:val="center"/>
          </w:tcPr>
          <w:p w14:paraId="4A0B1E08">
            <w:pPr>
              <w:spacing w:line="400" w:lineRule="exact"/>
              <w:jc w:val="center"/>
              <w:rPr>
                <w:rFonts w:ascii="宋体" w:hAnsi="宋体"/>
                <w:color w:val="auto"/>
                <w:szCs w:val="21"/>
                <w:highlight w:val="none"/>
              </w:rPr>
            </w:pPr>
            <w:r>
              <w:rPr>
                <w:rFonts w:hint="eastAsia" w:ascii="宋体" w:hAnsi="宋体"/>
                <w:color w:val="auto"/>
                <w:szCs w:val="21"/>
                <w:highlight w:val="none"/>
              </w:rPr>
              <w:t>15分</w:t>
            </w:r>
          </w:p>
        </w:tc>
        <w:tc>
          <w:tcPr>
            <w:tcW w:w="6056" w:type="dxa"/>
            <w:tcBorders>
              <w:left w:val="single" w:color="auto" w:sz="4" w:space="0"/>
              <w:bottom w:val="single" w:color="auto" w:sz="4" w:space="0"/>
              <w:right w:val="single" w:color="auto" w:sz="4" w:space="0"/>
            </w:tcBorders>
            <w:noWrap w:val="0"/>
            <w:vAlign w:val="center"/>
          </w:tcPr>
          <w:p w14:paraId="31D68E0F">
            <w:pPr>
              <w:tabs>
                <w:tab w:val="left" w:pos="312"/>
              </w:tabs>
              <w:spacing w:line="400" w:lineRule="exact"/>
              <w:rPr>
                <w:color w:val="auto"/>
                <w:highlight w:val="none"/>
              </w:rPr>
            </w:pPr>
            <w:r>
              <w:rPr>
                <w:rFonts w:hint="eastAsia"/>
                <w:color w:val="auto"/>
                <w:highlight w:val="none"/>
                <w:lang w:val="en-US" w:eastAsia="zh-CN"/>
              </w:rPr>
              <w:t>现场</w:t>
            </w:r>
            <w:r>
              <w:rPr>
                <w:rFonts w:hint="eastAsia"/>
                <w:color w:val="auto"/>
                <w:highlight w:val="none"/>
              </w:rPr>
              <w:t>看管人员要求（本</w:t>
            </w:r>
            <w:r>
              <w:rPr>
                <w:rFonts w:hint="eastAsia"/>
                <w:color w:val="auto"/>
                <w:highlight w:val="none"/>
                <w:lang w:val="en-US" w:eastAsia="zh-CN"/>
              </w:rPr>
              <w:t>小</w:t>
            </w:r>
            <w:r>
              <w:rPr>
                <w:rFonts w:hint="eastAsia"/>
                <w:color w:val="auto"/>
                <w:highlight w:val="none"/>
              </w:rPr>
              <w:t>项最高得</w:t>
            </w:r>
            <w:r>
              <w:rPr>
                <w:rFonts w:hint="eastAsia"/>
                <w:color w:val="auto"/>
                <w:highlight w:val="none"/>
                <w:lang w:val="en-US" w:eastAsia="zh-CN"/>
              </w:rPr>
              <w:t>5</w:t>
            </w:r>
            <w:r>
              <w:rPr>
                <w:rFonts w:hint="eastAsia"/>
                <w:color w:val="auto"/>
                <w:highlight w:val="none"/>
              </w:rPr>
              <w:t>分）：</w:t>
            </w:r>
          </w:p>
          <w:p w14:paraId="62D5D46B">
            <w:pPr>
              <w:spacing w:line="400" w:lineRule="exact"/>
              <w:ind w:firstLine="400" w:firstLineChars="200"/>
              <w:rPr>
                <w:color w:val="auto"/>
                <w:highlight w:val="none"/>
              </w:rPr>
            </w:pPr>
            <w:r>
              <w:rPr>
                <w:rFonts w:hint="eastAsia"/>
                <w:color w:val="auto"/>
                <w:highlight w:val="none"/>
              </w:rPr>
              <w:t>停车场须配备</w:t>
            </w:r>
            <w:r>
              <w:rPr>
                <w:rFonts w:hint="eastAsia"/>
                <w:color w:val="auto"/>
                <w:highlight w:val="none"/>
                <w:lang w:val="en-US" w:eastAsia="zh-CN"/>
              </w:rPr>
              <w:t>负责现场</w:t>
            </w:r>
            <w:r>
              <w:rPr>
                <w:rFonts w:hint="eastAsia"/>
                <w:color w:val="auto"/>
                <w:highlight w:val="none"/>
                <w:lang w:val="zh-CN" w:eastAsia="zh-CN"/>
              </w:rPr>
              <w:t>保卫、</w:t>
            </w:r>
            <w:r>
              <w:rPr>
                <w:rFonts w:hint="eastAsia"/>
                <w:color w:val="auto"/>
                <w:highlight w:val="none"/>
              </w:rPr>
              <w:t>拍照、监控</w:t>
            </w:r>
            <w:r>
              <w:rPr>
                <w:rFonts w:hint="eastAsia"/>
                <w:color w:val="auto"/>
                <w:highlight w:val="none"/>
                <w:lang w:val="en-US" w:eastAsia="zh-CN"/>
              </w:rPr>
              <w:t>职责的</w:t>
            </w:r>
            <w:r>
              <w:rPr>
                <w:rFonts w:hint="eastAsia"/>
                <w:color w:val="auto"/>
                <w:highlight w:val="none"/>
              </w:rPr>
              <w:t>人员</w:t>
            </w:r>
            <w:r>
              <w:rPr>
                <w:rFonts w:hint="eastAsia"/>
                <w:color w:val="auto"/>
                <w:highlight w:val="none"/>
                <w:lang w:val="zh-CN" w:eastAsia="zh-CN"/>
              </w:rPr>
              <w:t>1</w:t>
            </w:r>
            <w:r>
              <w:rPr>
                <w:rFonts w:hint="eastAsia"/>
                <w:color w:val="auto"/>
                <w:highlight w:val="none"/>
                <w:lang w:val="en-US" w:eastAsia="zh-CN"/>
              </w:rPr>
              <w:t>人</w:t>
            </w:r>
            <w:r>
              <w:rPr>
                <w:rFonts w:hint="eastAsia"/>
                <w:color w:val="auto"/>
                <w:highlight w:val="none"/>
                <w:lang w:eastAsia="zh-CN"/>
              </w:rPr>
              <w:t>，</w:t>
            </w:r>
            <w:r>
              <w:rPr>
                <w:rFonts w:hint="eastAsia"/>
                <w:color w:val="auto"/>
                <w:highlight w:val="none"/>
              </w:rPr>
              <w:t>配备的</w:t>
            </w:r>
            <w:r>
              <w:rPr>
                <w:rFonts w:hint="eastAsia"/>
                <w:color w:val="auto"/>
                <w:highlight w:val="none"/>
                <w:lang w:val="en-US" w:eastAsia="zh-CN"/>
              </w:rPr>
              <w:t>得基本分2分。未配备不得分。每增加1名现场看管人员加1分，本项最多加3分。</w:t>
            </w:r>
          </w:p>
          <w:p w14:paraId="7C8BCF06">
            <w:pPr>
              <w:spacing w:line="400" w:lineRule="exact"/>
              <w:ind w:firstLine="400" w:firstLineChars="200"/>
              <w:rPr>
                <w:color w:val="auto"/>
                <w:highlight w:val="none"/>
              </w:rPr>
            </w:pPr>
            <w:r>
              <w:rPr>
                <w:rFonts w:hint="eastAsia"/>
                <w:color w:val="auto"/>
                <w:highlight w:val="none"/>
              </w:rPr>
              <w:t>注：以上人员须提供近三个月</w:t>
            </w:r>
            <w:r>
              <w:rPr>
                <w:rFonts w:hint="eastAsia"/>
                <w:color w:val="auto"/>
                <w:highlight w:val="none"/>
                <w:lang w:val="en-US" w:eastAsia="zh-CN"/>
              </w:rPr>
              <w:t>任意一月</w:t>
            </w:r>
            <w:r>
              <w:rPr>
                <w:rFonts w:hint="eastAsia"/>
                <w:color w:val="auto"/>
                <w:highlight w:val="none"/>
              </w:rPr>
              <w:t>的养老保险证明或参保证明（要求有单位名称及代理人姓名并加盖社保部门公章，个人养老保险手册作为有效证明）。</w:t>
            </w:r>
            <w:r>
              <w:rPr>
                <w:rFonts w:hint="eastAsia" w:ascii="宋体" w:hAnsi="宋体"/>
                <w:color w:val="auto"/>
                <w:szCs w:val="21"/>
                <w:highlight w:val="none"/>
              </w:rPr>
              <w:t>以上人员资格证明须原件</w:t>
            </w:r>
            <w:r>
              <w:rPr>
                <w:rFonts w:hint="eastAsia" w:ascii="宋体" w:hAnsi="宋体"/>
                <w:color w:val="auto"/>
                <w:szCs w:val="21"/>
                <w:highlight w:val="none"/>
                <w:lang w:val="en-US" w:eastAsia="zh-CN"/>
              </w:rPr>
              <w:t>扫描</w:t>
            </w:r>
            <w:r>
              <w:rPr>
                <w:rFonts w:hint="eastAsia" w:ascii="宋体" w:hAnsi="宋体"/>
                <w:color w:val="auto"/>
                <w:szCs w:val="21"/>
                <w:highlight w:val="none"/>
              </w:rPr>
              <w:t>件</w:t>
            </w:r>
            <w:r>
              <w:rPr>
                <w:rFonts w:hint="eastAsia" w:ascii="宋体" w:hAnsi="宋体"/>
                <w:color w:val="auto"/>
                <w:szCs w:val="21"/>
                <w:highlight w:val="none"/>
                <w:lang w:val="en-US" w:eastAsia="zh-CN"/>
              </w:rPr>
              <w:t>上传</w:t>
            </w:r>
            <w:r>
              <w:rPr>
                <w:rFonts w:hint="eastAsia" w:ascii="宋体" w:hAnsi="宋体"/>
                <w:color w:val="auto"/>
                <w:szCs w:val="21"/>
                <w:highlight w:val="none"/>
              </w:rPr>
              <w:t>，投标人制作在投标文件中</w:t>
            </w:r>
            <w:r>
              <w:rPr>
                <w:rFonts w:hint="eastAsia" w:ascii="宋体" w:hAnsi="宋体"/>
                <w:color w:val="auto"/>
                <w:szCs w:val="21"/>
                <w:highlight w:val="none"/>
                <w:lang w:val="en-US" w:eastAsia="zh-CN"/>
              </w:rPr>
              <w:t>不提供</w:t>
            </w:r>
            <w:r>
              <w:rPr>
                <w:rFonts w:hint="eastAsia"/>
                <w:color w:val="auto"/>
                <w:szCs w:val="21"/>
                <w:highlight w:val="none"/>
                <w:lang w:val="en-US" w:eastAsia="zh-CN"/>
              </w:rPr>
              <w:t>的</w:t>
            </w:r>
            <w:r>
              <w:rPr>
                <w:rFonts w:hint="eastAsia" w:ascii="宋体" w:hAnsi="宋体"/>
                <w:color w:val="auto"/>
                <w:szCs w:val="21"/>
                <w:highlight w:val="none"/>
              </w:rPr>
              <w:t>不得分。</w:t>
            </w:r>
          </w:p>
        </w:tc>
      </w:tr>
      <w:tr w14:paraId="089C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5" w:hRule="atLeast"/>
          <w:jc w:val="center"/>
        </w:trPr>
        <w:tc>
          <w:tcPr>
            <w:tcW w:w="1781" w:type="dxa"/>
            <w:vMerge w:val="continue"/>
            <w:tcBorders>
              <w:left w:val="single" w:color="auto" w:sz="4" w:space="0"/>
              <w:bottom w:val="single" w:color="auto" w:sz="4" w:space="0"/>
              <w:right w:val="single" w:color="auto" w:sz="4" w:space="0"/>
            </w:tcBorders>
            <w:noWrap w:val="0"/>
            <w:vAlign w:val="center"/>
          </w:tcPr>
          <w:p w14:paraId="6F7FB4F2">
            <w:pPr>
              <w:spacing w:line="400" w:lineRule="exact"/>
              <w:ind w:firstLine="400" w:firstLineChars="200"/>
              <w:rPr>
                <w:color w:val="auto"/>
                <w:highlight w:val="none"/>
              </w:rPr>
            </w:pPr>
          </w:p>
        </w:tc>
        <w:tc>
          <w:tcPr>
            <w:tcW w:w="1344" w:type="dxa"/>
            <w:vMerge w:val="continue"/>
            <w:tcBorders>
              <w:left w:val="single" w:color="auto" w:sz="4" w:space="0"/>
              <w:bottom w:val="single" w:color="auto" w:sz="4" w:space="0"/>
              <w:right w:val="single" w:color="auto" w:sz="4" w:space="0"/>
            </w:tcBorders>
            <w:noWrap w:val="0"/>
            <w:vAlign w:val="center"/>
          </w:tcPr>
          <w:p w14:paraId="2E00C185">
            <w:pPr>
              <w:spacing w:line="400" w:lineRule="exact"/>
              <w:ind w:firstLine="400" w:firstLineChars="200"/>
              <w:rPr>
                <w:color w:val="auto"/>
                <w:highlight w:val="none"/>
              </w:rPr>
            </w:pPr>
          </w:p>
        </w:tc>
        <w:tc>
          <w:tcPr>
            <w:tcW w:w="6056" w:type="dxa"/>
            <w:tcBorders>
              <w:left w:val="single" w:color="auto" w:sz="4" w:space="0"/>
              <w:bottom w:val="single" w:color="auto" w:sz="4" w:space="0"/>
              <w:right w:val="single" w:color="auto" w:sz="4" w:space="0"/>
            </w:tcBorders>
            <w:noWrap w:val="0"/>
            <w:vAlign w:val="center"/>
          </w:tcPr>
          <w:p w14:paraId="34CCACBD">
            <w:pPr>
              <w:tabs>
                <w:tab w:val="left" w:pos="312"/>
              </w:tabs>
              <w:spacing w:line="400" w:lineRule="exact"/>
              <w:rPr>
                <w:rFonts w:hint="eastAsia"/>
                <w:color w:val="auto"/>
                <w:highlight w:val="none"/>
              </w:rPr>
            </w:pPr>
            <w:r>
              <w:rPr>
                <w:rFonts w:hint="eastAsia"/>
                <w:color w:val="auto"/>
                <w:highlight w:val="none"/>
              </w:rPr>
              <w:t>施救人员要求（本</w:t>
            </w:r>
            <w:r>
              <w:rPr>
                <w:rFonts w:hint="eastAsia"/>
                <w:color w:val="auto"/>
                <w:highlight w:val="none"/>
                <w:lang w:val="en-US" w:eastAsia="zh-CN"/>
              </w:rPr>
              <w:t>小</w:t>
            </w:r>
            <w:r>
              <w:rPr>
                <w:rFonts w:hint="eastAsia"/>
                <w:color w:val="auto"/>
                <w:highlight w:val="none"/>
              </w:rPr>
              <w:t>项最高得</w:t>
            </w:r>
            <w:r>
              <w:rPr>
                <w:rFonts w:hint="eastAsia"/>
                <w:color w:val="auto"/>
                <w:highlight w:val="none"/>
                <w:lang w:val="en-US" w:eastAsia="zh-CN"/>
              </w:rPr>
              <w:t>10</w:t>
            </w:r>
            <w:r>
              <w:rPr>
                <w:rFonts w:hint="eastAsia"/>
                <w:color w:val="auto"/>
                <w:highlight w:val="none"/>
              </w:rPr>
              <w:t>分）：</w:t>
            </w:r>
          </w:p>
          <w:p w14:paraId="1200B646">
            <w:pPr>
              <w:spacing w:line="400" w:lineRule="exact"/>
              <w:ind w:firstLine="400" w:firstLineChars="200"/>
              <w:rPr>
                <w:rFonts w:hint="default" w:eastAsia="宋体"/>
                <w:color w:val="auto"/>
                <w:highlight w:val="none"/>
                <w:lang w:val="en-US" w:eastAsia="zh-CN"/>
              </w:rPr>
            </w:pPr>
            <w:r>
              <w:rPr>
                <w:rFonts w:hint="eastAsia"/>
                <w:color w:val="auto"/>
                <w:highlight w:val="none"/>
              </w:rPr>
              <w:t>宝应北片停车场施救人员配备不少于6人，其中持C1证以上4人，A2证2人；各停车场施救人员中必须有车辆维修能力的不少于1人，基本分</w:t>
            </w:r>
            <w:r>
              <w:rPr>
                <w:rFonts w:hint="eastAsia"/>
                <w:color w:val="auto"/>
                <w:highlight w:val="none"/>
                <w:lang w:val="en-US" w:eastAsia="zh-CN"/>
              </w:rPr>
              <w:t>3</w:t>
            </w:r>
            <w:r>
              <w:rPr>
                <w:rFonts w:hint="eastAsia"/>
                <w:color w:val="auto"/>
                <w:highlight w:val="none"/>
              </w:rPr>
              <w:t>分。</w:t>
            </w:r>
            <w:r>
              <w:rPr>
                <w:rFonts w:hint="eastAsia"/>
                <w:color w:val="auto"/>
                <w:highlight w:val="none"/>
                <w:lang w:val="en-US" w:eastAsia="zh-CN"/>
              </w:rPr>
              <w:t>未配备齐全不得分。</w:t>
            </w:r>
          </w:p>
          <w:p w14:paraId="6057EB4F">
            <w:pPr>
              <w:spacing w:line="400" w:lineRule="exact"/>
              <w:ind w:firstLine="400" w:firstLineChars="200"/>
              <w:rPr>
                <w:color w:val="auto"/>
                <w:highlight w:val="none"/>
              </w:rPr>
            </w:pPr>
            <w:r>
              <w:rPr>
                <w:rFonts w:hint="eastAsia"/>
                <w:color w:val="auto"/>
                <w:highlight w:val="none"/>
                <w:lang w:val="en-US" w:eastAsia="zh-CN"/>
              </w:rPr>
              <w:t>在满足施救人员配置基准要求的基础上，</w:t>
            </w:r>
            <w:r>
              <w:rPr>
                <w:rFonts w:hint="eastAsia"/>
                <w:color w:val="auto"/>
                <w:highlight w:val="none"/>
              </w:rPr>
              <w:t>每增加1名修理资格的加2分</w:t>
            </w:r>
            <w:r>
              <w:rPr>
                <w:rFonts w:hint="eastAsia"/>
                <w:color w:val="auto"/>
                <w:highlight w:val="none"/>
                <w:lang w:eastAsia="zh-CN"/>
              </w:rPr>
              <w:t>，</w:t>
            </w:r>
            <w:r>
              <w:rPr>
                <w:rFonts w:hint="eastAsia"/>
                <w:color w:val="auto"/>
                <w:highlight w:val="none"/>
              </w:rPr>
              <w:t>每增加A1驾驶证1人加2分</w:t>
            </w:r>
            <w:r>
              <w:rPr>
                <w:rFonts w:hint="eastAsia"/>
                <w:color w:val="auto"/>
                <w:highlight w:val="none"/>
                <w:lang w:eastAsia="zh-CN"/>
              </w:rPr>
              <w:t>，</w:t>
            </w:r>
            <w:r>
              <w:rPr>
                <w:rFonts w:hint="eastAsia"/>
                <w:color w:val="auto"/>
                <w:highlight w:val="none"/>
                <w:lang w:val="en-US" w:eastAsia="zh-CN"/>
              </w:rPr>
              <w:t>每增加</w:t>
            </w:r>
            <w:r>
              <w:rPr>
                <w:rFonts w:hint="eastAsia"/>
                <w:color w:val="auto"/>
                <w:highlight w:val="none"/>
              </w:rPr>
              <w:t>A2驾驶证1人加1.5分</w:t>
            </w:r>
            <w:r>
              <w:rPr>
                <w:rFonts w:hint="eastAsia"/>
                <w:color w:val="auto"/>
                <w:highlight w:val="none"/>
                <w:lang w:eastAsia="zh-CN"/>
              </w:rPr>
              <w:t>，</w:t>
            </w:r>
            <w:r>
              <w:rPr>
                <w:rFonts w:hint="eastAsia"/>
                <w:color w:val="auto"/>
                <w:highlight w:val="none"/>
                <w:lang w:val="en-US" w:eastAsia="zh-CN"/>
              </w:rPr>
              <w:t>每增加</w:t>
            </w:r>
            <w:r>
              <w:rPr>
                <w:rFonts w:hint="eastAsia"/>
                <w:color w:val="auto"/>
                <w:highlight w:val="none"/>
              </w:rPr>
              <w:t>C1驾驶证</w:t>
            </w:r>
            <w:r>
              <w:rPr>
                <w:rFonts w:hint="eastAsia"/>
                <w:color w:val="auto"/>
                <w:highlight w:val="none"/>
                <w:lang w:val="en-US" w:eastAsia="zh-CN"/>
              </w:rPr>
              <w:t>1</w:t>
            </w:r>
            <w:r>
              <w:rPr>
                <w:rFonts w:hint="eastAsia"/>
                <w:color w:val="auto"/>
                <w:highlight w:val="none"/>
              </w:rPr>
              <w:t>人加1分，本项最多加7分。</w:t>
            </w:r>
          </w:p>
          <w:p w14:paraId="1F2DC727">
            <w:pPr>
              <w:spacing w:line="400" w:lineRule="exact"/>
              <w:ind w:firstLine="400" w:firstLineChars="200"/>
              <w:rPr>
                <w:rFonts w:hint="eastAsia"/>
                <w:color w:val="auto"/>
                <w:highlight w:val="none"/>
              </w:rPr>
            </w:pPr>
            <w:r>
              <w:rPr>
                <w:rFonts w:hint="eastAsia"/>
                <w:color w:val="auto"/>
                <w:highlight w:val="none"/>
              </w:rPr>
              <w:t>注：以上人员须提供近三个月</w:t>
            </w:r>
            <w:r>
              <w:rPr>
                <w:rFonts w:hint="eastAsia"/>
                <w:color w:val="auto"/>
                <w:highlight w:val="none"/>
                <w:lang w:val="en-US" w:eastAsia="zh-CN"/>
              </w:rPr>
              <w:t>任意一月</w:t>
            </w:r>
            <w:r>
              <w:rPr>
                <w:rFonts w:hint="eastAsia"/>
                <w:color w:val="auto"/>
                <w:highlight w:val="none"/>
              </w:rPr>
              <w:t>的养老保险证明或参保证明（要求有单位名称及代理人姓名并加盖社保部门公章，个人养老保险手册作为有效证明）。</w:t>
            </w:r>
            <w:r>
              <w:rPr>
                <w:rFonts w:hint="eastAsia" w:ascii="宋体" w:hAnsi="宋体"/>
                <w:color w:val="auto"/>
                <w:szCs w:val="21"/>
                <w:highlight w:val="none"/>
              </w:rPr>
              <w:t>以上人员资格证明须原件</w:t>
            </w:r>
            <w:r>
              <w:rPr>
                <w:rFonts w:hint="eastAsia" w:ascii="宋体" w:hAnsi="宋体"/>
                <w:color w:val="auto"/>
                <w:szCs w:val="21"/>
                <w:highlight w:val="none"/>
                <w:lang w:val="en-US" w:eastAsia="zh-CN"/>
              </w:rPr>
              <w:t>扫描</w:t>
            </w:r>
            <w:r>
              <w:rPr>
                <w:rFonts w:hint="eastAsia" w:ascii="宋体" w:hAnsi="宋体"/>
                <w:color w:val="auto"/>
                <w:szCs w:val="21"/>
                <w:highlight w:val="none"/>
              </w:rPr>
              <w:t>件</w:t>
            </w:r>
            <w:r>
              <w:rPr>
                <w:rFonts w:hint="eastAsia" w:ascii="宋体" w:hAnsi="宋体"/>
                <w:color w:val="auto"/>
                <w:szCs w:val="21"/>
                <w:highlight w:val="none"/>
                <w:lang w:val="en-US" w:eastAsia="zh-CN"/>
              </w:rPr>
              <w:t>上传</w:t>
            </w:r>
            <w:r>
              <w:rPr>
                <w:rFonts w:hint="eastAsia" w:ascii="宋体" w:hAnsi="宋体"/>
                <w:color w:val="auto"/>
                <w:szCs w:val="21"/>
                <w:highlight w:val="none"/>
              </w:rPr>
              <w:t>，投标人制作在投标文件中</w:t>
            </w:r>
            <w:r>
              <w:rPr>
                <w:rFonts w:hint="eastAsia" w:ascii="宋体" w:hAnsi="宋体"/>
                <w:color w:val="auto"/>
                <w:szCs w:val="21"/>
                <w:highlight w:val="none"/>
                <w:lang w:val="en-US" w:eastAsia="zh-CN"/>
              </w:rPr>
              <w:t>不提供</w:t>
            </w:r>
            <w:r>
              <w:rPr>
                <w:rFonts w:hint="eastAsia"/>
                <w:color w:val="auto"/>
                <w:szCs w:val="21"/>
                <w:highlight w:val="none"/>
                <w:lang w:val="en-US" w:eastAsia="zh-CN"/>
              </w:rPr>
              <w:t>的</w:t>
            </w:r>
            <w:r>
              <w:rPr>
                <w:rFonts w:hint="eastAsia" w:ascii="宋体" w:hAnsi="宋体"/>
                <w:color w:val="auto"/>
                <w:szCs w:val="21"/>
                <w:highlight w:val="none"/>
              </w:rPr>
              <w:t>不得分</w:t>
            </w:r>
            <w:r>
              <w:rPr>
                <w:rFonts w:hint="eastAsia"/>
                <w:color w:val="auto"/>
                <w:szCs w:val="21"/>
                <w:highlight w:val="none"/>
                <w:lang w:eastAsia="zh-CN"/>
              </w:rPr>
              <w:t>（</w:t>
            </w:r>
            <w:r>
              <w:rPr>
                <w:rFonts w:hint="eastAsia"/>
                <w:color w:val="auto"/>
                <w:szCs w:val="21"/>
                <w:highlight w:val="none"/>
                <w:lang w:val="en-US" w:eastAsia="zh-CN"/>
              </w:rPr>
              <w:t>以上施救人员不得与现场看管人员兼任</w:t>
            </w:r>
            <w:r>
              <w:rPr>
                <w:rFonts w:hint="eastAsia"/>
                <w:color w:val="auto"/>
                <w:szCs w:val="21"/>
                <w:highlight w:val="none"/>
                <w:lang w:eastAsia="zh-CN"/>
              </w:rPr>
              <w:t>）</w:t>
            </w:r>
            <w:r>
              <w:rPr>
                <w:rFonts w:hint="eastAsia" w:ascii="宋体" w:hAnsi="宋体"/>
                <w:color w:val="auto"/>
                <w:szCs w:val="21"/>
                <w:highlight w:val="none"/>
              </w:rPr>
              <w:t>。</w:t>
            </w:r>
          </w:p>
        </w:tc>
      </w:tr>
      <w:tr w14:paraId="6980E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9181" w:type="dxa"/>
            <w:gridSpan w:val="3"/>
            <w:tcBorders>
              <w:top w:val="single" w:color="auto" w:sz="4" w:space="0"/>
              <w:left w:val="single" w:color="auto" w:sz="4" w:space="0"/>
              <w:bottom w:val="single" w:color="auto" w:sz="4" w:space="0"/>
              <w:right w:val="single" w:color="auto" w:sz="4" w:space="0"/>
            </w:tcBorders>
            <w:noWrap w:val="0"/>
            <w:vAlign w:val="center"/>
          </w:tcPr>
          <w:p w14:paraId="48394696">
            <w:pPr>
              <w:widowControl/>
              <w:autoSpaceDE w:val="0"/>
              <w:autoSpaceDN w:val="0"/>
              <w:adjustRightInd w:val="0"/>
              <w:spacing w:line="40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100分</w:t>
            </w:r>
          </w:p>
        </w:tc>
      </w:tr>
    </w:tbl>
    <w:p w14:paraId="6C8CA288">
      <w:pPr>
        <w:pStyle w:val="5"/>
        <w:snapToGrid w:val="0"/>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w:t>
      </w:r>
      <w:r>
        <w:rPr>
          <w:rFonts w:hint="eastAsia" w:hAnsi="宋体" w:eastAsia="宋体" w:cs="宋体"/>
          <w:bCs/>
          <w:color w:val="auto"/>
          <w:sz w:val="21"/>
          <w:szCs w:val="21"/>
          <w:highlight w:val="none"/>
          <w:lang w:val="en-US" w:eastAsia="zh-CN"/>
        </w:rPr>
        <w:t>上传</w:t>
      </w:r>
      <w:r>
        <w:rPr>
          <w:rFonts w:hint="eastAsia" w:ascii="宋体" w:hAnsi="宋体" w:eastAsia="宋体" w:cs="宋体"/>
          <w:bCs/>
          <w:color w:val="auto"/>
          <w:sz w:val="21"/>
          <w:szCs w:val="21"/>
          <w:highlight w:val="none"/>
          <w:lang w:val="en-US" w:eastAsia="zh-CN"/>
        </w:rPr>
        <w:t>的</w:t>
      </w:r>
      <w:r>
        <w:rPr>
          <w:rFonts w:hint="eastAsia" w:hAnsi="宋体" w:eastAsia="宋体" w:cs="宋体"/>
          <w:bCs/>
          <w:color w:val="auto"/>
          <w:sz w:val="21"/>
          <w:szCs w:val="21"/>
          <w:highlight w:val="none"/>
          <w:lang w:val="en-US" w:eastAsia="zh-CN"/>
        </w:rPr>
        <w:t>照片</w:t>
      </w:r>
      <w:r>
        <w:rPr>
          <w:rFonts w:hint="eastAsia" w:ascii="宋体" w:hAnsi="宋体" w:eastAsia="宋体" w:cs="宋体"/>
          <w:bCs/>
          <w:color w:val="auto"/>
          <w:sz w:val="21"/>
          <w:szCs w:val="21"/>
          <w:highlight w:val="none"/>
          <w:lang w:val="en-US" w:eastAsia="zh-CN"/>
        </w:rPr>
        <w:t>文件应清晰、完整、不偏斜、不失真</w:t>
      </w:r>
      <w:r>
        <w:rPr>
          <w:rFonts w:hint="eastAsia"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lang w:val="en-US" w:eastAsia="zh-CN"/>
        </w:rPr>
        <w:t>避免因图片模糊、变形、失真等因素造成评审结果有误。</w:t>
      </w:r>
    </w:p>
    <w:p w14:paraId="319FFCBA">
      <w:pP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br w:type="page"/>
      </w:r>
    </w:p>
    <w:p w14:paraId="03F4F30D">
      <w:pPr>
        <w:pStyle w:val="12"/>
        <w:ind w:firstLine="120"/>
        <w:rPr>
          <w:highlight w:val="none"/>
        </w:rPr>
      </w:pPr>
      <w:r>
        <w:rPr>
          <w:rFonts w:hint="eastAsia" w:ascii="宋体" w:hAnsi="宋体"/>
          <w:b/>
          <w:highlight w:val="none"/>
          <w:lang w:val="en-US" w:eastAsia="zh-CN"/>
        </w:rPr>
        <w:t>02包宝应南片区、03包宝应东片区</w:t>
      </w:r>
      <w:r>
        <w:rPr>
          <w:rFonts w:hint="eastAsia" w:ascii="宋体" w:hAnsi="宋体"/>
          <w:b/>
          <w:highlight w:val="none"/>
        </w:rPr>
        <w:t>评标标准</w:t>
      </w:r>
    </w:p>
    <w:tbl>
      <w:tblPr>
        <w:tblStyle w:val="9"/>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1"/>
        <w:gridCol w:w="1344"/>
        <w:gridCol w:w="6056"/>
      </w:tblGrid>
      <w:tr w14:paraId="75838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781" w:type="dxa"/>
            <w:tcBorders>
              <w:top w:val="single" w:color="auto" w:sz="4" w:space="0"/>
              <w:left w:val="single" w:color="auto" w:sz="4" w:space="0"/>
              <w:bottom w:val="single" w:color="auto" w:sz="4" w:space="0"/>
              <w:right w:val="single" w:color="auto" w:sz="4" w:space="0"/>
            </w:tcBorders>
            <w:noWrap w:val="0"/>
            <w:vAlign w:val="center"/>
          </w:tcPr>
          <w:p w14:paraId="7282E4B8">
            <w:pPr>
              <w:widowControl/>
              <w:autoSpaceDE w:val="0"/>
              <w:autoSpaceDN w:val="0"/>
              <w:adjustRightInd w:val="0"/>
              <w:spacing w:line="40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项  目</w:t>
            </w:r>
          </w:p>
        </w:tc>
        <w:tc>
          <w:tcPr>
            <w:tcW w:w="7400" w:type="dxa"/>
            <w:gridSpan w:val="2"/>
            <w:tcBorders>
              <w:top w:val="single" w:color="auto" w:sz="4" w:space="0"/>
              <w:left w:val="single" w:color="auto" w:sz="4" w:space="0"/>
              <w:bottom w:val="single" w:color="auto" w:sz="4" w:space="0"/>
              <w:right w:val="single" w:color="auto" w:sz="4" w:space="0"/>
            </w:tcBorders>
            <w:noWrap w:val="0"/>
            <w:vAlign w:val="center"/>
          </w:tcPr>
          <w:p w14:paraId="2D9294BB">
            <w:pPr>
              <w:widowControl/>
              <w:autoSpaceDE w:val="0"/>
              <w:autoSpaceDN w:val="0"/>
              <w:adjustRightInd w:val="0"/>
              <w:spacing w:line="40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  分  标  准</w:t>
            </w:r>
          </w:p>
        </w:tc>
      </w:tr>
      <w:tr w14:paraId="6A8B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4" w:hRule="atLeast"/>
          <w:jc w:val="center"/>
        </w:trPr>
        <w:tc>
          <w:tcPr>
            <w:tcW w:w="1781" w:type="dxa"/>
            <w:tcBorders>
              <w:top w:val="single" w:color="auto" w:sz="4" w:space="0"/>
              <w:left w:val="single" w:color="auto" w:sz="4" w:space="0"/>
              <w:bottom w:val="single" w:color="auto" w:sz="4" w:space="0"/>
              <w:right w:val="single" w:color="auto" w:sz="4" w:space="0"/>
            </w:tcBorders>
            <w:noWrap w:val="0"/>
            <w:vAlign w:val="center"/>
          </w:tcPr>
          <w:p w14:paraId="631B67CF">
            <w:pPr>
              <w:spacing w:line="400" w:lineRule="exact"/>
              <w:jc w:val="center"/>
              <w:rPr>
                <w:rFonts w:ascii="宋体" w:hAnsi="宋体" w:cs="宋体"/>
                <w:color w:val="auto"/>
                <w:kern w:val="0"/>
                <w:szCs w:val="21"/>
                <w:highlight w:val="none"/>
              </w:rPr>
            </w:pPr>
            <w:r>
              <w:rPr>
                <w:rFonts w:hint="eastAsia" w:ascii="宋体" w:hAnsi="宋体"/>
                <w:color w:val="auto"/>
                <w:szCs w:val="21"/>
                <w:highlight w:val="none"/>
              </w:rPr>
              <w:t>报价（10分）</w:t>
            </w:r>
          </w:p>
        </w:tc>
        <w:tc>
          <w:tcPr>
            <w:tcW w:w="7400" w:type="dxa"/>
            <w:gridSpan w:val="2"/>
            <w:tcBorders>
              <w:top w:val="single" w:color="auto" w:sz="4" w:space="0"/>
              <w:left w:val="single" w:color="auto" w:sz="4" w:space="0"/>
              <w:bottom w:val="single" w:color="auto" w:sz="4" w:space="0"/>
              <w:right w:val="single" w:color="auto" w:sz="4" w:space="0"/>
            </w:tcBorders>
            <w:noWrap w:val="0"/>
            <w:vAlign w:val="center"/>
          </w:tcPr>
          <w:p w14:paraId="0C83AAF0">
            <w:pPr>
              <w:spacing w:line="400" w:lineRule="exact"/>
              <w:ind w:right="-132" w:rightChars="-66"/>
              <w:rPr>
                <w:rFonts w:ascii="宋体" w:hAnsi="宋体"/>
                <w:color w:val="auto"/>
                <w:szCs w:val="21"/>
                <w:highlight w:val="none"/>
              </w:rPr>
            </w:pPr>
            <w:r>
              <w:rPr>
                <w:rFonts w:hint="eastAsia" w:ascii="宋体" w:hAnsi="宋体"/>
                <w:color w:val="auto"/>
                <w:szCs w:val="21"/>
                <w:highlight w:val="none"/>
              </w:rPr>
              <w:t>满足招标文件要求且投标价格最低的投标报价为评标基准价，其价格分为满分。其他投标人的价格分统一按照下列公式计算：</w:t>
            </w:r>
          </w:p>
          <w:p w14:paraId="1C6882D2">
            <w:pPr>
              <w:spacing w:line="400" w:lineRule="exact"/>
              <w:rPr>
                <w:rFonts w:ascii="宋体" w:hAnsi="宋体"/>
                <w:color w:val="auto"/>
                <w:szCs w:val="21"/>
                <w:highlight w:val="none"/>
              </w:rPr>
            </w:pPr>
            <w:r>
              <w:rPr>
                <w:rFonts w:hint="eastAsia" w:ascii="宋体" w:hAnsi="宋体"/>
                <w:color w:val="auto"/>
                <w:szCs w:val="21"/>
                <w:highlight w:val="none"/>
              </w:rPr>
              <w:t>投标报价得分＝（评标基准价／投标报价）×10，小数点保留2位。</w:t>
            </w:r>
          </w:p>
        </w:tc>
      </w:tr>
      <w:tr w14:paraId="35919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781" w:type="dxa"/>
            <w:vMerge w:val="restart"/>
            <w:tcBorders>
              <w:left w:val="single" w:color="auto" w:sz="4" w:space="0"/>
              <w:right w:val="single" w:color="auto" w:sz="4" w:space="0"/>
            </w:tcBorders>
            <w:noWrap w:val="0"/>
            <w:vAlign w:val="center"/>
          </w:tcPr>
          <w:p w14:paraId="7BD78043">
            <w:pPr>
              <w:spacing w:line="400" w:lineRule="exact"/>
              <w:jc w:val="center"/>
              <w:rPr>
                <w:rFonts w:ascii="宋体" w:hAnsi="宋体"/>
                <w:color w:val="auto"/>
                <w:szCs w:val="21"/>
                <w:highlight w:val="none"/>
              </w:rPr>
            </w:pPr>
            <w:r>
              <w:rPr>
                <w:rFonts w:hint="eastAsia" w:ascii="宋体" w:hAnsi="宋体"/>
                <w:color w:val="auto"/>
                <w:szCs w:val="21"/>
                <w:highlight w:val="none"/>
              </w:rPr>
              <w:t>场地要求（</w:t>
            </w:r>
            <w:r>
              <w:rPr>
                <w:rFonts w:hint="eastAsia"/>
                <w:color w:val="auto"/>
                <w:szCs w:val="21"/>
                <w:highlight w:val="none"/>
                <w:lang w:val="en-US" w:eastAsia="zh-CN"/>
              </w:rPr>
              <w:t>34</w:t>
            </w:r>
            <w:r>
              <w:rPr>
                <w:rFonts w:hint="eastAsia" w:ascii="宋体" w:hAnsi="宋体"/>
                <w:color w:val="auto"/>
                <w:szCs w:val="21"/>
                <w:highlight w:val="none"/>
              </w:rPr>
              <w:t>分）</w:t>
            </w:r>
          </w:p>
        </w:tc>
        <w:tc>
          <w:tcPr>
            <w:tcW w:w="1344" w:type="dxa"/>
            <w:tcBorders>
              <w:top w:val="single" w:color="auto" w:sz="4" w:space="0"/>
              <w:left w:val="single" w:color="auto" w:sz="4" w:space="0"/>
              <w:bottom w:val="single" w:color="auto" w:sz="4" w:space="0"/>
              <w:right w:val="single" w:color="auto" w:sz="4" w:space="0"/>
            </w:tcBorders>
            <w:noWrap w:val="0"/>
            <w:vAlign w:val="center"/>
          </w:tcPr>
          <w:p w14:paraId="101CC129">
            <w:pPr>
              <w:spacing w:line="400" w:lineRule="exact"/>
              <w:jc w:val="center"/>
              <w:rPr>
                <w:rFonts w:ascii="宋体" w:hAnsi="宋体"/>
                <w:color w:val="auto"/>
                <w:szCs w:val="21"/>
                <w:highlight w:val="none"/>
              </w:rPr>
            </w:pPr>
            <w:r>
              <w:rPr>
                <w:rFonts w:hint="eastAsia"/>
                <w:color w:val="auto"/>
                <w:szCs w:val="21"/>
                <w:highlight w:val="none"/>
                <w:lang w:val="en-US" w:eastAsia="zh-CN"/>
              </w:rPr>
              <w:t>10</w:t>
            </w:r>
            <w:r>
              <w:rPr>
                <w:rFonts w:hint="eastAsia" w:ascii="宋体" w:hAnsi="宋体"/>
                <w:color w:val="auto"/>
                <w:szCs w:val="21"/>
                <w:highlight w:val="none"/>
              </w:rPr>
              <w:t>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67629CEE">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宝应南片</w:t>
            </w:r>
            <w:r>
              <w:rPr>
                <w:rFonts w:hint="eastAsia" w:ascii="宋体" w:hAnsi="宋体"/>
                <w:color w:val="auto"/>
                <w:szCs w:val="21"/>
                <w:highlight w:val="none"/>
                <w:lang w:val="en-US" w:eastAsia="zh-CN"/>
              </w:rPr>
              <w:t>区</w:t>
            </w:r>
            <w:r>
              <w:rPr>
                <w:rFonts w:hint="eastAsia" w:ascii="宋体" w:hAnsi="宋体"/>
                <w:color w:val="auto"/>
                <w:szCs w:val="21"/>
                <w:highlight w:val="none"/>
              </w:rPr>
              <w:t>、宝应东</w:t>
            </w:r>
            <w:r>
              <w:rPr>
                <w:rFonts w:hint="eastAsia"/>
                <w:color w:val="auto"/>
                <w:szCs w:val="21"/>
                <w:highlight w:val="none"/>
                <w:lang w:val="en-US" w:eastAsia="zh-CN"/>
              </w:rPr>
              <w:t>片</w:t>
            </w:r>
            <w:r>
              <w:rPr>
                <w:rFonts w:hint="eastAsia" w:ascii="宋体" w:hAnsi="宋体"/>
                <w:color w:val="auto"/>
                <w:szCs w:val="21"/>
                <w:highlight w:val="none"/>
              </w:rPr>
              <w:t>区停车场停车面积</w:t>
            </w:r>
            <w:r>
              <w:rPr>
                <w:rFonts w:hint="eastAsia" w:ascii="宋体" w:hAnsi="宋体"/>
                <w:color w:val="auto"/>
                <w:szCs w:val="21"/>
                <w:highlight w:val="none"/>
                <w:lang w:val="en-US" w:eastAsia="zh-CN"/>
              </w:rPr>
              <w:t>（S）（须全部用于停放车辆，不得挪作他用）</w:t>
            </w:r>
            <w:r>
              <w:rPr>
                <w:rFonts w:hint="eastAsia" w:ascii="宋体" w:hAnsi="宋体" w:eastAsia="宋体" w:cs="宋体"/>
                <w:color w:val="auto"/>
                <w:szCs w:val="21"/>
                <w:highlight w:val="none"/>
                <w:lang w:val="en-US" w:eastAsia="zh-CN"/>
              </w:rPr>
              <w:t>：S≥4300㎡，得10分；4300㎡＜</w:t>
            </w:r>
            <w:r>
              <w:rPr>
                <w:rFonts w:hint="eastAsia" w:ascii="宋体" w:hAnsi="宋体"/>
                <w:color w:val="auto"/>
                <w:szCs w:val="21"/>
                <w:highlight w:val="none"/>
                <w:lang w:val="en-US" w:eastAsia="zh-CN"/>
              </w:rPr>
              <w:t>S≤</w:t>
            </w:r>
            <w:r>
              <w:rPr>
                <w:rFonts w:hint="eastAsia" w:ascii="宋体" w:hAnsi="宋体" w:eastAsia="宋体" w:cs="宋体"/>
                <w:color w:val="auto"/>
                <w:szCs w:val="21"/>
                <w:highlight w:val="none"/>
                <w:lang w:val="en-US" w:eastAsia="zh-CN"/>
              </w:rPr>
              <w:t>3800㎡，得</w:t>
            </w:r>
            <w:r>
              <w:rPr>
                <w:rFonts w:hint="eastAsia"/>
                <w:color w:val="auto"/>
                <w:szCs w:val="21"/>
                <w:highlight w:val="none"/>
                <w:lang w:val="en-US" w:eastAsia="zh-CN"/>
              </w:rPr>
              <w:t>8</w:t>
            </w:r>
            <w:r>
              <w:rPr>
                <w:rFonts w:hint="eastAsia" w:ascii="宋体" w:hAnsi="宋体"/>
                <w:color w:val="auto"/>
                <w:szCs w:val="21"/>
                <w:highlight w:val="none"/>
                <w:lang w:val="en-US" w:eastAsia="zh-CN"/>
              </w:rPr>
              <w:t>分；</w:t>
            </w:r>
            <w:r>
              <w:rPr>
                <w:rFonts w:hint="eastAsia"/>
                <w:color w:val="auto"/>
                <w:szCs w:val="21"/>
                <w:highlight w:val="none"/>
                <w:lang w:val="en-US" w:eastAsia="zh-CN"/>
              </w:rPr>
              <w:t>3800</w:t>
            </w:r>
            <w:r>
              <w:rPr>
                <w:rFonts w:hint="eastAsia" w:ascii="宋体" w:hAnsi="宋体"/>
                <w:color w:val="auto"/>
                <w:szCs w:val="21"/>
                <w:highlight w:val="none"/>
                <w:lang w:val="en-US" w:eastAsia="zh-CN"/>
              </w:rPr>
              <w:t>㎡</w:t>
            </w:r>
            <w:r>
              <w:rPr>
                <w:rFonts w:hint="eastAsia" w:ascii="宋体" w:hAnsi="宋体" w:eastAsia="宋体" w:cs="宋体"/>
                <w:color w:val="auto"/>
                <w:szCs w:val="21"/>
                <w:highlight w:val="none"/>
                <w:lang w:val="en-US" w:eastAsia="zh-CN"/>
              </w:rPr>
              <w:t>＜</w:t>
            </w:r>
            <w:r>
              <w:rPr>
                <w:rFonts w:hint="eastAsia" w:ascii="宋体" w:hAnsi="宋体"/>
                <w:color w:val="auto"/>
                <w:szCs w:val="21"/>
                <w:highlight w:val="none"/>
                <w:lang w:val="en-US" w:eastAsia="zh-CN"/>
              </w:rPr>
              <w:t>S≤</w:t>
            </w:r>
            <w:r>
              <w:rPr>
                <w:rFonts w:hint="eastAsia"/>
                <w:color w:val="auto"/>
                <w:szCs w:val="21"/>
                <w:highlight w:val="none"/>
                <w:lang w:val="en-US" w:eastAsia="zh-CN"/>
              </w:rPr>
              <w:t>33</w:t>
            </w:r>
            <w:r>
              <w:rPr>
                <w:rFonts w:hint="eastAsia" w:ascii="宋体" w:hAnsi="宋体"/>
                <w:color w:val="auto"/>
                <w:szCs w:val="21"/>
                <w:highlight w:val="none"/>
                <w:lang w:val="en-US" w:eastAsia="zh-CN"/>
              </w:rPr>
              <w:t>00㎡，得</w:t>
            </w:r>
            <w:r>
              <w:rPr>
                <w:rFonts w:hint="eastAsia"/>
                <w:color w:val="auto"/>
                <w:szCs w:val="21"/>
                <w:highlight w:val="none"/>
                <w:lang w:val="en-US" w:eastAsia="zh-CN"/>
              </w:rPr>
              <w:t>6</w:t>
            </w:r>
            <w:r>
              <w:rPr>
                <w:rFonts w:hint="eastAsia" w:ascii="宋体" w:hAnsi="宋体"/>
                <w:color w:val="auto"/>
                <w:szCs w:val="21"/>
                <w:highlight w:val="none"/>
                <w:lang w:val="en-US" w:eastAsia="zh-CN"/>
              </w:rPr>
              <w:t>分；</w:t>
            </w:r>
            <w:r>
              <w:rPr>
                <w:rFonts w:hint="eastAsia"/>
                <w:color w:val="auto"/>
                <w:szCs w:val="21"/>
                <w:highlight w:val="none"/>
                <w:lang w:val="en-US" w:eastAsia="zh-CN"/>
              </w:rPr>
              <w:t>33</w:t>
            </w:r>
            <w:r>
              <w:rPr>
                <w:rFonts w:hint="eastAsia" w:ascii="宋体" w:hAnsi="宋体"/>
                <w:color w:val="auto"/>
                <w:szCs w:val="21"/>
                <w:highlight w:val="none"/>
                <w:lang w:val="en-US" w:eastAsia="zh-CN"/>
              </w:rPr>
              <w:t>00㎡</w:t>
            </w:r>
            <w:r>
              <w:rPr>
                <w:rFonts w:hint="eastAsia" w:ascii="宋体" w:hAnsi="宋体" w:eastAsia="宋体" w:cs="宋体"/>
                <w:color w:val="auto"/>
                <w:szCs w:val="21"/>
                <w:highlight w:val="none"/>
                <w:lang w:val="en-US" w:eastAsia="zh-CN"/>
              </w:rPr>
              <w:t>＜</w:t>
            </w:r>
            <w:r>
              <w:rPr>
                <w:rFonts w:hint="eastAsia" w:ascii="宋体" w:hAnsi="宋体"/>
                <w:color w:val="auto"/>
                <w:szCs w:val="21"/>
                <w:highlight w:val="none"/>
                <w:lang w:val="en-US" w:eastAsia="zh-CN"/>
              </w:rPr>
              <w:t>S≤</w:t>
            </w:r>
            <w:r>
              <w:rPr>
                <w:rFonts w:hint="eastAsia"/>
                <w:color w:val="auto"/>
                <w:szCs w:val="21"/>
                <w:highlight w:val="none"/>
                <w:lang w:val="en-US" w:eastAsia="zh-CN"/>
              </w:rPr>
              <w:t>28</w:t>
            </w:r>
            <w:r>
              <w:rPr>
                <w:rFonts w:hint="eastAsia" w:ascii="宋体" w:hAnsi="宋体"/>
                <w:color w:val="auto"/>
                <w:szCs w:val="21"/>
                <w:highlight w:val="none"/>
                <w:lang w:val="en-US" w:eastAsia="zh-CN"/>
              </w:rPr>
              <w:t>00㎡，得</w:t>
            </w:r>
            <w:r>
              <w:rPr>
                <w:rFonts w:hint="eastAsia"/>
                <w:color w:val="auto"/>
                <w:szCs w:val="21"/>
                <w:highlight w:val="none"/>
                <w:lang w:val="en-US" w:eastAsia="zh-CN"/>
              </w:rPr>
              <w:t>4</w:t>
            </w:r>
            <w:r>
              <w:rPr>
                <w:rFonts w:hint="eastAsia" w:ascii="宋体" w:hAnsi="宋体"/>
                <w:color w:val="auto"/>
                <w:szCs w:val="21"/>
                <w:highlight w:val="none"/>
                <w:lang w:val="en-US" w:eastAsia="zh-CN"/>
              </w:rPr>
              <w:t>分；其余情况不得分</w:t>
            </w:r>
            <w:r>
              <w:rPr>
                <w:rFonts w:hint="eastAsia" w:ascii="宋体" w:hAnsi="宋体"/>
                <w:color w:val="auto"/>
                <w:szCs w:val="21"/>
                <w:highlight w:val="none"/>
              </w:rPr>
              <w:t>。</w:t>
            </w:r>
          </w:p>
          <w:p w14:paraId="55C83958">
            <w:pPr>
              <w:spacing w:line="400" w:lineRule="exact"/>
              <w:rPr>
                <w:rFonts w:ascii="宋体" w:hAnsi="宋体"/>
                <w:color w:val="auto"/>
                <w:szCs w:val="21"/>
                <w:highlight w:val="none"/>
              </w:rPr>
            </w:pPr>
            <w:r>
              <w:rPr>
                <w:rFonts w:hint="eastAsia" w:ascii="宋体" w:hAnsi="宋体"/>
                <w:color w:val="auto"/>
                <w:szCs w:val="21"/>
                <w:highlight w:val="none"/>
              </w:rPr>
              <w:t>投标人提供现场照片及文字说明制作在投标文件中，照片要求道路全景和局部照片，能够</w:t>
            </w:r>
            <w:r>
              <w:rPr>
                <w:rFonts w:hint="eastAsia" w:ascii="宋体" w:hAnsi="宋体"/>
                <w:color w:val="auto"/>
                <w:szCs w:val="21"/>
                <w:highlight w:val="none"/>
                <w:lang w:eastAsia="zh-CN"/>
              </w:rPr>
              <w:t>反映</w:t>
            </w:r>
            <w:r>
              <w:rPr>
                <w:rFonts w:hint="eastAsia" w:ascii="宋体" w:hAnsi="宋体"/>
                <w:color w:val="auto"/>
                <w:szCs w:val="21"/>
                <w:highlight w:val="none"/>
              </w:rPr>
              <w:t>道路长度、宽度。无照片不得分。</w:t>
            </w:r>
          </w:p>
        </w:tc>
      </w:tr>
      <w:tr w14:paraId="69DD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781" w:type="dxa"/>
            <w:vMerge w:val="continue"/>
            <w:tcBorders>
              <w:left w:val="single" w:color="auto" w:sz="4" w:space="0"/>
              <w:right w:val="single" w:color="auto" w:sz="4" w:space="0"/>
            </w:tcBorders>
            <w:noWrap w:val="0"/>
            <w:vAlign w:val="center"/>
          </w:tcPr>
          <w:p w14:paraId="6D4D7CFB">
            <w:pPr>
              <w:spacing w:line="400" w:lineRule="exact"/>
              <w:jc w:val="center"/>
              <w:rPr>
                <w:rFonts w:ascii="宋体" w:hAnsi="宋体"/>
                <w:color w:val="auto"/>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656EA90C">
            <w:pPr>
              <w:spacing w:line="400" w:lineRule="exact"/>
              <w:jc w:val="center"/>
              <w:rPr>
                <w:rFonts w:ascii="宋体" w:hAnsi="宋体"/>
                <w:color w:val="auto"/>
                <w:szCs w:val="21"/>
                <w:highlight w:val="none"/>
              </w:rPr>
            </w:pPr>
            <w:r>
              <w:rPr>
                <w:rFonts w:hint="eastAsia"/>
                <w:color w:val="auto"/>
                <w:szCs w:val="21"/>
                <w:highlight w:val="none"/>
                <w:lang w:val="en-US" w:eastAsia="zh-CN"/>
              </w:rPr>
              <w:t>6</w:t>
            </w:r>
            <w:r>
              <w:rPr>
                <w:rFonts w:hint="eastAsia" w:ascii="宋体" w:hAnsi="宋体"/>
                <w:color w:val="auto"/>
                <w:szCs w:val="21"/>
                <w:highlight w:val="none"/>
              </w:rPr>
              <w:t>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02128B41">
            <w:pPr>
              <w:spacing w:line="400" w:lineRule="exact"/>
              <w:ind w:firstLine="400" w:firstLineChars="200"/>
              <w:rPr>
                <w:rFonts w:ascii="宋体" w:hAnsi="宋体"/>
                <w:color w:val="auto"/>
                <w:szCs w:val="21"/>
                <w:highlight w:val="none"/>
              </w:rPr>
            </w:pPr>
            <w:r>
              <w:rPr>
                <w:rFonts w:hint="eastAsia" w:ascii="宋体" w:hAnsi="宋体"/>
                <w:color w:val="auto"/>
                <w:szCs w:val="21"/>
                <w:highlight w:val="none"/>
              </w:rPr>
              <w:t>执法停车场进出口搭接道路（硬质路面）宽度</w:t>
            </w:r>
            <w:r>
              <w:rPr>
                <w:rFonts w:hint="eastAsia"/>
                <w:color w:val="auto"/>
                <w:szCs w:val="21"/>
                <w:highlight w:val="none"/>
                <w:lang w:eastAsia="zh-CN"/>
              </w:rPr>
              <w:t>（</w:t>
            </w:r>
            <w:r>
              <w:rPr>
                <w:rFonts w:hint="eastAsia"/>
                <w:color w:val="auto"/>
                <w:szCs w:val="21"/>
                <w:highlight w:val="none"/>
                <w:lang w:val="en-US" w:eastAsia="zh-CN"/>
              </w:rPr>
              <w:t>W</w:t>
            </w:r>
            <w:r>
              <w:rPr>
                <w:rFonts w:hint="eastAsia"/>
                <w:color w:val="auto"/>
                <w:szCs w:val="21"/>
                <w:highlight w:val="none"/>
                <w:lang w:eastAsia="zh-CN"/>
              </w:rPr>
              <w:t>）：</w:t>
            </w:r>
            <w:r>
              <w:rPr>
                <w:rFonts w:hint="eastAsia"/>
                <w:color w:val="auto"/>
                <w:szCs w:val="21"/>
                <w:highlight w:val="none"/>
                <w:lang w:val="en-US" w:eastAsia="zh-CN"/>
              </w:rPr>
              <w:t>W≥</w:t>
            </w:r>
            <w:r>
              <w:rPr>
                <w:rFonts w:hint="eastAsia" w:ascii="宋体" w:hAnsi="宋体"/>
                <w:color w:val="auto"/>
                <w:szCs w:val="21"/>
                <w:highlight w:val="none"/>
              </w:rPr>
              <w:t>5m，得</w:t>
            </w:r>
            <w:r>
              <w:rPr>
                <w:rFonts w:hint="eastAsia"/>
                <w:color w:val="auto"/>
                <w:szCs w:val="21"/>
                <w:highlight w:val="none"/>
                <w:lang w:val="en-US" w:eastAsia="zh-CN"/>
              </w:rPr>
              <w:t>6</w:t>
            </w:r>
            <w:r>
              <w:rPr>
                <w:rFonts w:hint="eastAsia" w:ascii="宋体" w:hAnsi="宋体"/>
                <w:color w:val="auto"/>
                <w:szCs w:val="21"/>
                <w:highlight w:val="none"/>
              </w:rPr>
              <w:t>分。5m</w:t>
            </w:r>
            <w:r>
              <w:rPr>
                <w:rFonts w:hint="eastAsia" w:ascii="宋体" w:hAnsi="宋体" w:eastAsia="宋体" w:cs="宋体"/>
                <w:color w:val="auto"/>
                <w:szCs w:val="21"/>
                <w:highlight w:val="none"/>
                <w:lang w:val="en-US" w:eastAsia="zh-CN"/>
              </w:rPr>
              <w:t>＜</w:t>
            </w:r>
            <w:r>
              <w:rPr>
                <w:rFonts w:hint="eastAsia" w:ascii="宋体" w:hAnsi="宋体"/>
                <w:color w:val="auto"/>
                <w:szCs w:val="21"/>
                <w:highlight w:val="none"/>
                <w:lang w:val="en-US" w:eastAsia="zh-CN"/>
              </w:rPr>
              <w:t>W≤4</w:t>
            </w:r>
            <w:r>
              <w:rPr>
                <w:rFonts w:hint="eastAsia" w:ascii="宋体" w:hAnsi="宋体"/>
                <w:color w:val="auto"/>
                <w:szCs w:val="21"/>
                <w:highlight w:val="none"/>
              </w:rPr>
              <w:t>m，得</w:t>
            </w:r>
            <w:r>
              <w:rPr>
                <w:rFonts w:hint="eastAsia"/>
                <w:color w:val="auto"/>
                <w:szCs w:val="21"/>
                <w:highlight w:val="none"/>
                <w:lang w:val="en-US" w:eastAsia="zh-CN"/>
              </w:rPr>
              <w:t>4</w:t>
            </w:r>
            <w:r>
              <w:rPr>
                <w:rFonts w:hint="eastAsia" w:ascii="宋体" w:hAnsi="宋体"/>
                <w:color w:val="auto"/>
                <w:szCs w:val="21"/>
                <w:highlight w:val="none"/>
              </w:rPr>
              <w:t>分；</w:t>
            </w:r>
            <w:r>
              <w:rPr>
                <w:rFonts w:hint="eastAsia"/>
                <w:color w:val="auto"/>
                <w:szCs w:val="21"/>
                <w:highlight w:val="none"/>
                <w:lang w:val="en-US" w:eastAsia="zh-CN"/>
              </w:rPr>
              <w:t>4</w:t>
            </w:r>
            <w:r>
              <w:rPr>
                <w:rFonts w:hint="eastAsia" w:ascii="宋体" w:hAnsi="宋体"/>
                <w:color w:val="auto"/>
                <w:szCs w:val="21"/>
                <w:highlight w:val="none"/>
              </w:rPr>
              <w:t>m</w:t>
            </w:r>
            <w:r>
              <w:rPr>
                <w:rFonts w:hint="eastAsia" w:ascii="宋体" w:hAnsi="宋体" w:eastAsia="宋体" w:cs="宋体"/>
                <w:color w:val="auto"/>
                <w:szCs w:val="21"/>
                <w:highlight w:val="none"/>
                <w:lang w:val="en-US" w:eastAsia="zh-CN"/>
              </w:rPr>
              <w:t>＜</w:t>
            </w:r>
            <w:r>
              <w:rPr>
                <w:rFonts w:hint="eastAsia" w:ascii="宋体" w:hAnsi="宋体"/>
                <w:color w:val="auto"/>
                <w:szCs w:val="21"/>
                <w:highlight w:val="none"/>
                <w:lang w:val="en-US" w:eastAsia="zh-CN"/>
              </w:rPr>
              <w:t>W≤</w:t>
            </w:r>
            <w:r>
              <w:rPr>
                <w:rFonts w:hint="eastAsia"/>
                <w:color w:val="auto"/>
                <w:szCs w:val="21"/>
                <w:highlight w:val="none"/>
                <w:lang w:val="en-US" w:eastAsia="zh-CN"/>
              </w:rPr>
              <w:t>3.5</w:t>
            </w:r>
            <w:r>
              <w:rPr>
                <w:rFonts w:hint="eastAsia" w:ascii="宋体" w:hAnsi="宋体"/>
                <w:color w:val="auto"/>
                <w:szCs w:val="21"/>
                <w:highlight w:val="none"/>
              </w:rPr>
              <w:t>m，得</w:t>
            </w:r>
            <w:r>
              <w:rPr>
                <w:rFonts w:hint="eastAsia"/>
                <w:color w:val="auto"/>
                <w:szCs w:val="21"/>
                <w:highlight w:val="none"/>
                <w:lang w:val="en-US" w:eastAsia="zh-CN"/>
              </w:rPr>
              <w:t>2</w:t>
            </w:r>
            <w:r>
              <w:rPr>
                <w:rFonts w:hint="eastAsia" w:ascii="宋体" w:hAnsi="宋体"/>
                <w:color w:val="auto"/>
                <w:szCs w:val="21"/>
                <w:highlight w:val="none"/>
              </w:rPr>
              <w:t>分</w:t>
            </w:r>
            <w:r>
              <w:rPr>
                <w:rFonts w:hint="eastAsia"/>
                <w:color w:val="auto"/>
                <w:szCs w:val="21"/>
                <w:highlight w:val="none"/>
                <w:lang w:eastAsia="zh-CN"/>
              </w:rPr>
              <w:t>；</w:t>
            </w:r>
            <w:r>
              <w:rPr>
                <w:rFonts w:hint="eastAsia"/>
                <w:color w:val="auto"/>
                <w:szCs w:val="21"/>
                <w:highlight w:val="none"/>
                <w:lang w:val="en-US" w:eastAsia="zh-CN"/>
              </w:rPr>
              <w:t>其余情况不得分</w:t>
            </w:r>
            <w:r>
              <w:rPr>
                <w:rFonts w:hint="eastAsia" w:ascii="宋体" w:hAnsi="宋体"/>
                <w:color w:val="auto"/>
                <w:szCs w:val="21"/>
                <w:highlight w:val="none"/>
              </w:rPr>
              <w:t>。</w:t>
            </w:r>
          </w:p>
          <w:p w14:paraId="0352C64A">
            <w:pPr>
              <w:spacing w:line="400" w:lineRule="exact"/>
              <w:ind w:firstLine="400" w:firstLineChars="200"/>
              <w:rPr>
                <w:rFonts w:ascii="宋体" w:hAnsi="宋体"/>
                <w:color w:val="auto"/>
                <w:szCs w:val="21"/>
                <w:highlight w:val="none"/>
              </w:rPr>
            </w:pPr>
            <w:r>
              <w:rPr>
                <w:rFonts w:hint="eastAsia" w:ascii="宋体" w:hAnsi="宋体"/>
                <w:color w:val="auto"/>
                <w:szCs w:val="21"/>
                <w:highlight w:val="none"/>
              </w:rPr>
              <w:t>投标人提供现场照片及文字说明制作在投标文件中，照片要求道路全景和局部照片，能够</w:t>
            </w:r>
            <w:r>
              <w:rPr>
                <w:rFonts w:hint="eastAsia" w:ascii="宋体" w:hAnsi="宋体"/>
                <w:color w:val="auto"/>
                <w:szCs w:val="21"/>
                <w:highlight w:val="none"/>
                <w:lang w:eastAsia="zh-CN"/>
              </w:rPr>
              <w:t>反映</w:t>
            </w:r>
            <w:r>
              <w:rPr>
                <w:rFonts w:hint="eastAsia" w:ascii="宋体" w:hAnsi="宋体"/>
                <w:color w:val="auto"/>
                <w:szCs w:val="21"/>
                <w:highlight w:val="none"/>
              </w:rPr>
              <w:t>道路长度、宽度。无照片不得分。</w:t>
            </w:r>
          </w:p>
        </w:tc>
      </w:tr>
      <w:tr w14:paraId="06C4D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781" w:type="dxa"/>
            <w:vMerge w:val="continue"/>
            <w:tcBorders>
              <w:left w:val="single" w:color="auto" w:sz="4" w:space="0"/>
              <w:right w:val="single" w:color="auto" w:sz="4" w:space="0"/>
            </w:tcBorders>
            <w:noWrap w:val="0"/>
            <w:vAlign w:val="center"/>
          </w:tcPr>
          <w:p w14:paraId="607E0562">
            <w:pPr>
              <w:spacing w:line="400" w:lineRule="exact"/>
              <w:rPr>
                <w:rFonts w:ascii="宋体" w:hAnsi="宋体"/>
                <w:color w:val="auto"/>
                <w:szCs w:val="21"/>
                <w:highlight w:val="none"/>
              </w:rPr>
            </w:pPr>
          </w:p>
        </w:tc>
        <w:tc>
          <w:tcPr>
            <w:tcW w:w="1344" w:type="dxa"/>
            <w:tcBorders>
              <w:top w:val="single" w:color="auto" w:sz="4" w:space="0"/>
              <w:left w:val="single" w:color="auto" w:sz="4" w:space="0"/>
              <w:bottom w:val="single" w:color="auto" w:sz="4" w:space="0"/>
              <w:right w:val="single" w:color="auto" w:sz="4" w:space="0"/>
            </w:tcBorders>
            <w:noWrap w:val="0"/>
            <w:vAlign w:val="center"/>
          </w:tcPr>
          <w:p w14:paraId="7530A27E">
            <w:pPr>
              <w:spacing w:line="400" w:lineRule="exact"/>
              <w:jc w:val="center"/>
              <w:rPr>
                <w:rFonts w:hint="eastAsia" w:ascii="宋体" w:hAnsi="宋体"/>
                <w:color w:val="auto"/>
                <w:szCs w:val="21"/>
                <w:highlight w:val="none"/>
              </w:rPr>
            </w:pPr>
            <w:r>
              <w:rPr>
                <w:rFonts w:hint="eastAsia"/>
                <w:color w:val="auto"/>
                <w:szCs w:val="21"/>
                <w:highlight w:val="none"/>
                <w:lang w:val="en-US" w:eastAsia="zh-CN"/>
              </w:rPr>
              <w:t>12分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33119273">
            <w:pPr>
              <w:spacing w:line="400" w:lineRule="exact"/>
              <w:ind w:firstLine="400" w:firstLineChars="200"/>
              <w:rPr>
                <w:rFonts w:hint="eastAsia"/>
                <w:color w:val="auto"/>
                <w:highlight w:val="none"/>
                <w:lang w:val="en-US" w:eastAsia="zh-CN"/>
              </w:rPr>
            </w:pPr>
            <w:r>
              <w:rPr>
                <w:rFonts w:hint="eastAsia"/>
                <w:color w:val="auto"/>
                <w:szCs w:val="21"/>
                <w:highlight w:val="none"/>
                <w:lang w:val="en-US" w:eastAsia="zh-CN"/>
              </w:rPr>
              <w:t>停车场所在位置到</w:t>
            </w:r>
            <w:r>
              <w:rPr>
                <w:rFonts w:hint="eastAsia"/>
                <w:color w:val="auto"/>
                <w:highlight w:val="none"/>
                <w:lang w:val="en-US" w:eastAsia="zh-CN"/>
              </w:rPr>
              <w:t>停车场位置基准点距离（L）（距离指停车场所在位置到各片区位置基准点汽车导航距离）：L≤</w:t>
            </w:r>
            <w:r>
              <w:rPr>
                <w:rFonts w:hint="eastAsia" w:ascii="宋体" w:hAnsi="宋体" w:eastAsia="宋体" w:cs="宋体"/>
                <w:color w:val="auto"/>
                <w:szCs w:val="21"/>
                <w:highlight w:val="none"/>
                <w:lang w:val="en-US" w:eastAsia="zh-CN"/>
              </w:rPr>
              <w:t>2公里，得12分；2.5公里≤</w:t>
            </w:r>
            <w:r>
              <w:rPr>
                <w:rFonts w:hint="eastAsia"/>
                <w:color w:val="auto"/>
                <w:highlight w:val="none"/>
                <w:lang w:val="en-US" w:eastAsia="zh-CN"/>
              </w:rPr>
              <w:t>L＜</w:t>
            </w:r>
            <w:r>
              <w:rPr>
                <w:rFonts w:hint="eastAsia" w:ascii="宋体" w:hAnsi="宋体" w:eastAsia="宋体" w:cs="宋体"/>
                <w:color w:val="auto"/>
                <w:szCs w:val="21"/>
                <w:highlight w:val="none"/>
                <w:lang w:val="en-US" w:eastAsia="zh-CN"/>
              </w:rPr>
              <w:t>2公里，得10分；3公里≤</w:t>
            </w:r>
            <w:r>
              <w:rPr>
                <w:rFonts w:hint="eastAsia"/>
                <w:color w:val="auto"/>
                <w:highlight w:val="none"/>
                <w:lang w:val="en-US" w:eastAsia="zh-CN"/>
              </w:rPr>
              <w:t>L＜</w:t>
            </w:r>
            <w:r>
              <w:rPr>
                <w:rFonts w:hint="eastAsia" w:ascii="宋体" w:hAnsi="宋体" w:eastAsia="宋体" w:cs="宋体"/>
                <w:color w:val="auto"/>
                <w:szCs w:val="21"/>
                <w:highlight w:val="none"/>
                <w:lang w:val="en-US" w:eastAsia="zh-CN"/>
              </w:rPr>
              <w:t>2.5公里，得8分；3.5公里≤</w:t>
            </w:r>
            <w:r>
              <w:rPr>
                <w:rFonts w:hint="eastAsia"/>
                <w:color w:val="auto"/>
                <w:highlight w:val="none"/>
                <w:lang w:val="en-US" w:eastAsia="zh-CN"/>
              </w:rPr>
              <w:t>L＜</w:t>
            </w:r>
            <w:r>
              <w:rPr>
                <w:rFonts w:hint="eastAsia" w:ascii="宋体" w:hAnsi="宋体" w:eastAsia="宋体" w:cs="宋体"/>
                <w:color w:val="auto"/>
                <w:szCs w:val="21"/>
                <w:highlight w:val="none"/>
                <w:lang w:val="en-US" w:eastAsia="zh-CN"/>
              </w:rPr>
              <w:t>3公里，得6分；4公里≤</w:t>
            </w:r>
            <w:r>
              <w:rPr>
                <w:rFonts w:hint="eastAsia"/>
                <w:color w:val="auto"/>
                <w:highlight w:val="none"/>
                <w:lang w:val="en-US" w:eastAsia="zh-CN"/>
              </w:rPr>
              <w:t>L＜</w:t>
            </w:r>
            <w:r>
              <w:rPr>
                <w:rFonts w:hint="eastAsia" w:ascii="宋体" w:hAnsi="宋体" w:eastAsia="宋体" w:cs="宋体"/>
                <w:color w:val="auto"/>
                <w:szCs w:val="21"/>
                <w:highlight w:val="none"/>
                <w:lang w:val="en-US" w:eastAsia="zh-CN"/>
              </w:rPr>
              <w:t>3.5公里，得4分；</w:t>
            </w:r>
            <w:r>
              <w:rPr>
                <w:rFonts w:hint="eastAsia" w:ascii="宋体" w:hAnsi="宋体"/>
                <w:color w:val="auto"/>
                <w:szCs w:val="21"/>
                <w:highlight w:val="none"/>
                <w:lang w:val="en-US" w:eastAsia="zh-CN"/>
              </w:rPr>
              <w:t>其余情况不得分</w:t>
            </w:r>
            <w:r>
              <w:rPr>
                <w:rFonts w:hint="eastAsia"/>
                <w:color w:val="auto"/>
                <w:highlight w:val="none"/>
                <w:lang w:val="en-US" w:eastAsia="zh-CN"/>
              </w:rPr>
              <w:t>。</w:t>
            </w:r>
          </w:p>
          <w:p w14:paraId="3C9CA245">
            <w:pPr>
              <w:spacing w:line="400" w:lineRule="exact"/>
              <w:ind w:firstLine="400" w:firstLineChars="200"/>
              <w:rPr>
                <w:rFonts w:hint="eastAsia" w:ascii="宋体" w:hAnsi="宋体"/>
                <w:color w:val="auto"/>
                <w:szCs w:val="21"/>
                <w:highlight w:val="none"/>
              </w:rPr>
            </w:pPr>
            <w:r>
              <w:rPr>
                <w:rFonts w:hint="eastAsia"/>
                <w:color w:val="auto"/>
                <w:highlight w:val="none"/>
                <w:lang w:val="en-US" w:eastAsia="zh-CN"/>
              </w:rPr>
              <w:t>投标人需提供停车场所在位置到各片区位置基准点汽车导航路线图，目的地以各片区执法停车场位置基准点为准。未提供汽车导航路线图得不得分。</w:t>
            </w:r>
          </w:p>
        </w:tc>
      </w:tr>
      <w:tr w14:paraId="4063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7" w:hRule="atLeast"/>
          <w:jc w:val="center"/>
        </w:trPr>
        <w:tc>
          <w:tcPr>
            <w:tcW w:w="1781" w:type="dxa"/>
            <w:vMerge w:val="continue"/>
            <w:tcBorders>
              <w:left w:val="single" w:color="auto" w:sz="4" w:space="0"/>
              <w:right w:val="single" w:color="auto" w:sz="4" w:space="0"/>
            </w:tcBorders>
            <w:noWrap w:val="0"/>
            <w:vAlign w:val="center"/>
          </w:tcPr>
          <w:p w14:paraId="56C81D06">
            <w:pPr>
              <w:spacing w:line="400" w:lineRule="exact"/>
              <w:rPr>
                <w:rFonts w:ascii="宋体" w:hAnsi="宋体"/>
                <w:color w:val="auto"/>
                <w:szCs w:val="21"/>
                <w:highlight w:val="none"/>
              </w:rPr>
            </w:pPr>
          </w:p>
        </w:tc>
        <w:tc>
          <w:tcPr>
            <w:tcW w:w="1344" w:type="dxa"/>
            <w:tcBorders>
              <w:top w:val="single" w:color="auto" w:sz="4" w:space="0"/>
              <w:left w:val="single" w:color="auto" w:sz="4" w:space="0"/>
              <w:right w:val="single" w:color="auto" w:sz="4" w:space="0"/>
            </w:tcBorders>
            <w:noWrap w:val="0"/>
            <w:vAlign w:val="center"/>
          </w:tcPr>
          <w:p w14:paraId="7854C258">
            <w:pPr>
              <w:spacing w:line="400" w:lineRule="exact"/>
              <w:jc w:val="center"/>
              <w:rPr>
                <w:rFonts w:ascii="宋体" w:hAnsi="宋体"/>
                <w:color w:val="auto"/>
                <w:szCs w:val="21"/>
                <w:highlight w:val="none"/>
              </w:rPr>
            </w:pPr>
            <w:r>
              <w:rPr>
                <w:rFonts w:hint="eastAsia"/>
                <w:color w:val="auto"/>
                <w:szCs w:val="21"/>
                <w:highlight w:val="none"/>
                <w:lang w:val="en-US" w:eastAsia="zh-CN"/>
              </w:rPr>
              <w:t>3</w:t>
            </w:r>
            <w:r>
              <w:rPr>
                <w:rFonts w:hint="eastAsia" w:ascii="宋体" w:hAnsi="宋体"/>
                <w:color w:val="auto"/>
                <w:szCs w:val="21"/>
                <w:highlight w:val="none"/>
              </w:rPr>
              <w:t>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212E91FE">
            <w:pPr>
              <w:spacing w:line="400" w:lineRule="exact"/>
              <w:ind w:firstLine="400" w:firstLineChars="200"/>
              <w:rPr>
                <w:rFonts w:hint="eastAsia"/>
                <w:color w:val="auto"/>
                <w:szCs w:val="21"/>
                <w:highlight w:val="none"/>
                <w:lang w:eastAsia="zh-CN"/>
              </w:rPr>
            </w:pPr>
            <w:r>
              <w:rPr>
                <w:rFonts w:hint="eastAsia" w:ascii="宋体" w:hAnsi="宋体"/>
                <w:color w:val="auto"/>
                <w:szCs w:val="21"/>
                <w:highlight w:val="none"/>
              </w:rPr>
              <w:t>停车场必须设立保卫室、办公室，地面整平并经硬化处理，得基本分</w:t>
            </w:r>
            <w:r>
              <w:rPr>
                <w:rFonts w:hint="eastAsia"/>
                <w:color w:val="auto"/>
                <w:szCs w:val="21"/>
                <w:highlight w:val="none"/>
                <w:lang w:val="en-US" w:eastAsia="zh-CN"/>
              </w:rPr>
              <w:t>3</w:t>
            </w:r>
            <w:r>
              <w:rPr>
                <w:rFonts w:hint="eastAsia" w:ascii="宋体" w:hAnsi="宋体"/>
                <w:color w:val="auto"/>
                <w:szCs w:val="21"/>
                <w:highlight w:val="none"/>
              </w:rPr>
              <w:t>分，地面不平整，有坑洼的扣</w:t>
            </w:r>
            <w:r>
              <w:rPr>
                <w:rFonts w:hint="eastAsia"/>
                <w:color w:val="auto"/>
                <w:szCs w:val="21"/>
                <w:highlight w:val="none"/>
                <w:lang w:val="en-US" w:eastAsia="zh-CN"/>
              </w:rPr>
              <w:t>1</w:t>
            </w:r>
            <w:r>
              <w:rPr>
                <w:rFonts w:hint="eastAsia" w:ascii="宋体" w:hAnsi="宋体"/>
                <w:color w:val="auto"/>
                <w:szCs w:val="21"/>
                <w:highlight w:val="none"/>
              </w:rPr>
              <w:t>分</w:t>
            </w:r>
            <w:r>
              <w:rPr>
                <w:rFonts w:hint="eastAsia"/>
                <w:color w:val="auto"/>
                <w:szCs w:val="21"/>
                <w:highlight w:val="none"/>
                <w:lang w:eastAsia="zh-CN"/>
              </w:rPr>
              <w:t>。</w:t>
            </w:r>
          </w:p>
          <w:p w14:paraId="71C50D27">
            <w:pPr>
              <w:spacing w:line="400" w:lineRule="exact"/>
              <w:ind w:firstLine="400" w:firstLineChars="200"/>
              <w:rPr>
                <w:rFonts w:ascii="宋体" w:hAnsi="宋体"/>
                <w:color w:val="auto"/>
                <w:szCs w:val="21"/>
                <w:highlight w:val="none"/>
              </w:rPr>
            </w:pPr>
            <w:r>
              <w:rPr>
                <w:rFonts w:hint="eastAsia" w:ascii="宋体" w:hAnsi="宋体"/>
                <w:color w:val="auto"/>
                <w:szCs w:val="21"/>
                <w:highlight w:val="none"/>
              </w:rPr>
              <w:t>投标人提供现场照片及文字说明制作在投标文件中，照片能反映保卫室、办公室</w:t>
            </w:r>
            <w:r>
              <w:rPr>
                <w:rFonts w:hint="eastAsia"/>
                <w:color w:val="auto"/>
                <w:szCs w:val="21"/>
                <w:highlight w:val="none"/>
                <w:lang w:val="en-US" w:eastAsia="zh-CN"/>
              </w:rPr>
              <w:t>及</w:t>
            </w:r>
            <w:r>
              <w:rPr>
                <w:rFonts w:hint="eastAsia" w:ascii="宋体" w:hAnsi="宋体"/>
                <w:color w:val="auto"/>
                <w:szCs w:val="21"/>
                <w:highlight w:val="none"/>
              </w:rPr>
              <w:t>地面具体</w:t>
            </w:r>
            <w:r>
              <w:rPr>
                <w:rFonts w:hint="eastAsia"/>
                <w:color w:val="auto"/>
                <w:szCs w:val="21"/>
                <w:highlight w:val="none"/>
                <w:lang w:val="en-US" w:eastAsia="zh-CN"/>
              </w:rPr>
              <w:t>情况</w:t>
            </w:r>
            <w:r>
              <w:rPr>
                <w:rFonts w:hint="eastAsia" w:ascii="宋体" w:hAnsi="宋体"/>
                <w:color w:val="auto"/>
                <w:szCs w:val="21"/>
                <w:highlight w:val="none"/>
              </w:rPr>
              <w:t>，无照片不得分。</w:t>
            </w:r>
          </w:p>
        </w:tc>
      </w:tr>
      <w:tr w14:paraId="1BED9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95" w:hRule="atLeast"/>
          <w:jc w:val="center"/>
        </w:trPr>
        <w:tc>
          <w:tcPr>
            <w:tcW w:w="1781" w:type="dxa"/>
            <w:vMerge w:val="continue"/>
            <w:tcBorders>
              <w:left w:val="single" w:color="auto" w:sz="4" w:space="0"/>
              <w:right w:val="single" w:color="auto" w:sz="4" w:space="0"/>
            </w:tcBorders>
            <w:noWrap w:val="0"/>
            <w:vAlign w:val="center"/>
          </w:tcPr>
          <w:p w14:paraId="4E90DBE8">
            <w:pPr>
              <w:spacing w:line="400" w:lineRule="exact"/>
              <w:ind w:firstLine="400" w:firstLineChars="200"/>
              <w:rPr>
                <w:highlight w:val="none"/>
              </w:rPr>
            </w:pPr>
          </w:p>
        </w:tc>
        <w:tc>
          <w:tcPr>
            <w:tcW w:w="1344" w:type="dxa"/>
            <w:tcBorders>
              <w:left w:val="single" w:color="auto" w:sz="4" w:space="0"/>
              <w:bottom w:val="single" w:color="auto" w:sz="4" w:space="0"/>
              <w:right w:val="single" w:color="auto" w:sz="4" w:space="0"/>
            </w:tcBorders>
            <w:noWrap w:val="0"/>
            <w:vAlign w:val="center"/>
          </w:tcPr>
          <w:p w14:paraId="4B41AFC8">
            <w:pPr>
              <w:spacing w:line="400" w:lineRule="exact"/>
              <w:ind w:firstLine="400" w:firstLineChars="200"/>
              <w:rPr>
                <w:rFonts w:hint="default" w:eastAsia="宋体"/>
                <w:highlight w:val="none"/>
                <w:lang w:val="en-US" w:eastAsia="zh-CN"/>
              </w:rPr>
            </w:pPr>
            <w:r>
              <w:rPr>
                <w:rFonts w:hint="eastAsia"/>
                <w:highlight w:val="none"/>
                <w:lang w:val="en-US" w:eastAsia="zh-CN"/>
              </w:rPr>
              <w:t>3分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4DA7773E">
            <w:pPr>
              <w:spacing w:line="400" w:lineRule="exact"/>
              <w:ind w:firstLine="400" w:firstLineChars="200"/>
              <w:rPr>
                <w:rFonts w:hint="eastAsia" w:ascii="宋体" w:hAnsi="宋体"/>
                <w:color w:val="auto"/>
                <w:szCs w:val="21"/>
                <w:highlight w:val="none"/>
              </w:rPr>
            </w:pPr>
            <w:r>
              <w:rPr>
                <w:rFonts w:hint="eastAsia"/>
                <w:color w:val="auto"/>
                <w:szCs w:val="21"/>
                <w:highlight w:val="none"/>
                <w:lang w:val="en-US" w:eastAsia="zh-CN"/>
              </w:rPr>
              <w:t>如地面</w:t>
            </w:r>
            <w:r>
              <w:rPr>
                <w:rFonts w:hint="eastAsia" w:ascii="宋体" w:hAnsi="宋体"/>
                <w:color w:val="auto"/>
                <w:szCs w:val="21"/>
                <w:highlight w:val="none"/>
              </w:rPr>
              <w:t>全部为</w:t>
            </w:r>
            <w:r>
              <w:rPr>
                <w:rFonts w:hint="eastAsia" w:ascii="宋体" w:hAnsi="宋体"/>
                <w:color w:val="auto"/>
                <w:szCs w:val="21"/>
                <w:highlight w:val="none"/>
                <w:lang w:eastAsia="zh-CN"/>
              </w:rPr>
              <w:t>沙石地面</w:t>
            </w:r>
            <w:r>
              <w:rPr>
                <w:rFonts w:hint="eastAsia"/>
                <w:color w:val="auto"/>
                <w:szCs w:val="21"/>
                <w:highlight w:val="none"/>
                <w:lang w:val="en-US" w:eastAsia="zh-CN"/>
              </w:rPr>
              <w:t>得</w:t>
            </w:r>
            <w:r>
              <w:rPr>
                <w:rFonts w:hint="eastAsia" w:ascii="宋体" w:hAnsi="宋体"/>
                <w:color w:val="auto"/>
                <w:szCs w:val="21"/>
                <w:highlight w:val="none"/>
              </w:rPr>
              <w:t>1分，全部为水泥砼地面</w:t>
            </w:r>
            <w:r>
              <w:rPr>
                <w:rFonts w:hint="eastAsia"/>
                <w:color w:val="auto"/>
                <w:szCs w:val="21"/>
                <w:highlight w:val="none"/>
                <w:lang w:val="en-US" w:eastAsia="zh-CN"/>
              </w:rPr>
              <w:t>得2</w:t>
            </w:r>
            <w:r>
              <w:rPr>
                <w:rFonts w:hint="eastAsia" w:ascii="宋体" w:hAnsi="宋体"/>
                <w:color w:val="auto"/>
                <w:szCs w:val="21"/>
                <w:highlight w:val="none"/>
              </w:rPr>
              <w:t>分，全部为沥青砼地面</w:t>
            </w:r>
            <w:r>
              <w:rPr>
                <w:rFonts w:hint="eastAsia"/>
                <w:color w:val="auto"/>
                <w:szCs w:val="21"/>
                <w:highlight w:val="none"/>
                <w:lang w:val="en-US" w:eastAsia="zh-CN"/>
              </w:rPr>
              <w:t>得3</w:t>
            </w:r>
            <w:r>
              <w:rPr>
                <w:rFonts w:hint="eastAsia" w:ascii="宋体" w:hAnsi="宋体"/>
                <w:color w:val="auto"/>
                <w:szCs w:val="21"/>
                <w:highlight w:val="none"/>
              </w:rPr>
              <w:t>分。</w:t>
            </w:r>
          </w:p>
          <w:p w14:paraId="5BF2CD2B">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如地面为混合材质的，水泥砼地面</w:t>
            </w:r>
            <w:r>
              <w:rPr>
                <w:rFonts w:hint="eastAsia"/>
                <w:color w:val="auto"/>
                <w:szCs w:val="21"/>
                <w:highlight w:val="none"/>
                <w:lang w:val="en-US" w:eastAsia="zh-CN"/>
              </w:rPr>
              <w:t>面积（水泥砼s）</w:t>
            </w:r>
            <w:r>
              <w:rPr>
                <w:rFonts w:hint="eastAsia" w:ascii="宋体" w:hAnsi="宋体"/>
                <w:color w:val="auto"/>
                <w:szCs w:val="21"/>
                <w:highlight w:val="none"/>
              </w:rPr>
              <w:t>每1000平方米</w:t>
            </w:r>
            <w:r>
              <w:rPr>
                <w:rFonts w:hint="eastAsia"/>
                <w:color w:val="auto"/>
                <w:szCs w:val="21"/>
                <w:highlight w:val="none"/>
                <w:lang w:val="en-US" w:eastAsia="zh-CN"/>
              </w:rPr>
              <w:t>区间</w:t>
            </w:r>
            <w:r>
              <w:rPr>
                <w:rFonts w:hint="eastAsia" w:ascii="宋体" w:hAnsi="宋体"/>
                <w:color w:val="auto"/>
                <w:szCs w:val="21"/>
                <w:highlight w:val="none"/>
              </w:rPr>
              <w:t>加0.5分</w:t>
            </w:r>
            <w:r>
              <w:rPr>
                <w:rFonts w:hint="eastAsia"/>
                <w:color w:val="auto"/>
                <w:szCs w:val="21"/>
                <w:highlight w:val="none"/>
                <w:lang w:eastAsia="zh-CN"/>
              </w:rPr>
              <w:t>（</w:t>
            </w:r>
            <w:r>
              <w:rPr>
                <w:rFonts w:hint="eastAsia"/>
                <w:color w:val="auto"/>
                <w:szCs w:val="21"/>
                <w:highlight w:val="none"/>
                <w:lang w:val="en-US" w:eastAsia="zh-CN"/>
              </w:rPr>
              <w:t>计分如下：0㎡＞水泥砼s≥1000㎡得0.5分；1000㎡＞水泥砼s≥2000㎡得1分，根据面积依次递增分值</w:t>
            </w:r>
            <w:r>
              <w:rPr>
                <w:rFonts w:hint="eastAsia"/>
                <w:color w:val="auto"/>
                <w:szCs w:val="21"/>
                <w:highlight w:val="none"/>
                <w:lang w:eastAsia="zh-CN"/>
              </w:rPr>
              <w:t>）</w:t>
            </w:r>
            <w:r>
              <w:rPr>
                <w:rFonts w:hint="eastAsia" w:ascii="宋体" w:hAnsi="宋体"/>
                <w:color w:val="auto"/>
                <w:szCs w:val="21"/>
                <w:highlight w:val="none"/>
              </w:rPr>
              <w:t>，沥青砼地面</w:t>
            </w:r>
            <w:r>
              <w:rPr>
                <w:rFonts w:hint="eastAsia"/>
                <w:color w:val="auto"/>
                <w:szCs w:val="21"/>
                <w:highlight w:val="none"/>
                <w:lang w:val="en-US" w:eastAsia="zh-CN"/>
              </w:rPr>
              <w:t>面积（沥青砼s）</w:t>
            </w:r>
            <w:r>
              <w:rPr>
                <w:rFonts w:hint="eastAsia" w:ascii="宋体" w:hAnsi="宋体"/>
                <w:color w:val="auto"/>
                <w:szCs w:val="21"/>
                <w:highlight w:val="none"/>
              </w:rPr>
              <w:t>每1000平方米</w:t>
            </w:r>
            <w:r>
              <w:rPr>
                <w:rFonts w:hint="eastAsia"/>
                <w:color w:val="auto"/>
                <w:szCs w:val="21"/>
                <w:highlight w:val="none"/>
                <w:lang w:val="en-US" w:eastAsia="zh-CN"/>
              </w:rPr>
              <w:t>区间</w:t>
            </w:r>
            <w:r>
              <w:rPr>
                <w:rFonts w:hint="eastAsia" w:ascii="宋体" w:hAnsi="宋体"/>
                <w:color w:val="auto"/>
                <w:szCs w:val="21"/>
                <w:highlight w:val="none"/>
              </w:rPr>
              <w:t>加1分</w:t>
            </w:r>
            <w:r>
              <w:rPr>
                <w:rFonts w:hint="eastAsia"/>
                <w:color w:val="auto"/>
                <w:szCs w:val="21"/>
                <w:highlight w:val="none"/>
                <w:lang w:eastAsia="zh-CN"/>
              </w:rPr>
              <w:t>（</w:t>
            </w:r>
            <w:r>
              <w:rPr>
                <w:rFonts w:hint="eastAsia"/>
                <w:color w:val="auto"/>
                <w:szCs w:val="21"/>
                <w:highlight w:val="none"/>
                <w:lang w:val="en-US" w:eastAsia="zh-CN"/>
              </w:rPr>
              <w:t>计分如下：0㎡＞沥青砼s≥1000㎡得1分；1000㎡＞沥青砼s≥2000㎡得2分，根据面积依次递增分值</w:t>
            </w:r>
            <w:r>
              <w:rPr>
                <w:rFonts w:hint="eastAsia"/>
                <w:color w:val="auto"/>
                <w:szCs w:val="21"/>
                <w:highlight w:val="none"/>
                <w:lang w:eastAsia="zh-CN"/>
              </w:rPr>
              <w:t>）</w:t>
            </w:r>
            <w:r>
              <w:rPr>
                <w:rFonts w:hint="eastAsia" w:ascii="宋体" w:hAnsi="宋体"/>
                <w:color w:val="auto"/>
                <w:szCs w:val="21"/>
                <w:highlight w:val="none"/>
              </w:rPr>
              <w:t>，本项</w:t>
            </w:r>
            <w:r>
              <w:rPr>
                <w:rFonts w:hint="eastAsia"/>
                <w:color w:val="auto"/>
                <w:szCs w:val="21"/>
                <w:highlight w:val="none"/>
                <w:lang w:val="en-US" w:eastAsia="zh-CN"/>
              </w:rPr>
              <w:t>合计</w:t>
            </w:r>
            <w:r>
              <w:rPr>
                <w:rFonts w:hint="eastAsia" w:ascii="宋体" w:hAnsi="宋体"/>
                <w:color w:val="auto"/>
                <w:szCs w:val="21"/>
                <w:highlight w:val="none"/>
              </w:rPr>
              <w:t>最高得</w:t>
            </w:r>
            <w:r>
              <w:rPr>
                <w:rFonts w:hint="eastAsia"/>
                <w:color w:val="auto"/>
                <w:szCs w:val="21"/>
                <w:highlight w:val="none"/>
                <w:lang w:val="en-US" w:eastAsia="zh-CN"/>
              </w:rPr>
              <w:t>3</w:t>
            </w:r>
            <w:r>
              <w:rPr>
                <w:rFonts w:hint="eastAsia" w:ascii="宋体" w:hAnsi="宋体"/>
                <w:color w:val="auto"/>
                <w:szCs w:val="21"/>
                <w:highlight w:val="none"/>
              </w:rPr>
              <w:t>分。</w:t>
            </w:r>
          </w:p>
          <w:p w14:paraId="5E60393A">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投标人提供现场照片及文字说明制作在投标文件中，照片能反映地面材质及具体面积，无照片不得分。</w:t>
            </w:r>
          </w:p>
        </w:tc>
      </w:tr>
      <w:tr w14:paraId="18804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1781" w:type="dxa"/>
            <w:vMerge w:val="restart"/>
            <w:tcBorders>
              <w:left w:val="single" w:color="auto" w:sz="4" w:space="0"/>
              <w:right w:val="single" w:color="auto" w:sz="4" w:space="0"/>
            </w:tcBorders>
            <w:noWrap w:val="0"/>
            <w:vAlign w:val="center"/>
          </w:tcPr>
          <w:p w14:paraId="2B35A3D6">
            <w:pPr>
              <w:spacing w:line="400" w:lineRule="exact"/>
              <w:rPr>
                <w:rFonts w:ascii="宋体" w:hAnsi="宋体"/>
                <w:color w:val="auto"/>
                <w:szCs w:val="21"/>
                <w:highlight w:val="none"/>
              </w:rPr>
            </w:pPr>
            <w:r>
              <w:rPr>
                <w:rFonts w:hint="eastAsia" w:ascii="宋体" w:hAnsi="宋体"/>
                <w:color w:val="auto"/>
                <w:szCs w:val="21"/>
                <w:highlight w:val="none"/>
              </w:rPr>
              <w:t>设施要求（28分）</w:t>
            </w:r>
          </w:p>
        </w:tc>
        <w:tc>
          <w:tcPr>
            <w:tcW w:w="1344" w:type="dxa"/>
            <w:tcBorders>
              <w:top w:val="single" w:color="auto" w:sz="4" w:space="0"/>
              <w:left w:val="single" w:color="auto" w:sz="4" w:space="0"/>
              <w:bottom w:val="single" w:color="auto" w:sz="4" w:space="0"/>
              <w:right w:val="single" w:color="auto" w:sz="4" w:space="0"/>
            </w:tcBorders>
            <w:noWrap w:val="0"/>
            <w:vAlign w:val="center"/>
          </w:tcPr>
          <w:p w14:paraId="50F4128D">
            <w:pPr>
              <w:spacing w:line="400" w:lineRule="exact"/>
              <w:jc w:val="center"/>
              <w:rPr>
                <w:rFonts w:ascii="宋体" w:hAnsi="宋体"/>
                <w:color w:val="auto"/>
                <w:szCs w:val="21"/>
                <w:highlight w:val="none"/>
              </w:rPr>
            </w:pPr>
            <w:r>
              <w:rPr>
                <w:rFonts w:hint="eastAsia" w:ascii="宋体" w:hAnsi="宋体"/>
                <w:color w:val="auto"/>
                <w:szCs w:val="21"/>
                <w:highlight w:val="none"/>
              </w:rPr>
              <w:t>10分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7E3C2A5D">
            <w:pPr>
              <w:spacing w:line="5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配备照明、消防、排水、物理隔离（如实体围墙、透视围墙等）等必要的安全运营设施，设施齐全且能完全满足安全运营的得10分。设施完备情况能满足安全运营的得8分；设施完备情况能基本满足安全运营的得6分；有明显缺陷但能承诺整改到位的得4分；不能满足安全运营要求的不得分。</w:t>
            </w:r>
          </w:p>
          <w:p w14:paraId="4FE2CC72">
            <w:pPr>
              <w:spacing w:line="500" w:lineRule="exact"/>
              <w:ind w:firstLine="400" w:firstLineChars="200"/>
              <w:rPr>
                <w:rFonts w:ascii="宋体" w:hAnsi="宋体"/>
                <w:color w:val="auto"/>
                <w:szCs w:val="21"/>
                <w:highlight w:val="none"/>
              </w:rPr>
            </w:pPr>
            <w:r>
              <w:rPr>
                <w:rFonts w:hint="eastAsia" w:ascii="宋体" w:hAnsi="宋体"/>
                <w:color w:val="auto"/>
                <w:szCs w:val="21"/>
                <w:highlight w:val="none"/>
              </w:rPr>
              <w:t xml:space="preserve"> 以上内容投标单位应以文字说明并配有现场照片制作在投标文件中，无照片不得分。</w:t>
            </w:r>
          </w:p>
        </w:tc>
      </w:tr>
      <w:tr w14:paraId="7584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6" w:hRule="atLeast"/>
          <w:jc w:val="center"/>
        </w:trPr>
        <w:tc>
          <w:tcPr>
            <w:tcW w:w="1781" w:type="dxa"/>
            <w:vMerge w:val="continue"/>
            <w:tcBorders>
              <w:left w:val="single" w:color="auto" w:sz="4" w:space="0"/>
              <w:right w:val="single" w:color="auto" w:sz="4" w:space="0"/>
            </w:tcBorders>
            <w:noWrap w:val="0"/>
            <w:vAlign w:val="center"/>
          </w:tcPr>
          <w:p w14:paraId="5310F030">
            <w:pPr>
              <w:spacing w:line="400" w:lineRule="exact"/>
              <w:rPr>
                <w:rFonts w:ascii="宋体" w:hAnsi="宋体"/>
                <w:color w:val="auto"/>
                <w:szCs w:val="21"/>
                <w:highlight w:val="none"/>
              </w:rPr>
            </w:pPr>
          </w:p>
        </w:tc>
        <w:tc>
          <w:tcPr>
            <w:tcW w:w="1344" w:type="dxa"/>
            <w:vMerge w:val="restart"/>
            <w:tcBorders>
              <w:top w:val="single" w:color="auto" w:sz="4" w:space="0"/>
              <w:left w:val="single" w:color="auto" w:sz="4" w:space="0"/>
              <w:right w:val="single" w:color="auto" w:sz="4" w:space="0"/>
            </w:tcBorders>
            <w:noWrap w:val="0"/>
            <w:vAlign w:val="center"/>
          </w:tcPr>
          <w:p w14:paraId="4E1BC327">
            <w:pPr>
              <w:spacing w:line="400" w:lineRule="exact"/>
              <w:jc w:val="center"/>
              <w:rPr>
                <w:rFonts w:ascii="宋体" w:hAnsi="宋体"/>
                <w:color w:val="auto"/>
                <w:szCs w:val="21"/>
                <w:highlight w:val="none"/>
              </w:rPr>
            </w:pPr>
            <w:r>
              <w:rPr>
                <w:rFonts w:hint="eastAsia"/>
                <w:color w:val="auto"/>
                <w:szCs w:val="21"/>
                <w:highlight w:val="none"/>
                <w:lang w:val="en-US" w:eastAsia="zh-CN"/>
              </w:rPr>
              <w:t>13</w:t>
            </w:r>
            <w:r>
              <w:rPr>
                <w:rFonts w:hint="eastAsia" w:ascii="宋体" w:hAnsi="宋体"/>
                <w:color w:val="auto"/>
                <w:szCs w:val="21"/>
                <w:highlight w:val="none"/>
              </w:rPr>
              <w:t>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5AF22730">
            <w:pPr>
              <w:spacing w:line="400" w:lineRule="exact"/>
              <w:ind w:firstLine="400" w:firstLineChars="200"/>
              <w:rPr>
                <w:rFonts w:ascii="宋体" w:hAnsi="宋体"/>
                <w:color w:val="auto"/>
                <w:szCs w:val="21"/>
                <w:highlight w:val="none"/>
              </w:rPr>
            </w:pPr>
            <w:r>
              <w:rPr>
                <w:rFonts w:hint="eastAsia" w:ascii="宋体" w:hAnsi="宋体"/>
                <w:color w:val="auto"/>
                <w:szCs w:val="21"/>
                <w:highlight w:val="none"/>
              </w:rPr>
              <w:t>场内标志、标线、指示牌、停车场管理制度齐全规范，运行有序，人员分工明确，得3分；标志、标牌设置不全或不清的得2分；无标志标牌的不得分。</w:t>
            </w:r>
          </w:p>
          <w:p w14:paraId="5BF4ED33">
            <w:pPr>
              <w:spacing w:line="400" w:lineRule="exact"/>
              <w:ind w:firstLine="400" w:firstLineChars="200"/>
              <w:rPr>
                <w:rFonts w:ascii="宋体" w:hAnsi="宋体"/>
                <w:color w:val="auto"/>
                <w:szCs w:val="21"/>
                <w:highlight w:val="none"/>
              </w:rPr>
            </w:pPr>
            <w:r>
              <w:rPr>
                <w:rFonts w:hint="eastAsia" w:ascii="宋体" w:hAnsi="宋体"/>
                <w:color w:val="auto"/>
                <w:szCs w:val="21"/>
                <w:highlight w:val="none"/>
              </w:rPr>
              <w:t>以上内容投标人提供现场照片及文字说明制作在投标文件中，无照片不得分。</w:t>
            </w:r>
          </w:p>
        </w:tc>
      </w:tr>
      <w:tr w14:paraId="77462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6" w:hRule="atLeast"/>
          <w:jc w:val="center"/>
        </w:trPr>
        <w:tc>
          <w:tcPr>
            <w:tcW w:w="1781" w:type="dxa"/>
            <w:vMerge w:val="continue"/>
            <w:tcBorders>
              <w:left w:val="single" w:color="auto" w:sz="4" w:space="0"/>
              <w:right w:val="single" w:color="auto" w:sz="4" w:space="0"/>
            </w:tcBorders>
            <w:noWrap w:val="0"/>
            <w:vAlign w:val="center"/>
          </w:tcPr>
          <w:p w14:paraId="45C2E619">
            <w:pPr>
              <w:spacing w:line="400" w:lineRule="exact"/>
              <w:rPr>
                <w:color w:val="auto"/>
                <w:highlight w:val="none"/>
              </w:rPr>
            </w:pPr>
          </w:p>
        </w:tc>
        <w:tc>
          <w:tcPr>
            <w:tcW w:w="1344" w:type="dxa"/>
            <w:vMerge w:val="continue"/>
            <w:tcBorders>
              <w:left w:val="single" w:color="auto" w:sz="4" w:space="0"/>
              <w:right w:val="single" w:color="auto" w:sz="4" w:space="0"/>
            </w:tcBorders>
            <w:noWrap w:val="0"/>
            <w:vAlign w:val="center"/>
          </w:tcPr>
          <w:p w14:paraId="00721B72">
            <w:pPr>
              <w:spacing w:line="400" w:lineRule="exact"/>
              <w:rPr>
                <w:color w:val="auto"/>
                <w:highlight w:val="none"/>
              </w:rPr>
            </w:pPr>
          </w:p>
        </w:tc>
        <w:tc>
          <w:tcPr>
            <w:tcW w:w="6056" w:type="dxa"/>
            <w:tcBorders>
              <w:top w:val="single" w:color="auto" w:sz="4" w:space="0"/>
              <w:left w:val="single" w:color="auto" w:sz="4" w:space="0"/>
              <w:bottom w:val="single" w:color="auto" w:sz="4" w:space="0"/>
              <w:right w:val="single" w:color="auto" w:sz="4" w:space="0"/>
            </w:tcBorders>
            <w:noWrap w:val="0"/>
            <w:vAlign w:val="center"/>
          </w:tcPr>
          <w:p w14:paraId="6B980FEA">
            <w:pPr>
              <w:spacing w:line="400" w:lineRule="exact"/>
              <w:ind w:firstLine="40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rPr>
              <w:t>功能区划分明确（大小车型、事故、违章、特种车型），且带有遮篷的停车区域</w:t>
            </w:r>
            <w:r>
              <w:rPr>
                <w:rFonts w:hint="eastAsia"/>
                <w:color w:val="auto"/>
                <w:szCs w:val="21"/>
                <w:highlight w:val="none"/>
                <w:lang w:eastAsia="zh-CN"/>
              </w:rPr>
              <w:t>（</w:t>
            </w:r>
            <w:r>
              <w:rPr>
                <w:rFonts w:hint="eastAsia"/>
                <w:color w:val="auto"/>
                <w:szCs w:val="21"/>
                <w:highlight w:val="none"/>
                <w:lang w:val="en-US" w:eastAsia="zh-CN"/>
              </w:rPr>
              <w:t>s</w:t>
            </w:r>
            <w:r>
              <w:rPr>
                <w:rFonts w:hint="eastAsia"/>
                <w:color w:val="auto"/>
                <w:szCs w:val="21"/>
                <w:highlight w:val="none"/>
                <w:lang w:eastAsia="zh-CN"/>
              </w:rPr>
              <w:t>）</w:t>
            </w:r>
            <w:r>
              <w:rPr>
                <w:rFonts w:hint="eastAsia"/>
                <w:color w:val="auto"/>
                <w:szCs w:val="21"/>
                <w:highlight w:val="none"/>
                <w:lang w:val="en-US" w:eastAsia="zh-CN"/>
              </w:rPr>
              <w:t>:s≥400平方米，得8分</w:t>
            </w:r>
            <w:r>
              <w:rPr>
                <w:rFonts w:hint="eastAsia" w:ascii="宋体" w:hAnsi="宋体"/>
                <w:color w:val="auto"/>
                <w:szCs w:val="21"/>
                <w:highlight w:val="none"/>
              </w:rPr>
              <w:t>；</w:t>
            </w:r>
            <w:r>
              <w:rPr>
                <w:rFonts w:hint="eastAsia"/>
                <w:color w:val="auto"/>
                <w:szCs w:val="21"/>
                <w:highlight w:val="none"/>
                <w:lang w:val="en-US" w:eastAsia="zh-CN"/>
              </w:rPr>
              <w:t>400平方米＜s≤300平方米，得6分；300平方米＜s≤200平方米，得4分；</w:t>
            </w:r>
            <w:r>
              <w:rPr>
                <w:rFonts w:hint="eastAsia" w:ascii="宋体" w:hAnsi="宋体"/>
                <w:color w:val="auto"/>
                <w:szCs w:val="21"/>
                <w:highlight w:val="none"/>
              </w:rPr>
              <w:t xml:space="preserve"> </w:t>
            </w:r>
            <w:r>
              <w:rPr>
                <w:rFonts w:hint="eastAsia"/>
                <w:color w:val="auto"/>
                <w:szCs w:val="21"/>
                <w:highlight w:val="none"/>
                <w:lang w:val="en-US" w:eastAsia="zh-CN"/>
              </w:rPr>
              <w:t>s＜</w:t>
            </w:r>
            <w:r>
              <w:rPr>
                <w:rFonts w:hint="eastAsia" w:ascii="宋体" w:hAnsi="宋体"/>
                <w:color w:val="auto"/>
                <w:szCs w:val="21"/>
                <w:highlight w:val="none"/>
                <w:lang w:val="en-US" w:eastAsia="zh-CN"/>
              </w:rPr>
              <w:t>200平方米或</w:t>
            </w:r>
            <w:r>
              <w:rPr>
                <w:rFonts w:hint="eastAsia" w:ascii="宋体" w:hAnsi="宋体"/>
                <w:color w:val="auto"/>
                <w:szCs w:val="21"/>
                <w:highlight w:val="none"/>
              </w:rPr>
              <w:t>未划分功能区的不得分。</w:t>
            </w:r>
          </w:p>
          <w:p w14:paraId="51197C40">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有200平方米</w:t>
            </w:r>
            <w:r>
              <w:rPr>
                <w:rFonts w:hint="eastAsia"/>
                <w:color w:val="auto"/>
                <w:szCs w:val="21"/>
                <w:highlight w:val="none"/>
                <w:lang w:val="en-US" w:eastAsia="zh-CN"/>
              </w:rPr>
              <w:t>及</w:t>
            </w:r>
            <w:r>
              <w:rPr>
                <w:rFonts w:hint="eastAsia" w:ascii="宋体" w:hAnsi="宋体"/>
                <w:color w:val="auto"/>
                <w:szCs w:val="21"/>
                <w:highlight w:val="none"/>
              </w:rPr>
              <w:t>以上的带有遮篷的停车区域</w:t>
            </w:r>
            <w:r>
              <w:rPr>
                <w:rFonts w:hint="eastAsia" w:ascii="宋体" w:hAnsi="宋体"/>
                <w:color w:val="auto"/>
                <w:szCs w:val="21"/>
                <w:highlight w:val="none"/>
                <w:lang w:val="en-US" w:eastAsia="zh-CN"/>
              </w:rPr>
              <w:t>但</w:t>
            </w:r>
            <w:r>
              <w:rPr>
                <w:rFonts w:hint="eastAsia" w:ascii="宋体" w:hAnsi="宋体"/>
                <w:color w:val="auto"/>
                <w:szCs w:val="21"/>
                <w:highlight w:val="none"/>
              </w:rPr>
              <w:t>功能区划分不明确或划分混乱的得2分；</w:t>
            </w:r>
          </w:p>
          <w:p w14:paraId="1559B29F">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以上内容投标人提供现场照片及文字说明制作在投标文件中，无照片不得分。</w:t>
            </w:r>
          </w:p>
        </w:tc>
      </w:tr>
      <w:tr w14:paraId="29ED1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6" w:hRule="atLeast"/>
          <w:jc w:val="center"/>
        </w:trPr>
        <w:tc>
          <w:tcPr>
            <w:tcW w:w="1781" w:type="dxa"/>
            <w:vMerge w:val="continue"/>
            <w:tcBorders>
              <w:left w:val="single" w:color="auto" w:sz="4" w:space="0"/>
              <w:right w:val="single" w:color="auto" w:sz="4" w:space="0"/>
            </w:tcBorders>
            <w:noWrap w:val="0"/>
            <w:vAlign w:val="center"/>
          </w:tcPr>
          <w:p w14:paraId="08120EC6">
            <w:pPr>
              <w:spacing w:line="400" w:lineRule="exact"/>
              <w:rPr>
                <w:rFonts w:hint="eastAsia" w:ascii="宋体" w:hAnsi="宋体"/>
                <w:color w:val="auto"/>
                <w:szCs w:val="21"/>
                <w:highlight w:val="none"/>
              </w:rPr>
            </w:pPr>
          </w:p>
        </w:tc>
        <w:tc>
          <w:tcPr>
            <w:tcW w:w="1344" w:type="dxa"/>
            <w:vMerge w:val="continue"/>
            <w:tcBorders>
              <w:left w:val="single" w:color="auto" w:sz="4" w:space="0"/>
              <w:bottom w:val="single" w:color="auto" w:sz="4" w:space="0"/>
              <w:right w:val="single" w:color="auto" w:sz="4" w:space="0"/>
            </w:tcBorders>
            <w:noWrap w:val="0"/>
            <w:vAlign w:val="center"/>
          </w:tcPr>
          <w:p w14:paraId="1FA7DEB9">
            <w:pPr>
              <w:spacing w:line="400" w:lineRule="exact"/>
              <w:rPr>
                <w:rFonts w:hint="eastAsia" w:ascii="宋体" w:hAnsi="宋体"/>
                <w:color w:val="auto"/>
                <w:szCs w:val="21"/>
                <w:highlight w:val="none"/>
              </w:rPr>
            </w:pPr>
          </w:p>
        </w:tc>
        <w:tc>
          <w:tcPr>
            <w:tcW w:w="6056" w:type="dxa"/>
            <w:tcBorders>
              <w:top w:val="single" w:color="auto" w:sz="4" w:space="0"/>
              <w:left w:val="single" w:color="auto" w:sz="4" w:space="0"/>
              <w:bottom w:val="single" w:color="auto" w:sz="4" w:space="0"/>
              <w:right w:val="single" w:color="auto" w:sz="4" w:space="0"/>
            </w:tcBorders>
            <w:noWrap w:val="0"/>
            <w:vAlign w:val="center"/>
          </w:tcPr>
          <w:p w14:paraId="1A2CEAB5">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在醒目位置设置无乱收费及偷盗车辆设施设备车载物品的承诺、公示服务项目、收费标准、监督电话，服务项目范围明确、详细，收费标准合理规范且各项设置醒目的，得</w:t>
            </w:r>
            <w:r>
              <w:rPr>
                <w:rFonts w:hint="eastAsia"/>
                <w:color w:val="auto"/>
                <w:szCs w:val="21"/>
                <w:highlight w:val="none"/>
                <w:lang w:val="en-US" w:eastAsia="zh-CN"/>
              </w:rPr>
              <w:t>2</w:t>
            </w:r>
            <w:r>
              <w:rPr>
                <w:rFonts w:hint="eastAsia" w:ascii="宋体" w:hAnsi="宋体"/>
                <w:color w:val="auto"/>
                <w:szCs w:val="21"/>
                <w:highlight w:val="none"/>
              </w:rPr>
              <w:t>分；服务项目简单、粗略，收费标准模糊、界限不清，监督电话隐蔽不清的得</w:t>
            </w:r>
            <w:r>
              <w:rPr>
                <w:rFonts w:hint="eastAsia"/>
                <w:color w:val="auto"/>
                <w:szCs w:val="21"/>
                <w:highlight w:val="none"/>
                <w:lang w:val="en-US" w:eastAsia="zh-CN"/>
              </w:rPr>
              <w:t>1</w:t>
            </w:r>
            <w:r>
              <w:rPr>
                <w:rFonts w:hint="eastAsia" w:ascii="宋体" w:hAnsi="宋体"/>
                <w:color w:val="auto"/>
                <w:szCs w:val="21"/>
                <w:highlight w:val="none"/>
              </w:rPr>
              <w:t>分。未设置以上内容的不得分。</w:t>
            </w:r>
          </w:p>
          <w:p w14:paraId="06D7A800">
            <w:pPr>
              <w:spacing w:line="400" w:lineRule="exact"/>
              <w:ind w:firstLine="400" w:firstLineChars="200"/>
              <w:rPr>
                <w:rFonts w:hint="eastAsia" w:ascii="宋体" w:hAnsi="宋体"/>
                <w:color w:val="auto"/>
                <w:szCs w:val="21"/>
                <w:highlight w:val="none"/>
              </w:rPr>
            </w:pPr>
            <w:r>
              <w:rPr>
                <w:rFonts w:hint="eastAsia" w:ascii="宋体" w:hAnsi="宋体"/>
                <w:color w:val="auto"/>
                <w:szCs w:val="21"/>
                <w:highlight w:val="none"/>
              </w:rPr>
              <w:t>以上内容投标人提供现场照片及文字说明制作在投标文件中，无照片不得分。</w:t>
            </w:r>
          </w:p>
        </w:tc>
      </w:tr>
      <w:tr w14:paraId="10F64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03" w:hRule="atLeast"/>
          <w:jc w:val="center"/>
        </w:trPr>
        <w:tc>
          <w:tcPr>
            <w:tcW w:w="1781" w:type="dxa"/>
            <w:vMerge w:val="continue"/>
            <w:tcBorders>
              <w:left w:val="single" w:color="auto" w:sz="4" w:space="0"/>
              <w:right w:val="single" w:color="auto" w:sz="4" w:space="0"/>
            </w:tcBorders>
            <w:noWrap w:val="0"/>
            <w:vAlign w:val="center"/>
          </w:tcPr>
          <w:p w14:paraId="1F57D861">
            <w:pPr>
              <w:spacing w:line="400" w:lineRule="exact"/>
              <w:rPr>
                <w:rFonts w:ascii="宋体" w:hAnsi="宋体"/>
                <w:color w:val="auto"/>
                <w:szCs w:val="21"/>
                <w:highlight w:val="none"/>
              </w:rPr>
            </w:pPr>
            <w:r>
              <w:rPr>
                <w:rFonts w:hint="eastAsia" w:ascii="宋体" w:hAnsi="宋体"/>
                <w:color w:val="auto"/>
                <w:szCs w:val="21"/>
                <w:highlight w:val="none"/>
              </w:rPr>
              <w:t>㪰</w:t>
            </w:r>
          </w:p>
        </w:tc>
        <w:tc>
          <w:tcPr>
            <w:tcW w:w="1344" w:type="dxa"/>
            <w:tcBorders>
              <w:top w:val="single" w:color="auto" w:sz="4" w:space="0"/>
              <w:left w:val="single" w:color="auto" w:sz="4" w:space="0"/>
              <w:bottom w:val="single" w:color="auto" w:sz="4" w:space="0"/>
              <w:right w:val="single" w:color="auto" w:sz="4" w:space="0"/>
            </w:tcBorders>
            <w:noWrap w:val="0"/>
            <w:vAlign w:val="center"/>
          </w:tcPr>
          <w:p w14:paraId="77D006C9">
            <w:pPr>
              <w:spacing w:line="400" w:lineRule="exact"/>
              <w:jc w:val="center"/>
              <w:rPr>
                <w:rFonts w:ascii="宋体" w:hAnsi="宋体"/>
                <w:color w:val="auto"/>
                <w:szCs w:val="21"/>
                <w:highlight w:val="none"/>
              </w:rPr>
            </w:pPr>
            <w:r>
              <w:rPr>
                <w:rFonts w:hint="eastAsia" w:ascii="宋体" w:hAnsi="宋体"/>
                <w:color w:val="auto"/>
                <w:szCs w:val="21"/>
                <w:highlight w:val="none"/>
              </w:rPr>
              <w:t>5分</w:t>
            </w:r>
          </w:p>
        </w:tc>
        <w:tc>
          <w:tcPr>
            <w:tcW w:w="6056" w:type="dxa"/>
            <w:tcBorders>
              <w:top w:val="single" w:color="auto" w:sz="4" w:space="0"/>
              <w:left w:val="single" w:color="auto" w:sz="4" w:space="0"/>
              <w:bottom w:val="single" w:color="auto" w:sz="4" w:space="0"/>
              <w:right w:val="single" w:color="auto" w:sz="4" w:space="0"/>
            </w:tcBorders>
            <w:noWrap w:val="0"/>
            <w:vAlign w:val="center"/>
          </w:tcPr>
          <w:p w14:paraId="339C75F5">
            <w:pPr>
              <w:spacing w:line="400" w:lineRule="exact"/>
              <w:rPr>
                <w:color w:val="auto"/>
                <w:highlight w:val="none"/>
              </w:rPr>
            </w:pPr>
            <w:r>
              <w:rPr>
                <w:rFonts w:hint="eastAsia"/>
                <w:color w:val="auto"/>
                <w:highlight w:val="none"/>
              </w:rPr>
              <w:t>配备电子监控设施，监控要覆盖整个停车区域和出入口，拍摄图像能清晰反映车号、车辆类型、进出停车场时间，得5分。</w:t>
            </w:r>
          </w:p>
          <w:p w14:paraId="55AE774B">
            <w:pPr>
              <w:spacing w:line="400" w:lineRule="exact"/>
              <w:rPr>
                <w:color w:val="auto"/>
                <w:highlight w:val="none"/>
              </w:rPr>
            </w:pPr>
            <w:r>
              <w:rPr>
                <w:rFonts w:hint="eastAsia"/>
                <w:color w:val="auto"/>
                <w:highlight w:val="none"/>
              </w:rPr>
              <w:t>电子监控设施能覆盖出入口和大部分停车区，拍摄图像能清晰反映车号、车辆类型、进出停车场时间，得4分。</w:t>
            </w:r>
          </w:p>
          <w:p w14:paraId="7A8384CC">
            <w:pPr>
              <w:spacing w:line="400" w:lineRule="exact"/>
              <w:rPr>
                <w:color w:val="auto"/>
                <w:highlight w:val="none"/>
              </w:rPr>
            </w:pPr>
            <w:r>
              <w:rPr>
                <w:rFonts w:hint="eastAsia"/>
                <w:color w:val="auto"/>
                <w:highlight w:val="none"/>
              </w:rPr>
              <w:t>配备电子监控设施不全，监控只能覆盖部分停车区和出入口，拍摄图像勉强反映车号、车辆类型、进出停车场时间的，得3分。</w:t>
            </w:r>
          </w:p>
          <w:p w14:paraId="1CC89945">
            <w:pPr>
              <w:spacing w:line="400" w:lineRule="exact"/>
              <w:rPr>
                <w:rFonts w:hint="default" w:eastAsiaTheme="minorEastAsia"/>
                <w:color w:val="auto"/>
                <w:highlight w:val="none"/>
                <w:lang w:val="en-US" w:eastAsia="zh-CN"/>
              </w:rPr>
            </w:pPr>
            <w:r>
              <w:rPr>
                <w:rFonts w:hint="eastAsia"/>
                <w:color w:val="auto"/>
                <w:highlight w:val="none"/>
              </w:rPr>
              <w:t>配备电子监控设施不全，监控只能覆盖部分停车区和出入口，拍摄图像不能清晰反映车号、车辆类型、进出停车场时间的，得2分。</w:t>
            </w:r>
            <w:r>
              <w:rPr>
                <w:rFonts w:hint="eastAsia"/>
                <w:color w:val="auto"/>
                <w:highlight w:val="none"/>
                <w:lang w:val="en-US" w:eastAsia="zh-CN"/>
              </w:rPr>
              <w:t>未配备的不得分。</w:t>
            </w:r>
          </w:p>
          <w:p w14:paraId="09AF2DCF">
            <w:pPr>
              <w:spacing w:line="400" w:lineRule="exact"/>
              <w:rPr>
                <w:color w:val="auto"/>
                <w:highlight w:val="none"/>
              </w:rPr>
            </w:pPr>
            <w:r>
              <w:rPr>
                <w:rFonts w:hint="eastAsia" w:ascii="宋体" w:hAnsi="宋体"/>
                <w:color w:val="auto"/>
                <w:szCs w:val="21"/>
                <w:highlight w:val="none"/>
              </w:rPr>
              <w:t>以上内容投标人提供现场照片及文字说明制作在投标文件中，无照片不得分。</w:t>
            </w:r>
          </w:p>
        </w:tc>
      </w:tr>
      <w:tr w14:paraId="2902B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781" w:type="dxa"/>
            <w:vMerge w:val="restart"/>
            <w:tcBorders>
              <w:top w:val="single" w:color="auto" w:sz="4" w:space="0"/>
              <w:left w:val="single" w:color="auto" w:sz="4" w:space="0"/>
              <w:right w:val="single" w:color="auto" w:sz="4" w:space="0"/>
            </w:tcBorders>
            <w:noWrap w:val="0"/>
            <w:vAlign w:val="center"/>
          </w:tcPr>
          <w:p w14:paraId="70171A81">
            <w:pPr>
              <w:spacing w:line="400" w:lineRule="exact"/>
              <w:rPr>
                <w:rFonts w:ascii="宋体" w:hAnsi="宋体"/>
                <w:color w:val="auto"/>
                <w:szCs w:val="21"/>
                <w:highlight w:val="none"/>
              </w:rPr>
            </w:pPr>
            <w:r>
              <w:rPr>
                <w:rFonts w:hint="eastAsia" w:ascii="宋体" w:hAnsi="宋体"/>
                <w:color w:val="auto"/>
                <w:szCs w:val="21"/>
                <w:highlight w:val="none"/>
              </w:rPr>
              <w:t>设备要求（1</w:t>
            </w:r>
            <w:r>
              <w:rPr>
                <w:rFonts w:hint="eastAsia"/>
                <w:color w:val="auto"/>
                <w:szCs w:val="21"/>
                <w:highlight w:val="none"/>
                <w:lang w:val="en-US" w:eastAsia="zh-CN"/>
              </w:rPr>
              <w:t>3</w:t>
            </w:r>
            <w:r>
              <w:rPr>
                <w:rFonts w:hint="eastAsia" w:ascii="宋体" w:hAnsi="宋体"/>
                <w:color w:val="auto"/>
                <w:szCs w:val="21"/>
                <w:highlight w:val="none"/>
              </w:rPr>
              <w:t>分）</w:t>
            </w:r>
          </w:p>
        </w:tc>
        <w:tc>
          <w:tcPr>
            <w:tcW w:w="1344" w:type="dxa"/>
            <w:vMerge w:val="restart"/>
            <w:tcBorders>
              <w:top w:val="single" w:color="auto" w:sz="4" w:space="0"/>
              <w:left w:val="single" w:color="auto" w:sz="4" w:space="0"/>
              <w:right w:val="single" w:color="auto" w:sz="4" w:space="0"/>
            </w:tcBorders>
            <w:noWrap w:val="0"/>
            <w:vAlign w:val="center"/>
          </w:tcPr>
          <w:p w14:paraId="27AE9759">
            <w:pPr>
              <w:spacing w:line="400" w:lineRule="exact"/>
              <w:jc w:val="center"/>
              <w:rPr>
                <w:rFonts w:ascii="宋体" w:hAnsi="宋体"/>
                <w:color w:val="auto"/>
                <w:szCs w:val="21"/>
                <w:highlight w:val="none"/>
              </w:rPr>
            </w:pPr>
            <w:r>
              <w:rPr>
                <w:rFonts w:hint="eastAsia"/>
                <w:color w:val="auto"/>
                <w:szCs w:val="21"/>
                <w:highlight w:val="none"/>
                <w:lang w:val="en-US" w:eastAsia="zh-CN"/>
              </w:rPr>
              <w:t>13</w:t>
            </w:r>
            <w:r>
              <w:rPr>
                <w:rFonts w:hint="eastAsia" w:ascii="宋体" w:hAnsi="宋体"/>
                <w:color w:val="auto"/>
                <w:szCs w:val="21"/>
                <w:highlight w:val="none"/>
              </w:rPr>
              <w:t>分</w:t>
            </w:r>
          </w:p>
        </w:tc>
        <w:tc>
          <w:tcPr>
            <w:tcW w:w="6056" w:type="dxa"/>
            <w:tcBorders>
              <w:top w:val="single" w:color="auto" w:sz="4" w:space="0"/>
              <w:left w:val="single" w:color="auto" w:sz="4" w:space="0"/>
              <w:right w:val="single" w:color="auto" w:sz="4" w:space="0"/>
            </w:tcBorders>
            <w:noWrap w:val="0"/>
            <w:vAlign w:val="center"/>
          </w:tcPr>
          <w:p w14:paraId="6899D053">
            <w:pPr>
              <w:tabs>
                <w:tab w:val="left" w:pos="312"/>
              </w:tabs>
              <w:spacing w:line="400" w:lineRule="exact"/>
              <w:rPr>
                <w:color w:val="auto"/>
                <w:highlight w:val="none"/>
              </w:rPr>
            </w:pPr>
            <w:r>
              <w:rPr>
                <w:rFonts w:hint="eastAsia"/>
                <w:color w:val="auto"/>
                <w:highlight w:val="none"/>
              </w:rPr>
              <w:t>施救拖移车辆要求</w:t>
            </w:r>
            <w:r>
              <w:rPr>
                <w:rFonts w:hint="eastAsia"/>
                <w:color w:val="auto"/>
                <w:highlight w:val="none"/>
                <w:lang w:val="en-US" w:eastAsia="zh-CN"/>
              </w:rPr>
              <w:t>-1</w:t>
            </w:r>
            <w:r>
              <w:rPr>
                <w:rFonts w:hint="eastAsia"/>
                <w:color w:val="auto"/>
                <w:highlight w:val="none"/>
              </w:rPr>
              <w:t>（本</w:t>
            </w:r>
            <w:r>
              <w:rPr>
                <w:rFonts w:hint="eastAsia"/>
                <w:color w:val="auto"/>
                <w:highlight w:val="none"/>
                <w:lang w:val="en-US" w:eastAsia="zh-CN"/>
              </w:rPr>
              <w:t>小</w:t>
            </w:r>
            <w:r>
              <w:rPr>
                <w:rFonts w:hint="eastAsia"/>
                <w:color w:val="auto"/>
                <w:highlight w:val="none"/>
              </w:rPr>
              <w:t>项最高得</w:t>
            </w:r>
            <w:r>
              <w:rPr>
                <w:rFonts w:hint="eastAsia"/>
                <w:color w:val="auto"/>
                <w:highlight w:val="none"/>
                <w:lang w:val="en-US" w:eastAsia="zh-CN"/>
              </w:rPr>
              <w:t>8</w:t>
            </w:r>
            <w:r>
              <w:rPr>
                <w:rFonts w:hint="eastAsia"/>
                <w:color w:val="auto"/>
                <w:highlight w:val="none"/>
              </w:rPr>
              <w:t>分）：</w:t>
            </w:r>
          </w:p>
          <w:p w14:paraId="5D294678">
            <w:pPr>
              <w:pStyle w:val="7"/>
              <w:widowControl w:val="0"/>
              <w:topLinePunct/>
              <w:snapToGrid w:val="0"/>
              <w:spacing w:before="120" w:beforeAutospacing="0" w:after="120" w:afterAutospacing="0" w:line="360" w:lineRule="auto"/>
              <w:ind w:firstLine="400" w:firstLineChars="200"/>
              <w:contextualSpacing/>
              <w:jc w:val="both"/>
              <w:rPr>
                <w:rFonts w:hint="default"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满足车辆配置基准要求【即：拖车（或平板车）1辆、皮卡车1辆】的</w:t>
            </w:r>
            <w:r>
              <w:rPr>
                <w:rFonts w:hint="eastAsia" w:cs="宋体"/>
                <w:color w:val="auto"/>
                <w:sz w:val="20"/>
                <w:highlight w:val="none"/>
                <w:lang w:val="en-US" w:eastAsia="zh-CN" w:bidi="ar-SA"/>
              </w:rPr>
              <w:t>得</w:t>
            </w:r>
            <w:r>
              <w:rPr>
                <w:rFonts w:hint="eastAsia" w:ascii="宋体" w:hAnsi="宋体" w:eastAsia="宋体" w:cs="宋体"/>
                <w:color w:val="auto"/>
                <w:sz w:val="20"/>
                <w:highlight w:val="none"/>
                <w:lang w:val="en-US" w:eastAsia="zh-CN" w:bidi="ar-SA"/>
              </w:rPr>
              <w:t>基本分</w:t>
            </w:r>
            <w:r>
              <w:rPr>
                <w:rFonts w:hint="eastAsia" w:cs="宋体"/>
                <w:color w:val="auto"/>
                <w:sz w:val="20"/>
                <w:highlight w:val="none"/>
                <w:lang w:val="en-US" w:eastAsia="zh-CN" w:bidi="ar-SA"/>
              </w:rPr>
              <w:t>4</w:t>
            </w:r>
            <w:r>
              <w:rPr>
                <w:rFonts w:hint="eastAsia" w:ascii="宋体" w:hAnsi="宋体" w:eastAsia="宋体" w:cs="宋体"/>
                <w:color w:val="auto"/>
                <w:sz w:val="20"/>
                <w:highlight w:val="none"/>
                <w:lang w:val="en-US" w:eastAsia="zh-CN" w:bidi="ar-SA"/>
              </w:rPr>
              <w:t>分，</w:t>
            </w:r>
            <w:r>
              <w:rPr>
                <w:rFonts w:hint="eastAsia" w:cs="宋体"/>
                <w:color w:val="auto"/>
                <w:sz w:val="20"/>
                <w:highlight w:val="none"/>
                <w:lang w:val="en-US" w:eastAsia="zh-CN" w:bidi="ar-SA"/>
              </w:rPr>
              <w:t>不满足不得分。</w:t>
            </w:r>
          </w:p>
          <w:p w14:paraId="6573803D">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在满足车辆配置基准要求的基础上，每增加1辆自有（或租赁）拖车</w:t>
            </w:r>
            <w:r>
              <w:rPr>
                <w:rFonts w:hint="eastAsia" w:cs="宋体"/>
                <w:color w:val="auto"/>
                <w:sz w:val="20"/>
                <w:highlight w:val="none"/>
                <w:lang w:val="en-US" w:eastAsia="zh-CN" w:bidi="ar-SA"/>
              </w:rPr>
              <w:t>（或平板车）</w:t>
            </w:r>
            <w:r>
              <w:rPr>
                <w:rFonts w:hint="eastAsia" w:ascii="宋体" w:hAnsi="宋体" w:eastAsia="宋体" w:cs="宋体"/>
                <w:color w:val="auto"/>
                <w:sz w:val="20"/>
                <w:highlight w:val="none"/>
                <w:lang w:val="en-US" w:eastAsia="zh-CN" w:bidi="ar-SA"/>
              </w:rPr>
              <w:t>加1分，自有（或租赁）拖车</w:t>
            </w:r>
            <w:r>
              <w:rPr>
                <w:rFonts w:hint="eastAsia" w:cs="宋体"/>
                <w:color w:val="auto"/>
                <w:sz w:val="20"/>
                <w:highlight w:val="none"/>
                <w:lang w:val="en-US" w:eastAsia="zh-CN" w:bidi="ar-SA"/>
              </w:rPr>
              <w:t>（或平板车）</w:t>
            </w:r>
            <w:r>
              <w:rPr>
                <w:rFonts w:hint="eastAsia" w:ascii="宋体" w:hAnsi="宋体" w:eastAsia="宋体" w:cs="宋体"/>
                <w:color w:val="auto"/>
                <w:sz w:val="20"/>
                <w:highlight w:val="none"/>
                <w:lang w:val="en-US" w:eastAsia="zh-CN" w:bidi="ar-SA"/>
              </w:rPr>
              <w:t>至多加至2分；每增加1辆自有（或租赁）</w:t>
            </w:r>
            <w:r>
              <w:rPr>
                <w:rFonts w:hint="eastAsia" w:cs="宋体"/>
                <w:color w:val="auto"/>
                <w:sz w:val="20"/>
                <w:highlight w:val="none"/>
                <w:lang w:val="en-US" w:eastAsia="zh-CN" w:bidi="ar-SA"/>
              </w:rPr>
              <w:t>皮卡车</w:t>
            </w:r>
            <w:r>
              <w:rPr>
                <w:rFonts w:hint="eastAsia" w:ascii="宋体" w:hAnsi="宋体" w:eastAsia="宋体" w:cs="宋体"/>
                <w:color w:val="auto"/>
                <w:sz w:val="20"/>
                <w:highlight w:val="none"/>
                <w:lang w:val="en-US" w:eastAsia="zh-CN" w:bidi="ar-SA"/>
              </w:rPr>
              <w:t>加</w:t>
            </w:r>
            <w:r>
              <w:rPr>
                <w:rFonts w:hint="eastAsia" w:cs="宋体"/>
                <w:color w:val="auto"/>
                <w:sz w:val="20"/>
                <w:highlight w:val="none"/>
                <w:lang w:val="en-US" w:eastAsia="zh-CN" w:bidi="ar-SA"/>
              </w:rPr>
              <w:t>1</w:t>
            </w:r>
            <w:r>
              <w:rPr>
                <w:rFonts w:hint="eastAsia" w:ascii="宋体" w:hAnsi="宋体" w:eastAsia="宋体" w:cs="宋体"/>
                <w:color w:val="auto"/>
                <w:sz w:val="20"/>
                <w:highlight w:val="none"/>
                <w:lang w:val="en-US" w:eastAsia="zh-CN" w:bidi="ar-SA"/>
              </w:rPr>
              <w:t>分，自有（或租赁）</w:t>
            </w:r>
            <w:r>
              <w:rPr>
                <w:rFonts w:hint="eastAsia" w:cs="宋体"/>
                <w:color w:val="auto"/>
                <w:sz w:val="20"/>
                <w:highlight w:val="none"/>
                <w:lang w:val="en-US" w:eastAsia="zh-CN" w:bidi="ar-SA"/>
              </w:rPr>
              <w:t>皮卡车</w:t>
            </w:r>
            <w:r>
              <w:rPr>
                <w:rFonts w:hint="eastAsia" w:ascii="宋体" w:hAnsi="宋体" w:eastAsia="宋体" w:cs="宋体"/>
                <w:color w:val="auto"/>
                <w:sz w:val="20"/>
                <w:highlight w:val="none"/>
                <w:lang w:val="en-US" w:eastAsia="zh-CN" w:bidi="ar-SA"/>
              </w:rPr>
              <w:t>至多加至</w:t>
            </w:r>
            <w:r>
              <w:rPr>
                <w:rFonts w:hint="eastAsia" w:cs="宋体"/>
                <w:color w:val="auto"/>
                <w:sz w:val="20"/>
                <w:highlight w:val="none"/>
                <w:lang w:val="en-US" w:eastAsia="zh-CN" w:bidi="ar-SA"/>
              </w:rPr>
              <w:t>2</w:t>
            </w:r>
            <w:r>
              <w:rPr>
                <w:rFonts w:hint="eastAsia" w:ascii="宋体" w:hAnsi="宋体" w:eastAsia="宋体" w:cs="宋体"/>
                <w:color w:val="auto"/>
                <w:sz w:val="20"/>
                <w:highlight w:val="none"/>
                <w:lang w:val="en-US" w:eastAsia="zh-CN" w:bidi="ar-SA"/>
              </w:rPr>
              <w:t>分；本项最多加</w:t>
            </w:r>
            <w:r>
              <w:rPr>
                <w:rFonts w:hint="eastAsia" w:cs="宋体"/>
                <w:color w:val="auto"/>
                <w:sz w:val="20"/>
                <w:highlight w:val="none"/>
                <w:lang w:val="en-US" w:eastAsia="zh-CN" w:bidi="ar-SA"/>
              </w:rPr>
              <w:t>4</w:t>
            </w:r>
            <w:r>
              <w:rPr>
                <w:rFonts w:hint="eastAsia" w:ascii="宋体" w:hAnsi="宋体" w:eastAsia="宋体" w:cs="宋体"/>
                <w:color w:val="auto"/>
                <w:sz w:val="20"/>
                <w:highlight w:val="none"/>
                <w:lang w:val="en-US" w:eastAsia="zh-CN" w:bidi="ar-SA"/>
              </w:rPr>
              <w:t xml:space="preserve">分。              </w:t>
            </w:r>
          </w:p>
          <w:p w14:paraId="027E2BF7">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注：自有的以发票、车辆行驶证或登记证书户主为准；租赁的以租赁合同</w:t>
            </w:r>
            <w:r>
              <w:rPr>
                <w:rFonts w:hint="eastAsia" w:cs="宋体"/>
                <w:color w:val="auto"/>
                <w:sz w:val="20"/>
                <w:highlight w:val="none"/>
                <w:lang w:val="en-US" w:eastAsia="zh-CN" w:bidi="ar-SA"/>
              </w:rPr>
              <w:t>（租期应覆盖本项目服务期限）</w:t>
            </w:r>
            <w:r>
              <w:rPr>
                <w:rFonts w:hint="eastAsia" w:ascii="宋体" w:hAnsi="宋体" w:eastAsia="宋体" w:cs="宋体"/>
                <w:color w:val="auto"/>
                <w:sz w:val="20"/>
                <w:highlight w:val="none"/>
                <w:lang w:val="en-US" w:eastAsia="zh-CN" w:bidi="ar-SA"/>
              </w:rPr>
              <w:t>为准。</w:t>
            </w:r>
          </w:p>
          <w:p w14:paraId="67F6EBA8">
            <w:pPr>
              <w:pStyle w:val="7"/>
              <w:widowControl w:val="0"/>
              <w:topLinePunct/>
              <w:snapToGrid w:val="0"/>
              <w:spacing w:before="120" w:beforeAutospacing="0" w:after="120" w:afterAutospacing="0" w:line="360" w:lineRule="auto"/>
              <w:ind w:firstLine="400" w:firstLineChars="200"/>
              <w:contextualSpacing/>
              <w:jc w:val="both"/>
              <w:rPr>
                <w:color w:val="auto"/>
                <w:highlight w:val="none"/>
              </w:rPr>
            </w:pPr>
            <w:r>
              <w:rPr>
                <w:rFonts w:hint="eastAsia" w:ascii="宋体" w:hAnsi="宋体" w:eastAsia="宋体" w:cs="宋体"/>
                <w:color w:val="auto"/>
                <w:sz w:val="20"/>
                <w:highlight w:val="none"/>
                <w:lang w:val="en-US" w:eastAsia="zh-CN" w:bidi="ar-SA"/>
              </w:rPr>
              <w:t>投标人提供以上证书、发票、合同等的原件扫描件制作在投标文件中，不提供不得分。</w:t>
            </w:r>
          </w:p>
        </w:tc>
      </w:tr>
      <w:tr w14:paraId="10E9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1" w:hRule="atLeast"/>
          <w:jc w:val="center"/>
        </w:trPr>
        <w:tc>
          <w:tcPr>
            <w:tcW w:w="1781" w:type="dxa"/>
            <w:vMerge w:val="continue"/>
            <w:tcBorders>
              <w:left w:val="single" w:color="auto" w:sz="4" w:space="0"/>
              <w:right w:val="single" w:color="auto" w:sz="4" w:space="0"/>
            </w:tcBorders>
            <w:noWrap w:val="0"/>
            <w:vAlign w:val="center"/>
          </w:tcPr>
          <w:p w14:paraId="769C62CF">
            <w:pPr>
              <w:pStyle w:val="7"/>
              <w:widowControl w:val="0"/>
              <w:topLinePunct/>
              <w:snapToGrid w:val="0"/>
              <w:spacing w:before="120" w:beforeAutospacing="0" w:after="120" w:afterAutospacing="0" w:line="360" w:lineRule="auto"/>
              <w:ind w:firstLine="480" w:firstLineChars="200"/>
              <w:contextualSpacing/>
              <w:jc w:val="both"/>
              <w:rPr>
                <w:color w:val="auto"/>
                <w:highlight w:val="none"/>
              </w:rPr>
            </w:pPr>
          </w:p>
        </w:tc>
        <w:tc>
          <w:tcPr>
            <w:tcW w:w="1344" w:type="dxa"/>
            <w:vMerge w:val="continue"/>
            <w:tcBorders>
              <w:left w:val="single" w:color="auto" w:sz="4" w:space="0"/>
              <w:bottom w:val="single" w:color="auto" w:sz="4" w:space="0"/>
              <w:right w:val="single" w:color="auto" w:sz="4" w:space="0"/>
            </w:tcBorders>
            <w:noWrap w:val="0"/>
            <w:vAlign w:val="center"/>
          </w:tcPr>
          <w:p w14:paraId="520F3E37">
            <w:pPr>
              <w:pStyle w:val="7"/>
              <w:widowControl w:val="0"/>
              <w:topLinePunct/>
              <w:snapToGrid w:val="0"/>
              <w:spacing w:before="120" w:beforeAutospacing="0" w:after="120" w:afterAutospacing="0" w:line="360" w:lineRule="auto"/>
              <w:ind w:firstLine="480" w:firstLineChars="200"/>
              <w:contextualSpacing/>
              <w:jc w:val="both"/>
              <w:rPr>
                <w:color w:val="auto"/>
                <w:highlight w:val="none"/>
              </w:rPr>
            </w:pPr>
          </w:p>
        </w:tc>
        <w:tc>
          <w:tcPr>
            <w:tcW w:w="6056" w:type="dxa"/>
            <w:tcBorders>
              <w:top w:val="single" w:color="auto" w:sz="4" w:space="0"/>
              <w:left w:val="single" w:color="auto" w:sz="4" w:space="0"/>
              <w:right w:val="single" w:color="auto" w:sz="4" w:space="0"/>
            </w:tcBorders>
            <w:noWrap w:val="0"/>
            <w:vAlign w:val="center"/>
          </w:tcPr>
          <w:p w14:paraId="4AE3C09E">
            <w:pPr>
              <w:tabs>
                <w:tab w:val="left" w:pos="312"/>
              </w:tabs>
              <w:spacing w:line="400" w:lineRule="exact"/>
              <w:rPr>
                <w:color w:val="auto"/>
                <w:highlight w:val="none"/>
              </w:rPr>
            </w:pPr>
            <w:r>
              <w:rPr>
                <w:rFonts w:hint="eastAsia"/>
                <w:color w:val="auto"/>
                <w:highlight w:val="none"/>
              </w:rPr>
              <w:t>施救拖移车辆要求</w:t>
            </w:r>
            <w:r>
              <w:rPr>
                <w:rFonts w:hint="eastAsia"/>
                <w:color w:val="auto"/>
                <w:highlight w:val="none"/>
                <w:lang w:val="en-US" w:eastAsia="zh-CN"/>
              </w:rPr>
              <w:t>-2</w:t>
            </w:r>
            <w:r>
              <w:rPr>
                <w:rFonts w:hint="eastAsia"/>
                <w:color w:val="auto"/>
                <w:highlight w:val="none"/>
              </w:rPr>
              <w:t>（本</w:t>
            </w:r>
            <w:r>
              <w:rPr>
                <w:rFonts w:hint="eastAsia"/>
                <w:color w:val="auto"/>
                <w:highlight w:val="none"/>
                <w:lang w:val="en-US" w:eastAsia="zh-CN"/>
              </w:rPr>
              <w:t>小</w:t>
            </w:r>
            <w:r>
              <w:rPr>
                <w:rFonts w:hint="eastAsia"/>
                <w:color w:val="auto"/>
                <w:highlight w:val="none"/>
              </w:rPr>
              <w:t>项最高得</w:t>
            </w:r>
            <w:r>
              <w:rPr>
                <w:rFonts w:hint="eastAsia"/>
                <w:color w:val="auto"/>
                <w:highlight w:val="none"/>
                <w:lang w:val="en-US" w:eastAsia="zh-CN"/>
              </w:rPr>
              <w:t>2</w:t>
            </w:r>
            <w:r>
              <w:rPr>
                <w:rFonts w:hint="eastAsia"/>
                <w:color w:val="auto"/>
                <w:highlight w:val="none"/>
              </w:rPr>
              <w:t>分）：</w:t>
            </w:r>
          </w:p>
          <w:p w14:paraId="64E1D07A">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投标人自有或</w:t>
            </w:r>
            <w:r>
              <w:rPr>
                <w:rFonts w:hint="eastAsia" w:ascii="宋体" w:hAnsi="宋体" w:eastAsia="宋体" w:cs="宋体"/>
                <w:color w:val="auto"/>
                <w:sz w:val="20"/>
                <w:highlight w:val="none"/>
                <w:lang w:val="zh-CN" w:eastAsia="zh-CN" w:bidi="ar-SA"/>
              </w:rPr>
              <w:t>签约具有30吨、50吨吊车、80吨拖车资质合作单位两家</w:t>
            </w:r>
            <w:r>
              <w:rPr>
                <w:rFonts w:hint="eastAsia" w:ascii="宋体" w:hAnsi="宋体" w:eastAsia="宋体" w:cs="宋体"/>
                <w:color w:val="auto"/>
                <w:sz w:val="20"/>
                <w:highlight w:val="none"/>
                <w:lang w:val="en-US" w:eastAsia="zh-CN" w:bidi="ar-SA"/>
              </w:rPr>
              <w:t>的得2分，自己没有或未签</w:t>
            </w:r>
            <w:r>
              <w:rPr>
                <w:rFonts w:hint="eastAsia" w:cs="宋体"/>
                <w:color w:val="auto"/>
                <w:sz w:val="20"/>
                <w:highlight w:val="none"/>
                <w:lang w:val="en-US" w:eastAsia="zh-CN" w:bidi="ar-SA"/>
              </w:rPr>
              <w:t>约</w:t>
            </w:r>
            <w:r>
              <w:rPr>
                <w:rFonts w:hint="eastAsia" w:ascii="宋体" w:hAnsi="宋体" w:eastAsia="宋体" w:cs="宋体"/>
                <w:color w:val="auto"/>
                <w:sz w:val="20"/>
                <w:highlight w:val="none"/>
                <w:lang w:val="en-US" w:eastAsia="zh-CN" w:bidi="ar-SA"/>
              </w:rPr>
              <w:t xml:space="preserve">两家相应吨位吊车、拖车合作单位的，不得分。 </w:t>
            </w:r>
          </w:p>
          <w:p w14:paraId="42D5A370">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注：自有的以发票、车辆行驶证或登记证书户主为准；</w:t>
            </w:r>
            <w:r>
              <w:rPr>
                <w:rFonts w:hint="eastAsia" w:cs="宋体"/>
                <w:color w:val="auto"/>
                <w:sz w:val="20"/>
                <w:highlight w:val="none"/>
                <w:lang w:val="en-US" w:eastAsia="zh-CN" w:bidi="ar-SA"/>
              </w:rPr>
              <w:t>签约</w:t>
            </w:r>
            <w:r>
              <w:rPr>
                <w:rFonts w:hint="eastAsia" w:ascii="宋体" w:hAnsi="宋体" w:eastAsia="宋体" w:cs="宋体"/>
                <w:color w:val="auto"/>
                <w:sz w:val="20"/>
                <w:highlight w:val="none"/>
                <w:lang w:val="en-US" w:eastAsia="zh-CN" w:bidi="ar-SA"/>
              </w:rPr>
              <w:t>的以合同</w:t>
            </w:r>
            <w:r>
              <w:rPr>
                <w:rFonts w:hint="eastAsia" w:cs="宋体"/>
                <w:color w:val="auto"/>
                <w:sz w:val="20"/>
                <w:highlight w:val="none"/>
                <w:lang w:val="en-US" w:eastAsia="zh-CN" w:bidi="ar-SA"/>
              </w:rPr>
              <w:t>（签约合作期应覆盖本项目服务期限）</w:t>
            </w:r>
            <w:r>
              <w:rPr>
                <w:rFonts w:hint="eastAsia" w:ascii="宋体" w:hAnsi="宋体" w:eastAsia="宋体" w:cs="宋体"/>
                <w:color w:val="auto"/>
                <w:sz w:val="20"/>
                <w:highlight w:val="none"/>
                <w:lang w:val="en-US" w:eastAsia="zh-CN" w:bidi="ar-SA"/>
              </w:rPr>
              <w:t>为准。</w:t>
            </w:r>
          </w:p>
          <w:p w14:paraId="660517CC">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 xml:space="preserve">投标人提供以上证书、发票、合同等的原件扫描件制作在投标文件中，不提供不得分。            </w:t>
            </w:r>
          </w:p>
        </w:tc>
      </w:tr>
      <w:tr w14:paraId="409B8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90" w:hRule="atLeast"/>
          <w:jc w:val="center"/>
        </w:trPr>
        <w:tc>
          <w:tcPr>
            <w:tcW w:w="1781" w:type="dxa"/>
            <w:vMerge w:val="continue"/>
            <w:tcBorders>
              <w:left w:val="single" w:color="auto" w:sz="4" w:space="0"/>
              <w:right w:val="single" w:color="auto" w:sz="4" w:space="0"/>
            </w:tcBorders>
            <w:noWrap w:val="0"/>
            <w:vAlign w:val="center"/>
          </w:tcPr>
          <w:p w14:paraId="6CFCF6E4">
            <w:pPr>
              <w:pStyle w:val="7"/>
              <w:widowControl w:val="0"/>
              <w:topLinePunct/>
              <w:snapToGrid w:val="0"/>
              <w:spacing w:before="120" w:beforeAutospacing="0" w:after="120" w:afterAutospacing="0" w:line="360" w:lineRule="auto"/>
              <w:ind w:firstLine="480" w:firstLineChars="200"/>
              <w:contextualSpacing/>
              <w:jc w:val="both"/>
              <w:rPr>
                <w:color w:val="auto"/>
                <w:highlight w:val="none"/>
              </w:rPr>
            </w:pPr>
          </w:p>
        </w:tc>
        <w:tc>
          <w:tcPr>
            <w:tcW w:w="1344" w:type="dxa"/>
            <w:vMerge w:val="continue"/>
            <w:tcBorders>
              <w:left w:val="single" w:color="auto" w:sz="4" w:space="0"/>
              <w:bottom w:val="single" w:color="auto" w:sz="4" w:space="0"/>
              <w:right w:val="single" w:color="auto" w:sz="4" w:space="0"/>
            </w:tcBorders>
            <w:noWrap w:val="0"/>
            <w:vAlign w:val="center"/>
          </w:tcPr>
          <w:p w14:paraId="00997A82">
            <w:pPr>
              <w:pStyle w:val="7"/>
              <w:widowControl w:val="0"/>
              <w:topLinePunct/>
              <w:snapToGrid w:val="0"/>
              <w:spacing w:before="120" w:beforeAutospacing="0" w:after="120" w:afterAutospacing="0" w:line="360" w:lineRule="auto"/>
              <w:ind w:firstLine="480" w:firstLineChars="200"/>
              <w:contextualSpacing/>
              <w:jc w:val="both"/>
              <w:rPr>
                <w:color w:val="auto"/>
                <w:highlight w:val="none"/>
              </w:rPr>
            </w:pPr>
          </w:p>
        </w:tc>
        <w:tc>
          <w:tcPr>
            <w:tcW w:w="6056" w:type="dxa"/>
            <w:tcBorders>
              <w:top w:val="single" w:color="auto" w:sz="4" w:space="0"/>
              <w:left w:val="single" w:color="auto" w:sz="4" w:space="0"/>
              <w:right w:val="single" w:color="auto" w:sz="4" w:space="0"/>
            </w:tcBorders>
            <w:noWrap w:val="0"/>
            <w:vAlign w:val="center"/>
          </w:tcPr>
          <w:p w14:paraId="7FDB8DF3">
            <w:pPr>
              <w:tabs>
                <w:tab w:val="left" w:pos="312"/>
              </w:tabs>
              <w:spacing w:line="400" w:lineRule="exact"/>
              <w:rPr>
                <w:color w:val="auto"/>
                <w:highlight w:val="none"/>
              </w:rPr>
            </w:pPr>
            <w:r>
              <w:rPr>
                <w:rFonts w:hint="eastAsia"/>
                <w:color w:val="auto"/>
                <w:highlight w:val="none"/>
              </w:rPr>
              <w:t>施救拖移车辆要求</w:t>
            </w:r>
            <w:r>
              <w:rPr>
                <w:rFonts w:hint="eastAsia"/>
                <w:color w:val="auto"/>
                <w:highlight w:val="none"/>
                <w:lang w:val="en-US" w:eastAsia="zh-CN"/>
              </w:rPr>
              <w:t>-3</w:t>
            </w:r>
            <w:r>
              <w:rPr>
                <w:rFonts w:hint="eastAsia"/>
                <w:color w:val="auto"/>
                <w:highlight w:val="none"/>
              </w:rPr>
              <w:t>（本</w:t>
            </w:r>
            <w:r>
              <w:rPr>
                <w:rFonts w:hint="eastAsia"/>
                <w:color w:val="auto"/>
                <w:highlight w:val="none"/>
                <w:lang w:val="en-US" w:eastAsia="zh-CN"/>
              </w:rPr>
              <w:t>小</w:t>
            </w:r>
            <w:r>
              <w:rPr>
                <w:rFonts w:hint="eastAsia"/>
                <w:color w:val="auto"/>
                <w:highlight w:val="none"/>
              </w:rPr>
              <w:t>项最高得</w:t>
            </w:r>
            <w:r>
              <w:rPr>
                <w:rFonts w:hint="eastAsia"/>
                <w:color w:val="auto"/>
                <w:highlight w:val="none"/>
                <w:lang w:val="en-US" w:eastAsia="zh-CN"/>
              </w:rPr>
              <w:t>3</w:t>
            </w:r>
            <w:r>
              <w:rPr>
                <w:rFonts w:hint="eastAsia"/>
                <w:color w:val="auto"/>
                <w:highlight w:val="none"/>
              </w:rPr>
              <w:t>分）：</w:t>
            </w:r>
          </w:p>
          <w:p w14:paraId="5DFA152B">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配有一套破拆器材，照明、消防器材，警示桩、警示牌、警戒带、警示灯等安全防护装置的，得3分，未配全的，有一种器材，得0.3分。</w:t>
            </w:r>
          </w:p>
          <w:p w14:paraId="4BB055FB">
            <w:pPr>
              <w:pStyle w:val="7"/>
              <w:widowControl w:val="0"/>
              <w:topLinePunct/>
              <w:snapToGrid w:val="0"/>
              <w:spacing w:before="120" w:beforeAutospacing="0" w:after="120" w:afterAutospacing="0" w:line="360" w:lineRule="auto"/>
              <w:ind w:firstLine="400" w:firstLineChars="200"/>
              <w:contextualSpacing/>
              <w:jc w:val="both"/>
              <w:rPr>
                <w:rFonts w:hint="eastAsia" w:ascii="宋体" w:hAnsi="宋体" w:eastAsia="宋体" w:cs="宋体"/>
                <w:color w:val="auto"/>
                <w:sz w:val="20"/>
                <w:highlight w:val="none"/>
                <w:lang w:val="en-US" w:eastAsia="zh-CN" w:bidi="ar-SA"/>
              </w:rPr>
            </w:pPr>
            <w:r>
              <w:rPr>
                <w:rFonts w:hint="eastAsia" w:ascii="宋体" w:hAnsi="宋体" w:eastAsia="宋体" w:cs="宋体"/>
                <w:color w:val="auto"/>
                <w:sz w:val="20"/>
                <w:highlight w:val="none"/>
                <w:lang w:val="en-US" w:eastAsia="zh-CN" w:bidi="ar-SA"/>
              </w:rPr>
              <w:t>投标人提供以上</w:t>
            </w:r>
            <w:r>
              <w:rPr>
                <w:rFonts w:hint="eastAsia" w:cs="宋体"/>
                <w:color w:val="auto"/>
                <w:sz w:val="20"/>
                <w:highlight w:val="none"/>
                <w:lang w:val="en-US" w:eastAsia="zh-CN" w:bidi="ar-SA"/>
              </w:rPr>
              <w:t>器材图片</w:t>
            </w:r>
            <w:r>
              <w:rPr>
                <w:rFonts w:hint="eastAsia" w:ascii="宋体" w:hAnsi="宋体" w:eastAsia="宋体" w:cs="宋体"/>
                <w:color w:val="auto"/>
                <w:sz w:val="20"/>
                <w:highlight w:val="none"/>
                <w:lang w:val="en-US" w:eastAsia="zh-CN" w:bidi="ar-SA"/>
              </w:rPr>
              <w:t>、发票、合同等的原件扫描件制作在投标文件中，不提供不得分。</w:t>
            </w:r>
          </w:p>
        </w:tc>
      </w:tr>
      <w:tr w14:paraId="1085D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5" w:hRule="atLeast"/>
          <w:jc w:val="center"/>
        </w:trPr>
        <w:tc>
          <w:tcPr>
            <w:tcW w:w="1781" w:type="dxa"/>
            <w:vMerge w:val="restart"/>
            <w:tcBorders>
              <w:left w:val="single" w:color="auto" w:sz="4" w:space="0"/>
              <w:right w:val="single" w:color="auto" w:sz="4" w:space="0"/>
            </w:tcBorders>
            <w:noWrap w:val="0"/>
            <w:vAlign w:val="center"/>
          </w:tcPr>
          <w:p w14:paraId="705C965A">
            <w:pPr>
              <w:spacing w:line="400" w:lineRule="exact"/>
              <w:rPr>
                <w:rFonts w:ascii="宋体" w:hAnsi="宋体"/>
                <w:color w:val="auto"/>
                <w:szCs w:val="21"/>
                <w:highlight w:val="none"/>
              </w:rPr>
            </w:pPr>
            <w:r>
              <w:rPr>
                <w:rFonts w:hint="eastAsia" w:ascii="宋体" w:hAnsi="宋体"/>
                <w:color w:val="auto"/>
                <w:szCs w:val="21"/>
                <w:highlight w:val="none"/>
              </w:rPr>
              <w:t>人员要求（15分）</w:t>
            </w:r>
          </w:p>
        </w:tc>
        <w:tc>
          <w:tcPr>
            <w:tcW w:w="1344" w:type="dxa"/>
            <w:vMerge w:val="restart"/>
            <w:tcBorders>
              <w:top w:val="single" w:color="auto" w:sz="4" w:space="0"/>
              <w:left w:val="single" w:color="auto" w:sz="4" w:space="0"/>
              <w:right w:val="single" w:color="auto" w:sz="4" w:space="0"/>
            </w:tcBorders>
            <w:noWrap w:val="0"/>
            <w:vAlign w:val="center"/>
          </w:tcPr>
          <w:p w14:paraId="683C9DF7">
            <w:pPr>
              <w:spacing w:line="400" w:lineRule="exact"/>
              <w:jc w:val="center"/>
              <w:rPr>
                <w:rFonts w:ascii="宋体" w:hAnsi="宋体"/>
                <w:color w:val="auto"/>
                <w:szCs w:val="21"/>
                <w:highlight w:val="none"/>
              </w:rPr>
            </w:pPr>
            <w:r>
              <w:rPr>
                <w:rFonts w:hint="eastAsia" w:ascii="宋体" w:hAnsi="宋体"/>
                <w:color w:val="auto"/>
                <w:szCs w:val="21"/>
                <w:highlight w:val="none"/>
              </w:rPr>
              <w:t>15分</w:t>
            </w:r>
          </w:p>
        </w:tc>
        <w:tc>
          <w:tcPr>
            <w:tcW w:w="6056" w:type="dxa"/>
            <w:tcBorders>
              <w:left w:val="single" w:color="auto" w:sz="4" w:space="0"/>
              <w:bottom w:val="single" w:color="auto" w:sz="4" w:space="0"/>
              <w:right w:val="single" w:color="auto" w:sz="4" w:space="0"/>
            </w:tcBorders>
            <w:noWrap w:val="0"/>
            <w:vAlign w:val="center"/>
          </w:tcPr>
          <w:p w14:paraId="5CD6D8EB">
            <w:pPr>
              <w:tabs>
                <w:tab w:val="left" w:pos="312"/>
              </w:tabs>
              <w:spacing w:line="400" w:lineRule="exact"/>
              <w:rPr>
                <w:color w:val="auto"/>
                <w:highlight w:val="none"/>
              </w:rPr>
            </w:pPr>
            <w:r>
              <w:rPr>
                <w:rFonts w:hint="eastAsia"/>
                <w:color w:val="auto"/>
                <w:highlight w:val="none"/>
                <w:lang w:val="en-US" w:eastAsia="zh-CN"/>
              </w:rPr>
              <w:t>现场</w:t>
            </w:r>
            <w:r>
              <w:rPr>
                <w:rFonts w:hint="eastAsia"/>
                <w:color w:val="auto"/>
                <w:highlight w:val="none"/>
              </w:rPr>
              <w:t>看管人员要求（本</w:t>
            </w:r>
            <w:r>
              <w:rPr>
                <w:rFonts w:hint="eastAsia"/>
                <w:color w:val="auto"/>
                <w:highlight w:val="none"/>
                <w:lang w:val="en-US" w:eastAsia="zh-CN"/>
              </w:rPr>
              <w:t>小</w:t>
            </w:r>
            <w:r>
              <w:rPr>
                <w:rFonts w:hint="eastAsia"/>
                <w:color w:val="auto"/>
                <w:highlight w:val="none"/>
              </w:rPr>
              <w:t>项最高得</w:t>
            </w:r>
            <w:r>
              <w:rPr>
                <w:rFonts w:hint="eastAsia"/>
                <w:color w:val="auto"/>
                <w:highlight w:val="none"/>
                <w:lang w:val="en-US" w:eastAsia="zh-CN"/>
              </w:rPr>
              <w:t>5</w:t>
            </w:r>
            <w:r>
              <w:rPr>
                <w:rFonts w:hint="eastAsia"/>
                <w:color w:val="auto"/>
                <w:highlight w:val="none"/>
              </w:rPr>
              <w:t>分）：</w:t>
            </w:r>
          </w:p>
          <w:p w14:paraId="1F25BD3F">
            <w:pPr>
              <w:spacing w:line="400" w:lineRule="exact"/>
              <w:ind w:firstLine="400" w:firstLineChars="200"/>
              <w:rPr>
                <w:color w:val="auto"/>
                <w:highlight w:val="none"/>
              </w:rPr>
            </w:pPr>
            <w:r>
              <w:rPr>
                <w:rFonts w:hint="eastAsia"/>
                <w:color w:val="auto"/>
                <w:highlight w:val="none"/>
              </w:rPr>
              <w:t>停车场须配备</w:t>
            </w:r>
            <w:r>
              <w:rPr>
                <w:rFonts w:hint="eastAsia"/>
                <w:color w:val="auto"/>
                <w:highlight w:val="none"/>
                <w:lang w:val="en-US" w:eastAsia="zh-CN"/>
              </w:rPr>
              <w:t>负责现场</w:t>
            </w:r>
            <w:r>
              <w:rPr>
                <w:rFonts w:hint="eastAsia"/>
                <w:color w:val="auto"/>
                <w:highlight w:val="none"/>
                <w:lang w:val="zh-CN" w:eastAsia="zh-CN"/>
              </w:rPr>
              <w:t>保卫、</w:t>
            </w:r>
            <w:r>
              <w:rPr>
                <w:rFonts w:hint="eastAsia"/>
                <w:color w:val="auto"/>
                <w:highlight w:val="none"/>
              </w:rPr>
              <w:t>拍照、监控</w:t>
            </w:r>
            <w:r>
              <w:rPr>
                <w:rFonts w:hint="eastAsia"/>
                <w:color w:val="auto"/>
                <w:highlight w:val="none"/>
                <w:lang w:val="en-US" w:eastAsia="zh-CN"/>
              </w:rPr>
              <w:t>职责的</w:t>
            </w:r>
            <w:r>
              <w:rPr>
                <w:rFonts w:hint="eastAsia"/>
                <w:color w:val="auto"/>
                <w:highlight w:val="none"/>
              </w:rPr>
              <w:t>人员</w:t>
            </w:r>
            <w:r>
              <w:rPr>
                <w:rFonts w:hint="eastAsia"/>
                <w:color w:val="auto"/>
                <w:highlight w:val="none"/>
                <w:lang w:val="zh-CN" w:eastAsia="zh-CN"/>
              </w:rPr>
              <w:t>1</w:t>
            </w:r>
            <w:r>
              <w:rPr>
                <w:rFonts w:hint="eastAsia"/>
                <w:color w:val="auto"/>
                <w:highlight w:val="none"/>
                <w:lang w:val="en-US" w:eastAsia="zh-CN"/>
              </w:rPr>
              <w:t>人</w:t>
            </w:r>
            <w:r>
              <w:rPr>
                <w:rFonts w:hint="eastAsia"/>
                <w:color w:val="auto"/>
                <w:highlight w:val="none"/>
                <w:lang w:eastAsia="zh-CN"/>
              </w:rPr>
              <w:t>，</w:t>
            </w:r>
            <w:r>
              <w:rPr>
                <w:rFonts w:hint="eastAsia"/>
                <w:color w:val="auto"/>
                <w:highlight w:val="none"/>
              </w:rPr>
              <w:t>配备的</w:t>
            </w:r>
            <w:r>
              <w:rPr>
                <w:rFonts w:hint="eastAsia"/>
                <w:color w:val="auto"/>
                <w:highlight w:val="none"/>
                <w:lang w:val="en-US" w:eastAsia="zh-CN"/>
              </w:rPr>
              <w:t>得基本分2分。未配备不得分。每增加1名现场看管人员加1分，本项最多加3分。</w:t>
            </w:r>
          </w:p>
          <w:p w14:paraId="4946855A">
            <w:pPr>
              <w:spacing w:line="400" w:lineRule="exact"/>
              <w:ind w:firstLine="400" w:firstLineChars="200"/>
              <w:rPr>
                <w:color w:val="auto"/>
                <w:highlight w:val="none"/>
              </w:rPr>
            </w:pPr>
            <w:r>
              <w:rPr>
                <w:rFonts w:hint="eastAsia"/>
                <w:color w:val="auto"/>
                <w:highlight w:val="none"/>
              </w:rPr>
              <w:t>注：以上人员须提供近三个月</w:t>
            </w:r>
            <w:r>
              <w:rPr>
                <w:rFonts w:hint="eastAsia"/>
                <w:color w:val="auto"/>
                <w:highlight w:val="none"/>
                <w:lang w:val="en-US" w:eastAsia="zh-CN"/>
              </w:rPr>
              <w:t>任意一月</w:t>
            </w:r>
            <w:r>
              <w:rPr>
                <w:rFonts w:hint="eastAsia"/>
                <w:color w:val="auto"/>
                <w:highlight w:val="none"/>
              </w:rPr>
              <w:t>的养老保险证明或参保证明（要求有单位名称及代理人姓名并加盖社保部门公章，个人养老保险手册作为有效证明）。</w:t>
            </w:r>
            <w:r>
              <w:rPr>
                <w:rFonts w:hint="eastAsia" w:ascii="宋体" w:hAnsi="宋体"/>
                <w:color w:val="auto"/>
                <w:szCs w:val="21"/>
                <w:highlight w:val="none"/>
              </w:rPr>
              <w:t>以上人员资格证明须原件</w:t>
            </w:r>
            <w:r>
              <w:rPr>
                <w:rFonts w:hint="eastAsia" w:ascii="宋体" w:hAnsi="宋体"/>
                <w:color w:val="auto"/>
                <w:szCs w:val="21"/>
                <w:highlight w:val="none"/>
                <w:lang w:val="en-US" w:eastAsia="zh-CN"/>
              </w:rPr>
              <w:t>扫描</w:t>
            </w:r>
            <w:r>
              <w:rPr>
                <w:rFonts w:hint="eastAsia" w:ascii="宋体" w:hAnsi="宋体"/>
                <w:color w:val="auto"/>
                <w:szCs w:val="21"/>
                <w:highlight w:val="none"/>
              </w:rPr>
              <w:t>件</w:t>
            </w:r>
            <w:r>
              <w:rPr>
                <w:rFonts w:hint="eastAsia" w:ascii="宋体" w:hAnsi="宋体"/>
                <w:color w:val="auto"/>
                <w:szCs w:val="21"/>
                <w:highlight w:val="none"/>
                <w:lang w:val="en-US" w:eastAsia="zh-CN"/>
              </w:rPr>
              <w:t>上传</w:t>
            </w:r>
            <w:r>
              <w:rPr>
                <w:rFonts w:hint="eastAsia" w:ascii="宋体" w:hAnsi="宋体"/>
                <w:color w:val="auto"/>
                <w:szCs w:val="21"/>
                <w:highlight w:val="none"/>
              </w:rPr>
              <w:t>，投标人制作在投标文件中</w:t>
            </w:r>
            <w:r>
              <w:rPr>
                <w:rFonts w:hint="eastAsia" w:ascii="宋体" w:hAnsi="宋体"/>
                <w:color w:val="auto"/>
                <w:szCs w:val="21"/>
                <w:highlight w:val="none"/>
                <w:lang w:val="en-US" w:eastAsia="zh-CN"/>
              </w:rPr>
              <w:t>不提供</w:t>
            </w:r>
            <w:r>
              <w:rPr>
                <w:rFonts w:hint="eastAsia"/>
                <w:color w:val="auto"/>
                <w:szCs w:val="21"/>
                <w:highlight w:val="none"/>
                <w:lang w:val="en-US" w:eastAsia="zh-CN"/>
              </w:rPr>
              <w:t>的</w:t>
            </w:r>
            <w:r>
              <w:rPr>
                <w:rFonts w:hint="eastAsia" w:ascii="宋体" w:hAnsi="宋体"/>
                <w:color w:val="auto"/>
                <w:szCs w:val="21"/>
                <w:highlight w:val="none"/>
              </w:rPr>
              <w:t>不得分。</w:t>
            </w:r>
          </w:p>
        </w:tc>
      </w:tr>
      <w:tr w14:paraId="72D5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5" w:hRule="atLeast"/>
          <w:jc w:val="center"/>
        </w:trPr>
        <w:tc>
          <w:tcPr>
            <w:tcW w:w="1781" w:type="dxa"/>
            <w:vMerge w:val="continue"/>
            <w:tcBorders>
              <w:left w:val="single" w:color="auto" w:sz="4" w:space="0"/>
              <w:bottom w:val="single" w:color="auto" w:sz="4" w:space="0"/>
              <w:right w:val="single" w:color="auto" w:sz="4" w:space="0"/>
            </w:tcBorders>
            <w:noWrap w:val="0"/>
            <w:vAlign w:val="center"/>
          </w:tcPr>
          <w:p w14:paraId="3BE3069C">
            <w:pPr>
              <w:spacing w:line="400" w:lineRule="exact"/>
              <w:ind w:firstLine="400" w:firstLineChars="200"/>
              <w:rPr>
                <w:color w:val="auto"/>
                <w:highlight w:val="none"/>
              </w:rPr>
            </w:pPr>
          </w:p>
        </w:tc>
        <w:tc>
          <w:tcPr>
            <w:tcW w:w="1344" w:type="dxa"/>
            <w:vMerge w:val="continue"/>
            <w:tcBorders>
              <w:left w:val="single" w:color="auto" w:sz="4" w:space="0"/>
              <w:bottom w:val="single" w:color="auto" w:sz="4" w:space="0"/>
              <w:right w:val="single" w:color="auto" w:sz="4" w:space="0"/>
            </w:tcBorders>
            <w:noWrap w:val="0"/>
            <w:vAlign w:val="center"/>
          </w:tcPr>
          <w:p w14:paraId="2F2B1F18">
            <w:pPr>
              <w:spacing w:line="400" w:lineRule="exact"/>
              <w:ind w:firstLine="400" w:firstLineChars="200"/>
              <w:rPr>
                <w:color w:val="auto"/>
                <w:highlight w:val="none"/>
              </w:rPr>
            </w:pPr>
          </w:p>
        </w:tc>
        <w:tc>
          <w:tcPr>
            <w:tcW w:w="6056" w:type="dxa"/>
            <w:tcBorders>
              <w:left w:val="single" w:color="auto" w:sz="4" w:space="0"/>
              <w:bottom w:val="single" w:color="auto" w:sz="4" w:space="0"/>
              <w:right w:val="single" w:color="auto" w:sz="4" w:space="0"/>
            </w:tcBorders>
            <w:noWrap w:val="0"/>
            <w:vAlign w:val="center"/>
          </w:tcPr>
          <w:p w14:paraId="099195AB">
            <w:pPr>
              <w:tabs>
                <w:tab w:val="left" w:pos="312"/>
              </w:tabs>
              <w:spacing w:line="400" w:lineRule="exact"/>
              <w:rPr>
                <w:rFonts w:hint="eastAsia"/>
                <w:color w:val="auto"/>
                <w:highlight w:val="none"/>
              </w:rPr>
            </w:pPr>
            <w:r>
              <w:rPr>
                <w:rFonts w:hint="eastAsia"/>
                <w:color w:val="auto"/>
                <w:highlight w:val="none"/>
              </w:rPr>
              <w:t>施救人员要求（本</w:t>
            </w:r>
            <w:r>
              <w:rPr>
                <w:rFonts w:hint="eastAsia"/>
                <w:color w:val="auto"/>
                <w:highlight w:val="none"/>
                <w:lang w:val="en-US" w:eastAsia="zh-CN"/>
              </w:rPr>
              <w:t>小</w:t>
            </w:r>
            <w:r>
              <w:rPr>
                <w:rFonts w:hint="eastAsia"/>
                <w:color w:val="auto"/>
                <w:highlight w:val="none"/>
              </w:rPr>
              <w:t>项最高得</w:t>
            </w:r>
            <w:r>
              <w:rPr>
                <w:rFonts w:hint="eastAsia"/>
                <w:color w:val="auto"/>
                <w:highlight w:val="none"/>
                <w:lang w:val="en-US" w:eastAsia="zh-CN"/>
              </w:rPr>
              <w:t>10</w:t>
            </w:r>
            <w:r>
              <w:rPr>
                <w:rFonts w:hint="eastAsia"/>
                <w:color w:val="auto"/>
                <w:highlight w:val="none"/>
              </w:rPr>
              <w:t>分）：</w:t>
            </w:r>
          </w:p>
          <w:p w14:paraId="5F45A4E0">
            <w:pPr>
              <w:spacing w:line="400" w:lineRule="exact"/>
              <w:ind w:firstLine="400" w:firstLineChars="200"/>
              <w:rPr>
                <w:rFonts w:hint="default" w:eastAsiaTheme="minorEastAsia"/>
                <w:color w:val="auto"/>
                <w:highlight w:val="none"/>
                <w:lang w:val="en-US" w:eastAsia="zh-CN"/>
              </w:rPr>
            </w:pPr>
            <w:r>
              <w:rPr>
                <w:rFonts w:hint="eastAsia"/>
                <w:color w:val="auto"/>
                <w:highlight w:val="none"/>
                <w:lang w:val="zh-CN" w:eastAsia="zh-CN"/>
              </w:rPr>
              <w:t>宝应南片、宝应东片每个停车场配备施救人员不少于5人，其中持C1证以上</w:t>
            </w:r>
            <w:r>
              <w:rPr>
                <w:rFonts w:hint="eastAsia"/>
                <w:color w:val="auto"/>
                <w:highlight w:val="none"/>
                <w:lang w:val="en-US" w:eastAsia="zh-CN"/>
              </w:rPr>
              <w:t>3</w:t>
            </w:r>
            <w:r>
              <w:rPr>
                <w:rFonts w:hint="eastAsia"/>
                <w:color w:val="auto"/>
                <w:highlight w:val="none"/>
                <w:lang w:val="zh-CN" w:eastAsia="zh-CN"/>
              </w:rPr>
              <w:t>人，A2证2人；各停车场施救人员中必须有车辆维修能力的不少于1人，基本分3分。</w:t>
            </w:r>
          </w:p>
          <w:p w14:paraId="383E785F">
            <w:pPr>
              <w:spacing w:line="400" w:lineRule="exact"/>
              <w:ind w:firstLine="400" w:firstLineChars="200"/>
              <w:rPr>
                <w:color w:val="auto"/>
                <w:highlight w:val="none"/>
              </w:rPr>
            </w:pPr>
            <w:r>
              <w:rPr>
                <w:rFonts w:hint="eastAsia"/>
                <w:color w:val="auto"/>
                <w:highlight w:val="none"/>
                <w:lang w:val="en-US" w:eastAsia="zh-CN"/>
              </w:rPr>
              <w:t>在满足施救人员配置基准要求的基础上，</w:t>
            </w:r>
            <w:r>
              <w:rPr>
                <w:rFonts w:hint="eastAsia"/>
                <w:color w:val="auto"/>
                <w:highlight w:val="none"/>
              </w:rPr>
              <w:t>每增加1名修理资格的加2分</w:t>
            </w:r>
            <w:r>
              <w:rPr>
                <w:rFonts w:hint="eastAsia"/>
                <w:color w:val="auto"/>
                <w:highlight w:val="none"/>
                <w:lang w:eastAsia="zh-CN"/>
              </w:rPr>
              <w:t>，</w:t>
            </w:r>
            <w:r>
              <w:rPr>
                <w:rFonts w:hint="eastAsia"/>
                <w:color w:val="auto"/>
                <w:highlight w:val="none"/>
              </w:rPr>
              <w:t>每增加A1驾驶证1人加2分</w:t>
            </w:r>
            <w:r>
              <w:rPr>
                <w:rFonts w:hint="eastAsia"/>
                <w:color w:val="auto"/>
                <w:highlight w:val="none"/>
                <w:lang w:eastAsia="zh-CN"/>
              </w:rPr>
              <w:t>，</w:t>
            </w:r>
            <w:r>
              <w:rPr>
                <w:rFonts w:hint="eastAsia"/>
                <w:color w:val="auto"/>
                <w:highlight w:val="none"/>
                <w:lang w:val="en-US" w:eastAsia="zh-CN"/>
              </w:rPr>
              <w:t>每增加</w:t>
            </w:r>
            <w:r>
              <w:rPr>
                <w:rFonts w:hint="eastAsia"/>
                <w:color w:val="auto"/>
                <w:highlight w:val="none"/>
              </w:rPr>
              <w:t>A2驾驶证1人加1.5分</w:t>
            </w:r>
            <w:r>
              <w:rPr>
                <w:rFonts w:hint="eastAsia"/>
                <w:color w:val="auto"/>
                <w:highlight w:val="none"/>
                <w:lang w:eastAsia="zh-CN"/>
              </w:rPr>
              <w:t>，</w:t>
            </w:r>
            <w:r>
              <w:rPr>
                <w:rFonts w:hint="eastAsia"/>
                <w:color w:val="auto"/>
                <w:highlight w:val="none"/>
                <w:lang w:val="en-US" w:eastAsia="zh-CN"/>
              </w:rPr>
              <w:t>每增加</w:t>
            </w:r>
            <w:r>
              <w:rPr>
                <w:rFonts w:hint="eastAsia"/>
                <w:color w:val="auto"/>
                <w:highlight w:val="none"/>
              </w:rPr>
              <w:t>C1驾驶证</w:t>
            </w:r>
            <w:r>
              <w:rPr>
                <w:rFonts w:hint="eastAsia"/>
                <w:color w:val="auto"/>
                <w:highlight w:val="none"/>
                <w:lang w:val="en-US" w:eastAsia="zh-CN"/>
              </w:rPr>
              <w:t>1</w:t>
            </w:r>
            <w:r>
              <w:rPr>
                <w:rFonts w:hint="eastAsia"/>
                <w:color w:val="auto"/>
                <w:highlight w:val="none"/>
              </w:rPr>
              <w:t>人加1分，本项最多加7分。</w:t>
            </w:r>
          </w:p>
          <w:p w14:paraId="0E5D6A43">
            <w:pPr>
              <w:spacing w:line="400" w:lineRule="exact"/>
              <w:ind w:firstLine="400" w:firstLineChars="200"/>
              <w:rPr>
                <w:rFonts w:hint="eastAsia"/>
                <w:color w:val="auto"/>
                <w:highlight w:val="none"/>
              </w:rPr>
            </w:pPr>
            <w:r>
              <w:rPr>
                <w:rFonts w:hint="eastAsia"/>
                <w:color w:val="auto"/>
                <w:highlight w:val="none"/>
              </w:rPr>
              <w:t>注：以上人员须提供近三个月</w:t>
            </w:r>
            <w:r>
              <w:rPr>
                <w:rFonts w:hint="eastAsia"/>
                <w:color w:val="auto"/>
                <w:highlight w:val="none"/>
                <w:lang w:val="en-US" w:eastAsia="zh-CN"/>
              </w:rPr>
              <w:t>任意一月</w:t>
            </w:r>
            <w:r>
              <w:rPr>
                <w:rFonts w:hint="eastAsia"/>
                <w:color w:val="auto"/>
                <w:highlight w:val="none"/>
              </w:rPr>
              <w:t>的养老保险证明或参保证明（要求有单位名称及代理人姓名并加盖社保部门公章，个人养老保险手册作为有效证明）。</w:t>
            </w:r>
            <w:r>
              <w:rPr>
                <w:rFonts w:hint="eastAsia" w:ascii="宋体" w:hAnsi="宋体"/>
                <w:color w:val="auto"/>
                <w:szCs w:val="21"/>
                <w:highlight w:val="none"/>
              </w:rPr>
              <w:t>以上人员资格证明须原件</w:t>
            </w:r>
            <w:r>
              <w:rPr>
                <w:rFonts w:hint="eastAsia" w:ascii="宋体" w:hAnsi="宋体"/>
                <w:color w:val="auto"/>
                <w:szCs w:val="21"/>
                <w:highlight w:val="none"/>
                <w:lang w:val="en-US" w:eastAsia="zh-CN"/>
              </w:rPr>
              <w:t>扫描</w:t>
            </w:r>
            <w:r>
              <w:rPr>
                <w:rFonts w:hint="eastAsia" w:ascii="宋体" w:hAnsi="宋体"/>
                <w:color w:val="auto"/>
                <w:szCs w:val="21"/>
                <w:highlight w:val="none"/>
              </w:rPr>
              <w:t>件</w:t>
            </w:r>
            <w:r>
              <w:rPr>
                <w:rFonts w:hint="eastAsia" w:ascii="宋体" w:hAnsi="宋体"/>
                <w:color w:val="auto"/>
                <w:szCs w:val="21"/>
                <w:highlight w:val="none"/>
                <w:lang w:val="en-US" w:eastAsia="zh-CN"/>
              </w:rPr>
              <w:t>上传</w:t>
            </w:r>
            <w:r>
              <w:rPr>
                <w:rFonts w:hint="eastAsia" w:ascii="宋体" w:hAnsi="宋体"/>
                <w:color w:val="auto"/>
                <w:szCs w:val="21"/>
                <w:highlight w:val="none"/>
              </w:rPr>
              <w:t>，投标人制作在投标文件中</w:t>
            </w:r>
            <w:r>
              <w:rPr>
                <w:rFonts w:hint="eastAsia" w:ascii="宋体" w:hAnsi="宋体"/>
                <w:color w:val="auto"/>
                <w:szCs w:val="21"/>
                <w:highlight w:val="none"/>
                <w:lang w:val="en-US" w:eastAsia="zh-CN"/>
              </w:rPr>
              <w:t>不提供</w:t>
            </w:r>
            <w:r>
              <w:rPr>
                <w:rFonts w:hint="eastAsia"/>
                <w:color w:val="auto"/>
                <w:szCs w:val="21"/>
                <w:highlight w:val="none"/>
                <w:lang w:val="en-US" w:eastAsia="zh-CN"/>
              </w:rPr>
              <w:t>的</w:t>
            </w:r>
            <w:r>
              <w:rPr>
                <w:rFonts w:hint="eastAsia" w:ascii="宋体" w:hAnsi="宋体"/>
                <w:color w:val="auto"/>
                <w:szCs w:val="21"/>
                <w:highlight w:val="none"/>
              </w:rPr>
              <w:t>不得分</w:t>
            </w:r>
            <w:r>
              <w:rPr>
                <w:rFonts w:hint="eastAsia"/>
                <w:color w:val="auto"/>
                <w:szCs w:val="21"/>
                <w:highlight w:val="none"/>
                <w:lang w:eastAsia="zh-CN"/>
              </w:rPr>
              <w:t>（</w:t>
            </w:r>
            <w:r>
              <w:rPr>
                <w:rFonts w:hint="eastAsia"/>
                <w:color w:val="auto"/>
                <w:szCs w:val="21"/>
                <w:highlight w:val="none"/>
                <w:lang w:val="en-US" w:eastAsia="zh-CN"/>
              </w:rPr>
              <w:t>以上施救人员不得与现场看管人员兼任</w:t>
            </w:r>
            <w:r>
              <w:rPr>
                <w:rFonts w:hint="eastAsia"/>
                <w:color w:val="auto"/>
                <w:szCs w:val="21"/>
                <w:highlight w:val="none"/>
                <w:lang w:eastAsia="zh-CN"/>
              </w:rPr>
              <w:t>）</w:t>
            </w:r>
            <w:r>
              <w:rPr>
                <w:rFonts w:hint="eastAsia" w:ascii="宋体" w:hAnsi="宋体"/>
                <w:color w:val="auto"/>
                <w:szCs w:val="21"/>
                <w:highlight w:val="none"/>
              </w:rPr>
              <w:t>。</w:t>
            </w:r>
          </w:p>
        </w:tc>
      </w:tr>
      <w:tr w14:paraId="6B041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9181" w:type="dxa"/>
            <w:gridSpan w:val="3"/>
            <w:tcBorders>
              <w:top w:val="single" w:color="auto" w:sz="4" w:space="0"/>
              <w:left w:val="single" w:color="auto" w:sz="4" w:space="0"/>
              <w:bottom w:val="single" w:color="auto" w:sz="4" w:space="0"/>
              <w:right w:val="single" w:color="auto" w:sz="4" w:space="0"/>
            </w:tcBorders>
            <w:noWrap w:val="0"/>
            <w:vAlign w:val="center"/>
          </w:tcPr>
          <w:p w14:paraId="234CCEBE">
            <w:pPr>
              <w:widowControl/>
              <w:autoSpaceDE w:val="0"/>
              <w:autoSpaceDN w:val="0"/>
              <w:adjustRightInd w:val="0"/>
              <w:spacing w:line="40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100分</w:t>
            </w:r>
          </w:p>
        </w:tc>
      </w:tr>
    </w:tbl>
    <w:p w14:paraId="2BEB29DB">
      <w:pPr>
        <w:pStyle w:val="5"/>
        <w:snapToGrid w:val="0"/>
        <w:spacing w:before="120" w:after="120" w:line="360" w:lineRule="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w:t>
      </w:r>
      <w:r>
        <w:rPr>
          <w:rFonts w:hint="eastAsia" w:hAnsi="宋体" w:eastAsia="宋体" w:cs="宋体"/>
          <w:bCs/>
          <w:color w:val="auto"/>
          <w:sz w:val="21"/>
          <w:szCs w:val="21"/>
          <w:highlight w:val="none"/>
          <w:lang w:val="en-US" w:eastAsia="zh-CN"/>
        </w:rPr>
        <w:t>上传</w:t>
      </w:r>
      <w:r>
        <w:rPr>
          <w:rFonts w:hint="eastAsia" w:ascii="宋体" w:hAnsi="宋体" w:eastAsia="宋体" w:cs="宋体"/>
          <w:bCs/>
          <w:color w:val="auto"/>
          <w:sz w:val="21"/>
          <w:szCs w:val="21"/>
          <w:highlight w:val="none"/>
          <w:lang w:val="en-US" w:eastAsia="zh-CN"/>
        </w:rPr>
        <w:t>的</w:t>
      </w:r>
      <w:r>
        <w:rPr>
          <w:rFonts w:hint="eastAsia" w:hAnsi="宋体" w:eastAsia="宋体" w:cs="宋体"/>
          <w:bCs/>
          <w:color w:val="auto"/>
          <w:sz w:val="21"/>
          <w:szCs w:val="21"/>
          <w:highlight w:val="none"/>
          <w:lang w:val="en-US" w:eastAsia="zh-CN"/>
        </w:rPr>
        <w:t>照片</w:t>
      </w:r>
      <w:r>
        <w:rPr>
          <w:rFonts w:hint="eastAsia" w:ascii="宋体" w:hAnsi="宋体" w:eastAsia="宋体" w:cs="宋体"/>
          <w:bCs/>
          <w:color w:val="auto"/>
          <w:sz w:val="21"/>
          <w:szCs w:val="21"/>
          <w:highlight w:val="none"/>
          <w:lang w:val="en-US" w:eastAsia="zh-CN"/>
        </w:rPr>
        <w:t>文件应清晰、完整、不偏斜、不失真，避免因图片模糊、变形、失真等因素造成评审结果有误。</w:t>
      </w:r>
    </w:p>
    <w:p w14:paraId="004E4CE3">
      <w:pPr>
        <w:pStyle w:val="12"/>
        <w:ind w:firstLine="120"/>
        <w:rPr>
          <w:highlight w:val="none"/>
        </w:rPr>
        <w:sectPr>
          <w:pgSz w:w="11906" w:h="16838"/>
          <w:pgMar w:top="1418" w:right="1588" w:bottom="1418" w:left="1365" w:header="851" w:footer="907" w:gutter="0"/>
          <w:cols w:space="1701" w:num="1"/>
          <w:titlePg/>
          <w:docGrid w:linePitch="360" w:charSpace="0"/>
        </w:sectPr>
      </w:pPr>
    </w:p>
    <w:bookmarkEnd w:id="54"/>
    <w:bookmarkEnd w:id="55"/>
    <w:bookmarkEnd w:id="56"/>
    <w:p w14:paraId="3A42A5BB">
      <w:pPr>
        <w:pStyle w:val="14"/>
        <w:ind w:firstLine="220"/>
        <w:rPr>
          <w:rFonts w:ascii="黑体" w:eastAsia="黑体"/>
          <w:bCs/>
          <w:sz w:val="44"/>
          <w:highlight w:val="none"/>
        </w:rPr>
      </w:pPr>
      <w:r>
        <w:rPr>
          <w:rFonts w:hint="eastAsia" w:ascii="黑体" w:eastAsia="黑体"/>
          <w:bCs/>
          <w:sz w:val="44"/>
          <w:highlight w:val="none"/>
        </w:rPr>
        <w:t xml:space="preserve">第六章  投标文件格式 </w:t>
      </w:r>
    </w:p>
    <w:p w14:paraId="7FF8CB85">
      <w:pPr>
        <w:ind w:firstLine="361"/>
        <w:jc w:val="center"/>
        <w:rPr>
          <w:b/>
          <w:sz w:val="72"/>
          <w:highlight w:val="none"/>
        </w:rPr>
      </w:pPr>
      <w:bookmarkStart w:id="61" w:name="_Hlt26671244"/>
      <w:bookmarkEnd w:id="61"/>
      <w:bookmarkStart w:id="62" w:name="_Hlt26955039"/>
      <w:bookmarkEnd w:id="62"/>
      <w:bookmarkStart w:id="63" w:name="_Toc49090576"/>
      <w:bookmarkStart w:id="64" w:name="_Toc26554094"/>
      <w:bookmarkStart w:id="65" w:name="_Toc120614282"/>
    </w:p>
    <w:p w14:paraId="5B6DF857">
      <w:pPr>
        <w:ind w:firstLine="361"/>
        <w:jc w:val="center"/>
        <w:rPr>
          <w:b/>
          <w:sz w:val="72"/>
          <w:highlight w:val="none"/>
        </w:rPr>
      </w:pPr>
      <w:r>
        <w:rPr>
          <w:rFonts w:hint="eastAsia"/>
          <w:b/>
          <w:sz w:val="72"/>
          <w:highlight w:val="none"/>
        </w:rPr>
        <w:t>投  标  文  件</w:t>
      </w:r>
    </w:p>
    <w:p w14:paraId="1D4FC8B6">
      <w:pPr>
        <w:ind w:firstLine="361"/>
        <w:jc w:val="center"/>
        <w:rPr>
          <w:b/>
          <w:sz w:val="72"/>
          <w:highlight w:val="none"/>
        </w:rPr>
      </w:pPr>
    </w:p>
    <w:p w14:paraId="0AE1ABF3">
      <w:pPr>
        <w:ind w:firstLine="361"/>
        <w:jc w:val="center"/>
        <w:rPr>
          <w:b/>
          <w:sz w:val="72"/>
          <w:highlight w:val="none"/>
        </w:rPr>
      </w:pPr>
    </w:p>
    <w:p w14:paraId="4B23C949">
      <w:pPr>
        <w:ind w:firstLine="181"/>
        <w:jc w:val="center"/>
        <w:rPr>
          <w:b/>
          <w:sz w:val="36"/>
          <w:highlight w:val="none"/>
        </w:rPr>
      </w:pPr>
    </w:p>
    <w:p w14:paraId="0617BF76">
      <w:pPr>
        <w:ind w:firstLine="181"/>
        <w:jc w:val="center"/>
        <w:rPr>
          <w:b/>
          <w:sz w:val="36"/>
          <w:highlight w:val="none"/>
        </w:rPr>
      </w:pPr>
    </w:p>
    <w:p w14:paraId="6E42FAF8">
      <w:pPr>
        <w:ind w:firstLine="181"/>
        <w:jc w:val="center"/>
        <w:rPr>
          <w:b/>
          <w:sz w:val="36"/>
          <w:highlight w:val="none"/>
        </w:rPr>
      </w:pPr>
    </w:p>
    <w:p w14:paraId="4FC899D6">
      <w:pPr>
        <w:ind w:firstLine="1265"/>
        <w:rPr>
          <w:b/>
          <w:sz w:val="36"/>
          <w:highlight w:val="none"/>
        </w:rPr>
      </w:pPr>
      <w:r>
        <w:rPr>
          <w:rFonts w:hint="eastAsia"/>
          <w:b/>
          <w:sz w:val="36"/>
          <w:highlight w:val="none"/>
        </w:rPr>
        <w:t>项 目 名 称：</w:t>
      </w:r>
      <w:r>
        <w:rPr>
          <w:rFonts w:hint="eastAsia"/>
          <w:b/>
          <w:sz w:val="36"/>
          <w:highlight w:val="none"/>
          <w:u w:val="single"/>
        </w:rPr>
        <w:t xml:space="preserve">               </w:t>
      </w:r>
    </w:p>
    <w:p w14:paraId="79FAF888">
      <w:pPr>
        <w:ind w:firstLine="1265"/>
        <w:rPr>
          <w:b/>
          <w:sz w:val="36"/>
          <w:highlight w:val="none"/>
          <w:u w:val="single"/>
        </w:rPr>
      </w:pPr>
      <w:r>
        <w:rPr>
          <w:rFonts w:hint="eastAsia"/>
          <w:b/>
          <w:sz w:val="36"/>
          <w:highlight w:val="none"/>
        </w:rPr>
        <w:t>项 目 编 号：</w:t>
      </w:r>
      <w:r>
        <w:rPr>
          <w:rFonts w:hint="eastAsia"/>
          <w:b/>
          <w:sz w:val="36"/>
          <w:highlight w:val="none"/>
          <w:u w:val="single"/>
        </w:rPr>
        <w:t xml:space="preserve">               </w:t>
      </w:r>
    </w:p>
    <w:p w14:paraId="5AC039EC">
      <w:pPr>
        <w:ind w:firstLine="181"/>
        <w:rPr>
          <w:b/>
          <w:sz w:val="36"/>
          <w:highlight w:val="none"/>
          <w:u w:val="single"/>
        </w:rPr>
      </w:pPr>
      <w:r>
        <w:rPr>
          <w:rFonts w:hint="eastAsia"/>
          <w:b/>
          <w:sz w:val="36"/>
          <w:highlight w:val="none"/>
        </w:rPr>
        <w:t xml:space="preserve">      投标人名称 ：</w:t>
      </w:r>
      <w:r>
        <w:rPr>
          <w:rFonts w:hint="eastAsia"/>
          <w:b/>
          <w:sz w:val="36"/>
          <w:highlight w:val="none"/>
          <w:u w:val="single"/>
        </w:rPr>
        <w:t>（加盖CA电子公章）</w:t>
      </w:r>
    </w:p>
    <w:p w14:paraId="5A560F28">
      <w:pPr>
        <w:ind w:firstLine="181"/>
        <w:rPr>
          <w:b/>
          <w:sz w:val="36"/>
          <w:highlight w:val="none"/>
          <w:u w:val="single"/>
        </w:rPr>
      </w:pPr>
      <w:r>
        <w:rPr>
          <w:rFonts w:hint="eastAsia"/>
          <w:b/>
          <w:sz w:val="36"/>
          <w:highlight w:val="none"/>
        </w:rPr>
        <w:t xml:space="preserve">      日      期 ：</w:t>
      </w:r>
      <w:r>
        <w:rPr>
          <w:rFonts w:hint="eastAsia"/>
          <w:b/>
          <w:sz w:val="36"/>
          <w:highlight w:val="none"/>
          <w:u w:val="single"/>
        </w:rPr>
        <w:t xml:space="preserve">               </w:t>
      </w:r>
    </w:p>
    <w:p w14:paraId="731ED6FA">
      <w:pPr>
        <w:spacing w:line="440" w:lineRule="exact"/>
        <w:ind w:firstLine="161"/>
        <w:jc w:val="center"/>
        <w:rPr>
          <w:b/>
          <w:bCs/>
          <w:sz w:val="32"/>
          <w:szCs w:val="32"/>
          <w:highlight w:val="none"/>
        </w:rPr>
      </w:pPr>
    </w:p>
    <w:p w14:paraId="58E871CB">
      <w:pPr>
        <w:spacing w:line="440" w:lineRule="exact"/>
        <w:rPr>
          <w:highlight w:val="none"/>
        </w:rPr>
      </w:pPr>
    </w:p>
    <w:p w14:paraId="29506479">
      <w:pPr>
        <w:spacing w:line="440" w:lineRule="exact"/>
        <w:ind w:firstLine="181"/>
        <w:jc w:val="center"/>
        <w:rPr>
          <w:b/>
          <w:sz w:val="36"/>
          <w:highlight w:val="none"/>
          <w:u w:val="single"/>
        </w:rPr>
      </w:pPr>
    </w:p>
    <w:p w14:paraId="0E251F68">
      <w:pPr>
        <w:spacing w:line="440" w:lineRule="exact"/>
        <w:ind w:firstLine="181"/>
        <w:jc w:val="center"/>
        <w:rPr>
          <w:b/>
          <w:sz w:val="36"/>
          <w:highlight w:val="none"/>
          <w:u w:val="single"/>
        </w:rPr>
      </w:pPr>
    </w:p>
    <w:p w14:paraId="33E5302E">
      <w:pPr>
        <w:spacing w:line="440" w:lineRule="exact"/>
        <w:ind w:firstLine="181"/>
        <w:jc w:val="center"/>
        <w:rPr>
          <w:b/>
          <w:sz w:val="36"/>
          <w:highlight w:val="none"/>
          <w:u w:val="single"/>
        </w:rPr>
      </w:pPr>
    </w:p>
    <w:p w14:paraId="184254C1">
      <w:pPr>
        <w:spacing w:line="440" w:lineRule="exact"/>
        <w:ind w:firstLine="181"/>
        <w:jc w:val="center"/>
        <w:rPr>
          <w:b/>
          <w:sz w:val="36"/>
          <w:highlight w:val="none"/>
          <w:u w:val="single"/>
        </w:rPr>
      </w:pPr>
    </w:p>
    <w:p w14:paraId="53D4F3BF">
      <w:pPr>
        <w:spacing w:line="440" w:lineRule="exact"/>
        <w:ind w:firstLine="181"/>
        <w:jc w:val="center"/>
        <w:rPr>
          <w:b/>
          <w:sz w:val="36"/>
          <w:highlight w:val="none"/>
          <w:u w:val="single"/>
        </w:rPr>
      </w:pPr>
    </w:p>
    <w:p w14:paraId="135BAD10">
      <w:pPr>
        <w:spacing w:line="440" w:lineRule="exact"/>
        <w:ind w:firstLine="181"/>
        <w:jc w:val="center"/>
        <w:rPr>
          <w:b/>
          <w:sz w:val="36"/>
          <w:highlight w:val="none"/>
          <w:u w:val="single"/>
        </w:rPr>
      </w:pPr>
    </w:p>
    <w:p w14:paraId="1B024C08">
      <w:pPr>
        <w:spacing w:line="440" w:lineRule="exact"/>
        <w:ind w:firstLine="181"/>
        <w:jc w:val="center"/>
        <w:rPr>
          <w:b/>
          <w:sz w:val="36"/>
          <w:highlight w:val="none"/>
          <w:u w:val="single"/>
        </w:rPr>
      </w:pPr>
    </w:p>
    <w:p w14:paraId="2FB23E3D">
      <w:pPr>
        <w:spacing w:line="440" w:lineRule="exact"/>
        <w:ind w:firstLine="181"/>
        <w:jc w:val="center"/>
        <w:rPr>
          <w:b/>
          <w:sz w:val="36"/>
          <w:highlight w:val="none"/>
          <w:u w:val="single"/>
        </w:rPr>
      </w:pPr>
    </w:p>
    <w:p w14:paraId="51EFFE2F">
      <w:pPr>
        <w:spacing w:line="440" w:lineRule="exact"/>
        <w:ind w:firstLine="181"/>
        <w:jc w:val="center"/>
        <w:rPr>
          <w:b/>
          <w:sz w:val="36"/>
          <w:highlight w:val="none"/>
          <w:u w:val="single"/>
        </w:rPr>
      </w:pPr>
    </w:p>
    <w:p w14:paraId="4E5A7932">
      <w:pPr>
        <w:spacing w:line="440" w:lineRule="exact"/>
        <w:ind w:firstLine="181"/>
        <w:jc w:val="center"/>
        <w:rPr>
          <w:b/>
          <w:sz w:val="36"/>
          <w:highlight w:val="none"/>
          <w:u w:val="single"/>
        </w:rPr>
      </w:pPr>
    </w:p>
    <w:p w14:paraId="69F76D97">
      <w:pPr>
        <w:spacing w:line="440" w:lineRule="exact"/>
        <w:ind w:firstLine="181"/>
        <w:jc w:val="center"/>
        <w:rPr>
          <w:b/>
          <w:sz w:val="36"/>
          <w:highlight w:val="none"/>
          <w:u w:val="single"/>
        </w:rPr>
      </w:pPr>
    </w:p>
    <w:p w14:paraId="0A8032D4">
      <w:pPr>
        <w:spacing w:line="440" w:lineRule="exact"/>
        <w:ind w:firstLine="181"/>
        <w:jc w:val="center"/>
        <w:rPr>
          <w:b/>
          <w:sz w:val="36"/>
          <w:highlight w:val="none"/>
          <w:u w:val="single"/>
        </w:rPr>
      </w:pPr>
    </w:p>
    <w:p w14:paraId="68E44A34">
      <w:pPr>
        <w:spacing w:line="440" w:lineRule="exact"/>
        <w:ind w:firstLine="181"/>
        <w:jc w:val="center"/>
        <w:rPr>
          <w:b/>
          <w:sz w:val="36"/>
          <w:highlight w:val="none"/>
          <w:u w:val="single"/>
        </w:rPr>
      </w:pPr>
    </w:p>
    <w:p w14:paraId="570D5238">
      <w:pPr>
        <w:spacing w:line="440" w:lineRule="exact"/>
        <w:ind w:firstLine="161"/>
        <w:jc w:val="center"/>
        <w:rPr>
          <w:b/>
          <w:bCs/>
          <w:sz w:val="32"/>
          <w:szCs w:val="32"/>
          <w:highlight w:val="none"/>
        </w:rPr>
      </w:pPr>
      <w:r>
        <w:rPr>
          <w:rFonts w:hint="eastAsia"/>
          <w:b/>
          <w:bCs/>
          <w:sz w:val="32"/>
          <w:szCs w:val="32"/>
          <w:highlight w:val="none"/>
        </w:rPr>
        <w:t>投标文件目录</w:t>
      </w:r>
    </w:p>
    <w:p w14:paraId="6B6E201B">
      <w:pPr>
        <w:spacing w:line="440" w:lineRule="exact"/>
        <w:ind w:firstLine="161"/>
        <w:jc w:val="center"/>
        <w:rPr>
          <w:b/>
          <w:bCs/>
          <w:sz w:val="32"/>
          <w:szCs w:val="32"/>
          <w:highlight w:val="none"/>
        </w:rPr>
      </w:pPr>
    </w:p>
    <w:p w14:paraId="3D0743F5">
      <w:pPr>
        <w:ind w:firstLine="480" w:firstLineChars="200"/>
        <w:rPr>
          <w:i/>
          <w:sz w:val="24"/>
          <w:highlight w:val="none"/>
          <w:u w:val="single"/>
        </w:rPr>
      </w:pPr>
      <w:r>
        <w:rPr>
          <w:rFonts w:hint="eastAsia"/>
          <w:i/>
          <w:sz w:val="24"/>
          <w:highlight w:val="none"/>
          <w:u w:val="single"/>
        </w:rPr>
        <w:t>一、法人或者其他组织的营业执照等证明文件，自然人的身份证明</w:t>
      </w:r>
    </w:p>
    <w:p w14:paraId="490C1D25">
      <w:pPr>
        <w:ind w:firstLine="480" w:firstLineChars="200"/>
        <w:rPr>
          <w:i/>
          <w:sz w:val="24"/>
          <w:highlight w:val="none"/>
          <w:u w:val="single"/>
        </w:rPr>
      </w:pPr>
      <w:r>
        <w:rPr>
          <w:rFonts w:hint="eastAsia"/>
          <w:i/>
          <w:sz w:val="24"/>
          <w:highlight w:val="none"/>
          <w:u w:val="single"/>
        </w:rPr>
        <w:t>二、上一年度</w:t>
      </w:r>
      <w:r>
        <w:rPr>
          <w:rFonts w:hint="eastAsia"/>
          <w:i/>
          <w:sz w:val="24"/>
          <w:highlight w:val="none"/>
          <w:u w:val="single"/>
          <w:lang w:val="en-US" w:eastAsia="zh-CN"/>
        </w:rPr>
        <w:t>或2024年度</w:t>
      </w:r>
      <w:r>
        <w:rPr>
          <w:rFonts w:hint="eastAsia"/>
          <w:i/>
          <w:sz w:val="24"/>
          <w:highlight w:val="none"/>
          <w:u w:val="single"/>
        </w:rPr>
        <w:t>的财务状况报告（投标人成立不满一年无需提供）</w:t>
      </w:r>
    </w:p>
    <w:p w14:paraId="0C02A6DD">
      <w:pPr>
        <w:ind w:firstLine="480" w:firstLineChars="200"/>
        <w:rPr>
          <w:i/>
          <w:sz w:val="24"/>
          <w:highlight w:val="none"/>
          <w:u w:val="single"/>
        </w:rPr>
      </w:pPr>
      <w:r>
        <w:rPr>
          <w:rFonts w:hint="eastAsia"/>
          <w:i/>
          <w:sz w:val="24"/>
          <w:highlight w:val="none"/>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0D73E6F6">
      <w:pPr>
        <w:ind w:firstLine="480" w:firstLineChars="200"/>
        <w:rPr>
          <w:i/>
          <w:sz w:val="24"/>
          <w:highlight w:val="none"/>
          <w:u w:val="single"/>
        </w:rPr>
      </w:pPr>
      <w:r>
        <w:rPr>
          <w:rFonts w:hint="eastAsia"/>
          <w:i/>
          <w:sz w:val="24"/>
          <w:highlight w:val="none"/>
          <w:u w:val="single"/>
        </w:rPr>
        <w:t>四、具备履行合同所必需的设备和专业技术能力的书面声明</w:t>
      </w:r>
    </w:p>
    <w:p w14:paraId="61D0AEE1">
      <w:pPr>
        <w:spacing w:line="440" w:lineRule="exact"/>
        <w:ind w:firstLine="480" w:firstLineChars="200"/>
        <w:rPr>
          <w:i/>
          <w:sz w:val="24"/>
          <w:highlight w:val="none"/>
          <w:u w:val="single"/>
        </w:rPr>
      </w:pPr>
      <w:r>
        <w:rPr>
          <w:rFonts w:hint="eastAsia"/>
          <w:i/>
          <w:sz w:val="24"/>
          <w:highlight w:val="none"/>
          <w:u w:val="single"/>
        </w:rPr>
        <w:t>五、参加政府采购活动前 3 年内在经营活动中没有重大违法记录的书面声明</w:t>
      </w:r>
    </w:p>
    <w:p w14:paraId="5C401067">
      <w:pPr>
        <w:spacing w:line="440" w:lineRule="exact"/>
        <w:ind w:firstLine="480" w:firstLineChars="200"/>
        <w:rPr>
          <w:i/>
          <w:sz w:val="24"/>
          <w:highlight w:val="none"/>
          <w:u w:val="single"/>
        </w:rPr>
      </w:pPr>
      <w:r>
        <w:rPr>
          <w:rFonts w:hint="eastAsia"/>
          <w:i/>
          <w:sz w:val="24"/>
          <w:highlight w:val="none"/>
          <w:u w:val="single"/>
        </w:rPr>
        <w:t>六、供应商信用承诺函</w:t>
      </w:r>
    </w:p>
    <w:p w14:paraId="553C8971">
      <w:pPr>
        <w:spacing w:line="440" w:lineRule="exact"/>
        <w:ind w:firstLine="480" w:firstLineChars="200"/>
        <w:rPr>
          <w:i/>
          <w:sz w:val="24"/>
          <w:highlight w:val="none"/>
          <w:u w:val="single"/>
        </w:rPr>
      </w:pPr>
      <w:r>
        <w:rPr>
          <w:rFonts w:hint="eastAsia"/>
          <w:i/>
          <w:sz w:val="24"/>
          <w:highlight w:val="none"/>
          <w:u w:val="single"/>
        </w:rPr>
        <w:t>七、特定资格要求的证明文件</w:t>
      </w:r>
      <w:r>
        <w:rPr>
          <w:rFonts w:hint="eastAsia"/>
          <w:i w:val="0"/>
          <w:iCs/>
          <w:sz w:val="24"/>
          <w:highlight w:val="none"/>
          <w:u w:val="none"/>
          <w:lang w:eastAsia="zh-CN"/>
        </w:rPr>
        <w:t>（</w:t>
      </w:r>
      <w:r>
        <w:rPr>
          <w:rFonts w:hint="eastAsia"/>
          <w:i w:val="0"/>
          <w:iCs/>
          <w:sz w:val="24"/>
          <w:highlight w:val="none"/>
          <w:u w:val="none"/>
        </w:rPr>
        <w:t>如果本项目申请人的特定资格要求中要求提供的，必须提供</w:t>
      </w:r>
      <w:r>
        <w:rPr>
          <w:rFonts w:hint="eastAsia"/>
          <w:i w:val="0"/>
          <w:iCs/>
          <w:sz w:val="24"/>
          <w:highlight w:val="none"/>
          <w:u w:val="none"/>
          <w:lang w:eastAsia="zh-CN"/>
        </w:rPr>
        <w:t>）</w:t>
      </w:r>
    </w:p>
    <w:p w14:paraId="2CFB7BB5">
      <w:pPr>
        <w:spacing w:line="440" w:lineRule="exact"/>
        <w:ind w:firstLine="480" w:firstLineChars="200"/>
        <w:rPr>
          <w:i/>
          <w:sz w:val="24"/>
          <w:highlight w:val="none"/>
          <w:u w:val="single"/>
        </w:rPr>
      </w:pPr>
      <w:r>
        <w:rPr>
          <w:rFonts w:hint="eastAsia"/>
          <w:i/>
          <w:sz w:val="24"/>
          <w:highlight w:val="none"/>
          <w:u w:val="single"/>
        </w:rPr>
        <w:t>八、法人授权书</w:t>
      </w:r>
    </w:p>
    <w:p w14:paraId="26A8CE04">
      <w:pPr>
        <w:spacing w:line="440" w:lineRule="exact"/>
        <w:ind w:firstLine="480" w:firstLineChars="200"/>
        <w:rPr>
          <w:i/>
          <w:sz w:val="24"/>
          <w:highlight w:val="none"/>
          <w:u w:val="single"/>
        </w:rPr>
      </w:pPr>
      <w:r>
        <w:rPr>
          <w:rFonts w:hint="eastAsia"/>
          <w:i/>
          <w:sz w:val="24"/>
          <w:highlight w:val="none"/>
          <w:u w:val="single"/>
        </w:rPr>
        <w:t>九、投标函</w:t>
      </w:r>
    </w:p>
    <w:p w14:paraId="16D68124">
      <w:pPr>
        <w:spacing w:line="440" w:lineRule="exact"/>
        <w:ind w:firstLine="480" w:firstLineChars="200"/>
        <w:rPr>
          <w:sz w:val="24"/>
          <w:highlight w:val="none"/>
        </w:rPr>
      </w:pPr>
      <w:r>
        <w:rPr>
          <w:rFonts w:hint="eastAsia"/>
          <w:sz w:val="24"/>
          <w:highlight w:val="none"/>
        </w:rPr>
        <w:t>十、企业报价折扣证明（中小企业声明函、残疾人福利性单位声明函）</w:t>
      </w:r>
    </w:p>
    <w:p w14:paraId="6D9F9AB8">
      <w:pPr>
        <w:spacing w:line="440" w:lineRule="exact"/>
        <w:ind w:firstLine="480" w:firstLineChars="200"/>
        <w:rPr>
          <w:sz w:val="24"/>
          <w:highlight w:val="none"/>
        </w:rPr>
      </w:pPr>
      <w:r>
        <w:rPr>
          <w:rFonts w:hint="eastAsia"/>
          <w:sz w:val="24"/>
          <w:highlight w:val="none"/>
        </w:rPr>
        <w:t>十一、联合体协议</w:t>
      </w:r>
    </w:p>
    <w:p w14:paraId="29DE9E66">
      <w:pPr>
        <w:spacing w:line="440" w:lineRule="exact"/>
        <w:ind w:firstLine="480" w:firstLineChars="200"/>
        <w:rPr>
          <w:iCs/>
          <w:sz w:val="24"/>
          <w:highlight w:val="none"/>
        </w:rPr>
      </w:pPr>
      <w:r>
        <w:rPr>
          <w:rFonts w:hint="eastAsia"/>
          <w:iCs/>
          <w:sz w:val="24"/>
          <w:highlight w:val="none"/>
        </w:rPr>
        <w:t>十二、投标分项报价表</w:t>
      </w:r>
    </w:p>
    <w:p w14:paraId="074A3DC9">
      <w:pPr>
        <w:spacing w:line="440" w:lineRule="exact"/>
        <w:ind w:firstLine="480" w:firstLineChars="200"/>
        <w:rPr>
          <w:sz w:val="24"/>
          <w:highlight w:val="none"/>
        </w:rPr>
      </w:pPr>
      <w:r>
        <w:rPr>
          <w:rFonts w:hint="eastAsia"/>
          <w:sz w:val="24"/>
          <w:highlight w:val="none"/>
        </w:rPr>
        <w:t>十三、技术要求响应及偏离表</w:t>
      </w:r>
    </w:p>
    <w:p w14:paraId="51DBB27D">
      <w:pPr>
        <w:spacing w:line="440" w:lineRule="exact"/>
        <w:ind w:firstLine="480" w:firstLineChars="200"/>
        <w:rPr>
          <w:sz w:val="24"/>
          <w:highlight w:val="none"/>
        </w:rPr>
      </w:pPr>
      <w:r>
        <w:rPr>
          <w:rFonts w:hint="eastAsia"/>
          <w:sz w:val="24"/>
          <w:highlight w:val="none"/>
        </w:rPr>
        <w:t>十四、商务要求响应及偏离表</w:t>
      </w:r>
    </w:p>
    <w:p w14:paraId="5825EEAA">
      <w:pPr>
        <w:spacing w:line="440" w:lineRule="exact"/>
        <w:ind w:firstLine="480" w:firstLineChars="200"/>
        <w:rPr>
          <w:i/>
          <w:sz w:val="24"/>
          <w:highlight w:val="none"/>
          <w:u w:val="single"/>
        </w:rPr>
      </w:pPr>
      <w:r>
        <w:rPr>
          <w:rFonts w:hint="eastAsia"/>
          <w:i/>
          <w:sz w:val="24"/>
          <w:highlight w:val="none"/>
          <w:u w:val="single"/>
        </w:rPr>
        <w:t>十五、开标一览表</w:t>
      </w:r>
    </w:p>
    <w:p w14:paraId="513B937C">
      <w:pPr>
        <w:spacing w:line="440" w:lineRule="exact"/>
        <w:ind w:firstLine="480" w:firstLineChars="200"/>
        <w:rPr>
          <w:iCs/>
          <w:sz w:val="24"/>
          <w:highlight w:val="none"/>
        </w:rPr>
      </w:pPr>
      <w:r>
        <w:rPr>
          <w:rFonts w:hint="eastAsia"/>
          <w:iCs/>
          <w:sz w:val="24"/>
          <w:highlight w:val="none"/>
        </w:rPr>
        <w:t>十六、主要标的信息</w:t>
      </w:r>
    </w:p>
    <w:p w14:paraId="7BA06DE7">
      <w:pPr>
        <w:spacing w:line="440" w:lineRule="exact"/>
        <w:ind w:firstLine="120"/>
        <w:rPr>
          <w:sz w:val="24"/>
          <w:highlight w:val="none"/>
        </w:rPr>
      </w:pPr>
    </w:p>
    <w:p w14:paraId="7E055F41">
      <w:pPr>
        <w:spacing w:line="440" w:lineRule="exact"/>
        <w:ind w:firstLine="120"/>
        <w:rPr>
          <w:sz w:val="24"/>
          <w:highlight w:val="none"/>
        </w:rPr>
      </w:pPr>
    </w:p>
    <w:p w14:paraId="3037D00E">
      <w:pPr>
        <w:spacing w:line="440" w:lineRule="exact"/>
        <w:ind w:firstLine="120"/>
        <w:rPr>
          <w:sz w:val="24"/>
          <w:highlight w:val="none"/>
        </w:rPr>
      </w:pPr>
    </w:p>
    <w:p w14:paraId="2273C44E">
      <w:pPr>
        <w:spacing w:line="440" w:lineRule="exact"/>
        <w:ind w:firstLine="120"/>
        <w:rPr>
          <w:sz w:val="24"/>
          <w:highlight w:val="none"/>
        </w:rPr>
      </w:pPr>
    </w:p>
    <w:p w14:paraId="2C42DF72">
      <w:pPr>
        <w:spacing w:line="440" w:lineRule="exact"/>
        <w:ind w:firstLine="120"/>
        <w:rPr>
          <w:sz w:val="24"/>
          <w:highlight w:val="none"/>
        </w:rPr>
      </w:pPr>
    </w:p>
    <w:p w14:paraId="5CC0B2B0">
      <w:pPr>
        <w:spacing w:line="440" w:lineRule="exact"/>
        <w:ind w:firstLine="120"/>
        <w:rPr>
          <w:sz w:val="24"/>
          <w:highlight w:val="none"/>
        </w:rPr>
      </w:pPr>
    </w:p>
    <w:p w14:paraId="16B2CD72">
      <w:pPr>
        <w:spacing w:line="440" w:lineRule="exact"/>
        <w:ind w:firstLine="120"/>
        <w:rPr>
          <w:sz w:val="24"/>
          <w:highlight w:val="none"/>
        </w:rPr>
      </w:pPr>
    </w:p>
    <w:p w14:paraId="5DD186FF">
      <w:pPr>
        <w:spacing w:line="440" w:lineRule="exact"/>
        <w:ind w:firstLine="120"/>
        <w:rPr>
          <w:sz w:val="24"/>
          <w:highlight w:val="none"/>
        </w:rPr>
      </w:pPr>
    </w:p>
    <w:p w14:paraId="09624387">
      <w:pPr>
        <w:spacing w:line="440" w:lineRule="exact"/>
        <w:ind w:firstLine="120"/>
        <w:rPr>
          <w:sz w:val="24"/>
          <w:highlight w:val="none"/>
        </w:rPr>
      </w:pPr>
    </w:p>
    <w:p w14:paraId="7341780E">
      <w:pPr>
        <w:spacing w:line="440" w:lineRule="exact"/>
        <w:ind w:firstLine="120"/>
        <w:rPr>
          <w:sz w:val="24"/>
          <w:highlight w:val="none"/>
        </w:rPr>
      </w:pPr>
    </w:p>
    <w:p w14:paraId="4310FA14">
      <w:pPr>
        <w:spacing w:line="440" w:lineRule="exact"/>
        <w:ind w:firstLine="120"/>
        <w:rPr>
          <w:sz w:val="24"/>
          <w:highlight w:val="none"/>
        </w:rPr>
      </w:pPr>
    </w:p>
    <w:p w14:paraId="4BA654B0">
      <w:pPr>
        <w:spacing w:line="440" w:lineRule="exact"/>
        <w:ind w:firstLine="120"/>
        <w:rPr>
          <w:sz w:val="24"/>
          <w:highlight w:val="none"/>
        </w:rPr>
      </w:pPr>
    </w:p>
    <w:p w14:paraId="79A214CB">
      <w:pPr>
        <w:spacing w:line="440" w:lineRule="exact"/>
        <w:ind w:firstLine="120"/>
        <w:rPr>
          <w:sz w:val="24"/>
          <w:highlight w:val="none"/>
        </w:rPr>
      </w:pPr>
    </w:p>
    <w:p w14:paraId="2D5AF85C">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一、法人或者其他组织的营业执照等证明文件，自然人的身份证明</w:t>
      </w:r>
    </w:p>
    <w:p w14:paraId="429B5D1F">
      <w:pPr>
        <w:spacing w:line="440" w:lineRule="exact"/>
        <w:ind w:firstLine="120"/>
        <w:rPr>
          <w:sz w:val="24"/>
          <w:highlight w:val="none"/>
        </w:rPr>
      </w:pPr>
    </w:p>
    <w:p w14:paraId="2041F0AD">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二、上一年度</w:t>
      </w:r>
      <w:r>
        <w:rPr>
          <w:rFonts w:hint="eastAsia" w:ascii="黑体" w:hAnsi="黑体" w:eastAsia="黑体"/>
          <w:i/>
          <w:sz w:val="32"/>
          <w:szCs w:val="32"/>
          <w:highlight w:val="none"/>
          <w:u w:val="single"/>
          <w:lang w:val="en-US" w:eastAsia="zh-CN"/>
        </w:rPr>
        <w:t>或2024年度</w:t>
      </w:r>
      <w:r>
        <w:rPr>
          <w:rFonts w:hint="eastAsia" w:ascii="黑体" w:hAnsi="黑体" w:eastAsia="黑体"/>
          <w:i/>
          <w:sz w:val="32"/>
          <w:szCs w:val="32"/>
          <w:highlight w:val="none"/>
          <w:u w:val="single"/>
        </w:rPr>
        <w:t>的财务状况报告</w:t>
      </w:r>
    </w:p>
    <w:p w14:paraId="7F50A689">
      <w:pPr>
        <w:spacing w:line="440" w:lineRule="exact"/>
        <w:ind w:firstLine="120"/>
        <w:rPr>
          <w:bCs/>
          <w:sz w:val="24"/>
          <w:highlight w:val="none"/>
        </w:rPr>
      </w:pPr>
      <w:r>
        <w:rPr>
          <w:rFonts w:hint="eastAsia"/>
          <w:bCs/>
          <w:sz w:val="24"/>
          <w:highlight w:val="none"/>
        </w:rPr>
        <w:t>投标人成立不满一年不需提供</w:t>
      </w:r>
    </w:p>
    <w:p w14:paraId="08862932">
      <w:pPr>
        <w:ind w:firstLine="160"/>
        <w:rPr>
          <w:rFonts w:ascii="黑体" w:hAnsi="黑体" w:eastAsia="黑体"/>
          <w:i/>
          <w:sz w:val="32"/>
          <w:szCs w:val="32"/>
          <w:highlight w:val="none"/>
          <w:u w:val="single"/>
        </w:rPr>
      </w:pPr>
    </w:p>
    <w:p w14:paraId="3E306532">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三、依法缴纳税收和社会保障资金的相关材料</w:t>
      </w:r>
      <w:bookmarkEnd w:id="63"/>
      <w:bookmarkEnd w:id="64"/>
      <w:bookmarkEnd w:id="65"/>
    </w:p>
    <w:p w14:paraId="5E8481CF">
      <w:pPr>
        <w:ind w:firstLine="120"/>
        <w:rPr>
          <w:bCs/>
          <w:sz w:val="24"/>
          <w:highlight w:val="none"/>
        </w:rPr>
      </w:pPr>
      <w:bookmarkStart w:id="66" w:name="_Toc120614284"/>
      <w:r>
        <w:rPr>
          <w:rFonts w:hint="eastAsia"/>
          <w:bCs/>
          <w:sz w:val="24"/>
          <w:highlight w:val="none"/>
        </w:rPr>
        <w:t>提供提交投标文件截止时间前一年内至少一个月依法缴纳税收及缴纳社会保障资金的证明材料。投标人依法享受缓缴、免缴税收、社会保障资金的提供证明材料。</w:t>
      </w:r>
    </w:p>
    <w:p w14:paraId="19458F30">
      <w:pPr>
        <w:ind w:firstLine="160"/>
        <w:rPr>
          <w:rFonts w:ascii="黑体" w:hAnsi="黑体" w:eastAsia="黑体"/>
          <w:i/>
          <w:sz w:val="32"/>
          <w:szCs w:val="32"/>
          <w:highlight w:val="none"/>
          <w:u w:val="single"/>
        </w:rPr>
      </w:pPr>
    </w:p>
    <w:p w14:paraId="2090F920">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四、具备履行合同所必需的设备和专业技术能力的书面声明</w:t>
      </w:r>
    </w:p>
    <w:p w14:paraId="100ACB8C">
      <w:pPr>
        <w:spacing w:line="460" w:lineRule="exact"/>
        <w:ind w:firstLine="120"/>
        <w:rPr>
          <w:bCs/>
          <w:sz w:val="24"/>
          <w:highlight w:val="none"/>
        </w:rPr>
      </w:pPr>
      <w:r>
        <w:rPr>
          <w:rFonts w:hint="eastAsia"/>
          <w:bCs/>
          <w:sz w:val="24"/>
          <w:highlight w:val="none"/>
        </w:rPr>
        <w:t>我单位郑重声明：我单位具备履行本项采购合同所必需的设备和专业技术能力，为履行本项采购合同我公司具备如下主要设备和主要专业技术能力：</w:t>
      </w:r>
    </w:p>
    <w:p w14:paraId="0DAF9F4A">
      <w:pPr>
        <w:spacing w:line="460" w:lineRule="exact"/>
        <w:ind w:firstLine="120"/>
        <w:rPr>
          <w:bCs/>
          <w:sz w:val="24"/>
          <w:highlight w:val="none"/>
        </w:rPr>
      </w:pPr>
      <w:r>
        <w:rPr>
          <w:rFonts w:hint="eastAsia"/>
          <w:bCs/>
          <w:sz w:val="24"/>
          <w:highlight w:val="none"/>
        </w:rPr>
        <w:t>主要设备有：</w:t>
      </w:r>
      <w:r>
        <w:rPr>
          <w:rFonts w:hint="eastAsia"/>
          <w:bCs/>
          <w:sz w:val="24"/>
          <w:highlight w:val="none"/>
          <w:u w:val="single"/>
        </w:rPr>
        <w:t xml:space="preserve">  </w:t>
      </w:r>
      <w:r>
        <w:rPr>
          <w:rFonts w:hint="eastAsia"/>
          <w:bCs/>
          <w:sz w:val="24"/>
          <w:highlight w:val="none"/>
        </w:rPr>
        <w:t>。</w:t>
      </w:r>
    </w:p>
    <w:p w14:paraId="78DD5DAF">
      <w:pPr>
        <w:spacing w:line="460" w:lineRule="exact"/>
        <w:ind w:firstLine="120"/>
        <w:rPr>
          <w:bCs/>
          <w:sz w:val="24"/>
          <w:highlight w:val="none"/>
        </w:rPr>
      </w:pPr>
      <w:r>
        <w:rPr>
          <w:rFonts w:hint="eastAsia"/>
          <w:bCs/>
          <w:sz w:val="24"/>
          <w:highlight w:val="none"/>
        </w:rPr>
        <w:t>主要专业技术能力有：</w:t>
      </w:r>
      <w:r>
        <w:rPr>
          <w:rFonts w:hint="eastAsia"/>
          <w:bCs/>
          <w:sz w:val="24"/>
          <w:highlight w:val="none"/>
          <w:u w:val="single"/>
        </w:rPr>
        <w:t xml:space="preserve">   </w:t>
      </w:r>
      <w:r>
        <w:rPr>
          <w:rFonts w:hint="eastAsia"/>
          <w:bCs/>
          <w:sz w:val="24"/>
          <w:highlight w:val="none"/>
        </w:rPr>
        <w:t>。</w:t>
      </w:r>
    </w:p>
    <w:p w14:paraId="294B442F">
      <w:pPr>
        <w:spacing w:line="460" w:lineRule="exact"/>
        <w:ind w:firstLine="120"/>
        <w:rPr>
          <w:bCs/>
          <w:sz w:val="24"/>
          <w:highlight w:val="none"/>
        </w:rPr>
      </w:pPr>
      <w:r>
        <w:rPr>
          <w:rFonts w:hint="eastAsia"/>
          <w:bCs/>
          <w:sz w:val="24"/>
          <w:highlight w:val="none"/>
        </w:rPr>
        <w:t xml:space="preserve">                                     </w:t>
      </w:r>
    </w:p>
    <w:p w14:paraId="64484321">
      <w:pPr>
        <w:pStyle w:val="19"/>
        <w:ind w:firstLine="100"/>
        <w:rPr>
          <w:highlight w:val="none"/>
        </w:rPr>
      </w:pPr>
    </w:p>
    <w:p w14:paraId="0E9014E1">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五、参加政府采购活动前 3 年内在经营活动中没有重大违法记录的书面声明</w:t>
      </w:r>
    </w:p>
    <w:p w14:paraId="603B3DFA">
      <w:pPr>
        <w:spacing w:line="460" w:lineRule="exact"/>
        <w:ind w:firstLine="221"/>
        <w:rPr>
          <w:b/>
          <w:bCs/>
          <w:sz w:val="44"/>
          <w:szCs w:val="44"/>
          <w:highlight w:val="none"/>
        </w:rPr>
      </w:pPr>
      <w:r>
        <w:rPr>
          <w:rFonts w:hint="eastAsia"/>
          <w:b/>
          <w:bCs/>
          <w:sz w:val="44"/>
          <w:szCs w:val="44"/>
          <w:highlight w:val="none"/>
        </w:rPr>
        <w:t xml:space="preserve">                 声  明</w:t>
      </w:r>
    </w:p>
    <w:p w14:paraId="1FFE5F29">
      <w:pPr>
        <w:spacing w:line="460" w:lineRule="exact"/>
        <w:ind w:firstLine="120"/>
        <w:rPr>
          <w:bCs/>
          <w:sz w:val="24"/>
          <w:highlight w:val="none"/>
        </w:rPr>
      </w:pPr>
      <w:r>
        <w:rPr>
          <w:rFonts w:hint="eastAsia"/>
          <w:b/>
          <w:bCs/>
          <w:sz w:val="24"/>
          <w:highlight w:val="none"/>
        </w:rPr>
        <w:t xml:space="preserve">    </w:t>
      </w:r>
      <w:r>
        <w:rPr>
          <w:rFonts w:hint="eastAsia"/>
          <w:bCs/>
          <w:sz w:val="24"/>
          <w:highlight w:val="none"/>
        </w:rPr>
        <w:t>我单位郑重声明：参加本次政府采购活动前 3 年内，我单位在经营活动中没有因违法经营受到刑事处罚或者责令停产停业、吊销许可证或者执照、较大数额罚款等行政处罚。</w:t>
      </w:r>
    </w:p>
    <w:p w14:paraId="487BC731">
      <w:pPr>
        <w:ind w:firstLine="160"/>
        <w:rPr>
          <w:rFonts w:hint="eastAsia" w:ascii="黑体" w:hAnsi="黑体" w:eastAsia="黑体"/>
          <w:i/>
          <w:sz w:val="32"/>
          <w:szCs w:val="32"/>
          <w:highlight w:val="none"/>
          <w:u w:val="single"/>
        </w:rPr>
      </w:pPr>
    </w:p>
    <w:p w14:paraId="1C06D430">
      <w:pPr>
        <w:ind w:firstLine="160"/>
        <w:rPr>
          <w:rFonts w:hint="eastAsia" w:ascii="黑体" w:hAnsi="黑体" w:eastAsia="黑体"/>
          <w:i/>
          <w:sz w:val="32"/>
          <w:szCs w:val="32"/>
          <w:highlight w:val="none"/>
          <w:u w:val="single"/>
        </w:rPr>
      </w:pPr>
    </w:p>
    <w:p w14:paraId="7A03625E">
      <w:pPr>
        <w:ind w:firstLine="160"/>
        <w:rPr>
          <w:rFonts w:hint="eastAsia" w:ascii="黑体" w:hAnsi="黑体" w:eastAsia="黑体"/>
          <w:i/>
          <w:sz w:val="32"/>
          <w:szCs w:val="32"/>
          <w:highlight w:val="none"/>
          <w:u w:val="single"/>
        </w:rPr>
      </w:pPr>
    </w:p>
    <w:p w14:paraId="36568653">
      <w:pPr>
        <w:ind w:firstLine="160"/>
        <w:rPr>
          <w:rFonts w:hint="eastAsia" w:ascii="黑体" w:hAnsi="黑体" w:eastAsia="黑体"/>
          <w:i/>
          <w:sz w:val="32"/>
          <w:szCs w:val="32"/>
          <w:highlight w:val="none"/>
          <w:u w:val="single"/>
        </w:rPr>
      </w:pPr>
    </w:p>
    <w:p w14:paraId="776CA1B2">
      <w:pPr>
        <w:ind w:firstLine="160"/>
        <w:rPr>
          <w:rFonts w:hint="eastAsia" w:ascii="黑体" w:hAnsi="黑体" w:eastAsia="黑体"/>
          <w:i/>
          <w:sz w:val="32"/>
          <w:szCs w:val="32"/>
          <w:highlight w:val="none"/>
          <w:u w:val="single"/>
        </w:rPr>
      </w:pPr>
    </w:p>
    <w:p w14:paraId="45D263C0">
      <w:pPr>
        <w:ind w:firstLine="160"/>
        <w:rPr>
          <w:rFonts w:hint="eastAsia" w:ascii="黑体" w:hAnsi="黑体" w:eastAsia="黑体"/>
          <w:i/>
          <w:sz w:val="32"/>
          <w:szCs w:val="32"/>
          <w:highlight w:val="none"/>
          <w:u w:val="single"/>
        </w:rPr>
      </w:pPr>
    </w:p>
    <w:p w14:paraId="6715B14F">
      <w:pPr>
        <w:ind w:firstLine="160"/>
        <w:rPr>
          <w:rFonts w:hint="eastAsia" w:ascii="黑体" w:hAnsi="黑体" w:eastAsia="黑体"/>
          <w:i/>
          <w:sz w:val="32"/>
          <w:szCs w:val="32"/>
          <w:highlight w:val="none"/>
          <w:u w:val="single"/>
        </w:rPr>
      </w:pPr>
    </w:p>
    <w:p w14:paraId="49CA8BA2">
      <w:pPr>
        <w:ind w:firstLine="160"/>
        <w:rPr>
          <w:rFonts w:hint="eastAsia" w:ascii="黑体" w:hAnsi="黑体" w:eastAsia="黑体"/>
          <w:i/>
          <w:sz w:val="32"/>
          <w:szCs w:val="32"/>
          <w:highlight w:val="none"/>
          <w:u w:val="single"/>
        </w:rPr>
      </w:pPr>
    </w:p>
    <w:p w14:paraId="541C7644">
      <w:pPr>
        <w:ind w:firstLine="160"/>
        <w:rPr>
          <w:rFonts w:hint="eastAsia" w:ascii="黑体" w:hAnsi="黑体" w:eastAsia="黑体"/>
          <w:i/>
          <w:sz w:val="32"/>
          <w:szCs w:val="32"/>
          <w:highlight w:val="none"/>
          <w:u w:val="single"/>
        </w:rPr>
      </w:pPr>
    </w:p>
    <w:p w14:paraId="63A90393">
      <w:pPr>
        <w:ind w:firstLine="160"/>
        <w:rPr>
          <w:rFonts w:ascii="黑体" w:hAnsi="黑体" w:eastAsia="黑体"/>
          <w:i/>
          <w:sz w:val="32"/>
          <w:szCs w:val="32"/>
          <w:highlight w:val="none"/>
          <w:u w:val="single"/>
        </w:rPr>
      </w:pPr>
      <w:r>
        <w:rPr>
          <w:rFonts w:hint="eastAsia" w:ascii="黑体" w:hAnsi="黑体" w:eastAsia="黑体"/>
          <w:i/>
          <w:sz w:val="32"/>
          <w:szCs w:val="32"/>
          <w:highlight w:val="none"/>
          <w:u w:val="single"/>
        </w:rPr>
        <w:t>六、供应商信用承诺函</w:t>
      </w:r>
    </w:p>
    <w:p w14:paraId="41061B2C">
      <w:pPr>
        <w:spacing w:line="500" w:lineRule="exact"/>
        <w:ind w:firstLine="120"/>
        <w:jc w:val="center"/>
        <w:rPr>
          <w:rFonts w:eastAsia="等线"/>
          <w:b/>
          <w:sz w:val="24"/>
          <w:szCs w:val="24"/>
          <w:highlight w:val="none"/>
        </w:rPr>
      </w:pPr>
      <w:r>
        <w:rPr>
          <w:rFonts w:hint="eastAsia" w:eastAsia="等线"/>
          <w:b/>
          <w:sz w:val="24"/>
          <w:szCs w:val="24"/>
          <w:highlight w:val="none"/>
        </w:rPr>
        <w:t>供应商信用承诺函</w:t>
      </w:r>
    </w:p>
    <w:p w14:paraId="4380D10F">
      <w:pPr>
        <w:spacing w:line="500" w:lineRule="exact"/>
        <w:ind w:firstLine="120"/>
        <w:rPr>
          <w:rFonts w:ascii="方正仿宋_GBK" w:hAnsi="等线" w:eastAsia="等线"/>
          <w:sz w:val="24"/>
          <w:szCs w:val="24"/>
          <w:highlight w:val="none"/>
        </w:rPr>
      </w:pPr>
    </w:p>
    <w:p w14:paraId="304219BE">
      <w:pPr>
        <w:spacing w:line="560" w:lineRule="exact"/>
        <w:ind w:firstLine="120"/>
        <w:rPr>
          <w:sz w:val="24"/>
          <w:szCs w:val="24"/>
          <w:highlight w:val="none"/>
        </w:rPr>
      </w:pPr>
      <w:r>
        <w:rPr>
          <w:rFonts w:hint="eastAsia"/>
          <w:sz w:val="24"/>
          <w:szCs w:val="24"/>
          <w:highlight w:val="none"/>
        </w:rPr>
        <w:t>承诺主体名称：</w:t>
      </w:r>
    </w:p>
    <w:p w14:paraId="5FBB081C">
      <w:pPr>
        <w:spacing w:line="560" w:lineRule="exact"/>
        <w:ind w:firstLine="120"/>
        <w:rPr>
          <w:rFonts w:hint="eastAsia" w:eastAsia="宋体"/>
          <w:sz w:val="24"/>
          <w:szCs w:val="24"/>
          <w:highlight w:val="none"/>
          <w:lang w:eastAsia="zh-CN"/>
        </w:rPr>
      </w:pPr>
      <w:r>
        <w:rPr>
          <w:rFonts w:hint="eastAsia"/>
          <w:sz w:val="24"/>
          <w:szCs w:val="24"/>
          <w:highlight w:val="none"/>
        </w:rPr>
        <w:t>统一社会信用代码</w:t>
      </w:r>
      <w:r>
        <w:rPr>
          <w:rFonts w:hint="eastAsia"/>
          <w:sz w:val="24"/>
          <w:szCs w:val="24"/>
          <w:highlight w:val="none"/>
          <w:lang w:eastAsia="zh-CN"/>
        </w:rPr>
        <w:t>：</w:t>
      </w:r>
    </w:p>
    <w:p w14:paraId="404BA0EF">
      <w:pPr>
        <w:spacing w:line="560" w:lineRule="exact"/>
        <w:ind w:firstLine="120"/>
        <w:rPr>
          <w:sz w:val="24"/>
          <w:szCs w:val="24"/>
          <w:highlight w:val="none"/>
        </w:rPr>
      </w:pPr>
      <w:r>
        <w:rPr>
          <w:rFonts w:hint="eastAsia"/>
          <w:sz w:val="24"/>
          <w:szCs w:val="24"/>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528DC9B8">
      <w:pPr>
        <w:spacing w:line="560" w:lineRule="exact"/>
        <w:ind w:firstLine="120"/>
        <w:rPr>
          <w:sz w:val="24"/>
          <w:szCs w:val="24"/>
          <w:highlight w:val="none"/>
        </w:rPr>
      </w:pPr>
      <w:r>
        <w:rPr>
          <w:rFonts w:hint="eastAsia"/>
          <w:sz w:val="24"/>
          <w:szCs w:val="24"/>
          <w:highlight w:val="none"/>
        </w:rPr>
        <w:t>一、对提供给注册登记部门、行业管理部门、司法部门、行业组织以及在政府采购活动中提交的所有资料的合法性、真实性、准确性和有效性负责；</w:t>
      </w:r>
    </w:p>
    <w:p w14:paraId="09593E06">
      <w:pPr>
        <w:spacing w:line="560" w:lineRule="exact"/>
        <w:ind w:firstLine="120"/>
        <w:rPr>
          <w:sz w:val="24"/>
          <w:szCs w:val="24"/>
          <w:highlight w:val="none"/>
        </w:rPr>
      </w:pPr>
      <w:r>
        <w:rPr>
          <w:rFonts w:hint="eastAsia"/>
          <w:sz w:val="24"/>
          <w:szCs w:val="24"/>
          <w:highlight w:val="none"/>
        </w:rPr>
        <w:t>二、严格按照国家法律、法规和规章开展采购活动，全面履行应尽的责任和义务，全面做到履约守信，具备《中华人民共和国政府采购法》第二十二条第一款规定的条件;</w:t>
      </w:r>
    </w:p>
    <w:p w14:paraId="3C1E38EB">
      <w:pPr>
        <w:spacing w:line="560" w:lineRule="exact"/>
        <w:ind w:firstLine="120"/>
        <w:rPr>
          <w:sz w:val="24"/>
          <w:szCs w:val="24"/>
          <w:highlight w:val="none"/>
        </w:rPr>
      </w:pPr>
      <w:r>
        <w:rPr>
          <w:rFonts w:hint="eastAsia"/>
          <w:sz w:val="24"/>
          <w:szCs w:val="24"/>
          <w:highlight w:val="none"/>
        </w:rPr>
        <w:t>三、严格依法开展生产经营活动，主动接受行业监管，自愿接受依法开展的日常检查；违法失信经营后将自愿接受约束和惩戒，并依法承担相应责任；</w:t>
      </w:r>
    </w:p>
    <w:p w14:paraId="3CBE12D9">
      <w:pPr>
        <w:spacing w:line="560" w:lineRule="exact"/>
        <w:ind w:firstLine="120"/>
        <w:rPr>
          <w:sz w:val="24"/>
          <w:szCs w:val="24"/>
          <w:highlight w:val="none"/>
        </w:rPr>
      </w:pPr>
      <w:r>
        <w:rPr>
          <w:rFonts w:hint="eastAsia"/>
          <w:sz w:val="24"/>
          <w:szCs w:val="24"/>
          <w:highlight w:val="none"/>
        </w:rPr>
        <w:t>四、自觉接受行政管理部门、行业组织、社会公众、新闻舆论的监督；</w:t>
      </w:r>
    </w:p>
    <w:p w14:paraId="2F34C5A4">
      <w:pPr>
        <w:spacing w:line="560" w:lineRule="exact"/>
        <w:ind w:firstLine="120"/>
        <w:rPr>
          <w:sz w:val="24"/>
          <w:szCs w:val="24"/>
          <w:highlight w:val="none"/>
        </w:rPr>
      </w:pPr>
      <w:r>
        <w:rPr>
          <w:rFonts w:hint="eastAsia"/>
          <w:sz w:val="24"/>
          <w:szCs w:val="24"/>
          <w:highlight w:val="none"/>
        </w:rPr>
        <w:t>五、自觉做到自我约束、自我管理，不制假售假、商标侵权、虚假宣传、违约毁约、恶意逃债、偷税漏税、垄断和不正当竞争，维护经营者、消费者的合法权益；</w:t>
      </w:r>
    </w:p>
    <w:p w14:paraId="2B830E71">
      <w:pPr>
        <w:spacing w:line="560" w:lineRule="exact"/>
        <w:ind w:firstLine="120"/>
        <w:rPr>
          <w:sz w:val="24"/>
          <w:szCs w:val="24"/>
          <w:highlight w:val="none"/>
        </w:rPr>
      </w:pPr>
      <w:r>
        <w:rPr>
          <w:rFonts w:hint="eastAsia"/>
          <w:sz w:val="24"/>
          <w:szCs w:val="24"/>
          <w:highlight w:val="none"/>
        </w:rPr>
        <w:t>六、提出政府采购质疑和投诉坚持依法依规、诚实信用原则，在全国范围12个月内没有三次以上查无实据的政府采购投诉；</w:t>
      </w:r>
    </w:p>
    <w:p w14:paraId="715019F7">
      <w:pPr>
        <w:spacing w:line="560" w:lineRule="exact"/>
        <w:ind w:firstLine="120"/>
        <w:rPr>
          <w:sz w:val="24"/>
          <w:szCs w:val="24"/>
          <w:highlight w:val="none"/>
        </w:rPr>
      </w:pPr>
      <w:r>
        <w:rPr>
          <w:rFonts w:hint="eastAsia"/>
          <w:sz w:val="24"/>
          <w:szCs w:val="24"/>
          <w:highlight w:val="none"/>
        </w:rPr>
        <w:t>七、严格遵守信用信息公示相关规定，向社会公示信用信息；</w:t>
      </w:r>
    </w:p>
    <w:p w14:paraId="177CF86D">
      <w:pPr>
        <w:spacing w:line="560" w:lineRule="exact"/>
        <w:ind w:firstLine="120"/>
        <w:rPr>
          <w:sz w:val="24"/>
          <w:szCs w:val="24"/>
          <w:highlight w:val="none"/>
        </w:rPr>
      </w:pPr>
      <w:r>
        <w:rPr>
          <w:rFonts w:hint="eastAsia"/>
          <w:sz w:val="24"/>
          <w:szCs w:val="24"/>
          <w:highlight w:val="none"/>
        </w:rPr>
        <w:t>八、在“信用中国”和“中国政府采购网”网站中无违法违规、较重或严重失信记录；</w:t>
      </w:r>
    </w:p>
    <w:p w14:paraId="47C4554B">
      <w:pPr>
        <w:spacing w:line="560" w:lineRule="exact"/>
        <w:ind w:firstLine="120"/>
        <w:rPr>
          <w:sz w:val="24"/>
          <w:szCs w:val="24"/>
          <w:highlight w:val="none"/>
        </w:rPr>
      </w:pPr>
      <w:r>
        <w:rPr>
          <w:rFonts w:hint="eastAsia"/>
          <w:sz w:val="24"/>
          <w:szCs w:val="24"/>
          <w:highlight w:val="none"/>
        </w:rPr>
        <w:t>九、如违反承诺，自愿接受管理部门依法给予的行政处罚，同意将违反承诺的行为作为不良记录记入信用档案，依法依规进行信息公示，并承担所产生的一切法律责任和经济损失。</w:t>
      </w:r>
    </w:p>
    <w:p w14:paraId="20A56C45">
      <w:pPr>
        <w:spacing w:line="560" w:lineRule="exact"/>
        <w:ind w:firstLine="120"/>
        <w:rPr>
          <w:sz w:val="24"/>
          <w:szCs w:val="24"/>
          <w:highlight w:val="none"/>
        </w:rPr>
      </w:pPr>
      <w:r>
        <w:rPr>
          <w:rFonts w:hint="eastAsia"/>
          <w:sz w:val="24"/>
          <w:szCs w:val="24"/>
          <w:highlight w:val="none"/>
        </w:rPr>
        <w:t>十、本承诺书自签订之日起生效。</w:t>
      </w:r>
    </w:p>
    <w:p w14:paraId="0AC66352">
      <w:pPr>
        <w:spacing w:line="560" w:lineRule="exact"/>
        <w:ind w:firstLine="120"/>
        <w:rPr>
          <w:sz w:val="24"/>
          <w:szCs w:val="24"/>
          <w:highlight w:val="none"/>
        </w:rPr>
      </w:pPr>
      <w:r>
        <w:rPr>
          <w:rFonts w:hint="eastAsia"/>
          <w:sz w:val="24"/>
          <w:szCs w:val="24"/>
          <w:highlight w:val="none"/>
        </w:rPr>
        <w:t> （注：法定代表人或负责人、主体名称发生变更的应当重新做出承诺。）</w:t>
      </w:r>
    </w:p>
    <w:p w14:paraId="2D6F81BE">
      <w:pPr>
        <w:spacing w:line="560" w:lineRule="exact"/>
        <w:ind w:firstLine="120"/>
        <w:jc w:val="center"/>
        <w:rPr>
          <w:sz w:val="24"/>
          <w:szCs w:val="24"/>
          <w:highlight w:val="none"/>
        </w:rPr>
      </w:pPr>
      <w:r>
        <w:rPr>
          <w:rFonts w:hint="eastAsia"/>
          <w:sz w:val="24"/>
          <w:szCs w:val="24"/>
          <w:highlight w:val="none"/>
        </w:rPr>
        <w:t xml:space="preserve">　　　　　　　　　　    承诺单位（加盖CA电子公章）：           </w:t>
      </w:r>
    </w:p>
    <w:p w14:paraId="24BC34D1">
      <w:pPr>
        <w:spacing w:line="560" w:lineRule="exact"/>
        <w:ind w:firstLine="120"/>
        <w:jc w:val="center"/>
        <w:rPr>
          <w:sz w:val="24"/>
          <w:szCs w:val="24"/>
          <w:highlight w:val="none"/>
        </w:rPr>
      </w:pPr>
      <w:r>
        <w:rPr>
          <w:rFonts w:hint="eastAsia"/>
          <w:sz w:val="24"/>
          <w:szCs w:val="24"/>
          <w:highlight w:val="none"/>
        </w:rPr>
        <w:t>年    月    日</w:t>
      </w:r>
    </w:p>
    <w:p w14:paraId="76569D19">
      <w:pPr>
        <w:ind w:firstLine="320" w:firstLineChars="100"/>
        <w:rPr>
          <w:rFonts w:hint="eastAsia" w:ascii="黑体" w:hAnsi="黑体" w:eastAsia="黑体"/>
          <w:i/>
          <w:sz w:val="32"/>
          <w:szCs w:val="32"/>
          <w:highlight w:val="none"/>
          <w:u w:val="single"/>
        </w:rPr>
      </w:pPr>
    </w:p>
    <w:p w14:paraId="7323296E">
      <w:pP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br w:type="page"/>
      </w:r>
    </w:p>
    <w:p w14:paraId="4CABC21A">
      <w:pPr>
        <w:ind w:firstLine="320" w:firstLineChars="100"/>
        <w:jc w:val="left"/>
        <w:rPr>
          <w:rFonts w:ascii="黑体" w:hAnsi="黑体" w:eastAsia="黑体"/>
          <w:i/>
          <w:sz w:val="32"/>
          <w:szCs w:val="32"/>
          <w:highlight w:val="none"/>
          <w:u w:val="single"/>
        </w:rPr>
      </w:pPr>
      <w:r>
        <w:rPr>
          <w:rFonts w:hint="eastAsia" w:ascii="黑体" w:hAnsi="黑体" w:eastAsia="黑体"/>
          <w:i/>
          <w:sz w:val="32"/>
          <w:szCs w:val="32"/>
          <w:highlight w:val="none"/>
          <w:u w:val="single"/>
        </w:rPr>
        <w:t>七、特定资格要求的证明文件</w:t>
      </w:r>
    </w:p>
    <w:p w14:paraId="17BF08EB">
      <w:pPr>
        <w:spacing w:line="460" w:lineRule="exact"/>
        <w:ind w:firstLine="120"/>
        <w:rPr>
          <w:bCs/>
          <w:sz w:val="24"/>
          <w:highlight w:val="none"/>
        </w:rPr>
      </w:pPr>
      <w:r>
        <w:rPr>
          <w:rFonts w:hint="eastAsia"/>
          <w:sz w:val="24"/>
          <w:highlight w:val="none"/>
        </w:rPr>
        <w:t xml:space="preserve">  如果本项目申请人的特定资格要求中要求提供的，必须提供。  </w:t>
      </w:r>
    </w:p>
    <w:p w14:paraId="65C7ACB7">
      <w:pPr>
        <w:spacing w:line="460" w:lineRule="exact"/>
        <w:ind w:firstLine="120"/>
        <w:rPr>
          <w:bCs/>
          <w:sz w:val="24"/>
          <w:highlight w:val="none"/>
        </w:rPr>
      </w:pPr>
    </w:p>
    <w:p w14:paraId="71267107">
      <w:pPr>
        <w:ind w:firstLine="160"/>
        <w:jc w:val="left"/>
        <w:rPr>
          <w:rFonts w:ascii="黑体" w:hAnsi="黑体" w:eastAsia="黑体"/>
          <w:i/>
          <w:sz w:val="32"/>
          <w:szCs w:val="32"/>
          <w:highlight w:val="none"/>
          <w:u w:val="single"/>
        </w:rPr>
      </w:pPr>
      <w:r>
        <w:rPr>
          <w:rFonts w:hint="eastAsia" w:ascii="黑体" w:hAnsi="黑体" w:eastAsia="黑体"/>
          <w:i/>
          <w:sz w:val="32"/>
          <w:szCs w:val="32"/>
          <w:highlight w:val="none"/>
          <w:u w:val="single"/>
        </w:rPr>
        <w:t>八、法人授权书</w:t>
      </w:r>
    </w:p>
    <w:p w14:paraId="543B0CFD">
      <w:pPr>
        <w:pStyle w:val="20"/>
        <w:ind w:firstLine="120"/>
        <w:rPr>
          <w:sz w:val="24"/>
          <w:szCs w:val="24"/>
          <w:highlight w:val="none"/>
        </w:rPr>
      </w:pPr>
      <w:r>
        <w:rPr>
          <w:rFonts w:hint="eastAsia"/>
          <w:sz w:val="24"/>
          <w:szCs w:val="24"/>
          <w:highlight w:val="none"/>
        </w:rPr>
        <w:t>本授权书声明：____________（投标人名称）授权________________（被授权人的姓名）为我方就</w:t>
      </w:r>
      <w:r>
        <w:rPr>
          <w:rFonts w:hint="eastAsia" w:ascii="经典仿宋简" w:hAnsi="经典仿宋简" w:eastAsia="经典仿宋简" w:cs="经典仿宋简"/>
          <w:color w:val="000000"/>
          <w:sz w:val="22"/>
          <w:szCs w:val="22"/>
          <w:highlight w:val="none"/>
          <w:u w:val="single"/>
        </w:rPr>
        <w:t xml:space="preserve">               </w:t>
      </w:r>
      <w:r>
        <w:rPr>
          <w:rFonts w:hint="eastAsia"/>
          <w:sz w:val="24"/>
          <w:szCs w:val="24"/>
          <w:highlight w:val="none"/>
        </w:rPr>
        <w:t>号项目采购活动的合法代理人，以本单位名义全权处理一切与该项目采购有关的事务。</w:t>
      </w:r>
    </w:p>
    <w:p w14:paraId="452C70B4">
      <w:pPr>
        <w:pStyle w:val="20"/>
        <w:ind w:firstLine="120"/>
        <w:rPr>
          <w:sz w:val="24"/>
          <w:szCs w:val="24"/>
          <w:highlight w:val="none"/>
        </w:rPr>
      </w:pPr>
      <w:r>
        <w:rPr>
          <w:rFonts w:hint="eastAsia"/>
          <w:sz w:val="24"/>
          <w:szCs w:val="24"/>
          <w:highlight w:val="none"/>
        </w:rPr>
        <w:t>本授权书于______年____月____日起生效，特此声明。</w:t>
      </w:r>
    </w:p>
    <w:p w14:paraId="68247EF5">
      <w:pPr>
        <w:pStyle w:val="20"/>
        <w:ind w:firstLine="120"/>
        <w:rPr>
          <w:sz w:val="24"/>
          <w:szCs w:val="24"/>
          <w:highlight w:val="none"/>
          <w:u w:val="single"/>
        </w:rPr>
      </w:pPr>
      <w:r>
        <w:rPr>
          <w:rFonts w:hint="eastAsia"/>
          <w:sz w:val="24"/>
          <w:szCs w:val="24"/>
          <w:highlight w:val="none"/>
        </w:rPr>
        <w:t>被授权人身份证号码：</w:t>
      </w:r>
      <w:r>
        <w:rPr>
          <w:rFonts w:hint="eastAsia"/>
          <w:sz w:val="24"/>
          <w:szCs w:val="24"/>
          <w:highlight w:val="none"/>
          <w:u w:val="single"/>
        </w:rPr>
        <w:t xml:space="preserve">                              </w:t>
      </w:r>
    </w:p>
    <w:p w14:paraId="145D0E02">
      <w:pPr>
        <w:pStyle w:val="20"/>
        <w:ind w:firstLine="120"/>
        <w:rPr>
          <w:sz w:val="24"/>
          <w:szCs w:val="24"/>
          <w:highlight w:val="none"/>
          <w:u w:val="single"/>
        </w:rPr>
      </w:pPr>
      <w:r>
        <w:rPr>
          <w:rFonts w:hint="eastAsia"/>
          <w:sz w:val="24"/>
          <w:szCs w:val="24"/>
          <w:highlight w:val="none"/>
        </w:rPr>
        <w:t>被授权人联系电话：（手机）</w:t>
      </w:r>
      <w:r>
        <w:rPr>
          <w:rFonts w:hint="eastAsia"/>
          <w:sz w:val="24"/>
          <w:szCs w:val="24"/>
          <w:highlight w:val="none"/>
          <w:u w:val="single"/>
        </w:rPr>
        <w:t xml:space="preserve">                          </w:t>
      </w:r>
    </w:p>
    <w:p w14:paraId="59467DAF">
      <w:pPr>
        <w:pStyle w:val="20"/>
        <w:ind w:firstLine="120"/>
        <w:rPr>
          <w:sz w:val="24"/>
          <w:szCs w:val="24"/>
          <w:highlight w:val="none"/>
        </w:rPr>
      </w:pPr>
      <w:r>
        <w:rPr>
          <w:rFonts w:hint="eastAsia"/>
          <w:sz w:val="24"/>
          <w:szCs w:val="24"/>
          <w:highlight w:val="none"/>
        </w:rPr>
        <w:t>授权单位名称：</w:t>
      </w:r>
      <w:r>
        <w:rPr>
          <w:rFonts w:hint="eastAsia"/>
          <w:sz w:val="24"/>
          <w:szCs w:val="24"/>
          <w:highlight w:val="none"/>
          <w:u w:val="single"/>
        </w:rPr>
        <w:t>（加盖CA电子公章）</w:t>
      </w:r>
    </w:p>
    <w:p w14:paraId="56108D53">
      <w:pPr>
        <w:pStyle w:val="20"/>
        <w:ind w:firstLine="120"/>
        <w:rPr>
          <w:sz w:val="24"/>
          <w:szCs w:val="24"/>
          <w:highlight w:val="none"/>
          <w:u w:val="single"/>
        </w:rPr>
      </w:pPr>
      <w:r>
        <w:rPr>
          <w:rFonts w:hint="eastAsia"/>
          <w:sz w:val="24"/>
          <w:szCs w:val="24"/>
          <w:highlight w:val="none"/>
        </w:rPr>
        <w:t>单位地址：</w:t>
      </w:r>
      <w:r>
        <w:rPr>
          <w:rFonts w:hint="eastAsia"/>
          <w:sz w:val="24"/>
          <w:szCs w:val="24"/>
          <w:highlight w:val="none"/>
          <w:u w:val="single"/>
        </w:rPr>
        <w:t xml:space="preserve">                                         </w:t>
      </w:r>
    </w:p>
    <w:p w14:paraId="49A6FF7C">
      <w:pPr>
        <w:pStyle w:val="20"/>
        <w:ind w:firstLine="120"/>
        <w:rPr>
          <w:sz w:val="24"/>
          <w:szCs w:val="24"/>
          <w:highlight w:val="none"/>
        </w:rPr>
      </w:pPr>
      <w:r>
        <w:rPr>
          <w:rFonts w:hint="eastAsia"/>
          <w:sz w:val="24"/>
          <w:szCs w:val="24"/>
          <w:highlight w:val="none"/>
        </w:rPr>
        <w:t>日期：</w:t>
      </w:r>
      <w:bookmarkStart w:id="67" w:name="_Hlt26671380"/>
      <w:bookmarkEnd w:id="67"/>
      <w:bookmarkStart w:id="68" w:name="_格式3__银行出具的资信证明"/>
      <w:bookmarkEnd w:id="68"/>
      <w:bookmarkStart w:id="69" w:name="_Hlt26955070"/>
      <w:bookmarkEnd w:id="69"/>
      <w:r>
        <w:rPr>
          <w:rFonts w:hint="eastAsia"/>
          <w:sz w:val="24"/>
          <w:szCs w:val="24"/>
          <w:highlight w:val="none"/>
          <w:u w:val="single"/>
        </w:rPr>
        <w:t xml:space="preserve">                                         </w:t>
      </w:r>
    </w:p>
    <w:p w14:paraId="7D7C26FB">
      <w:pPr>
        <w:pStyle w:val="19"/>
        <w:ind w:firstLine="120"/>
        <w:rPr>
          <w:i/>
          <w:sz w:val="24"/>
          <w:szCs w:val="24"/>
          <w:highlight w:val="none"/>
          <w:u w:val="single"/>
        </w:rPr>
      </w:pPr>
    </w:p>
    <w:p w14:paraId="24B27FAD">
      <w:pPr>
        <w:pStyle w:val="19"/>
        <w:ind w:firstLine="100"/>
        <w:rPr>
          <w:highlight w:val="none"/>
        </w:rPr>
      </w:pPr>
    </w:p>
    <w:p w14:paraId="7E99EBFA">
      <w:pPr>
        <w:spacing w:line="460" w:lineRule="exact"/>
        <w:ind w:firstLine="120"/>
        <w:rPr>
          <w:rFonts w:ascii="楷体" w:hAnsi="楷体" w:eastAsia="楷体"/>
          <w:bCs/>
          <w:sz w:val="24"/>
          <w:szCs w:val="24"/>
          <w:highlight w:val="none"/>
        </w:rPr>
      </w:pPr>
    </w:p>
    <w:p w14:paraId="2EFD8A21">
      <w:pPr>
        <w:spacing w:line="460" w:lineRule="exact"/>
        <w:ind w:firstLine="120"/>
        <w:rPr>
          <w:bCs/>
          <w:sz w:val="24"/>
          <w:highlight w:val="none"/>
        </w:rPr>
      </w:pPr>
    </w:p>
    <w:p w14:paraId="3E2ABA4B">
      <w:pPr>
        <w:pStyle w:val="16"/>
        <w:ind w:firstLine="120"/>
        <w:jc w:val="both"/>
        <w:rPr>
          <w:rFonts w:ascii="黑体" w:hAnsi="黑体" w:eastAsia="黑体"/>
          <w:bCs w:val="0"/>
          <w:i/>
          <w:sz w:val="32"/>
          <w:szCs w:val="32"/>
          <w:highlight w:val="none"/>
          <w:u w:val="single"/>
        </w:rPr>
      </w:pPr>
      <w:r>
        <w:rPr>
          <w:rFonts w:ascii="宋体" w:hAnsi="宋体"/>
          <w:bCs w:val="0"/>
          <w:sz w:val="24"/>
          <w:highlight w:val="none"/>
        </w:rPr>
        <w:br w:type="page" w:clear="all"/>
      </w:r>
      <w:r>
        <w:rPr>
          <w:rFonts w:hint="eastAsia" w:ascii="黑体" w:hAnsi="黑体" w:eastAsia="黑体"/>
          <w:bCs w:val="0"/>
          <w:i/>
          <w:sz w:val="32"/>
          <w:szCs w:val="32"/>
          <w:highlight w:val="none"/>
          <w:u w:val="single"/>
        </w:rPr>
        <w:t>九、投标函</w:t>
      </w:r>
    </w:p>
    <w:p w14:paraId="7923F705">
      <w:pPr>
        <w:pStyle w:val="12"/>
        <w:spacing w:before="0" w:after="0" w:line="420" w:lineRule="exact"/>
        <w:ind w:firstLine="120"/>
        <w:rPr>
          <w:rFonts w:hint="eastAsia" w:ascii="宋体" w:hAnsi="宋体" w:eastAsia="宋体" w:cs="宋体"/>
          <w:szCs w:val="21"/>
          <w:highlight w:val="none"/>
        </w:rPr>
      </w:pPr>
      <w:r>
        <w:rPr>
          <w:rFonts w:hint="eastAsia" w:ascii="宋体" w:hAnsi="宋体"/>
          <w:szCs w:val="21"/>
          <w:highlight w:val="none"/>
        </w:rPr>
        <w:t>致：</w:t>
      </w:r>
      <w:r>
        <w:rPr>
          <w:rFonts w:hint="eastAsia" w:ascii="宋体" w:hAnsi="宋体" w:cs="宋体"/>
          <w:szCs w:val="21"/>
          <w:highlight w:val="none"/>
          <w:lang w:eastAsia="zh-CN"/>
        </w:rPr>
        <w:t>江苏江南工程管理咨询有限公司</w:t>
      </w:r>
    </w:p>
    <w:p w14:paraId="39A32D80">
      <w:pPr>
        <w:pStyle w:val="12"/>
        <w:spacing w:before="0" w:after="0" w:line="420" w:lineRule="exact"/>
        <w:ind w:firstLine="120"/>
        <w:rPr>
          <w:rFonts w:ascii="宋体" w:hAnsi="宋体"/>
          <w:szCs w:val="21"/>
          <w:highlight w:val="none"/>
        </w:rPr>
      </w:pPr>
      <w:r>
        <w:rPr>
          <w:rFonts w:hint="eastAsia" w:ascii="宋体" w:hAnsi="宋体"/>
          <w:szCs w:val="21"/>
          <w:highlight w:val="none"/>
        </w:rPr>
        <w:t>根据贵方的</w:t>
      </w:r>
      <w:r>
        <w:rPr>
          <w:rFonts w:hint="eastAsia" w:ascii="宋体" w:hAnsi="宋体"/>
          <w:szCs w:val="21"/>
          <w:highlight w:val="none"/>
          <w:u w:val="single"/>
        </w:rPr>
        <w:t xml:space="preserve">        </w:t>
      </w:r>
      <w:r>
        <w:rPr>
          <w:rFonts w:hint="eastAsia" w:ascii="宋体" w:hAnsi="宋体"/>
          <w:szCs w:val="21"/>
          <w:highlight w:val="none"/>
        </w:rPr>
        <w:t>号招标文件，正式授权下述签字人______(姓名)代表我方______________（投标人的名称），全权处理本次项目投标的有关事宜。</w:t>
      </w:r>
    </w:p>
    <w:p w14:paraId="100BA084">
      <w:pPr>
        <w:pStyle w:val="12"/>
        <w:spacing w:before="0" w:after="0" w:line="420" w:lineRule="exact"/>
        <w:ind w:firstLine="120"/>
        <w:rPr>
          <w:rFonts w:ascii="宋体" w:hAnsi="宋体"/>
          <w:szCs w:val="21"/>
          <w:highlight w:val="none"/>
        </w:rPr>
      </w:pPr>
      <w:r>
        <w:rPr>
          <w:rFonts w:hint="eastAsia" w:ascii="宋体" w:hAnsi="宋体"/>
          <w:szCs w:val="21"/>
          <w:highlight w:val="none"/>
        </w:rPr>
        <w:t>据此函，__________签字人兹宣布同意如下：</w:t>
      </w:r>
    </w:p>
    <w:p w14:paraId="3E7BE76D">
      <w:pPr>
        <w:pStyle w:val="12"/>
        <w:spacing w:before="0" w:after="0" w:line="420" w:lineRule="exact"/>
        <w:ind w:firstLine="120"/>
        <w:rPr>
          <w:rFonts w:ascii="宋体" w:hAnsi="宋体"/>
          <w:szCs w:val="21"/>
          <w:highlight w:val="none"/>
        </w:rPr>
      </w:pPr>
      <w:r>
        <w:rPr>
          <w:rFonts w:hint="eastAsia" w:ascii="宋体" w:hAnsi="宋体"/>
          <w:szCs w:val="21"/>
          <w:highlight w:val="none"/>
        </w:rPr>
        <w:t>1.按招标文件规定的各项要求，向买方提供所需服务（包含与服务相关的货物）。</w:t>
      </w:r>
    </w:p>
    <w:p w14:paraId="7FA934F8">
      <w:pPr>
        <w:pStyle w:val="12"/>
        <w:spacing w:before="0" w:after="0" w:line="420" w:lineRule="exact"/>
        <w:ind w:firstLine="120"/>
        <w:rPr>
          <w:rFonts w:ascii="宋体" w:hAnsi="宋体"/>
          <w:szCs w:val="21"/>
          <w:highlight w:val="none"/>
        </w:rPr>
      </w:pPr>
      <w:r>
        <w:rPr>
          <w:rFonts w:hint="eastAsia" w:ascii="宋体" w:hAnsi="宋体"/>
          <w:szCs w:val="21"/>
          <w:highlight w:val="none"/>
        </w:rPr>
        <w:t>2.我们完全理解贵方不一定将合同授予最低报价的投标人。</w:t>
      </w:r>
    </w:p>
    <w:p w14:paraId="187E9D5E">
      <w:pPr>
        <w:pStyle w:val="12"/>
        <w:spacing w:before="0" w:after="0" w:line="420" w:lineRule="exact"/>
        <w:ind w:firstLine="120"/>
        <w:rPr>
          <w:rFonts w:ascii="宋体" w:hAnsi="宋体"/>
          <w:szCs w:val="21"/>
          <w:highlight w:val="none"/>
        </w:rPr>
      </w:pPr>
      <w:r>
        <w:rPr>
          <w:rFonts w:hint="eastAsia" w:ascii="宋体" w:hAnsi="宋体"/>
          <w:szCs w:val="21"/>
          <w:highlight w:val="none"/>
        </w:rPr>
        <w:t>3.我们已详细审核全部招标文件及其有效补充文件，我们知道必须放弃提出含糊不清或误解问题的权利。</w:t>
      </w:r>
    </w:p>
    <w:p w14:paraId="2F63196A">
      <w:pPr>
        <w:pStyle w:val="12"/>
        <w:spacing w:before="0" w:after="0" w:line="420" w:lineRule="exact"/>
        <w:ind w:firstLine="120"/>
        <w:rPr>
          <w:rFonts w:ascii="宋体" w:hAnsi="宋体"/>
          <w:szCs w:val="21"/>
          <w:highlight w:val="none"/>
        </w:rPr>
      </w:pPr>
      <w:r>
        <w:rPr>
          <w:rFonts w:hint="eastAsia" w:ascii="宋体" w:hAnsi="宋体"/>
          <w:szCs w:val="21"/>
          <w:highlight w:val="none"/>
        </w:rPr>
        <w:t>4.我们同意从规定的开标日期起遵循本投标文件，并在规定的投标有效期期满之前均具有约束力。</w:t>
      </w:r>
    </w:p>
    <w:p w14:paraId="5DD0C798">
      <w:pPr>
        <w:pStyle w:val="12"/>
        <w:spacing w:before="0" w:after="0" w:line="420" w:lineRule="exact"/>
        <w:ind w:firstLine="120"/>
        <w:rPr>
          <w:rFonts w:ascii="宋体" w:hAnsi="宋体"/>
          <w:szCs w:val="21"/>
          <w:highlight w:val="none"/>
        </w:rPr>
      </w:pPr>
      <w:r>
        <w:rPr>
          <w:rFonts w:ascii="宋体" w:hAnsi="宋体"/>
          <w:szCs w:val="21"/>
          <w:highlight w:val="none"/>
        </w:rPr>
        <w:t>5</w:t>
      </w:r>
      <w:r>
        <w:rPr>
          <w:rFonts w:hint="eastAsia" w:ascii="宋体" w:hAnsi="宋体"/>
          <w:szCs w:val="21"/>
          <w:highlight w:val="none"/>
        </w:rPr>
        <w:t>.同意向贵方提供贵方可能另外要求的与投标有关的任何证据或资料，并保证我方已提供和将要提供的文件是真实的、准确的。</w:t>
      </w:r>
    </w:p>
    <w:p w14:paraId="6B869103">
      <w:pPr>
        <w:pStyle w:val="12"/>
        <w:spacing w:before="0" w:after="0" w:line="420" w:lineRule="exact"/>
        <w:ind w:firstLine="120"/>
        <w:rPr>
          <w:rFonts w:ascii="宋体" w:hAnsi="宋体"/>
          <w:szCs w:val="21"/>
          <w:highlight w:val="none"/>
        </w:rPr>
      </w:pPr>
      <w:r>
        <w:rPr>
          <w:rFonts w:ascii="宋体" w:hAnsi="宋体"/>
          <w:szCs w:val="21"/>
          <w:highlight w:val="none"/>
        </w:rPr>
        <w:t>6</w:t>
      </w:r>
      <w:r>
        <w:rPr>
          <w:rFonts w:hint="eastAsia" w:ascii="宋体" w:hAnsi="宋体"/>
          <w:szCs w:val="21"/>
          <w:highlight w:val="none"/>
        </w:rPr>
        <w:t>.一旦我方中标,我方将根据招标文件的规定，严格履行合同的责任和义务,并保证在招标文件规定的时间完成项目，交付买方验收、使用。</w:t>
      </w:r>
    </w:p>
    <w:p w14:paraId="514EA056">
      <w:pPr>
        <w:pStyle w:val="12"/>
        <w:spacing w:before="0" w:after="0" w:line="420" w:lineRule="exact"/>
        <w:ind w:firstLine="120"/>
        <w:rPr>
          <w:rFonts w:ascii="宋体" w:hAnsi="宋体"/>
          <w:szCs w:val="21"/>
          <w:highlight w:val="none"/>
        </w:rPr>
      </w:pPr>
      <w:r>
        <w:rPr>
          <w:rFonts w:ascii="宋体" w:hAnsi="宋体"/>
          <w:szCs w:val="21"/>
          <w:highlight w:val="none"/>
        </w:rPr>
        <w:t>7</w:t>
      </w:r>
      <w:r>
        <w:rPr>
          <w:rFonts w:hint="eastAsia" w:ascii="宋体" w:hAnsi="宋体"/>
          <w:szCs w:val="21"/>
          <w:highlight w:val="none"/>
        </w:rPr>
        <w:t>.与本投标有关的正式通讯地址为：</w:t>
      </w:r>
    </w:p>
    <w:p w14:paraId="4282E84A">
      <w:pPr>
        <w:pStyle w:val="12"/>
        <w:spacing w:before="0" w:after="0" w:line="420" w:lineRule="exact"/>
        <w:ind w:left="420" w:firstLine="120"/>
        <w:rPr>
          <w:rFonts w:ascii="宋体" w:hAnsi="宋体"/>
          <w:szCs w:val="21"/>
          <w:highlight w:val="none"/>
        </w:rPr>
      </w:pPr>
      <w:r>
        <w:rPr>
          <w:rFonts w:hint="eastAsia" w:ascii="宋体" w:hAnsi="宋体"/>
          <w:szCs w:val="21"/>
          <w:highlight w:val="none"/>
        </w:rPr>
        <w:t>地          址：</w:t>
      </w:r>
    </w:p>
    <w:p w14:paraId="72C7BDD9">
      <w:pPr>
        <w:pStyle w:val="12"/>
        <w:spacing w:before="0" w:after="0" w:line="420" w:lineRule="exact"/>
        <w:ind w:left="420" w:firstLine="120"/>
        <w:rPr>
          <w:rFonts w:ascii="宋体" w:hAnsi="宋体"/>
          <w:szCs w:val="21"/>
          <w:highlight w:val="none"/>
        </w:rPr>
      </w:pPr>
      <w:r>
        <w:rPr>
          <w:rFonts w:hint="eastAsia" w:ascii="宋体" w:hAnsi="宋体"/>
          <w:szCs w:val="21"/>
          <w:highlight w:val="none"/>
        </w:rPr>
        <w:t>邮          编：</w:t>
      </w:r>
    </w:p>
    <w:p w14:paraId="504078AF">
      <w:pPr>
        <w:pStyle w:val="12"/>
        <w:spacing w:before="0" w:after="0" w:line="420" w:lineRule="exact"/>
        <w:ind w:left="420" w:firstLine="120"/>
        <w:rPr>
          <w:rFonts w:ascii="宋体" w:hAnsi="宋体"/>
          <w:szCs w:val="21"/>
          <w:highlight w:val="none"/>
        </w:rPr>
      </w:pPr>
      <w:r>
        <w:rPr>
          <w:rFonts w:hint="eastAsia" w:ascii="宋体" w:hAnsi="宋体"/>
          <w:szCs w:val="21"/>
          <w:highlight w:val="none"/>
        </w:rPr>
        <w:t>电          话：</w:t>
      </w:r>
    </w:p>
    <w:p w14:paraId="35D2FB8A">
      <w:pPr>
        <w:pStyle w:val="12"/>
        <w:spacing w:before="0" w:after="0" w:line="420" w:lineRule="exact"/>
        <w:ind w:left="420" w:firstLine="120"/>
        <w:rPr>
          <w:rFonts w:ascii="宋体" w:hAnsi="宋体"/>
          <w:szCs w:val="21"/>
          <w:highlight w:val="none"/>
        </w:rPr>
      </w:pPr>
      <w:r>
        <w:rPr>
          <w:rFonts w:hint="eastAsia" w:ascii="宋体" w:hAnsi="宋体"/>
          <w:szCs w:val="21"/>
          <w:highlight w:val="none"/>
        </w:rPr>
        <w:t>传          真：</w:t>
      </w:r>
    </w:p>
    <w:p w14:paraId="2CB8A9EF">
      <w:pPr>
        <w:pStyle w:val="12"/>
        <w:spacing w:before="0" w:after="0" w:line="420" w:lineRule="exact"/>
        <w:ind w:left="420" w:firstLine="120"/>
        <w:rPr>
          <w:rFonts w:ascii="宋体" w:hAnsi="宋体"/>
          <w:szCs w:val="21"/>
          <w:highlight w:val="none"/>
        </w:rPr>
      </w:pPr>
      <w:r>
        <w:rPr>
          <w:rFonts w:hint="eastAsia" w:ascii="宋体" w:hAnsi="宋体"/>
          <w:szCs w:val="21"/>
          <w:highlight w:val="none"/>
        </w:rPr>
        <w:t>投标人开户行：</w:t>
      </w:r>
    </w:p>
    <w:p w14:paraId="258F0931">
      <w:pPr>
        <w:pStyle w:val="12"/>
        <w:spacing w:before="0" w:after="0" w:line="420" w:lineRule="exact"/>
        <w:ind w:left="420" w:firstLine="120"/>
        <w:rPr>
          <w:rFonts w:ascii="宋体" w:hAnsi="宋体"/>
          <w:szCs w:val="21"/>
          <w:highlight w:val="none"/>
        </w:rPr>
      </w:pPr>
      <w:r>
        <w:rPr>
          <w:rFonts w:hint="eastAsia" w:ascii="宋体" w:hAnsi="宋体"/>
          <w:szCs w:val="21"/>
          <w:highlight w:val="none"/>
        </w:rPr>
        <w:t xml:space="preserve">账          号： </w:t>
      </w:r>
    </w:p>
    <w:p w14:paraId="64331270">
      <w:pPr>
        <w:pStyle w:val="12"/>
        <w:spacing w:before="0" w:after="0" w:line="420" w:lineRule="exact"/>
        <w:ind w:left="420" w:firstLine="120"/>
        <w:rPr>
          <w:rFonts w:ascii="宋体" w:hAnsi="宋体"/>
          <w:szCs w:val="21"/>
          <w:highlight w:val="none"/>
        </w:rPr>
      </w:pPr>
      <w:r>
        <w:rPr>
          <w:rFonts w:hint="eastAsia" w:ascii="宋体" w:hAnsi="宋体"/>
          <w:szCs w:val="21"/>
          <w:highlight w:val="none"/>
        </w:rPr>
        <w:t>日           期：________年____月____日</w:t>
      </w:r>
    </w:p>
    <w:p w14:paraId="4344FFFC">
      <w:pPr>
        <w:spacing w:line="560" w:lineRule="exact"/>
        <w:ind w:firstLine="120"/>
        <w:jc w:val="center"/>
        <w:rPr>
          <w:bCs/>
          <w:sz w:val="24"/>
          <w:highlight w:val="none"/>
        </w:rPr>
      </w:pPr>
    </w:p>
    <w:p w14:paraId="16EEC0A8">
      <w:pPr>
        <w:spacing w:line="560" w:lineRule="exact"/>
        <w:ind w:firstLine="120"/>
        <w:jc w:val="center"/>
        <w:rPr>
          <w:bCs/>
          <w:sz w:val="24"/>
          <w:highlight w:val="none"/>
        </w:rPr>
      </w:pPr>
    </w:p>
    <w:p w14:paraId="05E0BF09">
      <w:pPr>
        <w:spacing w:line="560" w:lineRule="exact"/>
        <w:ind w:firstLine="120"/>
        <w:jc w:val="center"/>
        <w:rPr>
          <w:bCs/>
          <w:sz w:val="24"/>
          <w:highlight w:val="none"/>
        </w:rPr>
      </w:pPr>
    </w:p>
    <w:p w14:paraId="6718D098">
      <w:pPr>
        <w:spacing w:line="560" w:lineRule="exact"/>
        <w:ind w:firstLine="120"/>
        <w:rPr>
          <w:bCs/>
          <w:sz w:val="24"/>
          <w:highlight w:val="none"/>
        </w:rPr>
      </w:pPr>
    </w:p>
    <w:p w14:paraId="2F39AEA6">
      <w:pPr>
        <w:pStyle w:val="13"/>
        <w:rPr>
          <w:bCs/>
          <w:highlight w:val="none"/>
        </w:rPr>
      </w:pPr>
    </w:p>
    <w:p w14:paraId="40B28125">
      <w:pPr>
        <w:rPr>
          <w:highlight w:val="none"/>
        </w:rPr>
      </w:pPr>
    </w:p>
    <w:p w14:paraId="0394B1F4">
      <w:pPr>
        <w:spacing w:line="460" w:lineRule="exact"/>
        <w:ind w:firstLine="161"/>
        <w:jc w:val="center"/>
        <w:rPr>
          <w:rFonts w:ascii="黑体" w:hAnsi="黑体" w:eastAsia="黑体"/>
          <w:b/>
          <w:sz w:val="32"/>
          <w:szCs w:val="32"/>
          <w:highlight w:val="none"/>
        </w:rPr>
      </w:pPr>
    </w:p>
    <w:p w14:paraId="507E7A28">
      <w:pPr>
        <w:spacing w:line="360" w:lineRule="auto"/>
        <w:jc w:val="both"/>
        <w:rPr>
          <w:rFonts w:hint="eastAsia" w:ascii="黑体" w:hAnsi="黑体" w:eastAsia="黑体" w:cs="宋体"/>
          <w:b/>
          <w:sz w:val="32"/>
          <w:szCs w:val="32"/>
          <w:highlight w:val="none"/>
        </w:rPr>
      </w:pPr>
      <w:r>
        <w:rPr>
          <w:rFonts w:hint="eastAsia" w:ascii="黑体" w:hAnsi="黑体" w:eastAsia="黑体"/>
          <w:b/>
          <w:sz w:val="32"/>
          <w:szCs w:val="32"/>
          <w:highlight w:val="none"/>
        </w:rPr>
        <w:t>十、</w:t>
      </w:r>
      <w:r>
        <w:rPr>
          <w:rFonts w:hint="eastAsia" w:ascii="黑体" w:hAnsi="黑体" w:eastAsia="黑体" w:cs="宋体"/>
          <w:b/>
          <w:sz w:val="32"/>
          <w:szCs w:val="32"/>
          <w:highlight w:val="none"/>
        </w:rPr>
        <w:t>中小企业声明函（</w:t>
      </w:r>
      <w:r>
        <w:rPr>
          <w:rFonts w:hint="eastAsia" w:ascii="黑体" w:hAnsi="黑体" w:eastAsia="黑体" w:cs="宋体"/>
          <w:b/>
          <w:sz w:val="32"/>
          <w:szCs w:val="32"/>
          <w:highlight w:val="none"/>
          <w:lang w:val="en-US" w:eastAsia="zh-CN"/>
        </w:rPr>
        <w:t>服务</w:t>
      </w:r>
      <w:r>
        <w:rPr>
          <w:rFonts w:hint="eastAsia" w:ascii="黑体" w:hAnsi="黑体" w:eastAsia="黑体" w:cs="宋体"/>
          <w:b/>
          <w:sz w:val="32"/>
          <w:szCs w:val="32"/>
          <w:highlight w:val="none"/>
        </w:rPr>
        <w:t>）</w:t>
      </w:r>
    </w:p>
    <w:p w14:paraId="33E97599">
      <w:pPr>
        <w:spacing w:line="360" w:lineRule="auto"/>
        <w:ind w:firstLine="420"/>
        <w:jc w:val="left"/>
        <w:rPr>
          <w:color w:val="auto"/>
          <w:highlight w:val="none"/>
        </w:rPr>
      </w:pPr>
      <w:r>
        <w:rPr>
          <w:rFonts w:hint="eastAsia"/>
          <w:color w:val="auto"/>
          <w:highlight w:val="none"/>
        </w:rPr>
        <w:t>本公司（联合体）郑重声明，根据《政府采购促进中小企业发展管理办法》（财库﹝2020﹞46 号）的规定，本公司（联合体）参加</w:t>
      </w:r>
      <w:r>
        <w:rPr>
          <w:rFonts w:hint="eastAsia"/>
          <w:color w:val="auto"/>
          <w:highlight w:val="none"/>
          <w:u w:val="single"/>
        </w:rPr>
        <w:t>（单位名称）</w:t>
      </w:r>
      <w:r>
        <w:rPr>
          <w:rFonts w:hint="eastAsia"/>
          <w:color w:val="auto"/>
          <w:highlight w:val="none"/>
        </w:rPr>
        <w:t>的</w:t>
      </w:r>
      <w:r>
        <w:rPr>
          <w:rFonts w:hint="eastAsia"/>
          <w:color w:val="auto"/>
          <w:highlight w:val="none"/>
          <w:u w:val="single"/>
        </w:rPr>
        <w:t>（项目名称）</w:t>
      </w:r>
      <w:r>
        <w:rPr>
          <w:rFonts w:hint="eastAsia"/>
          <w:color w:val="auto"/>
          <w:highlight w:val="none"/>
        </w:rPr>
        <w:t>采购活动，服务全部由符合政策要求的中小企业承接。相关企业（含联合体中的中小企业、签订分包意向协议的中小企业）的具体情况如下：</w:t>
      </w:r>
    </w:p>
    <w:p w14:paraId="439C3444">
      <w:pPr>
        <w:spacing w:line="360" w:lineRule="auto"/>
        <w:ind w:firstLine="420"/>
        <w:jc w:val="left"/>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，属于</w:t>
      </w:r>
      <w:r>
        <w:rPr>
          <w:rFonts w:hint="eastAsia"/>
          <w:color w:val="auto"/>
          <w:highlight w:val="none"/>
          <w:u w:val="single"/>
        </w:rPr>
        <w:t xml:space="preserve"> （</w:t>
      </w:r>
      <w:r>
        <w:rPr>
          <w:rFonts w:hint="eastAsia"/>
          <w:b/>
          <w:bCs/>
          <w:color w:val="auto"/>
          <w:highlight w:val="none"/>
          <w:u w:val="single"/>
        </w:rPr>
        <w:t>其他未列明行业</w:t>
      </w:r>
      <w:r>
        <w:rPr>
          <w:rFonts w:hint="eastAsia"/>
          <w:color w:val="auto"/>
          <w:highlight w:val="none"/>
          <w:u w:val="single"/>
        </w:rPr>
        <w:t xml:space="preserve">）（该行业类别不可修改） </w:t>
      </w:r>
      <w:r>
        <w:rPr>
          <w:rFonts w:hint="eastAsia"/>
          <w:color w:val="auto"/>
          <w:highlight w:val="none"/>
        </w:rPr>
        <w:t>；承建（承接）企业为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6901AAB8">
      <w:pPr>
        <w:spacing w:line="360" w:lineRule="auto"/>
        <w:ind w:firstLine="420"/>
        <w:jc w:val="left"/>
        <w:rPr>
          <w:color w:val="auto"/>
          <w:highlight w:val="none"/>
          <w:u w:val="single"/>
        </w:rPr>
      </w:pPr>
      <w:r>
        <w:rPr>
          <w:rFonts w:hint="eastAsia"/>
          <w:color w:val="auto"/>
          <w:highlight w:val="none"/>
        </w:rPr>
        <w:t xml:space="preserve">2. </w:t>
      </w:r>
      <w:r>
        <w:rPr>
          <w:rFonts w:hint="eastAsia"/>
          <w:color w:val="auto"/>
          <w:highlight w:val="none"/>
          <w:u w:val="single"/>
        </w:rPr>
        <w:t>（标的名称）</w:t>
      </w:r>
      <w:r>
        <w:rPr>
          <w:rFonts w:hint="eastAsia"/>
          <w:color w:val="auto"/>
          <w:highlight w:val="none"/>
        </w:rPr>
        <w:t xml:space="preserve"> ，属于</w:t>
      </w:r>
      <w:r>
        <w:rPr>
          <w:rFonts w:hint="eastAsia"/>
          <w:color w:val="auto"/>
          <w:highlight w:val="none"/>
          <w:u w:val="single"/>
        </w:rPr>
        <w:t xml:space="preserve">      </w:t>
      </w:r>
      <w:r>
        <w:rPr>
          <w:rFonts w:hint="eastAsia"/>
          <w:color w:val="auto"/>
          <w:highlight w:val="none"/>
        </w:rPr>
        <w:t>；承建（承接）企业为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48DEBFA7">
      <w:pPr>
        <w:spacing w:line="360" w:lineRule="auto"/>
        <w:ind w:firstLine="420"/>
        <w:jc w:val="left"/>
        <w:rPr>
          <w:color w:val="auto"/>
          <w:highlight w:val="none"/>
        </w:rPr>
      </w:pPr>
      <w:r>
        <w:rPr>
          <w:rFonts w:hint="eastAsia"/>
          <w:color w:val="auto"/>
          <w:highlight w:val="none"/>
        </w:rPr>
        <w:t>……</w:t>
      </w:r>
    </w:p>
    <w:p w14:paraId="780FBA13">
      <w:pPr>
        <w:spacing w:line="360" w:lineRule="auto"/>
        <w:ind w:firstLine="420"/>
        <w:jc w:val="left"/>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137558A9">
      <w:pPr>
        <w:spacing w:line="360" w:lineRule="auto"/>
        <w:ind w:firstLine="420"/>
        <w:jc w:val="left"/>
        <w:rPr>
          <w:color w:val="auto"/>
          <w:highlight w:val="none"/>
        </w:rPr>
      </w:pPr>
      <w:r>
        <w:rPr>
          <w:rFonts w:hint="eastAsia"/>
          <w:color w:val="auto"/>
          <w:highlight w:val="none"/>
        </w:rPr>
        <w:t>本企业对上述声明内容的真实性负责。如有虚假，将依法承担相应责任。</w:t>
      </w:r>
    </w:p>
    <w:p w14:paraId="5372712F">
      <w:pPr>
        <w:spacing w:line="360" w:lineRule="auto"/>
        <w:ind w:firstLine="420"/>
        <w:jc w:val="left"/>
        <w:rPr>
          <w:color w:val="auto"/>
          <w:highlight w:val="none"/>
        </w:rPr>
      </w:pPr>
    </w:p>
    <w:p w14:paraId="2BD2BA72">
      <w:pPr>
        <w:spacing w:line="360" w:lineRule="auto"/>
        <w:ind w:firstLine="4620"/>
        <w:jc w:val="left"/>
        <w:rPr>
          <w:color w:val="auto"/>
          <w:highlight w:val="none"/>
        </w:rPr>
      </w:pPr>
      <w:r>
        <w:rPr>
          <w:rFonts w:hint="eastAsia"/>
          <w:color w:val="auto"/>
          <w:highlight w:val="none"/>
        </w:rPr>
        <w:t>企业名称（盖章）：</w:t>
      </w:r>
    </w:p>
    <w:p w14:paraId="3E78F630">
      <w:pPr>
        <w:spacing w:line="360" w:lineRule="auto"/>
        <w:ind w:firstLine="4620"/>
        <w:jc w:val="left"/>
        <w:rPr>
          <w:color w:val="auto"/>
          <w:highlight w:val="none"/>
        </w:rPr>
      </w:pPr>
      <w:r>
        <w:rPr>
          <w:rFonts w:hint="eastAsia"/>
          <w:color w:val="auto"/>
          <w:highlight w:val="none"/>
        </w:rPr>
        <w:t>日 期：</w:t>
      </w:r>
    </w:p>
    <w:p w14:paraId="3D4607F4">
      <w:pPr>
        <w:pStyle w:val="23"/>
        <w:rPr>
          <w:color w:val="auto"/>
          <w:highlight w:val="none"/>
        </w:rPr>
      </w:pPr>
    </w:p>
    <w:p w14:paraId="5D85B975">
      <w:pPr>
        <w:spacing w:line="380" w:lineRule="exact"/>
        <w:jc w:val="left"/>
        <w:rPr>
          <w:rFonts w:hint="eastAsia" w:ascii="宋体" w:hAnsi="宋体" w:eastAsia="宋体" w:cs="宋体"/>
          <w:color w:val="auto"/>
          <w:highlight w:val="none"/>
        </w:rPr>
      </w:pPr>
      <w:bookmarkStart w:id="70" w:name="_Hlk116216083"/>
      <w:r>
        <w:rPr>
          <w:rFonts w:hint="eastAsia" w:ascii="宋体" w:hAnsi="宋体" w:eastAsia="宋体" w:cs="宋体"/>
          <w:color w:val="auto"/>
          <w:highlight w:val="none"/>
        </w:rPr>
        <w:t>注： 1、从业人员（不仅指在职职工）、营业收入、资产总额填报上一年度数据，无上一年度数据的新成立企业可不填报。</w:t>
      </w:r>
      <w:bookmarkEnd w:id="70"/>
    </w:p>
    <w:p w14:paraId="5E403356">
      <w:pPr>
        <w:spacing w:line="380" w:lineRule="exac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2、供应商如不提供此声明函，价格将不做相应扣除。</w:t>
      </w:r>
    </w:p>
    <w:p w14:paraId="6D80CA48">
      <w:pPr>
        <w:spacing w:line="380" w:lineRule="exac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3、企业声明函请完整填写，中标后将公示。</w:t>
      </w:r>
    </w:p>
    <w:p w14:paraId="7A932EF9">
      <w:pPr>
        <w:spacing w:line="380" w:lineRule="exac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14:paraId="7F76EEF8">
      <w:pPr>
        <w:spacing w:line="380" w:lineRule="exac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5、中小企业不得属于大企业的分支机构，不得存在控股股东为大企业的情形，不得存在与大企业的负责人为同一人的情形。</w:t>
      </w:r>
    </w:p>
    <w:p w14:paraId="45A093A1">
      <w:pPr>
        <w:spacing w:line="380" w:lineRule="exac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223ADF68">
      <w:pPr>
        <w:spacing w:line="560" w:lineRule="exact"/>
        <w:ind w:right="720" w:firstLine="120"/>
        <w:rPr>
          <w:sz w:val="24"/>
          <w:szCs w:val="24"/>
          <w:highlight w:val="none"/>
        </w:rPr>
      </w:pPr>
      <w:r>
        <w:rPr>
          <w:rFonts w:hint="eastAsia"/>
          <w:sz w:val="24"/>
          <w:szCs w:val="24"/>
          <w:highlight w:val="none"/>
        </w:rPr>
        <w:t xml:space="preserve">  </w:t>
      </w:r>
      <w:r>
        <w:rPr>
          <w:sz w:val="24"/>
          <w:szCs w:val="24"/>
          <w:highlight w:val="none"/>
        </w:rPr>
        <w:t xml:space="preserve">           </w:t>
      </w:r>
    </w:p>
    <w:p w14:paraId="3303237D">
      <w:pPr>
        <w:spacing w:line="560" w:lineRule="exact"/>
        <w:ind w:firstLine="120"/>
        <w:rPr>
          <w:rFonts w:hint="eastAsia"/>
          <w:sz w:val="24"/>
          <w:szCs w:val="24"/>
          <w:highlight w:val="none"/>
        </w:rPr>
      </w:pPr>
    </w:p>
    <w:p w14:paraId="3B01945A">
      <w:pPr>
        <w:pStyle w:val="13"/>
        <w:rPr>
          <w:rFonts w:hint="eastAsia"/>
          <w:highlight w:val="none"/>
        </w:rPr>
      </w:pPr>
    </w:p>
    <w:p w14:paraId="7171E68B">
      <w:pPr>
        <w:rPr>
          <w:rFonts w:hint="eastAsia"/>
          <w:highlight w:val="none"/>
        </w:rPr>
      </w:pPr>
    </w:p>
    <w:p w14:paraId="0B07A1E2">
      <w:pPr>
        <w:pStyle w:val="13"/>
        <w:rPr>
          <w:highlight w:val="none"/>
        </w:rPr>
      </w:pPr>
    </w:p>
    <w:p w14:paraId="675FCC67">
      <w:pPr>
        <w:keepNext/>
        <w:keepLines/>
        <w:spacing w:before="300" w:after="300" w:line="360" w:lineRule="auto"/>
        <w:jc w:val="center"/>
        <w:outlineLvl w:val="1"/>
        <w:rPr>
          <w:rFonts w:ascii="Arial" w:hAnsi="Arial" w:eastAsia="幼圆" w:cs="Arial"/>
          <w:b/>
          <w:bCs/>
          <w:color w:val="666666"/>
          <w:highlight w:val="none"/>
        </w:rPr>
      </w:pPr>
      <w:bookmarkStart w:id="71" w:name="_Toc150519795"/>
      <w:r>
        <w:rPr>
          <w:rFonts w:hint="eastAsia" w:ascii="Arial" w:hAnsi="Arial" w:eastAsia="幼圆" w:cs="微软雅黑"/>
          <w:b/>
          <w:bCs/>
          <w:color w:val="333333"/>
          <w:highlight w:val="none"/>
        </w:rPr>
        <w:t>中小微企业划型标准</w:t>
      </w:r>
      <w:bookmarkEnd w:id="71"/>
      <w:r>
        <w:rPr>
          <w:rFonts w:hint="eastAsia" w:ascii="Arial" w:hAnsi="Arial" w:eastAsia="幼圆" w:cs="微软雅黑"/>
          <w:b/>
          <w:bCs/>
          <w:color w:val="666666"/>
          <w:highlight w:val="none"/>
        </w:rPr>
        <w:t> </w:t>
      </w:r>
    </w:p>
    <w:p w14:paraId="2B5A14FE">
      <w:pPr>
        <w:spacing w:before="300" w:after="452" w:line="360" w:lineRule="auto"/>
        <w:rPr>
          <w:color w:val="666666"/>
          <w:highlight w:val="none"/>
        </w:rPr>
      </w:pPr>
      <w:r>
        <w:rPr>
          <w:rFonts w:hint="eastAsia" w:eastAsia="等线" w:cs="仿宋"/>
          <w:b/>
          <w:color w:val="666666"/>
          <w:highlight w:val="none"/>
        </w:rPr>
        <w:t>中小微企业划型标准如下：</w:t>
      </w:r>
    </w:p>
    <w:tbl>
      <w:tblPr>
        <w:tblStyle w:val="9"/>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491"/>
        <w:gridCol w:w="1748"/>
        <w:gridCol w:w="732"/>
        <w:gridCol w:w="1922"/>
        <w:gridCol w:w="1739"/>
        <w:gridCol w:w="1545"/>
      </w:tblGrid>
      <w:tr w14:paraId="0E1A1A0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91" w:type="dxa"/>
            <w:noWrap w:val="0"/>
            <w:tcMar>
              <w:top w:w="0" w:type="dxa"/>
              <w:left w:w="105" w:type="dxa"/>
              <w:bottom w:w="0" w:type="dxa"/>
              <w:right w:w="105" w:type="dxa"/>
            </w:tcMar>
            <w:vAlign w:val="center"/>
          </w:tcPr>
          <w:p w14:paraId="41CF8E0C">
            <w:pPr>
              <w:spacing w:after="150" w:line="360" w:lineRule="auto"/>
              <w:rPr>
                <w:color w:val="666666"/>
                <w:highlight w:val="none"/>
              </w:rPr>
            </w:pPr>
            <w:r>
              <w:rPr>
                <w:rFonts w:hint="eastAsia" w:eastAsia="等线" w:cs="仿宋"/>
                <w:b/>
                <w:color w:val="666666"/>
                <w:highlight w:val="none"/>
              </w:rPr>
              <w:t>行业名称</w:t>
            </w:r>
          </w:p>
        </w:tc>
        <w:tc>
          <w:tcPr>
            <w:tcW w:w="1748" w:type="dxa"/>
            <w:noWrap w:val="0"/>
            <w:tcMar>
              <w:top w:w="0" w:type="dxa"/>
              <w:left w:w="105" w:type="dxa"/>
              <w:bottom w:w="0" w:type="dxa"/>
              <w:right w:w="105" w:type="dxa"/>
            </w:tcMar>
            <w:vAlign w:val="center"/>
          </w:tcPr>
          <w:p w14:paraId="26DBA500">
            <w:pPr>
              <w:spacing w:after="150" w:line="360" w:lineRule="auto"/>
              <w:jc w:val="center"/>
              <w:rPr>
                <w:color w:val="666666"/>
                <w:highlight w:val="none"/>
              </w:rPr>
            </w:pPr>
            <w:r>
              <w:rPr>
                <w:rFonts w:hint="eastAsia" w:eastAsia="等线" w:cs="仿宋"/>
                <w:b/>
                <w:color w:val="666666"/>
                <w:highlight w:val="none"/>
              </w:rPr>
              <w:t>指标名称</w:t>
            </w:r>
          </w:p>
        </w:tc>
        <w:tc>
          <w:tcPr>
            <w:tcW w:w="732" w:type="dxa"/>
            <w:noWrap w:val="0"/>
            <w:tcMar>
              <w:top w:w="0" w:type="dxa"/>
              <w:left w:w="105" w:type="dxa"/>
              <w:bottom w:w="0" w:type="dxa"/>
              <w:right w:w="105" w:type="dxa"/>
            </w:tcMar>
            <w:vAlign w:val="center"/>
          </w:tcPr>
          <w:p w14:paraId="1F553D25">
            <w:pPr>
              <w:spacing w:after="150" w:line="360" w:lineRule="auto"/>
              <w:rPr>
                <w:color w:val="666666"/>
                <w:highlight w:val="none"/>
              </w:rPr>
            </w:pPr>
            <w:r>
              <w:rPr>
                <w:rFonts w:hint="eastAsia" w:eastAsia="等线" w:cs="仿宋"/>
                <w:b/>
                <w:color w:val="666666"/>
                <w:highlight w:val="none"/>
              </w:rPr>
              <w:t>计量单位</w:t>
            </w:r>
          </w:p>
        </w:tc>
        <w:tc>
          <w:tcPr>
            <w:tcW w:w="1922" w:type="dxa"/>
            <w:noWrap w:val="0"/>
            <w:tcMar>
              <w:top w:w="0" w:type="dxa"/>
              <w:left w:w="105" w:type="dxa"/>
              <w:bottom w:w="0" w:type="dxa"/>
              <w:right w:w="105" w:type="dxa"/>
            </w:tcMar>
            <w:vAlign w:val="center"/>
          </w:tcPr>
          <w:p w14:paraId="4D67124A">
            <w:pPr>
              <w:spacing w:after="150" w:line="360" w:lineRule="auto"/>
              <w:jc w:val="center"/>
              <w:rPr>
                <w:color w:val="666666"/>
                <w:highlight w:val="none"/>
              </w:rPr>
            </w:pPr>
            <w:r>
              <w:rPr>
                <w:rFonts w:hint="eastAsia" w:eastAsia="等线" w:cs="仿宋"/>
                <w:b/>
                <w:color w:val="666666"/>
                <w:highlight w:val="none"/>
              </w:rPr>
              <w:t>中型</w:t>
            </w:r>
          </w:p>
        </w:tc>
        <w:tc>
          <w:tcPr>
            <w:tcW w:w="1739" w:type="dxa"/>
            <w:noWrap w:val="0"/>
            <w:tcMar>
              <w:top w:w="0" w:type="dxa"/>
              <w:left w:w="105" w:type="dxa"/>
              <w:bottom w:w="0" w:type="dxa"/>
              <w:right w:w="105" w:type="dxa"/>
            </w:tcMar>
            <w:vAlign w:val="center"/>
          </w:tcPr>
          <w:p w14:paraId="07980B21">
            <w:pPr>
              <w:spacing w:after="150" w:line="360" w:lineRule="auto"/>
              <w:jc w:val="center"/>
              <w:rPr>
                <w:color w:val="666666"/>
                <w:highlight w:val="none"/>
              </w:rPr>
            </w:pPr>
            <w:r>
              <w:rPr>
                <w:rFonts w:hint="eastAsia" w:eastAsia="等线" w:cs="仿宋"/>
                <w:b/>
                <w:color w:val="666666"/>
                <w:highlight w:val="none"/>
              </w:rPr>
              <w:t>小型</w:t>
            </w:r>
          </w:p>
        </w:tc>
        <w:tc>
          <w:tcPr>
            <w:tcW w:w="1545" w:type="dxa"/>
            <w:noWrap w:val="0"/>
            <w:tcMar>
              <w:top w:w="0" w:type="dxa"/>
              <w:left w:w="105" w:type="dxa"/>
              <w:bottom w:w="0" w:type="dxa"/>
              <w:right w:w="105" w:type="dxa"/>
            </w:tcMar>
            <w:vAlign w:val="center"/>
          </w:tcPr>
          <w:p w14:paraId="3C47CF62">
            <w:pPr>
              <w:spacing w:after="150" w:line="360" w:lineRule="auto"/>
              <w:ind w:firstLine="100"/>
              <w:rPr>
                <w:color w:val="666666"/>
                <w:highlight w:val="none"/>
              </w:rPr>
            </w:pPr>
            <w:r>
              <w:rPr>
                <w:rFonts w:hint="eastAsia" w:eastAsia="等线" w:cs="仿宋"/>
                <w:b/>
                <w:color w:val="666666"/>
                <w:highlight w:val="none"/>
              </w:rPr>
              <w:t>微型</w:t>
            </w:r>
          </w:p>
        </w:tc>
      </w:tr>
      <w:tr w14:paraId="3554830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5E4D699D">
            <w:pPr>
              <w:spacing w:after="150" w:line="360" w:lineRule="auto"/>
              <w:jc w:val="center"/>
              <w:rPr>
                <w:color w:val="666666"/>
                <w:highlight w:val="none"/>
              </w:rPr>
            </w:pPr>
            <w:r>
              <w:rPr>
                <w:rFonts w:hint="eastAsia" w:eastAsia="等线" w:cs="仿宋"/>
                <w:b/>
                <w:color w:val="666666"/>
                <w:highlight w:val="none"/>
              </w:rPr>
              <w:t>农、林、牧、渔</w:t>
            </w:r>
          </w:p>
        </w:tc>
        <w:tc>
          <w:tcPr>
            <w:tcW w:w="1748" w:type="dxa"/>
            <w:noWrap w:val="0"/>
            <w:tcMar>
              <w:top w:w="0" w:type="dxa"/>
              <w:left w:w="105" w:type="dxa"/>
              <w:bottom w:w="0" w:type="dxa"/>
              <w:right w:w="105" w:type="dxa"/>
            </w:tcMar>
            <w:vAlign w:val="center"/>
          </w:tcPr>
          <w:p w14:paraId="4BD77B24">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6CBCF07F">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49546C5E">
            <w:pPr>
              <w:spacing w:after="150" w:line="360" w:lineRule="auto"/>
              <w:rPr>
                <w:color w:val="666666"/>
                <w:highlight w:val="none"/>
              </w:rPr>
            </w:pPr>
            <w:r>
              <w:rPr>
                <w:rFonts w:hint="eastAsia" w:eastAsia="等线" w:cs="仿宋"/>
                <w:b/>
                <w:color w:val="666666"/>
                <w:highlight w:val="none"/>
              </w:rPr>
              <w:t>500≤Y＜20000</w:t>
            </w:r>
          </w:p>
        </w:tc>
        <w:tc>
          <w:tcPr>
            <w:tcW w:w="1739" w:type="dxa"/>
            <w:noWrap w:val="0"/>
            <w:tcMar>
              <w:top w:w="0" w:type="dxa"/>
              <w:left w:w="105" w:type="dxa"/>
              <w:bottom w:w="0" w:type="dxa"/>
              <w:right w:w="105" w:type="dxa"/>
            </w:tcMar>
            <w:vAlign w:val="center"/>
          </w:tcPr>
          <w:p w14:paraId="33CCFCF0">
            <w:pPr>
              <w:spacing w:after="150" w:line="360" w:lineRule="auto"/>
              <w:jc w:val="center"/>
              <w:rPr>
                <w:color w:val="666666"/>
                <w:highlight w:val="none"/>
              </w:rPr>
            </w:pPr>
            <w:r>
              <w:rPr>
                <w:rFonts w:hint="eastAsia" w:eastAsia="等线" w:cs="仿宋"/>
                <w:b/>
                <w:color w:val="666666"/>
                <w:highlight w:val="none"/>
              </w:rPr>
              <w:t>50≤Y＜500</w:t>
            </w:r>
          </w:p>
        </w:tc>
        <w:tc>
          <w:tcPr>
            <w:tcW w:w="1545" w:type="dxa"/>
            <w:noWrap w:val="0"/>
            <w:tcMar>
              <w:top w:w="0" w:type="dxa"/>
              <w:left w:w="105" w:type="dxa"/>
              <w:bottom w:w="0" w:type="dxa"/>
              <w:right w:w="105" w:type="dxa"/>
            </w:tcMar>
            <w:vAlign w:val="center"/>
          </w:tcPr>
          <w:p w14:paraId="3B9C9011">
            <w:pPr>
              <w:spacing w:after="150" w:line="360" w:lineRule="auto"/>
              <w:ind w:firstLine="100"/>
              <w:rPr>
                <w:color w:val="666666"/>
                <w:highlight w:val="none"/>
              </w:rPr>
            </w:pPr>
            <w:r>
              <w:rPr>
                <w:rFonts w:hint="eastAsia" w:eastAsia="等线" w:cs="仿宋"/>
                <w:b/>
                <w:color w:val="666666"/>
                <w:highlight w:val="none"/>
              </w:rPr>
              <w:t>Y＜50</w:t>
            </w:r>
          </w:p>
        </w:tc>
      </w:tr>
      <w:tr w14:paraId="65D395D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71BD6116">
            <w:pPr>
              <w:spacing w:after="150" w:line="360" w:lineRule="auto"/>
              <w:jc w:val="center"/>
              <w:rPr>
                <w:color w:val="666666"/>
                <w:highlight w:val="none"/>
              </w:rPr>
            </w:pPr>
            <w:r>
              <w:rPr>
                <w:rFonts w:hint="eastAsia" w:eastAsia="等线" w:cs="仿宋"/>
                <w:b/>
                <w:color w:val="666666"/>
                <w:highlight w:val="none"/>
              </w:rPr>
              <w:t>工业</w:t>
            </w:r>
          </w:p>
        </w:tc>
        <w:tc>
          <w:tcPr>
            <w:tcW w:w="1748" w:type="dxa"/>
            <w:noWrap w:val="0"/>
            <w:tcMar>
              <w:top w:w="0" w:type="dxa"/>
              <w:left w:w="105" w:type="dxa"/>
              <w:bottom w:w="0" w:type="dxa"/>
              <w:right w:w="105" w:type="dxa"/>
            </w:tcMar>
            <w:vAlign w:val="center"/>
          </w:tcPr>
          <w:p w14:paraId="34D3B2F9">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48D23444">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3879739E">
            <w:pPr>
              <w:spacing w:after="150" w:line="360" w:lineRule="auto"/>
              <w:rPr>
                <w:color w:val="666666"/>
                <w:highlight w:val="none"/>
              </w:rPr>
            </w:pPr>
            <w:r>
              <w:rPr>
                <w:rFonts w:hint="eastAsia" w:eastAsia="等线" w:cs="仿宋"/>
                <w:b/>
                <w:color w:val="666666"/>
                <w:highlight w:val="none"/>
              </w:rPr>
              <w:t>300≤X＜1000</w:t>
            </w:r>
          </w:p>
        </w:tc>
        <w:tc>
          <w:tcPr>
            <w:tcW w:w="1739" w:type="dxa"/>
            <w:noWrap w:val="0"/>
            <w:tcMar>
              <w:top w:w="0" w:type="dxa"/>
              <w:left w:w="105" w:type="dxa"/>
              <w:bottom w:w="0" w:type="dxa"/>
              <w:right w:w="105" w:type="dxa"/>
            </w:tcMar>
            <w:vAlign w:val="center"/>
          </w:tcPr>
          <w:p w14:paraId="15E39175">
            <w:pPr>
              <w:spacing w:after="150" w:line="360" w:lineRule="auto"/>
              <w:jc w:val="center"/>
              <w:rPr>
                <w:color w:val="666666"/>
                <w:highlight w:val="none"/>
              </w:rPr>
            </w:pPr>
            <w:r>
              <w:rPr>
                <w:rFonts w:hint="eastAsia" w:eastAsia="等线" w:cs="仿宋"/>
                <w:b/>
                <w:color w:val="666666"/>
                <w:highlight w:val="none"/>
              </w:rPr>
              <w:t>20≤X＜300</w:t>
            </w:r>
          </w:p>
        </w:tc>
        <w:tc>
          <w:tcPr>
            <w:tcW w:w="1545" w:type="dxa"/>
            <w:noWrap w:val="0"/>
            <w:tcMar>
              <w:top w:w="0" w:type="dxa"/>
              <w:left w:w="105" w:type="dxa"/>
              <w:bottom w:w="0" w:type="dxa"/>
              <w:right w:w="105" w:type="dxa"/>
            </w:tcMar>
            <w:vAlign w:val="center"/>
          </w:tcPr>
          <w:p w14:paraId="05C0DD7A">
            <w:pPr>
              <w:spacing w:after="150" w:line="360" w:lineRule="auto"/>
              <w:ind w:firstLine="100"/>
              <w:rPr>
                <w:color w:val="666666"/>
                <w:highlight w:val="none"/>
              </w:rPr>
            </w:pPr>
            <w:r>
              <w:rPr>
                <w:rFonts w:hint="eastAsia" w:eastAsia="等线" w:cs="仿宋"/>
                <w:b/>
                <w:color w:val="666666"/>
                <w:highlight w:val="none"/>
              </w:rPr>
              <w:t>X＜20</w:t>
            </w:r>
          </w:p>
        </w:tc>
      </w:tr>
      <w:tr w14:paraId="7CE4FE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7FF4C6DE">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6E712C1E">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356E73F3">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4C593D2B">
            <w:pPr>
              <w:spacing w:after="150" w:line="360" w:lineRule="auto"/>
              <w:rPr>
                <w:color w:val="666666"/>
                <w:highlight w:val="none"/>
              </w:rPr>
            </w:pPr>
            <w:r>
              <w:rPr>
                <w:rFonts w:hint="eastAsia" w:eastAsia="等线" w:cs="仿宋"/>
                <w:b/>
                <w:color w:val="666666"/>
                <w:highlight w:val="none"/>
              </w:rPr>
              <w:t>2000≤Y＜40000</w:t>
            </w:r>
          </w:p>
        </w:tc>
        <w:tc>
          <w:tcPr>
            <w:tcW w:w="1739" w:type="dxa"/>
            <w:noWrap w:val="0"/>
            <w:tcMar>
              <w:top w:w="0" w:type="dxa"/>
              <w:left w:w="105" w:type="dxa"/>
              <w:bottom w:w="0" w:type="dxa"/>
              <w:right w:w="105" w:type="dxa"/>
            </w:tcMar>
            <w:vAlign w:val="center"/>
          </w:tcPr>
          <w:p w14:paraId="572ED56C">
            <w:pPr>
              <w:spacing w:after="150" w:line="360" w:lineRule="auto"/>
              <w:jc w:val="center"/>
              <w:rPr>
                <w:color w:val="666666"/>
                <w:highlight w:val="none"/>
              </w:rPr>
            </w:pPr>
            <w:r>
              <w:rPr>
                <w:rFonts w:hint="eastAsia" w:eastAsia="等线" w:cs="仿宋"/>
                <w:b/>
                <w:color w:val="666666"/>
                <w:highlight w:val="none"/>
              </w:rPr>
              <w:t>300≤Y＜2000</w:t>
            </w:r>
          </w:p>
        </w:tc>
        <w:tc>
          <w:tcPr>
            <w:tcW w:w="1545" w:type="dxa"/>
            <w:noWrap w:val="0"/>
            <w:tcMar>
              <w:top w:w="0" w:type="dxa"/>
              <w:left w:w="105" w:type="dxa"/>
              <w:bottom w:w="0" w:type="dxa"/>
              <w:right w:w="105" w:type="dxa"/>
            </w:tcMar>
            <w:vAlign w:val="center"/>
          </w:tcPr>
          <w:p w14:paraId="679F9098">
            <w:pPr>
              <w:spacing w:after="150" w:line="360" w:lineRule="auto"/>
              <w:ind w:firstLine="100"/>
              <w:rPr>
                <w:color w:val="666666"/>
                <w:highlight w:val="none"/>
              </w:rPr>
            </w:pPr>
            <w:r>
              <w:rPr>
                <w:rFonts w:hint="eastAsia" w:eastAsia="等线" w:cs="仿宋"/>
                <w:b/>
                <w:color w:val="666666"/>
                <w:highlight w:val="none"/>
              </w:rPr>
              <w:t>Y＜300</w:t>
            </w:r>
          </w:p>
        </w:tc>
      </w:tr>
      <w:tr w14:paraId="37A0A10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3F8FFA07">
            <w:pPr>
              <w:spacing w:after="150" w:line="360" w:lineRule="auto"/>
              <w:jc w:val="center"/>
              <w:rPr>
                <w:color w:val="666666"/>
                <w:highlight w:val="none"/>
              </w:rPr>
            </w:pPr>
            <w:r>
              <w:rPr>
                <w:rFonts w:hint="eastAsia" w:eastAsia="等线" w:cs="仿宋"/>
                <w:b/>
                <w:color w:val="666666"/>
                <w:highlight w:val="none"/>
              </w:rPr>
              <w:t>建筑业</w:t>
            </w:r>
          </w:p>
        </w:tc>
        <w:tc>
          <w:tcPr>
            <w:tcW w:w="1748" w:type="dxa"/>
            <w:noWrap w:val="0"/>
            <w:tcMar>
              <w:top w:w="0" w:type="dxa"/>
              <w:left w:w="105" w:type="dxa"/>
              <w:bottom w:w="0" w:type="dxa"/>
              <w:right w:w="105" w:type="dxa"/>
            </w:tcMar>
            <w:vAlign w:val="center"/>
          </w:tcPr>
          <w:p w14:paraId="17A4BD1C">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05581B58">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2A4FB242">
            <w:pPr>
              <w:spacing w:after="150" w:line="360" w:lineRule="auto"/>
              <w:rPr>
                <w:color w:val="666666"/>
                <w:highlight w:val="none"/>
              </w:rPr>
            </w:pPr>
            <w:r>
              <w:rPr>
                <w:rFonts w:hint="eastAsia" w:eastAsia="等线" w:cs="仿宋"/>
                <w:b/>
                <w:color w:val="666666"/>
                <w:highlight w:val="none"/>
              </w:rPr>
              <w:t>6000≤Y＜80000</w:t>
            </w:r>
          </w:p>
        </w:tc>
        <w:tc>
          <w:tcPr>
            <w:tcW w:w="1739" w:type="dxa"/>
            <w:noWrap w:val="0"/>
            <w:tcMar>
              <w:top w:w="0" w:type="dxa"/>
              <w:left w:w="105" w:type="dxa"/>
              <w:bottom w:w="0" w:type="dxa"/>
              <w:right w:w="105" w:type="dxa"/>
            </w:tcMar>
            <w:vAlign w:val="center"/>
          </w:tcPr>
          <w:p w14:paraId="12D96AB1">
            <w:pPr>
              <w:spacing w:after="150" w:line="360" w:lineRule="auto"/>
              <w:jc w:val="center"/>
              <w:rPr>
                <w:color w:val="666666"/>
                <w:highlight w:val="none"/>
              </w:rPr>
            </w:pPr>
            <w:r>
              <w:rPr>
                <w:rFonts w:hint="eastAsia" w:eastAsia="等线" w:cs="仿宋"/>
                <w:b/>
                <w:color w:val="666666"/>
                <w:highlight w:val="none"/>
              </w:rPr>
              <w:t>300≤Y＜6000</w:t>
            </w:r>
          </w:p>
        </w:tc>
        <w:tc>
          <w:tcPr>
            <w:tcW w:w="1545" w:type="dxa"/>
            <w:noWrap w:val="0"/>
            <w:tcMar>
              <w:top w:w="0" w:type="dxa"/>
              <w:left w:w="105" w:type="dxa"/>
              <w:bottom w:w="0" w:type="dxa"/>
              <w:right w:w="105" w:type="dxa"/>
            </w:tcMar>
            <w:vAlign w:val="center"/>
          </w:tcPr>
          <w:p w14:paraId="178B9B1B">
            <w:pPr>
              <w:spacing w:after="150" w:line="360" w:lineRule="auto"/>
              <w:ind w:firstLine="100"/>
              <w:rPr>
                <w:color w:val="666666"/>
                <w:highlight w:val="none"/>
              </w:rPr>
            </w:pPr>
            <w:r>
              <w:rPr>
                <w:rFonts w:hint="eastAsia" w:eastAsia="等线" w:cs="仿宋"/>
                <w:b/>
                <w:color w:val="666666"/>
                <w:highlight w:val="none"/>
              </w:rPr>
              <w:t>Y＜300</w:t>
            </w:r>
          </w:p>
        </w:tc>
      </w:tr>
      <w:tr w14:paraId="72CCF41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6085BA01">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08336644">
            <w:pPr>
              <w:spacing w:after="150" w:line="360" w:lineRule="auto"/>
              <w:rPr>
                <w:color w:val="666666"/>
                <w:highlight w:val="none"/>
              </w:rPr>
            </w:pPr>
            <w:r>
              <w:rPr>
                <w:rFonts w:hint="eastAsia" w:eastAsia="等线" w:cs="仿宋"/>
                <w:b/>
                <w:color w:val="666666"/>
                <w:highlight w:val="none"/>
              </w:rPr>
              <w:t>资产总额（Z）</w:t>
            </w:r>
          </w:p>
        </w:tc>
        <w:tc>
          <w:tcPr>
            <w:tcW w:w="732" w:type="dxa"/>
            <w:noWrap w:val="0"/>
            <w:tcMar>
              <w:top w:w="0" w:type="dxa"/>
              <w:left w:w="105" w:type="dxa"/>
              <w:bottom w:w="0" w:type="dxa"/>
              <w:right w:w="105" w:type="dxa"/>
            </w:tcMar>
            <w:vAlign w:val="center"/>
          </w:tcPr>
          <w:p w14:paraId="59672147">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74DF578F">
            <w:pPr>
              <w:spacing w:after="150" w:line="360" w:lineRule="auto"/>
              <w:rPr>
                <w:color w:val="666666"/>
                <w:highlight w:val="none"/>
              </w:rPr>
            </w:pPr>
            <w:r>
              <w:rPr>
                <w:rFonts w:hint="eastAsia" w:eastAsia="等线" w:cs="仿宋"/>
                <w:b/>
                <w:color w:val="666666"/>
                <w:highlight w:val="none"/>
              </w:rPr>
              <w:t>5000≤Z＜80000</w:t>
            </w:r>
          </w:p>
        </w:tc>
        <w:tc>
          <w:tcPr>
            <w:tcW w:w="1739" w:type="dxa"/>
            <w:noWrap w:val="0"/>
            <w:tcMar>
              <w:top w:w="0" w:type="dxa"/>
              <w:left w:w="105" w:type="dxa"/>
              <w:bottom w:w="0" w:type="dxa"/>
              <w:right w:w="105" w:type="dxa"/>
            </w:tcMar>
            <w:vAlign w:val="center"/>
          </w:tcPr>
          <w:p w14:paraId="4173BE5C">
            <w:pPr>
              <w:spacing w:after="150" w:line="360" w:lineRule="auto"/>
              <w:jc w:val="center"/>
              <w:rPr>
                <w:color w:val="666666"/>
                <w:highlight w:val="none"/>
              </w:rPr>
            </w:pPr>
            <w:r>
              <w:rPr>
                <w:rFonts w:hint="eastAsia" w:eastAsia="等线" w:cs="仿宋"/>
                <w:b/>
                <w:color w:val="666666"/>
                <w:highlight w:val="none"/>
              </w:rPr>
              <w:t>300≤Z＜5000</w:t>
            </w:r>
          </w:p>
        </w:tc>
        <w:tc>
          <w:tcPr>
            <w:tcW w:w="1545" w:type="dxa"/>
            <w:noWrap w:val="0"/>
            <w:tcMar>
              <w:top w:w="0" w:type="dxa"/>
              <w:left w:w="105" w:type="dxa"/>
              <w:bottom w:w="0" w:type="dxa"/>
              <w:right w:w="105" w:type="dxa"/>
            </w:tcMar>
            <w:vAlign w:val="center"/>
          </w:tcPr>
          <w:p w14:paraId="147E9823">
            <w:pPr>
              <w:spacing w:after="150" w:line="360" w:lineRule="auto"/>
              <w:ind w:firstLine="100"/>
              <w:rPr>
                <w:color w:val="666666"/>
                <w:highlight w:val="none"/>
              </w:rPr>
            </w:pPr>
            <w:r>
              <w:rPr>
                <w:rFonts w:hint="eastAsia" w:eastAsia="等线" w:cs="仿宋"/>
                <w:b/>
                <w:color w:val="666666"/>
                <w:highlight w:val="none"/>
              </w:rPr>
              <w:t>Z＜300</w:t>
            </w:r>
          </w:p>
        </w:tc>
      </w:tr>
      <w:tr w14:paraId="44A0213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410A20B2">
            <w:pPr>
              <w:spacing w:after="150" w:line="360" w:lineRule="auto"/>
              <w:jc w:val="center"/>
              <w:rPr>
                <w:color w:val="666666"/>
                <w:highlight w:val="none"/>
              </w:rPr>
            </w:pPr>
            <w:r>
              <w:rPr>
                <w:rFonts w:hint="eastAsia" w:eastAsia="等线" w:cs="仿宋"/>
                <w:b/>
                <w:color w:val="666666"/>
                <w:highlight w:val="none"/>
              </w:rPr>
              <w:t>批发业</w:t>
            </w:r>
          </w:p>
        </w:tc>
        <w:tc>
          <w:tcPr>
            <w:tcW w:w="1748" w:type="dxa"/>
            <w:noWrap w:val="0"/>
            <w:tcMar>
              <w:top w:w="0" w:type="dxa"/>
              <w:left w:w="105" w:type="dxa"/>
              <w:bottom w:w="0" w:type="dxa"/>
              <w:right w:w="105" w:type="dxa"/>
            </w:tcMar>
            <w:vAlign w:val="center"/>
          </w:tcPr>
          <w:p w14:paraId="548AD830">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3C8DD8F5">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4950E212">
            <w:pPr>
              <w:spacing w:after="150" w:line="360" w:lineRule="auto"/>
              <w:rPr>
                <w:color w:val="666666"/>
                <w:highlight w:val="none"/>
              </w:rPr>
            </w:pPr>
            <w:r>
              <w:rPr>
                <w:rFonts w:hint="eastAsia" w:eastAsia="等线" w:cs="仿宋"/>
                <w:b/>
                <w:color w:val="666666"/>
                <w:highlight w:val="none"/>
              </w:rPr>
              <w:t>20≤X＜200</w:t>
            </w:r>
          </w:p>
        </w:tc>
        <w:tc>
          <w:tcPr>
            <w:tcW w:w="1739" w:type="dxa"/>
            <w:noWrap w:val="0"/>
            <w:tcMar>
              <w:top w:w="0" w:type="dxa"/>
              <w:left w:w="105" w:type="dxa"/>
              <w:bottom w:w="0" w:type="dxa"/>
              <w:right w:w="105" w:type="dxa"/>
            </w:tcMar>
            <w:vAlign w:val="center"/>
          </w:tcPr>
          <w:p w14:paraId="6540DDC5">
            <w:pPr>
              <w:spacing w:after="150" w:line="360" w:lineRule="auto"/>
              <w:jc w:val="center"/>
              <w:rPr>
                <w:color w:val="666666"/>
                <w:highlight w:val="none"/>
              </w:rPr>
            </w:pPr>
            <w:r>
              <w:rPr>
                <w:rFonts w:hint="eastAsia" w:eastAsia="等线" w:cs="仿宋"/>
                <w:b/>
                <w:color w:val="666666"/>
                <w:highlight w:val="none"/>
              </w:rPr>
              <w:t>5≤X＜20</w:t>
            </w:r>
          </w:p>
        </w:tc>
        <w:tc>
          <w:tcPr>
            <w:tcW w:w="1545" w:type="dxa"/>
            <w:noWrap w:val="0"/>
            <w:tcMar>
              <w:top w:w="0" w:type="dxa"/>
              <w:left w:w="105" w:type="dxa"/>
              <w:bottom w:w="0" w:type="dxa"/>
              <w:right w:w="105" w:type="dxa"/>
            </w:tcMar>
            <w:vAlign w:val="center"/>
          </w:tcPr>
          <w:p w14:paraId="2DF7E9EF">
            <w:pPr>
              <w:spacing w:after="150" w:line="360" w:lineRule="auto"/>
              <w:ind w:firstLine="100"/>
              <w:rPr>
                <w:color w:val="666666"/>
                <w:highlight w:val="none"/>
              </w:rPr>
            </w:pPr>
            <w:r>
              <w:rPr>
                <w:rFonts w:hint="eastAsia" w:eastAsia="等线" w:cs="仿宋"/>
                <w:b/>
                <w:color w:val="666666"/>
                <w:highlight w:val="none"/>
              </w:rPr>
              <w:t>X＜5</w:t>
            </w:r>
          </w:p>
        </w:tc>
      </w:tr>
      <w:tr w14:paraId="5965795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564BA703">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1B090632">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615DB3CA">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532EB1C4">
            <w:pPr>
              <w:spacing w:after="150" w:line="360" w:lineRule="auto"/>
              <w:rPr>
                <w:color w:val="666666"/>
                <w:highlight w:val="none"/>
              </w:rPr>
            </w:pPr>
            <w:r>
              <w:rPr>
                <w:rFonts w:hint="eastAsia" w:eastAsia="等线" w:cs="仿宋"/>
                <w:b/>
                <w:color w:val="666666"/>
                <w:highlight w:val="none"/>
              </w:rPr>
              <w:t>5000≤Y＜40000</w:t>
            </w:r>
          </w:p>
        </w:tc>
        <w:tc>
          <w:tcPr>
            <w:tcW w:w="1739" w:type="dxa"/>
            <w:noWrap w:val="0"/>
            <w:tcMar>
              <w:top w:w="0" w:type="dxa"/>
              <w:left w:w="105" w:type="dxa"/>
              <w:bottom w:w="0" w:type="dxa"/>
              <w:right w:w="105" w:type="dxa"/>
            </w:tcMar>
            <w:vAlign w:val="center"/>
          </w:tcPr>
          <w:p w14:paraId="080CD041">
            <w:pPr>
              <w:spacing w:after="150" w:line="360" w:lineRule="auto"/>
              <w:jc w:val="center"/>
              <w:rPr>
                <w:color w:val="666666"/>
                <w:highlight w:val="none"/>
              </w:rPr>
            </w:pPr>
            <w:r>
              <w:rPr>
                <w:rFonts w:hint="eastAsia" w:eastAsia="等线" w:cs="仿宋"/>
                <w:b/>
                <w:color w:val="666666"/>
                <w:highlight w:val="none"/>
              </w:rPr>
              <w:t>1000≤Y＜5000</w:t>
            </w:r>
          </w:p>
        </w:tc>
        <w:tc>
          <w:tcPr>
            <w:tcW w:w="1545" w:type="dxa"/>
            <w:noWrap w:val="0"/>
            <w:tcMar>
              <w:top w:w="0" w:type="dxa"/>
              <w:left w:w="105" w:type="dxa"/>
              <w:bottom w:w="0" w:type="dxa"/>
              <w:right w:w="105" w:type="dxa"/>
            </w:tcMar>
            <w:vAlign w:val="center"/>
          </w:tcPr>
          <w:p w14:paraId="7BEC6377">
            <w:pPr>
              <w:spacing w:after="150" w:line="360" w:lineRule="auto"/>
              <w:ind w:firstLine="100"/>
              <w:rPr>
                <w:color w:val="666666"/>
                <w:highlight w:val="none"/>
              </w:rPr>
            </w:pPr>
            <w:r>
              <w:rPr>
                <w:rFonts w:hint="eastAsia" w:eastAsia="等线" w:cs="仿宋"/>
                <w:b/>
                <w:color w:val="666666"/>
                <w:highlight w:val="none"/>
              </w:rPr>
              <w:t>Y＜1000</w:t>
            </w:r>
          </w:p>
        </w:tc>
      </w:tr>
      <w:tr w14:paraId="03F50D0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3AFDC9B7">
            <w:pPr>
              <w:spacing w:after="150" w:line="360" w:lineRule="auto"/>
              <w:jc w:val="center"/>
              <w:rPr>
                <w:color w:val="666666"/>
                <w:highlight w:val="none"/>
              </w:rPr>
            </w:pPr>
            <w:r>
              <w:rPr>
                <w:rFonts w:hint="eastAsia" w:eastAsia="等线" w:cs="仿宋"/>
                <w:b/>
                <w:color w:val="666666"/>
                <w:highlight w:val="none"/>
              </w:rPr>
              <w:t>零售业</w:t>
            </w:r>
          </w:p>
        </w:tc>
        <w:tc>
          <w:tcPr>
            <w:tcW w:w="1748" w:type="dxa"/>
            <w:noWrap w:val="0"/>
            <w:tcMar>
              <w:top w:w="0" w:type="dxa"/>
              <w:left w:w="105" w:type="dxa"/>
              <w:bottom w:w="0" w:type="dxa"/>
              <w:right w:w="105" w:type="dxa"/>
            </w:tcMar>
            <w:vAlign w:val="center"/>
          </w:tcPr>
          <w:p w14:paraId="3FA3F00A">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6AB77B23">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4A0365D4">
            <w:pPr>
              <w:spacing w:after="150" w:line="360" w:lineRule="auto"/>
              <w:rPr>
                <w:color w:val="666666"/>
                <w:highlight w:val="none"/>
              </w:rPr>
            </w:pPr>
            <w:r>
              <w:rPr>
                <w:rFonts w:hint="eastAsia" w:eastAsia="等线" w:cs="仿宋"/>
                <w:b/>
                <w:color w:val="666666"/>
                <w:highlight w:val="none"/>
              </w:rPr>
              <w:t>50≤X＜300</w:t>
            </w:r>
          </w:p>
        </w:tc>
        <w:tc>
          <w:tcPr>
            <w:tcW w:w="1739" w:type="dxa"/>
            <w:noWrap w:val="0"/>
            <w:tcMar>
              <w:top w:w="0" w:type="dxa"/>
              <w:left w:w="105" w:type="dxa"/>
              <w:bottom w:w="0" w:type="dxa"/>
              <w:right w:w="105" w:type="dxa"/>
            </w:tcMar>
            <w:vAlign w:val="center"/>
          </w:tcPr>
          <w:p w14:paraId="7847850A">
            <w:pPr>
              <w:spacing w:after="150" w:line="360" w:lineRule="auto"/>
              <w:jc w:val="center"/>
              <w:rPr>
                <w:color w:val="666666"/>
                <w:highlight w:val="none"/>
              </w:rPr>
            </w:pPr>
            <w:r>
              <w:rPr>
                <w:rFonts w:hint="eastAsia" w:eastAsia="等线" w:cs="仿宋"/>
                <w:b/>
                <w:color w:val="666666"/>
                <w:highlight w:val="none"/>
              </w:rPr>
              <w:t>10≤X＜50</w:t>
            </w:r>
          </w:p>
        </w:tc>
        <w:tc>
          <w:tcPr>
            <w:tcW w:w="1545" w:type="dxa"/>
            <w:noWrap w:val="0"/>
            <w:tcMar>
              <w:top w:w="0" w:type="dxa"/>
              <w:left w:w="105" w:type="dxa"/>
              <w:bottom w:w="0" w:type="dxa"/>
              <w:right w:w="105" w:type="dxa"/>
            </w:tcMar>
            <w:vAlign w:val="center"/>
          </w:tcPr>
          <w:p w14:paraId="7696C5A9">
            <w:pPr>
              <w:spacing w:after="150" w:line="360" w:lineRule="auto"/>
              <w:ind w:firstLine="100"/>
              <w:rPr>
                <w:color w:val="666666"/>
                <w:highlight w:val="none"/>
              </w:rPr>
            </w:pPr>
            <w:r>
              <w:rPr>
                <w:rFonts w:hint="eastAsia" w:eastAsia="等线" w:cs="仿宋"/>
                <w:b/>
                <w:color w:val="666666"/>
                <w:highlight w:val="none"/>
              </w:rPr>
              <w:t>X＜10</w:t>
            </w:r>
          </w:p>
        </w:tc>
      </w:tr>
      <w:tr w14:paraId="4051F16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159D739C">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3A6C3435">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1811619F">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5BA55433">
            <w:pPr>
              <w:spacing w:after="150" w:line="360" w:lineRule="auto"/>
              <w:rPr>
                <w:color w:val="666666"/>
                <w:highlight w:val="none"/>
              </w:rPr>
            </w:pPr>
            <w:r>
              <w:rPr>
                <w:rFonts w:hint="eastAsia" w:eastAsia="等线" w:cs="仿宋"/>
                <w:b/>
                <w:color w:val="666666"/>
                <w:highlight w:val="none"/>
              </w:rPr>
              <w:t>500≤Y＜20000</w:t>
            </w:r>
          </w:p>
        </w:tc>
        <w:tc>
          <w:tcPr>
            <w:tcW w:w="1739" w:type="dxa"/>
            <w:noWrap w:val="0"/>
            <w:tcMar>
              <w:top w:w="0" w:type="dxa"/>
              <w:left w:w="105" w:type="dxa"/>
              <w:bottom w:w="0" w:type="dxa"/>
              <w:right w:w="105" w:type="dxa"/>
            </w:tcMar>
            <w:vAlign w:val="center"/>
          </w:tcPr>
          <w:p w14:paraId="2D7BFB78">
            <w:pPr>
              <w:spacing w:after="150" w:line="360" w:lineRule="auto"/>
              <w:jc w:val="center"/>
              <w:rPr>
                <w:color w:val="666666"/>
                <w:highlight w:val="none"/>
              </w:rPr>
            </w:pPr>
            <w:r>
              <w:rPr>
                <w:rFonts w:hint="eastAsia" w:eastAsia="等线" w:cs="仿宋"/>
                <w:b/>
                <w:color w:val="666666"/>
                <w:highlight w:val="none"/>
              </w:rPr>
              <w:t>100≤Y＜500</w:t>
            </w:r>
          </w:p>
        </w:tc>
        <w:tc>
          <w:tcPr>
            <w:tcW w:w="1545" w:type="dxa"/>
            <w:noWrap w:val="0"/>
            <w:tcMar>
              <w:top w:w="0" w:type="dxa"/>
              <w:left w:w="105" w:type="dxa"/>
              <w:bottom w:w="0" w:type="dxa"/>
              <w:right w:w="105" w:type="dxa"/>
            </w:tcMar>
            <w:vAlign w:val="center"/>
          </w:tcPr>
          <w:p w14:paraId="62216536">
            <w:pPr>
              <w:spacing w:after="150" w:line="360" w:lineRule="auto"/>
              <w:ind w:firstLine="100"/>
              <w:rPr>
                <w:color w:val="666666"/>
                <w:highlight w:val="none"/>
              </w:rPr>
            </w:pPr>
            <w:r>
              <w:rPr>
                <w:rFonts w:hint="eastAsia" w:eastAsia="等线" w:cs="仿宋"/>
                <w:b/>
                <w:color w:val="666666"/>
                <w:highlight w:val="none"/>
              </w:rPr>
              <w:t>Y＜100</w:t>
            </w:r>
          </w:p>
        </w:tc>
      </w:tr>
      <w:tr w14:paraId="7C44870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68CD38BB">
            <w:pPr>
              <w:spacing w:after="150" w:line="360" w:lineRule="auto"/>
              <w:jc w:val="center"/>
              <w:rPr>
                <w:color w:val="666666"/>
                <w:highlight w:val="none"/>
              </w:rPr>
            </w:pPr>
            <w:r>
              <w:rPr>
                <w:rFonts w:hint="eastAsia" w:eastAsia="等线" w:cs="仿宋"/>
                <w:b/>
                <w:color w:val="666666"/>
                <w:highlight w:val="none"/>
              </w:rPr>
              <w:t>交通运输业</w:t>
            </w:r>
          </w:p>
        </w:tc>
        <w:tc>
          <w:tcPr>
            <w:tcW w:w="1748" w:type="dxa"/>
            <w:noWrap w:val="0"/>
            <w:tcMar>
              <w:top w:w="0" w:type="dxa"/>
              <w:left w:w="105" w:type="dxa"/>
              <w:bottom w:w="0" w:type="dxa"/>
              <w:right w:w="105" w:type="dxa"/>
            </w:tcMar>
            <w:vAlign w:val="center"/>
          </w:tcPr>
          <w:p w14:paraId="52D0522E">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255BB683">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5546193D">
            <w:pPr>
              <w:spacing w:after="150" w:line="360" w:lineRule="auto"/>
              <w:rPr>
                <w:color w:val="666666"/>
                <w:highlight w:val="none"/>
              </w:rPr>
            </w:pPr>
            <w:r>
              <w:rPr>
                <w:rFonts w:hint="eastAsia" w:eastAsia="等线" w:cs="仿宋"/>
                <w:b/>
                <w:color w:val="666666"/>
                <w:highlight w:val="none"/>
              </w:rPr>
              <w:t>300≤X＜1000</w:t>
            </w:r>
          </w:p>
        </w:tc>
        <w:tc>
          <w:tcPr>
            <w:tcW w:w="1739" w:type="dxa"/>
            <w:noWrap w:val="0"/>
            <w:tcMar>
              <w:top w:w="0" w:type="dxa"/>
              <w:left w:w="105" w:type="dxa"/>
              <w:bottom w:w="0" w:type="dxa"/>
              <w:right w:w="105" w:type="dxa"/>
            </w:tcMar>
            <w:vAlign w:val="center"/>
          </w:tcPr>
          <w:p w14:paraId="01502FEB">
            <w:pPr>
              <w:spacing w:after="150" w:line="360" w:lineRule="auto"/>
              <w:jc w:val="center"/>
              <w:rPr>
                <w:color w:val="666666"/>
                <w:highlight w:val="none"/>
              </w:rPr>
            </w:pPr>
            <w:r>
              <w:rPr>
                <w:rFonts w:hint="eastAsia" w:eastAsia="等线" w:cs="仿宋"/>
                <w:b/>
                <w:color w:val="666666"/>
                <w:highlight w:val="none"/>
              </w:rPr>
              <w:t>20≤X＜300</w:t>
            </w:r>
          </w:p>
        </w:tc>
        <w:tc>
          <w:tcPr>
            <w:tcW w:w="1545" w:type="dxa"/>
            <w:noWrap w:val="0"/>
            <w:tcMar>
              <w:top w:w="0" w:type="dxa"/>
              <w:left w:w="105" w:type="dxa"/>
              <w:bottom w:w="0" w:type="dxa"/>
              <w:right w:w="105" w:type="dxa"/>
            </w:tcMar>
            <w:vAlign w:val="center"/>
          </w:tcPr>
          <w:p w14:paraId="767F3559">
            <w:pPr>
              <w:spacing w:after="150" w:line="360" w:lineRule="auto"/>
              <w:ind w:firstLine="100"/>
              <w:rPr>
                <w:color w:val="666666"/>
                <w:highlight w:val="none"/>
              </w:rPr>
            </w:pPr>
            <w:r>
              <w:rPr>
                <w:rFonts w:hint="eastAsia" w:eastAsia="等线" w:cs="仿宋"/>
                <w:b/>
                <w:color w:val="666666"/>
                <w:highlight w:val="none"/>
              </w:rPr>
              <w:t>X＜20</w:t>
            </w:r>
          </w:p>
        </w:tc>
      </w:tr>
      <w:tr w14:paraId="45C5439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7AAF87B7">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4EE43C52">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083F3598">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1992FF93">
            <w:pPr>
              <w:spacing w:after="150" w:line="360" w:lineRule="auto"/>
              <w:rPr>
                <w:color w:val="666666"/>
                <w:highlight w:val="none"/>
              </w:rPr>
            </w:pPr>
            <w:r>
              <w:rPr>
                <w:rFonts w:hint="eastAsia" w:eastAsia="等线" w:cs="仿宋"/>
                <w:b/>
                <w:color w:val="666666"/>
                <w:highlight w:val="none"/>
              </w:rPr>
              <w:t>3000≤Y＜30000</w:t>
            </w:r>
          </w:p>
        </w:tc>
        <w:tc>
          <w:tcPr>
            <w:tcW w:w="1739" w:type="dxa"/>
            <w:noWrap w:val="0"/>
            <w:tcMar>
              <w:top w:w="0" w:type="dxa"/>
              <w:left w:w="105" w:type="dxa"/>
              <w:bottom w:w="0" w:type="dxa"/>
              <w:right w:w="105" w:type="dxa"/>
            </w:tcMar>
            <w:vAlign w:val="center"/>
          </w:tcPr>
          <w:p w14:paraId="0D456CBB">
            <w:pPr>
              <w:spacing w:after="150" w:line="360" w:lineRule="auto"/>
              <w:jc w:val="center"/>
              <w:rPr>
                <w:color w:val="666666"/>
                <w:highlight w:val="none"/>
              </w:rPr>
            </w:pPr>
            <w:r>
              <w:rPr>
                <w:rFonts w:hint="eastAsia" w:eastAsia="等线" w:cs="仿宋"/>
                <w:b/>
                <w:color w:val="666666"/>
                <w:highlight w:val="none"/>
              </w:rPr>
              <w:t>200≤Y＜3000</w:t>
            </w:r>
          </w:p>
        </w:tc>
        <w:tc>
          <w:tcPr>
            <w:tcW w:w="1545" w:type="dxa"/>
            <w:noWrap w:val="0"/>
            <w:tcMar>
              <w:top w:w="0" w:type="dxa"/>
              <w:left w:w="105" w:type="dxa"/>
              <w:bottom w:w="0" w:type="dxa"/>
              <w:right w:w="105" w:type="dxa"/>
            </w:tcMar>
            <w:vAlign w:val="center"/>
          </w:tcPr>
          <w:p w14:paraId="662A7EA4">
            <w:pPr>
              <w:spacing w:after="150" w:line="360" w:lineRule="auto"/>
              <w:ind w:firstLine="100"/>
              <w:rPr>
                <w:color w:val="666666"/>
                <w:highlight w:val="none"/>
              </w:rPr>
            </w:pPr>
            <w:r>
              <w:rPr>
                <w:rFonts w:hint="eastAsia" w:eastAsia="等线" w:cs="仿宋"/>
                <w:b/>
                <w:color w:val="666666"/>
                <w:highlight w:val="none"/>
              </w:rPr>
              <w:t>Y＜200</w:t>
            </w:r>
          </w:p>
        </w:tc>
      </w:tr>
      <w:tr w14:paraId="6C95AC2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0930C09C">
            <w:pPr>
              <w:spacing w:after="150" w:line="360" w:lineRule="auto"/>
              <w:jc w:val="center"/>
              <w:rPr>
                <w:color w:val="666666"/>
                <w:highlight w:val="none"/>
              </w:rPr>
            </w:pPr>
            <w:r>
              <w:rPr>
                <w:rFonts w:hint="eastAsia" w:eastAsia="等线" w:cs="仿宋"/>
                <w:b/>
                <w:color w:val="666666"/>
                <w:highlight w:val="none"/>
              </w:rPr>
              <w:t>仓储业</w:t>
            </w:r>
          </w:p>
        </w:tc>
        <w:tc>
          <w:tcPr>
            <w:tcW w:w="1748" w:type="dxa"/>
            <w:noWrap w:val="0"/>
            <w:tcMar>
              <w:top w:w="0" w:type="dxa"/>
              <w:left w:w="105" w:type="dxa"/>
              <w:bottom w:w="0" w:type="dxa"/>
              <w:right w:w="105" w:type="dxa"/>
            </w:tcMar>
            <w:vAlign w:val="center"/>
          </w:tcPr>
          <w:p w14:paraId="509BBBAA">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21A7DF58">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53FC561C">
            <w:pPr>
              <w:spacing w:after="150" w:line="360" w:lineRule="auto"/>
              <w:rPr>
                <w:color w:val="666666"/>
                <w:highlight w:val="none"/>
              </w:rPr>
            </w:pPr>
            <w:r>
              <w:rPr>
                <w:rFonts w:hint="eastAsia" w:eastAsia="等线" w:cs="仿宋"/>
                <w:b/>
                <w:color w:val="666666"/>
                <w:highlight w:val="none"/>
              </w:rPr>
              <w:t>100≤X＜200</w:t>
            </w:r>
          </w:p>
        </w:tc>
        <w:tc>
          <w:tcPr>
            <w:tcW w:w="1739" w:type="dxa"/>
            <w:noWrap w:val="0"/>
            <w:tcMar>
              <w:top w:w="0" w:type="dxa"/>
              <w:left w:w="105" w:type="dxa"/>
              <w:bottom w:w="0" w:type="dxa"/>
              <w:right w:w="105" w:type="dxa"/>
            </w:tcMar>
            <w:vAlign w:val="center"/>
          </w:tcPr>
          <w:p w14:paraId="1A691675">
            <w:pPr>
              <w:spacing w:after="150" w:line="360" w:lineRule="auto"/>
              <w:jc w:val="center"/>
              <w:rPr>
                <w:color w:val="666666"/>
                <w:highlight w:val="none"/>
              </w:rPr>
            </w:pPr>
            <w:r>
              <w:rPr>
                <w:rFonts w:hint="eastAsia" w:eastAsia="等线" w:cs="仿宋"/>
                <w:b/>
                <w:color w:val="666666"/>
                <w:highlight w:val="none"/>
              </w:rPr>
              <w:t>20≤X＜100</w:t>
            </w:r>
          </w:p>
        </w:tc>
        <w:tc>
          <w:tcPr>
            <w:tcW w:w="1545" w:type="dxa"/>
            <w:noWrap w:val="0"/>
            <w:tcMar>
              <w:top w:w="0" w:type="dxa"/>
              <w:left w:w="105" w:type="dxa"/>
              <w:bottom w:w="0" w:type="dxa"/>
              <w:right w:w="105" w:type="dxa"/>
            </w:tcMar>
            <w:vAlign w:val="center"/>
          </w:tcPr>
          <w:p w14:paraId="0DC1C959">
            <w:pPr>
              <w:spacing w:after="150" w:line="360" w:lineRule="auto"/>
              <w:ind w:firstLine="100"/>
              <w:rPr>
                <w:color w:val="666666"/>
                <w:highlight w:val="none"/>
              </w:rPr>
            </w:pPr>
            <w:r>
              <w:rPr>
                <w:rFonts w:hint="eastAsia" w:eastAsia="等线" w:cs="仿宋"/>
                <w:b/>
                <w:color w:val="666666"/>
                <w:highlight w:val="none"/>
              </w:rPr>
              <w:t>X＜20</w:t>
            </w:r>
          </w:p>
        </w:tc>
      </w:tr>
      <w:tr w14:paraId="7547869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18E96C7D">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313D45AC">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2F0608A9">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3D07AFCB">
            <w:pPr>
              <w:spacing w:after="150" w:line="360" w:lineRule="auto"/>
              <w:rPr>
                <w:color w:val="666666"/>
                <w:highlight w:val="none"/>
              </w:rPr>
            </w:pPr>
            <w:r>
              <w:rPr>
                <w:rFonts w:hint="eastAsia" w:eastAsia="等线" w:cs="仿宋"/>
                <w:b/>
                <w:color w:val="666666"/>
                <w:highlight w:val="none"/>
              </w:rPr>
              <w:t>1000≤Y＜30000</w:t>
            </w:r>
          </w:p>
        </w:tc>
        <w:tc>
          <w:tcPr>
            <w:tcW w:w="1739" w:type="dxa"/>
            <w:noWrap w:val="0"/>
            <w:tcMar>
              <w:top w:w="0" w:type="dxa"/>
              <w:left w:w="105" w:type="dxa"/>
              <w:bottom w:w="0" w:type="dxa"/>
              <w:right w:w="105" w:type="dxa"/>
            </w:tcMar>
            <w:vAlign w:val="center"/>
          </w:tcPr>
          <w:p w14:paraId="7F23EF64">
            <w:pPr>
              <w:spacing w:after="150" w:line="360" w:lineRule="auto"/>
              <w:jc w:val="center"/>
              <w:rPr>
                <w:color w:val="666666"/>
                <w:highlight w:val="none"/>
              </w:rPr>
            </w:pPr>
            <w:r>
              <w:rPr>
                <w:rFonts w:hint="eastAsia" w:eastAsia="等线" w:cs="仿宋"/>
                <w:b/>
                <w:color w:val="666666"/>
                <w:highlight w:val="none"/>
              </w:rPr>
              <w:t>100≤Y＜1000</w:t>
            </w:r>
          </w:p>
        </w:tc>
        <w:tc>
          <w:tcPr>
            <w:tcW w:w="1545" w:type="dxa"/>
            <w:noWrap w:val="0"/>
            <w:tcMar>
              <w:top w:w="0" w:type="dxa"/>
              <w:left w:w="105" w:type="dxa"/>
              <w:bottom w:w="0" w:type="dxa"/>
              <w:right w:w="105" w:type="dxa"/>
            </w:tcMar>
            <w:vAlign w:val="center"/>
          </w:tcPr>
          <w:p w14:paraId="2A4EB57E">
            <w:pPr>
              <w:spacing w:after="150" w:line="360" w:lineRule="auto"/>
              <w:ind w:firstLine="100"/>
              <w:rPr>
                <w:color w:val="666666"/>
                <w:highlight w:val="none"/>
              </w:rPr>
            </w:pPr>
            <w:r>
              <w:rPr>
                <w:rFonts w:hint="eastAsia" w:eastAsia="等线" w:cs="仿宋"/>
                <w:b/>
                <w:color w:val="666666"/>
                <w:highlight w:val="none"/>
              </w:rPr>
              <w:t>Y＜100</w:t>
            </w:r>
          </w:p>
        </w:tc>
      </w:tr>
      <w:tr w14:paraId="13B316C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1C680415">
            <w:pPr>
              <w:spacing w:after="150" w:line="360" w:lineRule="auto"/>
              <w:jc w:val="center"/>
              <w:rPr>
                <w:color w:val="666666"/>
                <w:highlight w:val="none"/>
              </w:rPr>
            </w:pPr>
            <w:r>
              <w:rPr>
                <w:rFonts w:hint="eastAsia" w:eastAsia="等线" w:cs="仿宋"/>
                <w:b/>
                <w:color w:val="666666"/>
                <w:highlight w:val="none"/>
              </w:rPr>
              <w:t>邮政业</w:t>
            </w:r>
          </w:p>
        </w:tc>
        <w:tc>
          <w:tcPr>
            <w:tcW w:w="1748" w:type="dxa"/>
            <w:noWrap w:val="0"/>
            <w:tcMar>
              <w:top w:w="0" w:type="dxa"/>
              <w:left w:w="105" w:type="dxa"/>
              <w:bottom w:w="0" w:type="dxa"/>
              <w:right w:w="105" w:type="dxa"/>
            </w:tcMar>
            <w:vAlign w:val="center"/>
          </w:tcPr>
          <w:p w14:paraId="1DC2DEC2">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476B38C9">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79FB7E0D">
            <w:pPr>
              <w:spacing w:after="150" w:line="360" w:lineRule="auto"/>
              <w:rPr>
                <w:color w:val="666666"/>
                <w:highlight w:val="none"/>
              </w:rPr>
            </w:pPr>
            <w:r>
              <w:rPr>
                <w:rFonts w:hint="eastAsia" w:eastAsia="等线" w:cs="仿宋"/>
                <w:b/>
                <w:color w:val="666666"/>
                <w:highlight w:val="none"/>
              </w:rPr>
              <w:t>300≤X＜1000</w:t>
            </w:r>
          </w:p>
        </w:tc>
        <w:tc>
          <w:tcPr>
            <w:tcW w:w="1739" w:type="dxa"/>
            <w:noWrap w:val="0"/>
            <w:tcMar>
              <w:top w:w="0" w:type="dxa"/>
              <w:left w:w="105" w:type="dxa"/>
              <w:bottom w:w="0" w:type="dxa"/>
              <w:right w:w="105" w:type="dxa"/>
            </w:tcMar>
            <w:vAlign w:val="center"/>
          </w:tcPr>
          <w:p w14:paraId="79EBD826">
            <w:pPr>
              <w:spacing w:after="150" w:line="360" w:lineRule="auto"/>
              <w:jc w:val="center"/>
              <w:rPr>
                <w:color w:val="666666"/>
                <w:highlight w:val="none"/>
              </w:rPr>
            </w:pPr>
            <w:r>
              <w:rPr>
                <w:rFonts w:hint="eastAsia" w:eastAsia="等线" w:cs="仿宋"/>
                <w:b/>
                <w:color w:val="666666"/>
                <w:highlight w:val="none"/>
              </w:rPr>
              <w:t>20≤X＜300</w:t>
            </w:r>
          </w:p>
        </w:tc>
        <w:tc>
          <w:tcPr>
            <w:tcW w:w="1545" w:type="dxa"/>
            <w:noWrap w:val="0"/>
            <w:tcMar>
              <w:top w:w="0" w:type="dxa"/>
              <w:left w:w="105" w:type="dxa"/>
              <w:bottom w:w="0" w:type="dxa"/>
              <w:right w:w="105" w:type="dxa"/>
            </w:tcMar>
            <w:vAlign w:val="center"/>
          </w:tcPr>
          <w:p w14:paraId="6E7222CE">
            <w:pPr>
              <w:spacing w:after="150" w:line="360" w:lineRule="auto"/>
              <w:ind w:firstLine="100"/>
              <w:rPr>
                <w:color w:val="666666"/>
                <w:highlight w:val="none"/>
              </w:rPr>
            </w:pPr>
            <w:r>
              <w:rPr>
                <w:rFonts w:hint="eastAsia" w:eastAsia="等线" w:cs="仿宋"/>
                <w:b/>
                <w:color w:val="666666"/>
                <w:highlight w:val="none"/>
              </w:rPr>
              <w:t>X＜20</w:t>
            </w:r>
          </w:p>
        </w:tc>
      </w:tr>
      <w:tr w14:paraId="7D735A1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2BFC893B">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264676BB">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391575EE">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167069F4">
            <w:pPr>
              <w:spacing w:after="150" w:line="360" w:lineRule="auto"/>
              <w:rPr>
                <w:color w:val="666666"/>
                <w:highlight w:val="none"/>
              </w:rPr>
            </w:pPr>
            <w:r>
              <w:rPr>
                <w:rFonts w:hint="eastAsia" w:eastAsia="等线" w:cs="仿宋"/>
                <w:b/>
                <w:color w:val="666666"/>
                <w:highlight w:val="none"/>
              </w:rPr>
              <w:t>2000≤Y＜30000</w:t>
            </w:r>
          </w:p>
        </w:tc>
        <w:tc>
          <w:tcPr>
            <w:tcW w:w="1739" w:type="dxa"/>
            <w:noWrap w:val="0"/>
            <w:tcMar>
              <w:top w:w="0" w:type="dxa"/>
              <w:left w:w="105" w:type="dxa"/>
              <w:bottom w:w="0" w:type="dxa"/>
              <w:right w:w="105" w:type="dxa"/>
            </w:tcMar>
            <w:vAlign w:val="center"/>
          </w:tcPr>
          <w:p w14:paraId="238E7C55">
            <w:pPr>
              <w:spacing w:after="150" w:line="360" w:lineRule="auto"/>
              <w:jc w:val="center"/>
              <w:rPr>
                <w:color w:val="666666"/>
                <w:highlight w:val="none"/>
              </w:rPr>
            </w:pPr>
            <w:r>
              <w:rPr>
                <w:rFonts w:hint="eastAsia" w:eastAsia="等线" w:cs="仿宋"/>
                <w:b/>
                <w:color w:val="666666"/>
                <w:highlight w:val="none"/>
              </w:rPr>
              <w:t>100≤Y＜2000</w:t>
            </w:r>
          </w:p>
        </w:tc>
        <w:tc>
          <w:tcPr>
            <w:tcW w:w="1545" w:type="dxa"/>
            <w:noWrap w:val="0"/>
            <w:tcMar>
              <w:top w:w="0" w:type="dxa"/>
              <w:left w:w="105" w:type="dxa"/>
              <w:bottom w:w="0" w:type="dxa"/>
              <w:right w:w="105" w:type="dxa"/>
            </w:tcMar>
            <w:vAlign w:val="center"/>
          </w:tcPr>
          <w:p w14:paraId="3205ED7C">
            <w:pPr>
              <w:spacing w:after="150" w:line="360" w:lineRule="auto"/>
              <w:ind w:firstLine="100"/>
              <w:rPr>
                <w:color w:val="666666"/>
                <w:highlight w:val="none"/>
              </w:rPr>
            </w:pPr>
            <w:r>
              <w:rPr>
                <w:rFonts w:hint="eastAsia" w:eastAsia="等线" w:cs="仿宋"/>
                <w:b/>
                <w:color w:val="666666"/>
                <w:highlight w:val="none"/>
              </w:rPr>
              <w:t>Y＜100</w:t>
            </w:r>
          </w:p>
        </w:tc>
      </w:tr>
      <w:tr w14:paraId="7B1D071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71E1B717">
            <w:pPr>
              <w:spacing w:after="150" w:line="360" w:lineRule="auto"/>
              <w:jc w:val="center"/>
              <w:rPr>
                <w:color w:val="666666"/>
                <w:highlight w:val="none"/>
              </w:rPr>
            </w:pPr>
            <w:r>
              <w:rPr>
                <w:rFonts w:hint="eastAsia" w:eastAsia="等线" w:cs="仿宋"/>
                <w:b/>
                <w:color w:val="666666"/>
                <w:highlight w:val="none"/>
              </w:rPr>
              <w:t>住宿业</w:t>
            </w:r>
          </w:p>
        </w:tc>
        <w:tc>
          <w:tcPr>
            <w:tcW w:w="1748" w:type="dxa"/>
            <w:noWrap w:val="0"/>
            <w:tcMar>
              <w:top w:w="0" w:type="dxa"/>
              <w:left w:w="105" w:type="dxa"/>
              <w:bottom w:w="0" w:type="dxa"/>
              <w:right w:w="105" w:type="dxa"/>
            </w:tcMar>
            <w:vAlign w:val="center"/>
          </w:tcPr>
          <w:p w14:paraId="23B7296D">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3C291509">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047D6135">
            <w:pPr>
              <w:spacing w:after="150" w:line="360" w:lineRule="auto"/>
              <w:rPr>
                <w:color w:val="666666"/>
                <w:highlight w:val="none"/>
              </w:rPr>
            </w:pPr>
            <w:r>
              <w:rPr>
                <w:rFonts w:hint="eastAsia" w:eastAsia="等线" w:cs="仿宋"/>
                <w:b/>
                <w:color w:val="666666"/>
                <w:highlight w:val="none"/>
              </w:rPr>
              <w:t>100≤X＜300</w:t>
            </w:r>
          </w:p>
        </w:tc>
        <w:tc>
          <w:tcPr>
            <w:tcW w:w="1739" w:type="dxa"/>
            <w:noWrap w:val="0"/>
            <w:tcMar>
              <w:top w:w="0" w:type="dxa"/>
              <w:left w:w="105" w:type="dxa"/>
              <w:bottom w:w="0" w:type="dxa"/>
              <w:right w:w="105" w:type="dxa"/>
            </w:tcMar>
            <w:vAlign w:val="center"/>
          </w:tcPr>
          <w:p w14:paraId="14237090">
            <w:pPr>
              <w:spacing w:after="150" w:line="360" w:lineRule="auto"/>
              <w:jc w:val="center"/>
              <w:rPr>
                <w:color w:val="666666"/>
                <w:highlight w:val="none"/>
              </w:rPr>
            </w:pPr>
            <w:r>
              <w:rPr>
                <w:rFonts w:hint="eastAsia" w:eastAsia="等线" w:cs="仿宋"/>
                <w:b/>
                <w:color w:val="666666"/>
                <w:highlight w:val="none"/>
              </w:rPr>
              <w:t>10≤X＜100</w:t>
            </w:r>
          </w:p>
        </w:tc>
        <w:tc>
          <w:tcPr>
            <w:tcW w:w="1545" w:type="dxa"/>
            <w:noWrap w:val="0"/>
            <w:tcMar>
              <w:top w:w="0" w:type="dxa"/>
              <w:left w:w="105" w:type="dxa"/>
              <w:bottom w:w="0" w:type="dxa"/>
              <w:right w:w="105" w:type="dxa"/>
            </w:tcMar>
            <w:vAlign w:val="center"/>
          </w:tcPr>
          <w:p w14:paraId="48D73177">
            <w:pPr>
              <w:spacing w:after="150" w:line="360" w:lineRule="auto"/>
              <w:ind w:firstLine="100"/>
              <w:rPr>
                <w:color w:val="666666"/>
                <w:highlight w:val="none"/>
              </w:rPr>
            </w:pPr>
            <w:r>
              <w:rPr>
                <w:rFonts w:hint="eastAsia" w:eastAsia="等线" w:cs="仿宋"/>
                <w:b/>
                <w:color w:val="666666"/>
                <w:highlight w:val="none"/>
              </w:rPr>
              <w:t>X＜10</w:t>
            </w:r>
          </w:p>
        </w:tc>
      </w:tr>
      <w:tr w14:paraId="734AF3E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0562BC95">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46236E9B">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0A195B88">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511BAD71">
            <w:pPr>
              <w:spacing w:after="150" w:line="360" w:lineRule="auto"/>
              <w:rPr>
                <w:color w:val="666666"/>
                <w:highlight w:val="none"/>
              </w:rPr>
            </w:pPr>
            <w:r>
              <w:rPr>
                <w:rFonts w:hint="eastAsia" w:eastAsia="等线" w:cs="仿宋"/>
                <w:b/>
                <w:color w:val="666666"/>
                <w:highlight w:val="none"/>
              </w:rPr>
              <w:t>2000≤Y＜10000</w:t>
            </w:r>
          </w:p>
        </w:tc>
        <w:tc>
          <w:tcPr>
            <w:tcW w:w="1739" w:type="dxa"/>
            <w:noWrap w:val="0"/>
            <w:tcMar>
              <w:top w:w="0" w:type="dxa"/>
              <w:left w:w="105" w:type="dxa"/>
              <w:bottom w:w="0" w:type="dxa"/>
              <w:right w:w="105" w:type="dxa"/>
            </w:tcMar>
            <w:vAlign w:val="center"/>
          </w:tcPr>
          <w:p w14:paraId="103F2D52">
            <w:pPr>
              <w:spacing w:after="150" w:line="360" w:lineRule="auto"/>
              <w:jc w:val="center"/>
              <w:rPr>
                <w:color w:val="666666"/>
                <w:highlight w:val="none"/>
              </w:rPr>
            </w:pPr>
            <w:r>
              <w:rPr>
                <w:rFonts w:hint="eastAsia" w:eastAsia="等线" w:cs="仿宋"/>
                <w:b/>
                <w:color w:val="666666"/>
                <w:highlight w:val="none"/>
              </w:rPr>
              <w:t>100≤Y＜2000</w:t>
            </w:r>
          </w:p>
        </w:tc>
        <w:tc>
          <w:tcPr>
            <w:tcW w:w="1545" w:type="dxa"/>
            <w:noWrap w:val="0"/>
            <w:tcMar>
              <w:top w:w="0" w:type="dxa"/>
              <w:left w:w="105" w:type="dxa"/>
              <w:bottom w:w="0" w:type="dxa"/>
              <w:right w:w="105" w:type="dxa"/>
            </w:tcMar>
            <w:vAlign w:val="center"/>
          </w:tcPr>
          <w:p w14:paraId="105210C9">
            <w:pPr>
              <w:spacing w:after="150" w:line="360" w:lineRule="auto"/>
              <w:ind w:firstLine="100"/>
              <w:rPr>
                <w:color w:val="666666"/>
                <w:highlight w:val="none"/>
              </w:rPr>
            </w:pPr>
            <w:r>
              <w:rPr>
                <w:rFonts w:hint="eastAsia" w:eastAsia="等线" w:cs="仿宋"/>
                <w:b/>
                <w:color w:val="666666"/>
                <w:highlight w:val="none"/>
              </w:rPr>
              <w:t>Y＜100</w:t>
            </w:r>
          </w:p>
        </w:tc>
      </w:tr>
      <w:tr w14:paraId="4CC3611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7FBAD24C">
            <w:pPr>
              <w:spacing w:after="150" w:line="360" w:lineRule="auto"/>
              <w:jc w:val="center"/>
              <w:rPr>
                <w:color w:val="666666"/>
                <w:highlight w:val="none"/>
              </w:rPr>
            </w:pPr>
            <w:r>
              <w:rPr>
                <w:rFonts w:hint="eastAsia" w:eastAsia="等线" w:cs="仿宋"/>
                <w:b/>
                <w:color w:val="666666"/>
                <w:highlight w:val="none"/>
              </w:rPr>
              <w:t>餐饮业</w:t>
            </w:r>
          </w:p>
        </w:tc>
        <w:tc>
          <w:tcPr>
            <w:tcW w:w="1748" w:type="dxa"/>
            <w:noWrap w:val="0"/>
            <w:tcMar>
              <w:top w:w="0" w:type="dxa"/>
              <w:left w:w="105" w:type="dxa"/>
              <w:bottom w:w="0" w:type="dxa"/>
              <w:right w:w="105" w:type="dxa"/>
            </w:tcMar>
            <w:vAlign w:val="center"/>
          </w:tcPr>
          <w:p w14:paraId="3803CBFD">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6BD371FD">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5501B01C">
            <w:pPr>
              <w:spacing w:after="150" w:line="360" w:lineRule="auto"/>
              <w:rPr>
                <w:color w:val="666666"/>
                <w:highlight w:val="none"/>
              </w:rPr>
            </w:pPr>
            <w:r>
              <w:rPr>
                <w:rFonts w:hint="eastAsia" w:eastAsia="等线" w:cs="仿宋"/>
                <w:b/>
                <w:color w:val="666666"/>
                <w:highlight w:val="none"/>
              </w:rPr>
              <w:t>100≤X＜300</w:t>
            </w:r>
          </w:p>
        </w:tc>
        <w:tc>
          <w:tcPr>
            <w:tcW w:w="1739" w:type="dxa"/>
            <w:noWrap w:val="0"/>
            <w:tcMar>
              <w:top w:w="0" w:type="dxa"/>
              <w:left w:w="105" w:type="dxa"/>
              <w:bottom w:w="0" w:type="dxa"/>
              <w:right w:w="105" w:type="dxa"/>
            </w:tcMar>
            <w:vAlign w:val="center"/>
          </w:tcPr>
          <w:p w14:paraId="2D68D727">
            <w:pPr>
              <w:spacing w:after="150" w:line="360" w:lineRule="auto"/>
              <w:jc w:val="center"/>
              <w:rPr>
                <w:color w:val="666666"/>
                <w:highlight w:val="none"/>
              </w:rPr>
            </w:pPr>
            <w:r>
              <w:rPr>
                <w:rFonts w:hint="eastAsia" w:eastAsia="等线" w:cs="仿宋"/>
                <w:b/>
                <w:color w:val="666666"/>
                <w:highlight w:val="none"/>
              </w:rPr>
              <w:t>10≤X＜100</w:t>
            </w:r>
          </w:p>
        </w:tc>
        <w:tc>
          <w:tcPr>
            <w:tcW w:w="1545" w:type="dxa"/>
            <w:noWrap w:val="0"/>
            <w:tcMar>
              <w:top w:w="0" w:type="dxa"/>
              <w:left w:w="105" w:type="dxa"/>
              <w:bottom w:w="0" w:type="dxa"/>
              <w:right w:w="105" w:type="dxa"/>
            </w:tcMar>
            <w:vAlign w:val="center"/>
          </w:tcPr>
          <w:p w14:paraId="1BFF34EA">
            <w:pPr>
              <w:spacing w:after="150" w:line="360" w:lineRule="auto"/>
              <w:ind w:firstLine="100"/>
              <w:rPr>
                <w:color w:val="666666"/>
                <w:highlight w:val="none"/>
              </w:rPr>
            </w:pPr>
            <w:r>
              <w:rPr>
                <w:rFonts w:hint="eastAsia" w:eastAsia="等线" w:cs="仿宋"/>
                <w:b/>
                <w:color w:val="666666"/>
                <w:highlight w:val="none"/>
              </w:rPr>
              <w:t>X＜10</w:t>
            </w:r>
          </w:p>
        </w:tc>
      </w:tr>
      <w:tr w14:paraId="646A7C0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1ECA81F9">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6629A51E">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67318D11">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74D1ACE3">
            <w:pPr>
              <w:spacing w:after="150" w:line="360" w:lineRule="auto"/>
              <w:rPr>
                <w:color w:val="666666"/>
                <w:highlight w:val="none"/>
              </w:rPr>
            </w:pPr>
            <w:r>
              <w:rPr>
                <w:rFonts w:hint="eastAsia" w:eastAsia="等线" w:cs="仿宋"/>
                <w:b/>
                <w:color w:val="666666"/>
                <w:highlight w:val="none"/>
              </w:rPr>
              <w:t>2000≤Y＜10000</w:t>
            </w:r>
          </w:p>
        </w:tc>
        <w:tc>
          <w:tcPr>
            <w:tcW w:w="1739" w:type="dxa"/>
            <w:noWrap w:val="0"/>
            <w:tcMar>
              <w:top w:w="0" w:type="dxa"/>
              <w:left w:w="105" w:type="dxa"/>
              <w:bottom w:w="0" w:type="dxa"/>
              <w:right w:w="105" w:type="dxa"/>
            </w:tcMar>
            <w:vAlign w:val="center"/>
          </w:tcPr>
          <w:p w14:paraId="5BB2A86A">
            <w:pPr>
              <w:spacing w:after="150" w:line="360" w:lineRule="auto"/>
              <w:jc w:val="center"/>
              <w:rPr>
                <w:color w:val="666666"/>
                <w:highlight w:val="none"/>
              </w:rPr>
            </w:pPr>
            <w:r>
              <w:rPr>
                <w:rFonts w:hint="eastAsia" w:eastAsia="等线" w:cs="仿宋"/>
                <w:b/>
                <w:color w:val="666666"/>
                <w:highlight w:val="none"/>
              </w:rPr>
              <w:t>100≤Y＜2000</w:t>
            </w:r>
          </w:p>
        </w:tc>
        <w:tc>
          <w:tcPr>
            <w:tcW w:w="1545" w:type="dxa"/>
            <w:noWrap w:val="0"/>
            <w:tcMar>
              <w:top w:w="0" w:type="dxa"/>
              <w:left w:w="105" w:type="dxa"/>
              <w:bottom w:w="0" w:type="dxa"/>
              <w:right w:w="105" w:type="dxa"/>
            </w:tcMar>
            <w:vAlign w:val="center"/>
          </w:tcPr>
          <w:p w14:paraId="36DE20AE">
            <w:pPr>
              <w:spacing w:after="150" w:line="360" w:lineRule="auto"/>
              <w:ind w:firstLine="100"/>
              <w:rPr>
                <w:color w:val="666666"/>
                <w:highlight w:val="none"/>
              </w:rPr>
            </w:pPr>
            <w:r>
              <w:rPr>
                <w:rFonts w:hint="eastAsia" w:eastAsia="等线" w:cs="仿宋"/>
                <w:b/>
                <w:color w:val="666666"/>
                <w:highlight w:val="none"/>
              </w:rPr>
              <w:t>Y＜100</w:t>
            </w:r>
          </w:p>
        </w:tc>
      </w:tr>
      <w:tr w14:paraId="48036F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0D47E418">
            <w:pPr>
              <w:spacing w:after="150" w:line="360" w:lineRule="auto"/>
              <w:jc w:val="center"/>
              <w:rPr>
                <w:color w:val="666666"/>
                <w:highlight w:val="none"/>
              </w:rPr>
            </w:pPr>
            <w:r>
              <w:rPr>
                <w:rFonts w:hint="eastAsia" w:eastAsia="等线" w:cs="仿宋"/>
                <w:b/>
                <w:color w:val="666666"/>
                <w:highlight w:val="none"/>
              </w:rPr>
              <w:t>信息传输业</w:t>
            </w:r>
          </w:p>
        </w:tc>
        <w:tc>
          <w:tcPr>
            <w:tcW w:w="1748" w:type="dxa"/>
            <w:noWrap w:val="0"/>
            <w:tcMar>
              <w:top w:w="0" w:type="dxa"/>
              <w:left w:w="105" w:type="dxa"/>
              <w:bottom w:w="0" w:type="dxa"/>
              <w:right w:w="105" w:type="dxa"/>
            </w:tcMar>
            <w:vAlign w:val="center"/>
          </w:tcPr>
          <w:p w14:paraId="25DF6FB5">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1B25DAC7">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422C800D">
            <w:pPr>
              <w:spacing w:after="150" w:line="360" w:lineRule="auto"/>
              <w:rPr>
                <w:color w:val="666666"/>
                <w:highlight w:val="none"/>
              </w:rPr>
            </w:pPr>
            <w:r>
              <w:rPr>
                <w:rFonts w:hint="eastAsia" w:eastAsia="等线" w:cs="仿宋"/>
                <w:b/>
                <w:color w:val="666666"/>
                <w:highlight w:val="none"/>
              </w:rPr>
              <w:t>100≤X＜2000</w:t>
            </w:r>
          </w:p>
        </w:tc>
        <w:tc>
          <w:tcPr>
            <w:tcW w:w="1739" w:type="dxa"/>
            <w:noWrap w:val="0"/>
            <w:tcMar>
              <w:top w:w="0" w:type="dxa"/>
              <w:left w:w="105" w:type="dxa"/>
              <w:bottom w:w="0" w:type="dxa"/>
              <w:right w:w="105" w:type="dxa"/>
            </w:tcMar>
            <w:vAlign w:val="center"/>
          </w:tcPr>
          <w:p w14:paraId="71F1A095">
            <w:pPr>
              <w:spacing w:after="150" w:line="360" w:lineRule="auto"/>
              <w:jc w:val="center"/>
              <w:rPr>
                <w:color w:val="666666"/>
                <w:highlight w:val="none"/>
              </w:rPr>
            </w:pPr>
            <w:r>
              <w:rPr>
                <w:rFonts w:hint="eastAsia" w:eastAsia="等线" w:cs="仿宋"/>
                <w:b/>
                <w:color w:val="666666"/>
                <w:highlight w:val="none"/>
              </w:rPr>
              <w:t>10≤X＜100</w:t>
            </w:r>
          </w:p>
        </w:tc>
        <w:tc>
          <w:tcPr>
            <w:tcW w:w="1545" w:type="dxa"/>
            <w:noWrap w:val="0"/>
            <w:tcMar>
              <w:top w:w="0" w:type="dxa"/>
              <w:left w:w="105" w:type="dxa"/>
              <w:bottom w:w="0" w:type="dxa"/>
              <w:right w:w="105" w:type="dxa"/>
            </w:tcMar>
            <w:vAlign w:val="center"/>
          </w:tcPr>
          <w:p w14:paraId="6FA82BFA">
            <w:pPr>
              <w:spacing w:after="150" w:line="360" w:lineRule="auto"/>
              <w:ind w:firstLine="100"/>
              <w:rPr>
                <w:color w:val="666666"/>
                <w:highlight w:val="none"/>
              </w:rPr>
            </w:pPr>
            <w:r>
              <w:rPr>
                <w:rFonts w:hint="eastAsia" w:eastAsia="等线" w:cs="仿宋"/>
                <w:b/>
                <w:color w:val="666666"/>
                <w:highlight w:val="none"/>
              </w:rPr>
              <w:t>X＜10</w:t>
            </w:r>
          </w:p>
        </w:tc>
      </w:tr>
      <w:tr w14:paraId="5FD23E1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6B4A96D2">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4B4045A7">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46F8CDFF">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525CF804">
            <w:pPr>
              <w:spacing w:after="150" w:line="360" w:lineRule="auto"/>
              <w:rPr>
                <w:color w:val="666666"/>
                <w:highlight w:val="none"/>
              </w:rPr>
            </w:pPr>
            <w:r>
              <w:rPr>
                <w:rFonts w:hint="eastAsia" w:eastAsia="等线" w:cs="仿宋"/>
                <w:b/>
                <w:color w:val="666666"/>
                <w:highlight w:val="none"/>
              </w:rPr>
              <w:t>1000≤Y＜100000</w:t>
            </w:r>
          </w:p>
        </w:tc>
        <w:tc>
          <w:tcPr>
            <w:tcW w:w="1739" w:type="dxa"/>
            <w:noWrap w:val="0"/>
            <w:tcMar>
              <w:top w:w="0" w:type="dxa"/>
              <w:left w:w="105" w:type="dxa"/>
              <w:bottom w:w="0" w:type="dxa"/>
              <w:right w:w="105" w:type="dxa"/>
            </w:tcMar>
            <w:vAlign w:val="center"/>
          </w:tcPr>
          <w:p w14:paraId="7323B022">
            <w:pPr>
              <w:spacing w:after="150" w:line="360" w:lineRule="auto"/>
              <w:jc w:val="center"/>
              <w:rPr>
                <w:color w:val="666666"/>
                <w:highlight w:val="none"/>
              </w:rPr>
            </w:pPr>
            <w:r>
              <w:rPr>
                <w:rFonts w:hint="eastAsia" w:eastAsia="等线" w:cs="仿宋"/>
                <w:b/>
                <w:color w:val="666666"/>
                <w:highlight w:val="none"/>
              </w:rPr>
              <w:t>100≤Y＜1000</w:t>
            </w:r>
          </w:p>
        </w:tc>
        <w:tc>
          <w:tcPr>
            <w:tcW w:w="1545" w:type="dxa"/>
            <w:noWrap w:val="0"/>
            <w:tcMar>
              <w:top w:w="0" w:type="dxa"/>
              <w:left w:w="105" w:type="dxa"/>
              <w:bottom w:w="0" w:type="dxa"/>
              <w:right w:w="105" w:type="dxa"/>
            </w:tcMar>
            <w:vAlign w:val="center"/>
          </w:tcPr>
          <w:p w14:paraId="647A054F">
            <w:pPr>
              <w:spacing w:after="150" w:line="360" w:lineRule="auto"/>
              <w:ind w:firstLine="100"/>
              <w:rPr>
                <w:color w:val="666666"/>
                <w:highlight w:val="none"/>
              </w:rPr>
            </w:pPr>
            <w:r>
              <w:rPr>
                <w:rFonts w:hint="eastAsia" w:eastAsia="等线" w:cs="仿宋"/>
                <w:b/>
                <w:color w:val="666666"/>
                <w:highlight w:val="none"/>
              </w:rPr>
              <w:t>Y＜100</w:t>
            </w:r>
          </w:p>
        </w:tc>
      </w:tr>
      <w:tr w14:paraId="18560B6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2DA0613F">
            <w:pPr>
              <w:spacing w:after="150" w:line="360" w:lineRule="auto"/>
              <w:ind w:firstLine="100"/>
              <w:jc w:val="center"/>
              <w:rPr>
                <w:color w:val="666666"/>
                <w:highlight w:val="none"/>
              </w:rPr>
            </w:pPr>
            <w:r>
              <w:rPr>
                <w:rFonts w:hint="eastAsia" w:eastAsia="等线" w:cs="仿宋"/>
                <w:b/>
                <w:color w:val="666666"/>
                <w:highlight w:val="none"/>
              </w:rPr>
              <w:t>软件和信息技术服务业</w:t>
            </w:r>
          </w:p>
        </w:tc>
        <w:tc>
          <w:tcPr>
            <w:tcW w:w="1748" w:type="dxa"/>
            <w:noWrap w:val="0"/>
            <w:tcMar>
              <w:top w:w="0" w:type="dxa"/>
              <w:left w:w="105" w:type="dxa"/>
              <w:bottom w:w="0" w:type="dxa"/>
              <w:right w:w="105" w:type="dxa"/>
            </w:tcMar>
            <w:vAlign w:val="center"/>
          </w:tcPr>
          <w:p w14:paraId="064D3252">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5D25F3D7">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5ADA50D7">
            <w:pPr>
              <w:spacing w:after="150" w:line="360" w:lineRule="auto"/>
              <w:rPr>
                <w:color w:val="666666"/>
                <w:highlight w:val="none"/>
              </w:rPr>
            </w:pPr>
            <w:r>
              <w:rPr>
                <w:rFonts w:hint="eastAsia" w:eastAsia="等线" w:cs="仿宋"/>
                <w:b/>
                <w:color w:val="666666"/>
                <w:highlight w:val="none"/>
              </w:rPr>
              <w:t>100≤X＜300</w:t>
            </w:r>
          </w:p>
        </w:tc>
        <w:tc>
          <w:tcPr>
            <w:tcW w:w="1739" w:type="dxa"/>
            <w:noWrap w:val="0"/>
            <w:tcMar>
              <w:top w:w="0" w:type="dxa"/>
              <w:left w:w="105" w:type="dxa"/>
              <w:bottom w:w="0" w:type="dxa"/>
              <w:right w:w="105" w:type="dxa"/>
            </w:tcMar>
            <w:vAlign w:val="center"/>
          </w:tcPr>
          <w:p w14:paraId="4C586AE7">
            <w:pPr>
              <w:spacing w:after="150" w:line="360" w:lineRule="auto"/>
              <w:jc w:val="center"/>
              <w:rPr>
                <w:color w:val="666666"/>
                <w:highlight w:val="none"/>
              </w:rPr>
            </w:pPr>
            <w:r>
              <w:rPr>
                <w:rFonts w:hint="eastAsia" w:eastAsia="等线" w:cs="仿宋"/>
                <w:b/>
                <w:color w:val="666666"/>
                <w:highlight w:val="none"/>
              </w:rPr>
              <w:t>10≤X＜100</w:t>
            </w:r>
          </w:p>
        </w:tc>
        <w:tc>
          <w:tcPr>
            <w:tcW w:w="1545" w:type="dxa"/>
            <w:noWrap w:val="0"/>
            <w:tcMar>
              <w:top w:w="0" w:type="dxa"/>
              <w:left w:w="105" w:type="dxa"/>
              <w:bottom w:w="0" w:type="dxa"/>
              <w:right w:w="105" w:type="dxa"/>
            </w:tcMar>
            <w:vAlign w:val="center"/>
          </w:tcPr>
          <w:p w14:paraId="6443AAA3">
            <w:pPr>
              <w:spacing w:after="150" w:line="360" w:lineRule="auto"/>
              <w:ind w:firstLine="100"/>
              <w:rPr>
                <w:color w:val="666666"/>
                <w:highlight w:val="none"/>
              </w:rPr>
            </w:pPr>
            <w:r>
              <w:rPr>
                <w:rFonts w:hint="eastAsia" w:eastAsia="等线" w:cs="仿宋"/>
                <w:b/>
                <w:color w:val="666666"/>
                <w:highlight w:val="none"/>
              </w:rPr>
              <w:t>X＜10</w:t>
            </w:r>
          </w:p>
        </w:tc>
      </w:tr>
      <w:tr w14:paraId="7B99501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5C26086A">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78003881">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22F5AF1D">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7800B6B0">
            <w:pPr>
              <w:spacing w:after="150" w:line="360" w:lineRule="auto"/>
              <w:rPr>
                <w:color w:val="666666"/>
                <w:highlight w:val="none"/>
              </w:rPr>
            </w:pPr>
            <w:r>
              <w:rPr>
                <w:rFonts w:hint="eastAsia" w:eastAsia="等线" w:cs="仿宋"/>
                <w:b/>
                <w:color w:val="666666"/>
                <w:highlight w:val="none"/>
              </w:rPr>
              <w:t>1000≤Y＜10000</w:t>
            </w:r>
          </w:p>
        </w:tc>
        <w:tc>
          <w:tcPr>
            <w:tcW w:w="1739" w:type="dxa"/>
            <w:noWrap w:val="0"/>
            <w:tcMar>
              <w:top w:w="0" w:type="dxa"/>
              <w:left w:w="105" w:type="dxa"/>
              <w:bottom w:w="0" w:type="dxa"/>
              <w:right w:w="105" w:type="dxa"/>
            </w:tcMar>
            <w:vAlign w:val="center"/>
          </w:tcPr>
          <w:p w14:paraId="02F3DDED">
            <w:pPr>
              <w:spacing w:after="150" w:line="360" w:lineRule="auto"/>
              <w:jc w:val="center"/>
              <w:rPr>
                <w:color w:val="666666"/>
                <w:highlight w:val="none"/>
              </w:rPr>
            </w:pPr>
            <w:r>
              <w:rPr>
                <w:rFonts w:hint="eastAsia" w:eastAsia="等线" w:cs="仿宋"/>
                <w:b/>
                <w:color w:val="666666"/>
                <w:highlight w:val="none"/>
              </w:rPr>
              <w:t>50≤Y＜1000</w:t>
            </w:r>
          </w:p>
        </w:tc>
        <w:tc>
          <w:tcPr>
            <w:tcW w:w="1545" w:type="dxa"/>
            <w:noWrap w:val="0"/>
            <w:tcMar>
              <w:top w:w="0" w:type="dxa"/>
              <w:left w:w="105" w:type="dxa"/>
              <w:bottom w:w="0" w:type="dxa"/>
              <w:right w:w="105" w:type="dxa"/>
            </w:tcMar>
            <w:vAlign w:val="center"/>
          </w:tcPr>
          <w:p w14:paraId="06F165BD">
            <w:pPr>
              <w:spacing w:after="150" w:line="360" w:lineRule="auto"/>
              <w:ind w:firstLine="100"/>
              <w:rPr>
                <w:color w:val="666666"/>
                <w:highlight w:val="none"/>
              </w:rPr>
            </w:pPr>
            <w:r>
              <w:rPr>
                <w:rFonts w:hint="eastAsia" w:eastAsia="等线" w:cs="仿宋"/>
                <w:b/>
                <w:color w:val="666666"/>
                <w:highlight w:val="none"/>
              </w:rPr>
              <w:t>Y＜50</w:t>
            </w:r>
          </w:p>
        </w:tc>
      </w:tr>
      <w:tr w14:paraId="275CC00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7D164FC1">
            <w:pPr>
              <w:spacing w:after="150" w:line="360" w:lineRule="auto"/>
              <w:jc w:val="center"/>
              <w:rPr>
                <w:color w:val="666666"/>
                <w:highlight w:val="none"/>
              </w:rPr>
            </w:pPr>
            <w:r>
              <w:rPr>
                <w:rFonts w:hint="eastAsia" w:eastAsia="等线" w:cs="仿宋"/>
                <w:b/>
                <w:color w:val="666666"/>
                <w:highlight w:val="none"/>
              </w:rPr>
              <w:t>房地产开发经营</w:t>
            </w:r>
          </w:p>
        </w:tc>
        <w:tc>
          <w:tcPr>
            <w:tcW w:w="1748" w:type="dxa"/>
            <w:noWrap w:val="0"/>
            <w:tcMar>
              <w:top w:w="0" w:type="dxa"/>
              <w:left w:w="105" w:type="dxa"/>
              <w:bottom w:w="0" w:type="dxa"/>
              <w:right w:w="105" w:type="dxa"/>
            </w:tcMar>
            <w:vAlign w:val="center"/>
          </w:tcPr>
          <w:p w14:paraId="4687D7F7">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225EDCCA">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120954D3">
            <w:pPr>
              <w:spacing w:after="150" w:line="360" w:lineRule="auto"/>
              <w:rPr>
                <w:color w:val="666666"/>
                <w:highlight w:val="none"/>
              </w:rPr>
            </w:pPr>
            <w:r>
              <w:rPr>
                <w:rFonts w:hint="eastAsia" w:eastAsia="等线" w:cs="仿宋"/>
                <w:b/>
                <w:color w:val="666666"/>
                <w:highlight w:val="none"/>
              </w:rPr>
              <w:t>1000≤Y＜200000</w:t>
            </w:r>
          </w:p>
        </w:tc>
        <w:tc>
          <w:tcPr>
            <w:tcW w:w="1739" w:type="dxa"/>
            <w:noWrap w:val="0"/>
            <w:tcMar>
              <w:top w:w="0" w:type="dxa"/>
              <w:left w:w="105" w:type="dxa"/>
              <w:bottom w:w="0" w:type="dxa"/>
              <w:right w:w="105" w:type="dxa"/>
            </w:tcMar>
            <w:vAlign w:val="center"/>
          </w:tcPr>
          <w:p w14:paraId="5C9509ED">
            <w:pPr>
              <w:spacing w:after="150" w:line="360" w:lineRule="auto"/>
              <w:jc w:val="center"/>
              <w:rPr>
                <w:color w:val="666666"/>
                <w:highlight w:val="none"/>
              </w:rPr>
            </w:pPr>
            <w:r>
              <w:rPr>
                <w:rFonts w:hint="eastAsia" w:eastAsia="等线" w:cs="仿宋"/>
                <w:b/>
                <w:color w:val="666666"/>
                <w:highlight w:val="none"/>
              </w:rPr>
              <w:t>100≤X＜1000</w:t>
            </w:r>
          </w:p>
        </w:tc>
        <w:tc>
          <w:tcPr>
            <w:tcW w:w="1545" w:type="dxa"/>
            <w:noWrap w:val="0"/>
            <w:tcMar>
              <w:top w:w="0" w:type="dxa"/>
              <w:left w:w="105" w:type="dxa"/>
              <w:bottom w:w="0" w:type="dxa"/>
              <w:right w:w="105" w:type="dxa"/>
            </w:tcMar>
            <w:vAlign w:val="center"/>
          </w:tcPr>
          <w:p w14:paraId="4129DDE0">
            <w:pPr>
              <w:spacing w:after="150" w:line="360" w:lineRule="auto"/>
              <w:ind w:firstLine="100"/>
              <w:rPr>
                <w:color w:val="666666"/>
                <w:highlight w:val="none"/>
              </w:rPr>
            </w:pPr>
            <w:r>
              <w:rPr>
                <w:rFonts w:hint="eastAsia" w:eastAsia="等线" w:cs="仿宋"/>
                <w:b/>
                <w:color w:val="666666"/>
                <w:highlight w:val="none"/>
              </w:rPr>
              <w:t>X＜100</w:t>
            </w:r>
          </w:p>
        </w:tc>
      </w:tr>
      <w:tr w14:paraId="44CCEE1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3FDBFCCE">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4D613B43">
            <w:pPr>
              <w:spacing w:after="150" w:line="360" w:lineRule="auto"/>
              <w:rPr>
                <w:color w:val="666666"/>
                <w:highlight w:val="none"/>
              </w:rPr>
            </w:pPr>
            <w:r>
              <w:rPr>
                <w:rFonts w:hint="eastAsia" w:eastAsia="等线" w:cs="仿宋"/>
                <w:b/>
                <w:color w:val="666666"/>
                <w:highlight w:val="none"/>
              </w:rPr>
              <w:t>资产总额（Z）</w:t>
            </w:r>
          </w:p>
        </w:tc>
        <w:tc>
          <w:tcPr>
            <w:tcW w:w="732" w:type="dxa"/>
            <w:noWrap w:val="0"/>
            <w:tcMar>
              <w:top w:w="0" w:type="dxa"/>
              <w:left w:w="105" w:type="dxa"/>
              <w:bottom w:w="0" w:type="dxa"/>
              <w:right w:w="105" w:type="dxa"/>
            </w:tcMar>
            <w:vAlign w:val="center"/>
          </w:tcPr>
          <w:p w14:paraId="00D0BF49">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0FA153FE">
            <w:pPr>
              <w:spacing w:after="150" w:line="360" w:lineRule="auto"/>
              <w:rPr>
                <w:color w:val="666666"/>
                <w:highlight w:val="none"/>
              </w:rPr>
            </w:pPr>
            <w:r>
              <w:rPr>
                <w:rFonts w:hint="eastAsia" w:eastAsia="等线" w:cs="仿宋"/>
                <w:b/>
                <w:color w:val="666666"/>
                <w:highlight w:val="none"/>
              </w:rPr>
              <w:t>5000≤Z＜10000</w:t>
            </w:r>
          </w:p>
        </w:tc>
        <w:tc>
          <w:tcPr>
            <w:tcW w:w="1739" w:type="dxa"/>
            <w:noWrap w:val="0"/>
            <w:tcMar>
              <w:top w:w="0" w:type="dxa"/>
              <w:left w:w="105" w:type="dxa"/>
              <w:bottom w:w="0" w:type="dxa"/>
              <w:right w:w="105" w:type="dxa"/>
            </w:tcMar>
            <w:vAlign w:val="center"/>
          </w:tcPr>
          <w:p w14:paraId="3FAF44E9">
            <w:pPr>
              <w:spacing w:after="150" w:line="360" w:lineRule="auto"/>
              <w:jc w:val="center"/>
              <w:rPr>
                <w:color w:val="666666"/>
                <w:highlight w:val="none"/>
              </w:rPr>
            </w:pPr>
            <w:r>
              <w:rPr>
                <w:rFonts w:hint="eastAsia" w:eastAsia="等线" w:cs="仿宋"/>
                <w:b/>
                <w:color w:val="666666"/>
                <w:highlight w:val="none"/>
              </w:rPr>
              <w:t>2000≤Y＜5000</w:t>
            </w:r>
          </w:p>
        </w:tc>
        <w:tc>
          <w:tcPr>
            <w:tcW w:w="1545" w:type="dxa"/>
            <w:noWrap w:val="0"/>
            <w:tcMar>
              <w:top w:w="0" w:type="dxa"/>
              <w:left w:w="105" w:type="dxa"/>
              <w:bottom w:w="0" w:type="dxa"/>
              <w:right w:w="105" w:type="dxa"/>
            </w:tcMar>
            <w:vAlign w:val="center"/>
          </w:tcPr>
          <w:p w14:paraId="17ED760D">
            <w:pPr>
              <w:spacing w:after="150" w:line="360" w:lineRule="auto"/>
              <w:ind w:firstLine="100"/>
              <w:rPr>
                <w:color w:val="666666"/>
                <w:highlight w:val="none"/>
              </w:rPr>
            </w:pPr>
            <w:r>
              <w:rPr>
                <w:rFonts w:hint="eastAsia" w:eastAsia="等线" w:cs="仿宋"/>
                <w:b/>
                <w:color w:val="666666"/>
                <w:highlight w:val="none"/>
              </w:rPr>
              <w:t>Y＜2000</w:t>
            </w:r>
          </w:p>
        </w:tc>
      </w:tr>
      <w:tr w14:paraId="0DC77D6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0B7CE340">
            <w:pPr>
              <w:spacing w:after="150" w:line="360" w:lineRule="auto"/>
              <w:jc w:val="center"/>
              <w:rPr>
                <w:color w:val="666666"/>
                <w:highlight w:val="none"/>
              </w:rPr>
            </w:pPr>
            <w:r>
              <w:rPr>
                <w:rFonts w:hint="eastAsia" w:eastAsia="等线" w:cs="仿宋"/>
                <w:b/>
                <w:color w:val="666666"/>
                <w:highlight w:val="none"/>
              </w:rPr>
              <w:t>物业管理</w:t>
            </w:r>
          </w:p>
        </w:tc>
        <w:tc>
          <w:tcPr>
            <w:tcW w:w="1748" w:type="dxa"/>
            <w:noWrap w:val="0"/>
            <w:tcMar>
              <w:top w:w="0" w:type="dxa"/>
              <w:left w:w="105" w:type="dxa"/>
              <w:bottom w:w="0" w:type="dxa"/>
              <w:right w:w="105" w:type="dxa"/>
            </w:tcMar>
            <w:vAlign w:val="center"/>
          </w:tcPr>
          <w:p w14:paraId="600005B1">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7EB8912A">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65DE01D6">
            <w:pPr>
              <w:spacing w:after="150" w:line="360" w:lineRule="auto"/>
              <w:rPr>
                <w:color w:val="666666"/>
                <w:highlight w:val="none"/>
              </w:rPr>
            </w:pPr>
            <w:r>
              <w:rPr>
                <w:rFonts w:hint="eastAsia" w:eastAsia="等线" w:cs="仿宋"/>
                <w:b/>
                <w:color w:val="666666"/>
                <w:highlight w:val="none"/>
              </w:rPr>
              <w:t>300≤X＜1000</w:t>
            </w:r>
          </w:p>
        </w:tc>
        <w:tc>
          <w:tcPr>
            <w:tcW w:w="1739" w:type="dxa"/>
            <w:noWrap w:val="0"/>
            <w:tcMar>
              <w:top w:w="0" w:type="dxa"/>
              <w:left w:w="105" w:type="dxa"/>
              <w:bottom w:w="0" w:type="dxa"/>
              <w:right w:w="105" w:type="dxa"/>
            </w:tcMar>
            <w:vAlign w:val="center"/>
          </w:tcPr>
          <w:p w14:paraId="2E7D9EDE">
            <w:pPr>
              <w:spacing w:after="150" w:line="360" w:lineRule="auto"/>
              <w:jc w:val="center"/>
              <w:rPr>
                <w:color w:val="666666"/>
                <w:highlight w:val="none"/>
              </w:rPr>
            </w:pPr>
            <w:r>
              <w:rPr>
                <w:rFonts w:hint="eastAsia" w:eastAsia="等线" w:cs="仿宋"/>
                <w:b/>
                <w:color w:val="666666"/>
                <w:highlight w:val="none"/>
              </w:rPr>
              <w:t>100≤X＜300</w:t>
            </w:r>
          </w:p>
        </w:tc>
        <w:tc>
          <w:tcPr>
            <w:tcW w:w="1545" w:type="dxa"/>
            <w:noWrap w:val="0"/>
            <w:tcMar>
              <w:top w:w="0" w:type="dxa"/>
              <w:left w:w="105" w:type="dxa"/>
              <w:bottom w:w="0" w:type="dxa"/>
              <w:right w:w="105" w:type="dxa"/>
            </w:tcMar>
            <w:vAlign w:val="center"/>
          </w:tcPr>
          <w:p w14:paraId="38B9589F">
            <w:pPr>
              <w:spacing w:after="150" w:line="360" w:lineRule="auto"/>
              <w:ind w:firstLine="100"/>
              <w:rPr>
                <w:color w:val="666666"/>
                <w:highlight w:val="none"/>
              </w:rPr>
            </w:pPr>
            <w:r>
              <w:rPr>
                <w:rFonts w:hint="eastAsia" w:eastAsia="等线" w:cs="仿宋"/>
                <w:b/>
                <w:color w:val="666666"/>
                <w:highlight w:val="none"/>
              </w:rPr>
              <w:t>X＜100</w:t>
            </w:r>
          </w:p>
        </w:tc>
      </w:tr>
      <w:tr w14:paraId="589D752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28506638">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68F41D1D">
            <w:pPr>
              <w:spacing w:after="150" w:line="360" w:lineRule="auto"/>
              <w:rPr>
                <w:color w:val="666666"/>
                <w:highlight w:val="none"/>
              </w:rPr>
            </w:pPr>
            <w:r>
              <w:rPr>
                <w:rFonts w:hint="eastAsia" w:eastAsia="等线" w:cs="仿宋"/>
                <w:b/>
                <w:color w:val="666666"/>
                <w:highlight w:val="none"/>
              </w:rPr>
              <w:t>营业收入（Y）</w:t>
            </w:r>
          </w:p>
        </w:tc>
        <w:tc>
          <w:tcPr>
            <w:tcW w:w="732" w:type="dxa"/>
            <w:noWrap w:val="0"/>
            <w:tcMar>
              <w:top w:w="0" w:type="dxa"/>
              <w:left w:w="105" w:type="dxa"/>
              <w:bottom w:w="0" w:type="dxa"/>
              <w:right w:w="105" w:type="dxa"/>
            </w:tcMar>
            <w:vAlign w:val="center"/>
          </w:tcPr>
          <w:p w14:paraId="47D122A0">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23E78197">
            <w:pPr>
              <w:spacing w:after="150" w:line="360" w:lineRule="auto"/>
              <w:rPr>
                <w:color w:val="666666"/>
                <w:highlight w:val="none"/>
              </w:rPr>
            </w:pPr>
            <w:r>
              <w:rPr>
                <w:rFonts w:hint="eastAsia" w:eastAsia="等线" w:cs="仿宋"/>
                <w:b/>
                <w:color w:val="666666"/>
                <w:highlight w:val="none"/>
              </w:rPr>
              <w:t>1000≤Y＜5000</w:t>
            </w:r>
          </w:p>
        </w:tc>
        <w:tc>
          <w:tcPr>
            <w:tcW w:w="1739" w:type="dxa"/>
            <w:noWrap w:val="0"/>
            <w:tcMar>
              <w:top w:w="0" w:type="dxa"/>
              <w:left w:w="105" w:type="dxa"/>
              <w:bottom w:w="0" w:type="dxa"/>
              <w:right w:w="105" w:type="dxa"/>
            </w:tcMar>
            <w:vAlign w:val="center"/>
          </w:tcPr>
          <w:p w14:paraId="510A1789">
            <w:pPr>
              <w:spacing w:after="150" w:line="360" w:lineRule="auto"/>
              <w:jc w:val="center"/>
              <w:rPr>
                <w:color w:val="666666"/>
                <w:highlight w:val="none"/>
              </w:rPr>
            </w:pPr>
            <w:r>
              <w:rPr>
                <w:rFonts w:hint="eastAsia" w:eastAsia="等线" w:cs="仿宋"/>
                <w:b/>
                <w:color w:val="666666"/>
                <w:highlight w:val="none"/>
              </w:rPr>
              <w:t>500≤Y＜1000</w:t>
            </w:r>
          </w:p>
        </w:tc>
        <w:tc>
          <w:tcPr>
            <w:tcW w:w="1545" w:type="dxa"/>
            <w:noWrap w:val="0"/>
            <w:tcMar>
              <w:top w:w="0" w:type="dxa"/>
              <w:left w:w="105" w:type="dxa"/>
              <w:bottom w:w="0" w:type="dxa"/>
              <w:right w:w="105" w:type="dxa"/>
            </w:tcMar>
            <w:vAlign w:val="center"/>
          </w:tcPr>
          <w:p w14:paraId="7A123151">
            <w:pPr>
              <w:spacing w:after="150" w:line="360" w:lineRule="auto"/>
              <w:ind w:firstLine="100"/>
              <w:rPr>
                <w:color w:val="666666"/>
                <w:highlight w:val="none"/>
              </w:rPr>
            </w:pPr>
            <w:r>
              <w:rPr>
                <w:rFonts w:hint="eastAsia" w:eastAsia="等线" w:cs="仿宋"/>
                <w:b/>
                <w:color w:val="666666"/>
                <w:highlight w:val="none"/>
              </w:rPr>
              <w:t>Y＜500</w:t>
            </w:r>
          </w:p>
        </w:tc>
      </w:tr>
      <w:tr w14:paraId="4052912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restart"/>
            <w:noWrap w:val="0"/>
            <w:tcMar>
              <w:top w:w="0" w:type="dxa"/>
              <w:left w:w="105" w:type="dxa"/>
              <w:bottom w:w="0" w:type="dxa"/>
              <w:right w:w="105" w:type="dxa"/>
            </w:tcMar>
            <w:vAlign w:val="center"/>
          </w:tcPr>
          <w:p w14:paraId="11E98B96">
            <w:pPr>
              <w:spacing w:after="150" w:line="360" w:lineRule="auto"/>
              <w:jc w:val="center"/>
              <w:rPr>
                <w:color w:val="666666"/>
                <w:highlight w:val="none"/>
              </w:rPr>
            </w:pPr>
            <w:r>
              <w:rPr>
                <w:rFonts w:hint="eastAsia" w:eastAsia="等线" w:cs="仿宋"/>
                <w:b/>
                <w:color w:val="666666"/>
                <w:highlight w:val="none"/>
              </w:rPr>
              <w:t>租赁和商务服务业</w:t>
            </w:r>
          </w:p>
        </w:tc>
        <w:tc>
          <w:tcPr>
            <w:tcW w:w="1748" w:type="dxa"/>
            <w:noWrap w:val="0"/>
            <w:tcMar>
              <w:top w:w="0" w:type="dxa"/>
              <w:left w:w="105" w:type="dxa"/>
              <w:bottom w:w="0" w:type="dxa"/>
              <w:right w:w="105" w:type="dxa"/>
            </w:tcMar>
            <w:vAlign w:val="center"/>
          </w:tcPr>
          <w:p w14:paraId="50A5985E">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6F8CA5EA">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28B5EEEA">
            <w:pPr>
              <w:spacing w:after="150" w:line="360" w:lineRule="auto"/>
              <w:rPr>
                <w:color w:val="666666"/>
                <w:highlight w:val="none"/>
              </w:rPr>
            </w:pPr>
            <w:r>
              <w:rPr>
                <w:rFonts w:hint="eastAsia" w:eastAsia="等线" w:cs="仿宋"/>
                <w:b/>
                <w:color w:val="666666"/>
                <w:highlight w:val="none"/>
              </w:rPr>
              <w:t>100≤X＜300</w:t>
            </w:r>
          </w:p>
        </w:tc>
        <w:tc>
          <w:tcPr>
            <w:tcW w:w="1739" w:type="dxa"/>
            <w:noWrap w:val="0"/>
            <w:tcMar>
              <w:top w:w="0" w:type="dxa"/>
              <w:left w:w="105" w:type="dxa"/>
              <w:bottom w:w="0" w:type="dxa"/>
              <w:right w:w="105" w:type="dxa"/>
            </w:tcMar>
            <w:vAlign w:val="center"/>
          </w:tcPr>
          <w:p w14:paraId="3D95D5E5">
            <w:pPr>
              <w:spacing w:after="150" w:line="360" w:lineRule="auto"/>
              <w:jc w:val="center"/>
              <w:rPr>
                <w:color w:val="666666"/>
                <w:highlight w:val="none"/>
              </w:rPr>
            </w:pPr>
            <w:r>
              <w:rPr>
                <w:rFonts w:hint="eastAsia" w:eastAsia="等线" w:cs="仿宋"/>
                <w:b/>
                <w:color w:val="666666"/>
                <w:highlight w:val="none"/>
              </w:rPr>
              <w:t>10≤X＜100</w:t>
            </w:r>
          </w:p>
        </w:tc>
        <w:tc>
          <w:tcPr>
            <w:tcW w:w="1545" w:type="dxa"/>
            <w:noWrap w:val="0"/>
            <w:tcMar>
              <w:top w:w="0" w:type="dxa"/>
              <w:left w:w="105" w:type="dxa"/>
              <w:bottom w:w="0" w:type="dxa"/>
              <w:right w:w="105" w:type="dxa"/>
            </w:tcMar>
            <w:vAlign w:val="center"/>
          </w:tcPr>
          <w:p w14:paraId="77EF8173">
            <w:pPr>
              <w:spacing w:after="150" w:line="360" w:lineRule="auto"/>
              <w:ind w:firstLine="100"/>
              <w:rPr>
                <w:color w:val="666666"/>
                <w:highlight w:val="none"/>
              </w:rPr>
            </w:pPr>
            <w:r>
              <w:rPr>
                <w:rFonts w:hint="eastAsia" w:eastAsia="等线" w:cs="仿宋"/>
                <w:b/>
                <w:color w:val="666666"/>
                <w:highlight w:val="none"/>
              </w:rPr>
              <w:t>X＜10</w:t>
            </w:r>
          </w:p>
        </w:tc>
      </w:tr>
      <w:tr w14:paraId="322766E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cantSplit/>
          <w:trHeight w:val="225" w:hRule="atLeast"/>
          <w:tblCellSpacing w:w="15" w:type="dxa"/>
        </w:trPr>
        <w:tc>
          <w:tcPr>
            <w:tcW w:w="1491" w:type="dxa"/>
            <w:vMerge w:val="continue"/>
            <w:noWrap w:val="0"/>
            <w:vAlign w:val="center"/>
          </w:tcPr>
          <w:p w14:paraId="0AA2A0DF">
            <w:pPr>
              <w:jc w:val="center"/>
              <w:rPr>
                <w:rFonts w:eastAsia="等线"/>
                <w:color w:val="666666"/>
                <w:highlight w:val="none"/>
              </w:rPr>
            </w:pPr>
          </w:p>
        </w:tc>
        <w:tc>
          <w:tcPr>
            <w:tcW w:w="1748" w:type="dxa"/>
            <w:noWrap w:val="0"/>
            <w:tcMar>
              <w:top w:w="0" w:type="dxa"/>
              <w:left w:w="105" w:type="dxa"/>
              <w:bottom w:w="0" w:type="dxa"/>
              <w:right w:w="105" w:type="dxa"/>
            </w:tcMar>
            <w:vAlign w:val="center"/>
          </w:tcPr>
          <w:p w14:paraId="76A7030A">
            <w:pPr>
              <w:spacing w:after="150" w:line="360" w:lineRule="auto"/>
              <w:rPr>
                <w:color w:val="666666"/>
                <w:highlight w:val="none"/>
              </w:rPr>
            </w:pPr>
            <w:r>
              <w:rPr>
                <w:rFonts w:hint="eastAsia" w:eastAsia="等线" w:cs="仿宋"/>
                <w:b/>
                <w:color w:val="666666"/>
                <w:highlight w:val="none"/>
              </w:rPr>
              <w:t>资产总额（Z）</w:t>
            </w:r>
          </w:p>
        </w:tc>
        <w:tc>
          <w:tcPr>
            <w:tcW w:w="732" w:type="dxa"/>
            <w:noWrap w:val="0"/>
            <w:tcMar>
              <w:top w:w="0" w:type="dxa"/>
              <w:left w:w="105" w:type="dxa"/>
              <w:bottom w:w="0" w:type="dxa"/>
              <w:right w:w="105" w:type="dxa"/>
            </w:tcMar>
            <w:vAlign w:val="center"/>
          </w:tcPr>
          <w:p w14:paraId="1BFC26E7">
            <w:pPr>
              <w:spacing w:after="150" w:line="360" w:lineRule="auto"/>
              <w:rPr>
                <w:color w:val="666666"/>
                <w:highlight w:val="none"/>
              </w:rPr>
            </w:pPr>
            <w:r>
              <w:rPr>
                <w:rFonts w:hint="eastAsia" w:eastAsia="等线" w:cs="仿宋"/>
                <w:b/>
                <w:color w:val="666666"/>
                <w:highlight w:val="none"/>
              </w:rPr>
              <w:t>万元</w:t>
            </w:r>
          </w:p>
        </w:tc>
        <w:tc>
          <w:tcPr>
            <w:tcW w:w="1922" w:type="dxa"/>
            <w:noWrap w:val="0"/>
            <w:tcMar>
              <w:top w:w="0" w:type="dxa"/>
              <w:left w:w="105" w:type="dxa"/>
              <w:bottom w:w="0" w:type="dxa"/>
              <w:right w:w="105" w:type="dxa"/>
            </w:tcMar>
            <w:vAlign w:val="center"/>
          </w:tcPr>
          <w:p w14:paraId="4928553E">
            <w:pPr>
              <w:spacing w:after="150" w:line="360" w:lineRule="auto"/>
              <w:rPr>
                <w:color w:val="666666"/>
                <w:highlight w:val="none"/>
              </w:rPr>
            </w:pPr>
            <w:r>
              <w:rPr>
                <w:rFonts w:hint="eastAsia" w:eastAsia="等线" w:cs="仿宋"/>
                <w:b/>
                <w:color w:val="666666"/>
                <w:highlight w:val="none"/>
              </w:rPr>
              <w:t>8000≤Z＜120000</w:t>
            </w:r>
          </w:p>
        </w:tc>
        <w:tc>
          <w:tcPr>
            <w:tcW w:w="1739" w:type="dxa"/>
            <w:noWrap w:val="0"/>
            <w:tcMar>
              <w:top w:w="0" w:type="dxa"/>
              <w:left w:w="105" w:type="dxa"/>
              <w:bottom w:w="0" w:type="dxa"/>
              <w:right w:w="105" w:type="dxa"/>
            </w:tcMar>
            <w:vAlign w:val="center"/>
          </w:tcPr>
          <w:p w14:paraId="1EB617A7">
            <w:pPr>
              <w:spacing w:after="150" w:line="360" w:lineRule="auto"/>
              <w:jc w:val="center"/>
              <w:rPr>
                <w:color w:val="666666"/>
                <w:highlight w:val="none"/>
              </w:rPr>
            </w:pPr>
            <w:r>
              <w:rPr>
                <w:rFonts w:hint="eastAsia" w:eastAsia="等线" w:cs="仿宋"/>
                <w:b/>
                <w:color w:val="666666"/>
                <w:highlight w:val="none"/>
              </w:rPr>
              <w:t>100≤Z＜8000</w:t>
            </w:r>
          </w:p>
        </w:tc>
        <w:tc>
          <w:tcPr>
            <w:tcW w:w="1545" w:type="dxa"/>
            <w:noWrap w:val="0"/>
            <w:tcMar>
              <w:top w:w="0" w:type="dxa"/>
              <w:left w:w="105" w:type="dxa"/>
              <w:bottom w:w="0" w:type="dxa"/>
              <w:right w:w="105" w:type="dxa"/>
            </w:tcMar>
            <w:vAlign w:val="center"/>
          </w:tcPr>
          <w:p w14:paraId="6DD9718A">
            <w:pPr>
              <w:spacing w:after="150" w:line="360" w:lineRule="auto"/>
              <w:ind w:firstLine="100"/>
              <w:rPr>
                <w:color w:val="666666"/>
                <w:highlight w:val="none"/>
              </w:rPr>
            </w:pPr>
            <w:r>
              <w:rPr>
                <w:rFonts w:hint="eastAsia" w:eastAsia="等线" w:cs="仿宋"/>
                <w:b/>
                <w:color w:val="666666"/>
                <w:highlight w:val="none"/>
              </w:rPr>
              <w:t>Y＜100</w:t>
            </w:r>
          </w:p>
        </w:tc>
      </w:tr>
      <w:tr w14:paraId="5BE1E9E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1F80D49A">
            <w:pPr>
              <w:spacing w:after="150" w:line="360" w:lineRule="auto"/>
              <w:jc w:val="center"/>
              <w:rPr>
                <w:color w:val="666666"/>
                <w:highlight w:val="none"/>
              </w:rPr>
            </w:pPr>
            <w:r>
              <w:rPr>
                <w:rFonts w:hint="eastAsia" w:eastAsia="等线" w:cs="仿宋"/>
                <w:b/>
                <w:color w:val="666666"/>
                <w:highlight w:val="none"/>
              </w:rPr>
              <w:t>其他未列明行业</w:t>
            </w:r>
          </w:p>
        </w:tc>
        <w:tc>
          <w:tcPr>
            <w:tcW w:w="1748" w:type="dxa"/>
            <w:noWrap w:val="0"/>
            <w:tcMar>
              <w:top w:w="0" w:type="dxa"/>
              <w:left w:w="105" w:type="dxa"/>
              <w:bottom w:w="0" w:type="dxa"/>
              <w:right w:w="105" w:type="dxa"/>
            </w:tcMar>
            <w:vAlign w:val="center"/>
          </w:tcPr>
          <w:p w14:paraId="6E5D9313">
            <w:pPr>
              <w:spacing w:after="150" w:line="360" w:lineRule="auto"/>
              <w:rPr>
                <w:color w:val="666666"/>
                <w:highlight w:val="none"/>
              </w:rPr>
            </w:pPr>
            <w:r>
              <w:rPr>
                <w:rFonts w:hint="eastAsia" w:eastAsia="等线" w:cs="仿宋"/>
                <w:b/>
                <w:color w:val="666666"/>
                <w:highlight w:val="none"/>
              </w:rPr>
              <w:t>从业人员（X）</w:t>
            </w:r>
          </w:p>
        </w:tc>
        <w:tc>
          <w:tcPr>
            <w:tcW w:w="732" w:type="dxa"/>
            <w:noWrap w:val="0"/>
            <w:tcMar>
              <w:top w:w="0" w:type="dxa"/>
              <w:left w:w="105" w:type="dxa"/>
              <w:bottom w:w="0" w:type="dxa"/>
              <w:right w:w="105" w:type="dxa"/>
            </w:tcMar>
            <w:vAlign w:val="center"/>
          </w:tcPr>
          <w:p w14:paraId="15C1224D">
            <w:pPr>
              <w:spacing w:after="150" w:line="360" w:lineRule="auto"/>
              <w:rPr>
                <w:color w:val="666666"/>
                <w:highlight w:val="none"/>
              </w:rPr>
            </w:pPr>
            <w:r>
              <w:rPr>
                <w:rFonts w:hint="eastAsia" w:eastAsia="等线" w:cs="仿宋"/>
                <w:b/>
                <w:color w:val="666666"/>
                <w:highlight w:val="none"/>
              </w:rPr>
              <w:t>人</w:t>
            </w:r>
          </w:p>
        </w:tc>
        <w:tc>
          <w:tcPr>
            <w:tcW w:w="1922" w:type="dxa"/>
            <w:noWrap w:val="0"/>
            <w:tcMar>
              <w:top w:w="0" w:type="dxa"/>
              <w:left w:w="105" w:type="dxa"/>
              <w:bottom w:w="0" w:type="dxa"/>
              <w:right w:w="105" w:type="dxa"/>
            </w:tcMar>
            <w:vAlign w:val="center"/>
          </w:tcPr>
          <w:p w14:paraId="291F9EA3">
            <w:pPr>
              <w:spacing w:after="150" w:line="360" w:lineRule="auto"/>
              <w:rPr>
                <w:color w:val="666666"/>
                <w:highlight w:val="none"/>
              </w:rPr>
            </w:pPr>
            <w:r>
              <w:rPr>
                <w:rFonts w:hint="eastAsia" w:eastAsia="等线" w:cs="仿宋"/>
                <w:b/>
                <w:color w:val="666666"/>
                <w:highlight w:val="none"/>
              </w:rPr>
              <w:t>100≤X＜300</w:t>
            </w:r>
          </w:p>
        </w:tc>
        <w:tc>
          <w:tcPr>
            <w:tcW w:w="1739" w:type="dxa"/>
            <w:noWrap w:val="0"/>
            <w:tcMar>
              <w:top w:w="0" w:type="dxa"/>
              <w:left w:w="105" w:type="dxa"/>
              <w:bottom w:w="0" w:type="dxa"/>
              <w:right w:w="105" w:type="dxa"/>
            </w:tcMar>
            <w:vAlign w:val="center"/>
          </w:tcPr>
          <w:p w14:paraId="6E880B64">
            <w:pPr>
              <w:spacing w:after="150" w:line="360" w:lineRule="auto"/>
              <w:jc w:val="center"/>
              <w:rPr>
                <w:color w:val="666666"/>
                <w:highlight w:val="none"/>
              </w:rPr>
            </w:pPr>
            <w:r>
              <w:rPr>
                <w:rFonts w:hint="eastAsia" w:eastAsia="等线" w:cs="仿宋"/>
                <w:b/>
                <w:color w:val="666666"/>
                <w:highlight w:val="none"/>
              </w:rPr>
              <w:t>10≤X＜100</w:t>
            </w:r>
          </w:p>
        </w:tc>
        <w:tc>
          <w:tcPr>
            <w:tcW w:w="1545" w:type="dxa"/>
            <w:noWrap w:val="0"/>
            <w:tcMar>
              <w:top w:w="0" w:type="dxa"/>
              <w:left w:w="105" w:type="dxa"/>
              <w:bottom w:w="0" w:type="dxa"/>
              <w:right w:w="105" w:type="dxa"/>
            </w:tcMar>
            <w:vAlign w:val="center"/>
          </w:tcPr>
          <w:p w14:paraId="336E64FC">
            <w:pPr>
              <w:spacing w:after="150" w:line="360" w:lineRule="auto"/>
              <w:ind w:firstLine="100"/>
              <w:rPr>
                <w:color w:val="666666"/>
                <w:highlight w:val="none"/>
              </w:rPr>
            </w:pPr>
            <w:r>
              <w:rPr>
                <w:rFonts w:hint="eastAsia" w:eastAsia="等线" w:cs="仿宋"/>
                <w:b/>
                <w:color w:val="666666"/>
                <w:highlight w:val="none"/>
              </w:rPr>
              <w:t>X＜10</w:t>
            </w:r>
          </w:p>
        </w:tc>
      </w:tr>
    </w:tbl>
    <w:p w14:paraId="00999BBB">
      <w:pPr>
        <w:spacing w:before="300" w:after="452" w:line="360" w:lineRule="auto"/>
        <w:ind w:firstLine="100"/>
        <w:rPr>
          <w:color w:val="666666"/>
          <w:highlight w:val="none"/>
        </w:rPr>
      </w:pPr>
      <w:r>
        <w:rPr>
          <w:rFonts w:hint="eastAsia" w:eastAsia="等线" w:cs="仿宋"/>
          <w:b/>
          <w:color w:val="666666"/>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441AA7BD">
      <w:pPr>
        <w:spacing w:line="560" w:lineRule="exact"/>
        <w:ind w:firstLine="120"/>
        <w:rPr>
          <w:sz w:val="24"/>
          <w:szCs w:val="24"/>
          <w:highlight w:val="none"/>
        </w:rPr>
      </w:pPr>
    </w:p>
    <w:p w14:paraId="734A30E3">
      <w:pPr>
        <w:spacing w:line="460" w:lineRule="exact"/>
        <w:jc w:val="both"/>
        <w:rPr>
          <w:rFonts w:hint="eastAsia" w:ascii="黑体" w:hAnsi="黑体" w:eastAsia="黑体"/>
          <w:b/>
          <w:sz w:val="32"/>
          <w:szCs w:val="32"/>
          <w:highlight w:val="none"/>
        </w:rPr>
        <w:sectPr>
          <w:pgSz w:w="11906" w:h="16838"/>
          <w:pgMar w:top="1418" w:right="1588" w:bottom="1418" w:left="1365" w:header="851" w:footer="907" w:gutter="0"/>
          <w:cols w:space="1701" w:num="1"/>
          <w:titlePg/>
          <w:docGrid w:linePitch="360" w:charSpace="0"/>
        </w:sectPr>
      </w:pPr>
    </w:p>
    <w:p w14:paraId="4EA0FDC9">
      <w:pPr>
        <w:spacing w:line="460" w:lineRule="exact"/>
        <w:jc w:val="both"/>
        <w:rPr>
          <w:rFonts w:ascii="黑体" w:hAnsi="黑体" w:eastAsia="黑体"/>
          <w:b/>
          <w:sz w:val="32"/>
          <w:szCs w:val="32"/>
          <w:highlight w:val="none"/>
        </w:rPr>
      </w:pPr>
      <w:r>
        <w:rPr>
          <w:rFonts w:hint="eastAsia" w:ascii="黑体" w:hAnsi="黑体" w:eastAsia="黑体"/>
          <w:b/>
          <w:sz w:val="32"/>
          <w:szCs w:val="32"/>
          <w:highlight w:val="none"/>
        </w:rPr>
        <w:t>十、残疾人福利性单位声明函</w:t>
      </w:r>
    </w:p>
    <w:p w14:paraId="4888EF1B">
      <w:pPr>
        <w:spacing w:line="588" w:lineRule="exact"/>
        <w:ind w:firstLine="120"/>
        <w:rPr>
          <w:sz w:val="24"/>
          <w:highlight w:val="none"/>
        </w:rPr>
      </w:pPr>
      <w:r>
        <w:rPr>
          <w:rFonts w:hint="eastAsia"/>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sz w:val="24"/>
          <w:highlight w:val="none"/>
          <w:u w:val="single"/>
        </w:rPr>
        <w:t xml:space="preserve">       </w:t>
      </w:r>
      <w:r>
        <w:rPr>
          <w:rFonts w:hint="eastAsia"/>
          <w:sz w:val="24"/>
          <w:highlight w:val="none"/>
        </w:rPr>
        <w:t>项目（分包号：**）采购活动由本单位提供服务。</w:t>
      </w:r>
    </w:p>
    <w:p w14:paraId="68CFC038">
      <w:pPr>
        <w:spacing w:line="588" w:lineRule="exact"/>
        <w:ind w:firstLine="120"/>
        <w:rPr>
          <w:sz w:val="24"/>
          <w:highlight w:val="none"/>
        </w:rPr>
      </w:pPr>
      <w:r>
        <w:rPr>
          <w:rFonts w:hint="eastAsia"/>
          <w:sz w:val="24"/>
          <w:highlight w:val="none"/>
        </w:rPr>
        <w:t>本单位对上述声明的真实性负责。如有虚假，将依法承担相应责任。</w:t>
      </w:r>
    </w:p>
    <w:p w14:paraId="16AFB24B">
      <w:pPr>
        <w:spacing w:line="588" w:lineRule="exact"/>
        <w:ind w:firstLine="120"/>
        <w:rPr>
          <w:sz w:val="24"/>
          <w:highlight w:val="none"/>
        </w:rPr>
      </w:pPr>
    </w:p>
    <w:p w14:paraId="2274002B">
      <w:pPr>
        <w:spacing w:line="588" w:lineRule="exact"/>
        <w:ind w:firstLine="120"/>
        <w:rPr>
          <w:sz w:val="24"/>
          <w:highlight w:val="none"/>
        </w:rPr>
      </w:pPr>
      <w:r>
        <w:rPr>
          <w:rFonts w:hint="eastAsia"/>
          <w:sz w:val="24"/>
          <w:highlight w:val="none"/>
        </w:rPr>
        <w:t>（备注：中标人为残疾人福利单位的，此声明函将随中标结果同时公告，接受社会监督）</w:t>
      </w:r>
    </w:p>
    <w:p w14:paraId="09D0C499">
      <w:pPr>
        <w:spacing w:line="588" w:lineRule="exact"/>
        <w:ind w:firstLine="156"/>
        <w:rPr>
          <w:rFonts w:ascii="仿宋_GB2312" w:eastAsia="仿宋_GB2312"/>
          <w:spacing w:val="6"/>
          <w:sz w:val="30"/>
          <w:szCs w:val="30"/>
          <w:highlight w:val="none"/>
        </w:rPr>
      </w:pPr>
    </w:p>
    <w:p w14:paraId="19E2A7DE">
      <w:pPr>
        <w:tabs>
          <w:tab w:val="left" w:pos="4860"/>
        </w:tabs>
        <w:spacing w:line="588" w:lineRule="exact"/>
        <w:ind w:right="1560" w:firstLine="156"/>
        <w:jc w:val="center"/>
        <w:rPr>
          <w:sz w:val="24"/>
          <w:highlight w:val="none"/>
        </w:rPr>
      </w:pPr>
      <w:r>
        <w:rPr>
          <w:rFonts w:hint="eastAsia" w:ascii="仿宋_GB2312" w:eastAsia="仿宋_GB2312"/>
          <w:spacing w:val="6"/>
          <w:sz w:val="30"/>
          <w:szCs w:val="30"/>
          <w:highlight w:val="none"/>
        </w:rPr>
        <w:t xml:space="preserve">             </w:t>
      </w:r>
      <w:r>
        <w:rPr>
          <w:rFonts w:hint="eastAsia"/>
          <w:sz w:val="24"/>
          <w:highlight w:val="none"/>
        </w:rPr>
        <w:t xml:space="preserve">         供应商全称（加盖CA电子公章）：</w:t>
      </w:r>
    </w:p>
    <w:p w14:paraId="36AF361C">
      <w:pPr>
        <w:tabs>
          <w:tab w:val="left" w:pos="4860"/>
        </w:tabs>
        <w:spacing w:line="588" w:lineRule="exact"/>
        <w:ind w:right="1560" w:firstLine="120"/>
        <w:jc w:val="center"/>
        <w:rPr>
          <w:sz w:val="24"/>
          <w:highlight w:val="none"/>
        </w:rPr>
      </w:pPr>
      <w:r>
        <w:rPr>
          <w:rFonts w:hint="eastAsia"/>
          <w:sz w:val="24"/>
          <w:highlight w:val="none"/>
        </w:rPr>
        <w:t xml:space="preserve">        日  期：</w:t>
      </w:r>
    </w:p>
    <w:p w14:paraId="7EF81956">
      <w:pPr>
        <w:rPr>
          <w:rFonts w:hint="eastAsia" w:ascii="黑体" w:hAnsi="黑体" w:eastAsia="黑体"/>
          <w:b/>
          <w:sz w:val="32"/>
          <w:szCs w:val="32"/>
          <w:highlight w:val="none"/>
        </w:rPr>
      </w:pPr>
      <w:r>
        <w:rPr>
          <w:rFonts w:hint="eastAsia" w:ascii="黑体" w:hAnsi="黑体" w:eastAsia="黑体"/>
          <w:b/>
          <w:sz w:val="32"/>
          <w:szCs w:val="32"/>
          <w:highlight w:val="none"/>
        </w:rPr>
        <w:br w:type="page"/>
      </w:r>
    </w:p>
    <w:p w14:paraId="565DA395">
      <w:pPr>
        <w:spacing w:line="560" w:lineRule="exact"/>
        <w:ind w:firstLine="161"/>
        <w:jc w:val="center"/>
        <w:rPr>
          <w:rFonts w:ascii="黑体" w:hAnsi="黑体" w:eastAsia="黑体"/>
          <w:b/>
          <w:sz w:val="32"/>
          <w:szCs w:val="32"/>
          <w:highlight w:val="none"/>
        </w:rPr>
      </w:pPr>
      <w:r>
        <w:rPr>
          <w:rFonts w:hint="eastAsia" w:ascii="黑体" w:hAnsi="黑体" w:eastAsia="黑体"/>
          <w:b/>
          <w:sz w:val="32"/>
          <w:szCs w:val="32"/>
          <w:highlight w:val="none"/>
        </w:rPr>
        <w:t>十一、联合体协议（参考格式）</w:t>
      </w:r>
    </w:p>
    <w:p w14:paraId="36D3E6F0">
      <w:pPr>
        <w:spacing w:line="560" w:lineRule="exact"/>
        <w:ind w:firstLine="120"/>
        <w:rPr>
          <w:sz w:val="24"/>
          <w:highlight w:val="none"/>
        </w:rPr>
      </w:pPr>
      <w:r>
        <w:rPr>
          <w:rFonts w:hint="eastAsia"/>
          <w:sz w:val="24"/>
          <w:highlight w:val="none"/>
        </w:rPr>
        <w:t>（联合体中各供应商全称）在此达成以下协议：</w:t>
      </w:r>
    </w:p>
    <w:p w14:paraId="15EEB193">
      <w:pPr>
        <w:spacing w:line="560" w:lineRule="exact"/>
        <w:ind w:firstLine="120"/>
        <w:rPr>
          <w:sz w:val="24"/>
          <w:highlight w:val="none"/>
        </w:rPr>
      </w:pPr>
      <w:r>
        <w:rPr>
          <w:sz w:val="24"/>
          <w:highlight w:val="none"/>
        </w:rPr>
        <w:t>1</w:t>
      </w:r>
      <w:r>
        <w:rPr>
          <w:rFonts w:hint="eastAsia"/>
          <w:sz w:val="24"/>
          <w:highlight w:val="none"/>
        </w:rPr>
        <w:t>、我们</w:t>
      </w:r>
      <w:r>
        <w:rPr>
          <w:rFonts w:hint="eastAsia"/>
          <w:sz w:val="24"/>
          <w:highlight w:val="none"/>
          <w:u w:val="single"/>
        </w:rPr>
        <w:t xml:space="preserve"> （供应商1），（供应商2） ，</w:t>
      </w:r>
      <w:r>
        <w:rPr>
          <w:sz w:val="24"/>
          <w:highlight w:val="none"/>
          <w:u w:val="single"/>
        </w:rPr>
        <w:t>……</w:t>
      </w:r>
      <w:r>
        <w:rPr>
          <w:rFonts w:hint="eastAsia"/>
          <w:sz w:val="24"/>
          <w:highlight w:val="none"/>
        </w:rPr>
        <w:t>自愿组成联合体，参加</w:t>
      </w:r>
      <w:r>
        <w:rPr>
          <w:rFonts w:hint="eastAsia"/>
          <w:sz w:val="24"/>
          <w:highlight w:val="none"/>
          <w:lang w:eastAsia="zh-CN"/>
        </w:rPr>
        <w:t>江苏江南工程管理咨询有限公司</w:t>
      </w:r>
      <w:r>
        <w:rPr>
          <w:rFonts w:hint="eastAsia"/>
          <w:sz w:val="24"/>
          <w:highlight w:val="none"/>
        </w:rPr>
        <w:t>代理机构组织的采购编号为</w:t>
      </w:r>
      <w:r>
        <w:rPr>
          <w:rFonts w:hint="eastAsia"/>
          <w:sz w:val="24"/>
          <w:highlight w:val="none"/>
          <w:u w:val="single"/>
        </w:rPr>
        <w:t>（编号全称），（项目全称）</w:t>
      </w:r>
      <w:r>
        <w:rPr>
          <w:rFonts w:hint="eastAsia"/>
          <w:sz w:val="24"/>
          <w:highlight w:val="none"/>
        </w:rPr>
        <w:t>项目（分包号：**）的政府采购活动，我联合体指定</w:t>
      </w:r>
      <w:r>
        <w:rPr>
          <w:rFonts w:hint="eastAsia"/>
          <w:sz w:val="24"/>
          <w:highlight w:val="none"/>
          <w:u w:val="single"/>
        </w:rPr>
        <w:t>（供应商*）</w:t>
      </w:r>
      <w:r>
        <w:rPr>
          <w:rFonts w:hint="eastAsia"/>
          <w:sz w:val="24"/>
          <w:highlight w:val="none"/>
        </w:rPr>
        <w:t>为牵头单位（牵头单位必须为联合体成员）。</w:t>
      </w:r>
    </w:p>
    <w:p w14:paraId="1DA14DB9">
      <w:pPr>
        <w:spacing w:line="560" w:lineRule="exact"/>
        <w:ind w:firstLine="120"/>
        <w:rPr>
          <w:sz w:val="24"/>
          <w:highlight w:val="none"/>
        </w:rPr>
      </w:pPr>
      <w:r>
        <w:rPr>
          <w:sz w:val="24"/>
          <w:highlight w:val="none"/>
        </w:rPr>
        <w:t>2</w:t>
      </w:r>
      <w:r>
        <w:rPr>
          <w:rFonts w:hint="eastAsia"/>
          <w:sz w:val="24"/>
          <w:highlight w:val="none"/>
        </w:rPr>
        <w:t>、若我们联合中标、成交，（供应商单位</w:t>
      </w:r>
      <w:r>
        <w:rPr>
          <w:sz w:val="24"/>
          <w:highlight w:val="none"/>
        </w:rPr>
        <w:t>1</w:t>
      </w:r>
      <w:r>
        <w:rPr>
          <w:rFonts w:hint="eastAsia"/>
          <w:sz w:val="24"/>
          <w:highlight w:val="none"/>
        </w:rPr>
        <w:t>全称）实施项目中（工作内容）部分工作，并承担相应的责任。（供应商单位</w:t>
      </w:r>
      <w:r>
        <w:rPr>
          <w:sz w:val="24"/>
          <w:highlight w:val="none"/>
        </w:rPr>
        <w:t>2</w:t>
      </w:r>
      <w:r>
        <w:rPr>
          <w:rFonts w:hint="eastAsia"/>
          <w:sz w:val="24"/>
          <w:highlight w:val="none"/>
        </w:rPr>
        <w:t>全称）实施项目中（工作内容）部分工作，并承担相应的责任……。（注：联合体中各供应商都应明示所承担的工作和相应的责任）。</w:t>
      </w:r>
    </w:p>
    <w:p w14:paraId="1417E769">
      <w:pPr>
        <w:spacing w:line="560" w:lineRule="exact"/>
        <w:ind w:firstLine="120"/>
        <w:rPr>
          <w:sz w:val="24"/>
          <w:highlight w:val="none"/>
        </w:rPr>
      </w:pPr>
      <w:r>
        <w:rPr>
          <w:sz w:val="24"/>
          <w:highlight w:val="none"/>
        </w:rPr>
        <w:t>3</w:t>
      </w:r>
      <w:r>
        <w:rPr>
          <w:rFonts w:hint="eastAsia"/>
          <w:sz w:val="24"/>
          <w:highlight w:val="none"/>
        </w:rPr>
        <w:t>、其中</w:t>
      </w:r>
      <w:r>
        <w:rPr>
          <w:sz w:val="24"/>
          <w:highlight w:val="none"/>
          <w:u w:val="single"/>
        </w:rPr>
        <w:t xml:space="preserve">      </w:t>
      </w:r>
      <w:r>
        <w:rPr>
          <w:rFonts w:hint="eastAsia"/>
          <w:sz w:val="24"/>
          <w:highlight w:val="none"/>
        </w:rPr>
        <w:t>（小型、微型企业/残疾人福利性单位/监狱企业全称）为</w:t>
      </w:r>
      <w:r>
        <w:rPr>
          <w:sz w:val="24"/>
          <w:highlight w:val="none"/>
          <w:u w:val="single"/>
        </w:rPr>
        <w:t xml:space="preserve">    </w:t>
      </w:r>
      <w:r>
        <w:rPr>
          <w:rFonts w:hint="eastAsia"/>
          <w:sz w:val="24"/>
          <w:highlight w:val="none"/>
        </w:rPr>
        <w:t>（小型、微型企业/残疾人福利性单位/监狱企业）企业，且我们约定该公司/单位所承担的合同金额将占本项目合同总金额的</w:t>
      </w:r>
      <w:r>
        <w:rPr>
          <w:sz w:val="24"/>
          <w:highlight w:val="none"/>
          <w:u w:val="single"/>
        </w:rPr>
        <w:t xml:space="preserve">  </w:t>
      </w:r>
      <w:r>
        <w:rPr>
          <w:sz w:val="24"/>
          <w:highlight w:val="none"/>
        </w:rPr>
        <w:t xml:space="preserve"> %</w:t>
      </w:r>
      <w:r>
        <w:rPr>
          <w:rFonts w:hint="eastAsia"/>
          <w:sz w:val="24"/>
          <w:highlight w:val="none"/>
        </w:rPr>
        <w:t>。</w:t>
      </w:r>
    </w:p>
    <w:p w14:paraId="7661CA2F">
      <w:pPr>
        <w:spacing w:line="560" w:lineRule="exact"/>
        <w:ind w:firstLine="120"/>
        <w:rPr>
          <w:sz w:val="24"/>
          <w:highlight w:val="none"/>
        </w:rPr>
      </w:pPr>
    </w:p>
    <w:p w14:paraId="6E25E5A3">
      <w:pPr>
        <w:spacing w:line="560" w:lineRule="exact"/>
        <w:ind w:firstLine="120"/>
        <w:rPr>
          <w:sz w:val="24"/>
          <w:highlight w:val="none"/>
        </w:rPr>
      </w:pPr>
      <w:r>
        <w:rPr>
          <w:rFonts w:hint="eastAsia"/>
          <w:sz w:val="24"/>
          <w:highlight w:val="none"/>
        </w:rPr>
        <w:t>备注：本招标文件中要求加盖CA电子签章的地方，仅需加盖牵头单位的CA电子签章。</w:t>
      </w:r>
    </w:p>
    <w:p w14:paraId="14B771B9">
      <w:pPr>
        <w:spacing w:line="560" w:lineRule="exact"/>
        <w:ind w:firstLine="120"/>
        <w:rPr>
          <w:sz w:val="24"/>
          <w:highlight w:val="none"/>
        </w:rPr>
      </w:pPr>
      <w:r>
        <w:rPr>
          <w:sz w:val="24"/>
          <w:highlight w:val="none"/>
        </w:rPr>
        <w:t xml:space="preserve">                   </w:t>
      </w:r>
      <w:r>
        <w:rPr>
          <w:rFonts w:hint="eastAsia"/>
          <w:sz w:val="24"/>
          <w:highlight w:val="none"/>
        </w:rPr>
        <w:t xml:space="preserve">                       </w:t>
      </w:r>
    </w:p>
    <w:p w14:paraId="1C4B4931">
      <w:pPr>
        <w:spacing w:line="560" w:lineRule="exact"/>
        <w:ind w:firstLine="120"/>
        <w:jc w:val="right"/>
        <w:rPr>
          <w:sz w:val="24"/>
          <w:highlight w:val="none"/>
        </w:rPr>
      </w:pPr>
      <w:r>
        <w:rPr>
          <w:rFonts w:hint="eastAsia"/>
          <w:sz w:val="24"/>
          <w:highlight w:val="none"/>
        </w:rPr>
        <w:t>联合体中各供应商全称（公章）：</w:t>
      </w:r>
      <w:r>
        <w:rPr>
          <w:sz w:val="24"/>
          <w:highlight w:val="none"/>
        </w:rPr>
        <w:t xml:space="preserve">     </w:t>
      </w:r>
    </w:p>
    <w:p w14:paraId="7C3C5528">
      <w:pPr>
        <w:spacing w:line="560" w:lineRule="exact"/>
        <w:ind w:firstLine="120"/>
        <w:rPr>
          <w:sz w:val="24"/>
          <w:highlight w:val="none"/>
        </w:rPr>
      </w:pPr>
      <w:r>
        <w:rPr>
          <w:sz w:val="24"/>
          <w:highlight w:val="none"/>
        </w:rPr>
        <w:t xml:space="preserve">                   </w:t>
      </w: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日期：</w:t>
      </w:r>
    </w:p>
    <w:p w14:paraId="31895D00">
      <w:pPr>
        <w:rPr>
          <w:rFonts w:hint="eastAsia" w:ascii="黑体" w:hAnsi="黑体" w:eastAsia="黑体"/>
          <w:b/>
          <w:sz w:val="32"/>
          <w:szCs w:val="32"/>
          <w:highlight w:val="none"/>
        </w:rPr>
      </w:pPr>
      <w:r>
        <w:rPr>
          <w:rFonts w:hint="eastAsia" w:ascii="黑体" w:hAnsi="黑体" w:eastAsia="黑体"/>
          <w:b/>
          <w:sz w:val="32"/>
          <w:szCs w:val="32"/>
          <w:highlight w:val="none"/>
        </w:rPr>
        <w:br w:type="page"/>
      </w:r>
    </w:p>
    <w:p w14:paraId="4D3144BD">
      <w:pPr>
        <w:ind w:firstLine="161"/>
        <w:jc w:val="center"/>
        <w:rPr>
          <w:rFonts w:ascii="黑体" w:hAnsi="黑体" w:eastAsia="黑体"/>
          <w:b/>
          <w:sz w:val="32"/>
          <w:szCs w:val="32"/>
          <w:highlight w:val="none"/>
        </w:rPr>
      </w:pPr>
      <w:r>
        <w:rPr>
          <w:rFonts w:hint="eastAsia" w:ascii="黑体" w:hAnsi="黑体" w:eastAsia="黑体"/>
          <w:b/>
          <w:sz w:val="32"/>
          <w:szCs w:val="32"/>
          <w:highlight w:val="none"/>
        </w:rPr>
        <w:t>十二、投标分项报价表（分包号：**）</w:t>
      </w:r>
    </w:p>
    <w:tbl>
      <w:tblPr>
        <w:tblStyle w:val="9"/>
        <w:tblpPr w:leftFromText="180" w:rightFromText="180" w:vertAnchor="text" w:horzAnchor="page" w:tblpX="1365" w:tblpY="297"/>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
        <w:gridCol w:w="1301"/>
        <w:gridCol w:w="1952"/>
        <w:gridCol w:w="2530"/>
        <w:gridCol w:w="2660"/>
      </w:tblGrid>
      <w:tr w14:paraId="5930C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820" w:type="dxa"/>
            <w:noWrap w:val="0"/>
            <w:vAlign w:val="center"/>
          </w:tcPr>
          <w:p w14:paraId="0F2A8DAA">
            <w:pPr>
              <w:spacing w:line="0" w:lineRule="atLeast"/>
              <w:jc w:val="both"/>
              <w:rPr>
                <w:sz w:val="24"/>
                <w:szCs w:val="24"/>
                <w:highlight w:val="none"/>
              </w:rPr>
            </w:pPr>
            <w:r>
              <w:rPr>
                <w:rFonts w:hint="eastAsia"/>
                <w:sz w:val="24"/>
                <w:szCs w:val="24"/>
                <w:highlight w:val="none"/>
              </w:rPr>
              <w:t>序号</w:t>
            </w:r>
          </w:p>
        </w:tc>
        <w:tc>
          <w:tcPr>
            <w:tcW w:w="1301" w:type="dxa"/>
            <w:noWrap w:val="0"/>
            <w:vAlign w:val="center"/>
          </w:tcPr>
          <w:p w14:paraId="0EBBF9B1">
            <w:pPr>
              <w:spacing w:line="0" w:lineRule="atLeast"/>
              <w:ind w:firstLine="120"/>
              <w:jc w:val="center"/>
              <w:rPr>
                <w:sz w:val="24"/>
                <w:szCs w:val="24"/>
                <w:highlight w:val="none"/>
              </w:rPr>
            </w:pPr>
            <w:r>
              <w:rPr>
                <w:rFonts w:hint="eastAsia"/>
                <w:sz w:val="24"/>
                <w:szCs w:val="24"/>
                <w:highlight w:val="none"/>
              </w:rPr>
              <w:t>1</w:t>
            </w:r>
          </w:p>
        </w:tc>
        <w:tc>
          <w:tcPr>
            <w:tcW w:w="1952" w:type="dxa"/>
            <w:noWrap w:val="0"/>
            <w:vAlign w:val="center"/>
          </w:tcPr>
          <w:p w14:paraId="763ED8B0">
            <w:pPr>
              <w:spacing w:line="0" w:lineRule="atLeast"/>
              <w:ind w:firstLine="120"/>
              <w:jc w:val="center"/>
              <w:rPr>
                <w:sz w:val="24"/>
                <w:szCs w:val="24"/>
                <w:highlight w:val="none"/>
              </w:rPr>
            </w:pPr>
            <w:r>
              <w:rPr>
                <w:rFonts w:hint="eastAsia"/>
                <w:sz w:val="24"/>
                <w:szCs w:val="24"/>
                <w:highlight w:val="none"/>
              </w:rPr>
              <w:t>2</w:t>
            </w:r>
          </w:p>
        </w:tc>
        <w:tc>
          <w:tcPr>
            <w:tcW w:w="2530" w:type="dxa"/>
            <w:noWrap w:val="0"/>
            <w:vAlign w:val="center"/>
          </w:tcPr>
          <w:p w14:paraId="3021D393">
            <w:pPr>
              <w:spacing w:line="0" w:lineRule="atLeast"/>
              <w:ind w:firstLine="120"/>
              <w:jc w:val="center"/>
              <w:rPr>
                <w:sz w:val="24"/>
                <w:szCs w:val="24"/>
                <w:highlight w:val="none"/>
              </w:rPr>
            </w:pPr>
            <w:r>
              <w:rPr>
                <w:rFonts w:hint="eastAsia"/>
                <w:sz w:val="24"/>
                <w:szCs w:val="24"/>
                <w:highlight w:val="none"/>
              </w:rPr>
              <w:t>3</w:t>
            </w:r>
          </w:p>
        </w:tc>
        <w:tc>
          <w:tcPr>
            <w:tcW w:w="2660" w:type="dxa"/>
            <w:noWrap w:val="0"/>
            <w:vAlign w:val="center"/>
          </w:tcPr>
          <w:p w14:paraId="30B30D01">
            <w:pPr>
              <w:spacing w:line="0" w:lineRule="atLeast"/>
              <w:ind w:firstLine="120"/>
              <w:jc w:val="center"/>
              <w:rPr>
                <w:sz w:val="24"/>
                <w:szCs w:val="24"/>
                <w:highlight w:val="none"/>
              </w:rPr>
            </w:pPr>
            <w:r>
              <w:rPr>
                <w:rFonts w:hint="eastAsia"/>
                <w:sz w:val="24"/>
                <w:szCs w:val="24"/>
                <w:highlight w:val="none"/>
              </w:rPr>
              <w:t>4</w:t>
            </w:r>
          </w:p>
        </w:tc>
      </w:tr>
      <w:tr w14:paraId="17B63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trPr>
        <w:tc>
          <w:tcPr>
            <w:tcW w:w="820" w:type="dxa"/>
            <w:noWrap w:val="0"/>
            <w:vAlign w:val="center"/>
          </w:tcPr>
          <w:p w14:paraId="2654B2E6">
            <w:pPr>
              <w:spacing w:line="0" w:lineRule="atLeast"/>
              <w:ind w:firstLine="120"/>
              <w:jc w:val="center"/>
              <w:rPr>
                <w:sz w:val="24"/>
                <w:szCs w:val="24"/>
                <w:highlight w:val="none"/>
              </w:rPr>
            </w:pPr>
            <w:r>
              <w:rPr>
                <w:rFonts w:hint="eastAsia"/>
                <w:sz w:val="24"/>
                <w:szCs w:val="24"/>
                <w:highlight w:val="none"/>
              </w:rPr>
              <w:t>1</w:t>
            </w:r>
          </w:p>
        </w:tc>
        <w:tc>
          <w:tcPr>
            <w:tcW w:w="1301" w:type="dxa"/>
            <w:noWrap w:val="0"/>
            <w:vAlign w:val="center"/>
          </w:tcPr>
          <w:p w14:paraId="12D65800">
            <w:pPr>
              <w:spacing w:line="0" w:lineRule="atLeast"/>
              <w:jc w:val="both"/>
              <w:rPr>
                <w:rFonts w:hint="eastAsia"/>
                <w:sz w:val="24"/>
                <w:szCs w:val="24"/>
                <w:highlight w:val="none"/>
              </w:rPr>
            </w:pPr>
            <w:r>
              <w:rPr>
                <w:rFonts w:hint="eastAsia"/>
                <w:sz w:val="24"/>
                <w:szCs w:val="24"/>
                <w:highlight w:val="none"/>
              </w:rPr>
              <w:t>名称</w:t>
            </w:r>
          </w:p>
        </w:tc>
        <w:tc>
          <w:tcPr>
            <w:tcW w:w="1952" w:type="dxa"/>
            <w:noWrap w:val="0"/>
            <w:vAlign w:val="center"/>
          </w:tcPr>
          <w:p w14:paraId="6B44A8AD">
            <w:pPr>
              <w:spacing w:line="0" w:lineRule="atLeast"/>
              <w:jc w:val="both"/>
              <w:rPr>
                <w:rFonts w:hint="eastAsia"/>
                <w:sz w:val="24"/>
                <w:szCs w:val="24"/>
                <w:highlight w:val="none"/>
              </w:rPr>
            </w:pPr>
            <w:r>
              <w:rPr>
                <w:rFonts w:hint="eastAsia"/>
                <w:sz w:val="24"/>
                <w:szCs w:val="24"/>
                <w:highlight w:val="none"/>
              </w:rPr>
              <w:t>数量</w:t>
            </w:r>
          </w:p>
        </w:tc>
        <w:tc>
          <w:tcPr>
            <w:tcW w:w="2530" w:type="dxa"/>
            <w:noWrap w:val="0"/>
            <w:vAlign w:val="center"/>
          </w:tcPr>
          <w:p w14:paraId="284E7D0F">
            <w:pPr>
              <w:spacing w:line="0" w:lineRule="atLeast"/>
              <w:ind w:firstLine="120"/>
              <w:jc w:val="center"/>
              <w:rPr>
                <w:rFonts w:hint="eastAsia"/>
                <w:sz w:val="24"/>
                <w:szCs w:val="24"/>
                <w:highlight w:val="none"/>
              </w:rPr>
            </w:pPr>
            <w:r>
              <w:rPr>
                <w:rFonts w:hint="eastAsia"/>
                <w:sz w:val="24"/>
                <w:szCs w:val="24"/>
                <w:highlight w:val="none"/>
              </w:rPr>
              <w:t>单价</w:t>
            </w:r>
          </w:p>
        </w:tc>
        <w:tc>
          <w:tcPr>
            <w:tcW w:w="2660" w:type="dxa"/>
            <w:noWrap w:val="0"/>
            <w:vAlign w:val="center"/>
          </w:tcPr>
          <w:p w14:paraId="3C2E48A4">
            <w:pPr>
              <w:spacing w:line="0" w:lineRule="atLeast"/>
              <w:ind w:firstLine="120"/>
              <w:jc w:val="center"/>
              <w:rPr>
                <w:sz w:val="24"/>
                <w:szCs w:val="24"/>
                <w:highlight w:val="none"/>
              </w:rPr>
            </w:pPr>
            <w:r>
              <w:rPr>
                <w:rFonts w:hint="eastAsia"/>
                <w:sz w:val="24"/>
                <w:szCs w:val="24"/>
                <w:highlight w:val="none"/>
              </w:rPr>
              <w:t>总价</w:t>
            </w:r>
          </w:p>
        </w:tc>
      </w:tr>
      <w:tr w14:paraId="0E78D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820" w:type="dxa"/>
            <w:noWrap w:val="0"/>
            <w:vAlign w:val="center"/>
          </w:tcPr>
          <w:p w14:paraId="5D9803D2">
            <w:pPr>
              <w:spacing w:line="0" w:lineRule="atLeast"/>
              <w:ind w:firstLine="120"/>
              <w:jc w:val="center"/>
              <w:rPr>
                <w:sz w:val="24"/>
                <w:szCs w:val="24"/>
                <w:highlight w:val="none"/>
              </w:rPr>
            </w:pPr>
            <w:r>
              <w:rPr>
                <w:rFonts w:hint="eastAsia"/>
                <w:sz w:val="24"/>
                <w:szCs w:val="24"/>
                <w:highlight w:val="none"/>
              </w:rPr>
              <w:t>2</w:t>
            </w:r>
          </w:p>
        </w:tc>
        <w:tc>
          <w:tcPr>
            <w:tcW w:w="1301" w:type="dxa"/>
            <w:noWrap w:val="0"/>
            <w:vAlign w:val="center"/>
          </w:tcPr>
          <w:p w14:paraId="0D4E47E3">
            <w:pPr>
              <w:spacing w:line="0" w:lineRule="atLeast"/>
              <w:ind w:firstLine="120"/>
              <w:jc w:val="center"/>
              <w:rPr>
                <w:sz w:val="24"/>
                <w:szCs w:val="24"/>
                <w:highlight w:val="none"/>
              </w:rPr>
            </w:pPr>
          </w:p>
        </w:tc>
        <w:tc>
          <w:tcPr>
            <w:tcW w:w="1952" w:type="dxa"/>
            <w:noWrap w:val="0"/>
            <w:vAlign w:val="center"/>
          </w:tcPr>
          <w:p w14:paraId="3EC9ECB5">
            <w:pPr>
              <w:spacing w:line="0" w:lineRule="atLeast"/>
              <w:ind w:firstLine="120"/>
              <w:jc w:val="center"/>
              <w:rPr>
                <w:sz w:val="24"/>
                <w:szCs w:val="24"/>
                <w:highlight w:val="none"/>
              </w:rPr>
            </w:pPr>
          </w:p>
        </w:tc>
        <w:tc>
          <w:tcPr>
            <w:tcW w:w="2530" w:type="dxa"/>
            <w:noWrap w:val="0"/>
            <w:vAlign w:val="center"/>
          </w:tcPr>
          <w:p w14:paraId="788D9921">
            <w:pPr>
              <w:spacing w:line="0" w:lineRule="atLeast"/>
              <w:ind w:firstLine="120"/>
              <w:jc w:val="center"/>
              <w:rPr>
                <w:sz w:val="24"/>
                <w:szCs w:val="24"/>
                <w:highlight w:val="none"/>
              </w:rPr>
            </w:pPr>
          </w:p>
        </w:tc>
        <w:tc>
          <w:tcPr>
            <w:tcW w:w="2660" w:type="dxa"/>
            <w:noWrap w:val="0"/>
            <w:vAlign w:val="center"/>
          </w:tcPr>
          <w:p w14:paraId="1AA76A27">
            <w:pPr>
              <w:spacing w:line="0" w:lineRule="atLeast"/>
              <w:ind w:firstLine="120"/>
              <w:jc w:val="center"/>
              <w:rPr>
                <w:sz w:val="24"/>
                <w:szCs w:val="24"/>
                <w:highlight w:val="none"/>
              </w:rPr>
            </w:pPr>
          </w:p>
        </w:tc>
      </w:tr>
      <w:tr w14:paraId="17048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820" w:type="dxa"/>
            <w:noWrap w:val="0"/>
            <w:vAlign w:val="center"/>
          </w:tcPr>
          <w:p w14:paraId="44893133">
            <w:pPr>
              <w:spacing w:line="0" w:lineRule="atLeast"/>
              <w:ind w:firstLine="120"/>
              <w:jc w:val="center"/>
              <w:rPr>
                <w:sz w:val="24"/>
                <w:szCs w:val="24"/>
                <w:highlight w:val="none"/>
              </w:rPr>
            </w:pPr>
            <w:r>
              <w:rPr>
                <w:rFonts w:hint="eastAsia"/>
                <w:sz w:val="24"/>
                <w:szCs w:val="24"/>
                <w:highlight w:val="none"/>
              </w:rPr>
              <w:t>3</w:t>
            </w:r>
          </w:p>
        </w:tc>
        <w:tc>
          <w:tcPr>
            <w:tcW w:w="1301" w:type="dxa"/>
            <w:noWrap w:val="0"/>
            <w:vAlign w:val="center"/>
          </w:tcPr>
          <w:p w14:paraId="78EDBB9C">
            <w:pPr>
              <w:spacing w:line="0" w:lineRule="atLeast"/>
              <w:ind w:firstLine="120"/>
              <w:jc w:val="center"/>
              <w:rPr>
                <w:sz w:val="24"/>
                <w:szCs w:val="24"/>
                <w:highlight w:val="none"/>
              </w:rPr>
            </w:pPr>
          </w:p>
        </w:tc>
        <w:tc>
          <w:tcPr>
            <w:tcW w:w="1952" w:type="dxa"/>
            <w:noWrap w:val="0"/>
            <w:vAlign w:val="center"/>
          </w:tcPr>
          <w:p w14:paraId="3F266ADD">
            <w:pPr>
              <w:spacing w:line="0" w:lineRule="atLeast"/>
              <w:ind w:firstLine="120"/>
              <w:jc w:val="center"/>
              <w:rPr>
                <w:sz w:val="24"/>
                <w:szCs w:val="24"/>
                <w:highlight w:val="none"/>
              </w:rPr>
            </w:pPr>
          </w:p>
        </w:tc>
        <w:tc>
          <w:tcPr>
            <w:tcW w:w="2530" w:type="dxa"/>
            <w:noWrap w:val="0"/>
            <w:vAlign w:val="center"/>
          </w:tcPr>
          <w:p w14:paraId="22C7C524">
            <w:pPr>
              <w:spacing w:line="0" w:lineRule="atLeast"/>
              <w:ind w:firstLine="120"/>
              <w:jc w:val="center"/>
              <w:rPr>
                <w:sz w:val="24"/>
                <w:szCs w:val="24"/>
                <w:highlight w:val="none"/>
              </w:rPr>
            </w:pPr>
          </w:p>
        </w:tc>
        <w:tc>
          <w:tcPr>
            <w:tcW w:w="2660" w:type="dxa"/>
            <w:noWrap w:val="0"/>
            <w:vAlign w:val="center"/>
          </w:tcPr>
          <w:p w14:paraId="1B5BC93E">
            <w:pPr>
              <w:spacing w:line="0" w:lineRule="atLeast"/>
              <w:ind w:firstLine="120"/>
              <w:jc w:val="center"/>
              <w:rPr>
                <w:sz w:val="24"/>
                <w:szCs w:val="24"/>
                <w:highlight w:val="none"/>
              </w:rPr>
            </w:pPr>
          </w:p>
        </w:tc>
      </w:tr>
      <w:tr w14:paraId="68724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20" w:type="dxa"/>
            <w:noWrap w:val="0"/>
            <w:vAlign w:val="center"/>
          </w:tcPr>
          <w:p w14:paraId="1832B099">
            <w:pPr>
              <w:spacing w:line="0" w:lineRule="atLeast"/>
              <w:ind w:firstLine="120"/>
              <w:jc w:val="center"/>
              <w:rPr>
                <w:sz w:val="24"/>
                <w:szCs w:val="24"/>
                <w:highlight w:val="none"/>
              </w:rPr>
            </w:pPr>
            <w:r>
              <w:rPr>
                <w:rFonts w:hint="eastAsia"/>
                <w:sz w:val="24"/>
                <w:szCs w:val="24"/>
                <w:highlight w:val="none"/>
              </w:rPr>
              <w:t>4</w:t>
            </w:r>
          </w:p>
        </w:tc>
        <w:tc>
          <w:tcPr>
            <w:tcW w:w="1301" w:type="dxa"/>
            <w:noWrap w:val="0"/>
            <w:vAlign w:val="center"/>
          </w:tcPr>
          <w:p w14:paraId="0BBE6DAA">
            <w:pPr>
              <w:spacing w:line="0" w:lineRule="atLeast"/>
              <w:ind w:firstLine="120"/>
              <w:jc w:val="center"/>
              <w:rPr>
                <w:sz w:val="24"/>
                <w:szCs w:val="24"/>
                <w:highlight w:val="none"/>
              </w:rPr>
            </w:pPr>
          </w:p>
        </w:tc>
        <w:tc>
          <w:tcPr>
            <w:tcW w:w="1952" w:type="dxa"/>
            <w:noWrap w:val="0"/>
            <w:vAlign w:val="center"/>
          </w:tcPr>
          <w:p w14:paraId="51BFE4F5">
            <w:pPr>
              <w:spacing w:line="0" w:lineRule="atLeast"/>
              <w:ind w:firstLine="120"/>
              <w:jc w:val="center"/>
              <w:rPr>
                <w:sz w:val="24"/>
                <w:szCs w:val="24"/>
                <w:highlight w:val="none"/>
              </w:rPr>
            </w:pPr>
          </w:p>
        </w:tc>
        <w:tc>
          <w:tcPr>
            <w:tcW w:w="2530" w:type="dxa"/>
            <w:noWrap w:val="0"/>
            <w:vAlign w:val="center"/>
          </w:tcPr>
          <w:p w14:paraId="2B2896A3">
            <w:pPr>
              <w:spacing w:line="0" w:lineRule="atLeast"/>
              <w:ind w:firstLine="120"/>
              <w:jc w:val="center"/>
              <w:rPr>
                <w:sz w:val="24"/>
                <w:szCs w:val="24"/>
                <w:highlight w:val="none"/>
              </w:rPr>
            </w:pPr>
          </w:p>
        </w:tc>
        <w:tc>
          <w:tcPr>
            <w:tcW w:w="2660" w:type="dxa"/>
            <w:noWrap w:val="0"/>
            <w:vAlign w:val="center"/>
          </w:tcPr>
          <w:p w14:paraId="7E71E0B7">
            <w:pPr>
              <w:spacing w:line="0" w:lineRule="atLeast"/>
              <w:ind w:firstLine="120"/>
              <w:jc w:val="center"/>
              <w:rPr>
                <w:sz w:val="24"/>
                <w:szCs w:val="24"/>
                <w:highlight w:val="none"/>
              </w:rPr>
            </w:pPr>
          </w:p>
        </w:tc>
      </w:tr>
      <w:tr w14:paraId="45C62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820" w:type="dxa"/>
            <w:noWrap w:val="0"/>
            <w:vAlign w:val="center"/>
          </w:tcPr>
          <w:p w14:paraId="460B8D78">
            <w:pPr>
              <w:spacing w:line="0" w:lineRule="atLeast"/>
              <w:ind w:firstLine="120"/>
              <w:jc w:val="center"/>
              <w:rPr>
                <w:sz w:val="24"/>
                <w:szCs w:val="24"/>
                <w:highlight w:val="none"/>
              </w:rPr>
            </w:pPr>
            <w:r>
              <w:rPr>
                <w:sz w:val="24"/>
                <w:szCs w:val="24"/>
                <w:highlight w:val="none"/>
              </w:rPr>
              <w:t>…</w:t>
            </w:r>
          </w:p>
        </w:tc>
        <w:tc>
          <w:tcPr>
            <w:tcW w:w="1301" w:type="dxa"/>
            <w:noWrap w:val="0"/>
            <w:vAlign w:val="center"/>
          </w:tcPr>
          <w:p w14:paraId="593DE6BA">
            <w:pPr>
              <w:spacing w:line="0" w:lineRule="atLeast"/>
              <w:ind w:firstLine="120"/>
              <w:jc w:val="center"/>
              <w:rPr>
                <w:sz w:val="24"/>
                <w:szCs w:val="24"/>
                <w:highlight w:val="none"/>
              </w:rPr>
            </w:pPr>
            <w:r>
              <w:rPr>
                <w:sz w:val="24"/>
                <w:szCs w:val="24"/>
                <w:highlight w:val="none"/>
              </w:rPr>
              <w:t>……</w:t>
            </w:r>
          </w:p>
        </w:tc>
        <w:tc>
          <w:tcPr>
            <w:tcW w:w="1952" w:type="dxa"/>
            <w:noWrap w:val="0"/>
            <w:vAlign w:val="center"/>
          </w:tcPr>
          <w:p w14:paraId="159B3AA8">
            <w:pPr>
              <w:spacing w:line="0" w:lineRule="atLeast"/>
              <w:ind w:firstLine="120"/>
              <w:jc w:val="center"/>
              <w:rPr>
                <w:sz w:val="24"/>
                <w:szCs w:val="24"/>
                <w:highlight w:val="none"/>
              </w:rPr>
            </w:pPr>
          </w:p>
        </w:tc>
        <w:tc>
          <w:tcPr>
            <w:tcW w:w="2530" w:type="dxa"/>
            <w:noWrap w:val="0"/>
            <w:vAlign w:val="center"/>
          </w:tcPr>
          <w:p w14:paraId="6D8157DB">
            <w:pPr>
              <w:spacing w:line="0" w:lineRule="atLeast"/>
              <w:ind w:firstLine="120"/>
              <w:jc w:val="center"/>
              <w:rPr>
                <w:sz w:val="24"/>
                <w:szCs w:val="24"/>
                <w:highlight w:val="none"/>
              </w:rPr>
            </w:pPr>
          </w:p>
        </w:tc>
        <w:tc>
          <w:tcPr>
            <w:tcW w:w="2660" w:type="dxa"/>
            <w:noWrap w:val="0"/>
            <w:vAlign w:val="center"/>
          </w:tcPr>
          <w:p w14:paraId="368CECAD">
            <w:pPr>
              <w:spacing w:line="0" w:lineRule="atLeast"/>
              <w:ind w:firstLine="120"/>
              <w:jc w:val="center"/>
              <w:rPr>
                <w:sz w:val="24"/>
                <w:szCs w:val="24"/>
                <w:highlight w:val="none"/>
              </w:rPr>
            </w:pPr>
          </w:p>
        </w:tc>
      </w:tr>
      <w:tr w14:paraId="68F748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820" w:type="dxa"/>
            <w:noWrap w:val="0"/>
            <w:vAlign w:val="top"/>
          </w:tcPr>
          <w:p w14:paraId="13CA4A09">
            <w:pPr>
              <w:ind w:firstLine="120"/>
              <w:jc w:val="center"/>
              <w:rPr>
                <w:sz w:val="24"/>
                <w:szCs w:val="24"/>
                <w:highlight w:val="none"/>
              </w:rPr>
            </w:pPr>
          </w:p>
        </w:tc>
        <w:tc>
          <w:tcPr>
            <w:tcW w:w="8443" w:type="dxa"/>
            <w:gridSpan w:val="4"/>
            <w:noWrap w:val="0"/>
            <w:vAlign w:val="center"/>
          </w:tcPr>
          <w:p w14:paraId="01E6CC18">
            <w:pPr>
              <w:ind w:firstLine="120"/>
              <w:jc w:val="center"/>
              <w:rPr>
                <w:sz w:val="24"/>
                <w:szCs w:val="24"/>
                <w:highlight w:val="none"/>
              </w:rPr>
            </w:pPr>
            <w:r>
              <w:rPr>
                <w:rFonts w:hint="eastAsia"/>
                <w:sz w:val="24"/>
                <w:szCs w:val="24"/>
                <w:highlight w:val="none"/>
              </w:rPr>
              <w:t>投标总报价（人民币：</w:t>
            </w:r>
            <w:r>
              <w:rPr>
                <w:rFonts w:hint="eastAsia"/>
                <w:sz w:val="24"/>
                <w:szCs w:val="24"/>
                <w:highlight w:val="none"/>
                <w:lang w:val="en-US" w:eastAsia="zh-CN"/>
              </w:rPr>
              <w:t xml:space="preserve">      </w:t>
            </w:r>
            <w:r>
              <w:rPr>
                <w:rFonts w:hint="eastAsia"/>
                <w:sz w:val="24"/>
                <w:szCs w:val="24"/>
                <w:highlight w:val="none"/>
              </w:rPr>
              <w:t>元）</w:t>
            </w:r>
          </w:p>
        </w:tc>
      </w:tr>
    </w:tbl>
    <w:p w14:paraId="362BD241">
      <w:pPr>
        <w:ind w:firstLine="120"/>
        <w:rPr>
          <w:b/>
          <w:sz w:val="24"/>
          <w:szCs w:val="24"/>
          <w:highlight w:val="none"/>
        </w:rPr>
      </w:pPr>
      <w:r>
        <w:rPr>
          <w:rFonts w:hint="eastAsia"/>
          <w:sz w:val="24"/>
          <w:szCs w:val="24"/>
          <w:highlight w:val="none"/>
        </w:rPr>
        <w:t xml:space="preserve">                  </w:t>
      </w:r>
    </w:p>
    <w:p w14:paraId="3DD2B397">
      <w:pPr>
        <w:spacing w:line="400" w:lineRule="exact"/>
        <w:ind w:firstLine="120"/>
        <w:rPr>
          <w:sz w:val="24"/>
          <w:szCs w:val="24"/>
          <w:highlight w:val="none"/>
        </w:rPr>
      </w:pPr>
      <w:r>
        <w:rPr>
          <w:rFonts w:hint="eastAsia"/>
          <w:sz w:val="24"/>
          <w:szCs w:val="24"/>
          <w:highlight w:val="none"/>
        </w:rPr>
        <w:t>备注：</w:t>
      </w:r>
    </w:p>
    <w:p w14:paraId="527FEA70">
      <w:pPr>
        <w:spacing w:line="400" w:lineRule="exact"/>
        <w:ind w:firstLine="120"/>
        <w:rPr>
          <w:sz w:val="24"/>
          <w:highlight w:val="none"/>
        </w:rPr>
      </w:pPr>
      <w:r>
        <w:rPr>
          <w:rFonts w:hint="eastAsia"/>
          <w:sz w:val="24"/>
          <w:szCs w:val="24"/>
          <w:highlight w:val="none"/>
        </w:rPr>
        <w:t>1.投标报价</w:t>
      </w:r>
      <w:r>
        <w:rPr>
          <w:rFonts w:hint="eastAsia"/>
          <w:sz w:val="24"/>
          <w:highlight w:val="none"/>
        </w:rPr>
        <w:t>采用总承包方式，“投标总报价”应包括所投</w:t>
      </w:r>
      <w:r>
        <w:rPr>
          <w:rFonts w:hint="eastAsia"/>
          <w:sz w:val="24"/>
          <w:highlight w:val="none"/>
          <w:lang w:val="en-US" w:eastAsia="zh-CN"/>
        </w:rPr>
        <w:t>服务</w:t>
      </w:r>
      <w:r>
        <w:rPr>
          <w:rFonts w:hint="eastAsia"/>
          <w:sz w:val="24"/>
          <w:highlight w:val="none"/>
        </w:rPr>
        <w:t>（包含与</w:t>
      </w:r>
      <w:r>
        <w:rPr>
          <w:rFonts w:hint="eastAsia"/>
          <w:sz w:val="24"/>
          <w:highlight w:val="none"/>
          <w:lang w:val="en-US" w:eastAsia="zh-CN"/>
        </w:rPr>
        <w:t>服务</w:t>
      </w:r>
      <w:r>
        <w:rPr>
          <w:rFonts w:hint="eastAsia"/>
          <w:sz w:val="24"/>
          <w:highlight w:val="none"/>
        </w:rPr>
        <w:t>相关的</w:t>
      </w:r>
      <w:r>
        <w:rPr>
          <w:rFonts w:hint="eastAsia"/>
          <w:sz w:val="24"/>
          <w:highlight w:val="none"/>
          <w:lang w:val="en-US" w:eastAsia="zh-CN"/>
        </w:rPr>
        <w:t>货物</w:t>
      </w:r>
      <w:r>
        <w:rPr>
          <w:rFonts w:hint="eastAsia"/>
          <w:sz w:val="24"/>
          <w:highlight w:val="none"/>
        </w:rPr>
        <w:t>）费用、安装调试费、测试验收费、培训费、运行维护费用、税金、国际（如果</w:t>
      </w:r>
      <w:r>
        <w:rPr>
          <w:sz w:val="24"/>
          <w:highlight w:val="none"/>
        </w:rPr>
        <w:t>有</w:t>
      </w:r>
      <w:r>
        <w:rPr>
          <w:rFonts w:hint="eastAsia"/>
          <w:sz w:val="24"/>
          <w:highlight w:val="none"/>
        </w:rPr>
        <w:t>）国内运输保险、报关清关（如果</w:t>
      </w:r>
      <w:r>
        <w:rPr>
          <w:sz w:val="24"/>
          <w:highlight w:val="none"/>
        </w:rPr>
        <w:t>有</w:t>
      </w:r>
      <w:r>
        <w:rPr>
          <w:rFonts w:hint="eastAsia"/>
          <w:sz w:val="24"/>
          <w:highlight w:val="none"/>
        </w:rPr>
        <w:t>）、开证（如果</w:t>
      </w:r>
      <w:r>
        <w:rPr>
          <w:sz w:val="24"/>
          <w:highlight w:val="none"/>
        </w:rPr>
        <w:t>有</w:t>
      </w:r>
      <w:r>
        <w:rPr>
          <w:rFonts w:hint="eastAsia"/>
          <w:sz w:val="24"/>
          <w:highlight w:val="none"/>
        </w:rPr>
        <w:t>）、办理全套免税手续费用（如果</w:t>
      </w:r>
      <w:r>
        <w:rPr>
          <w:sz w:val="24"/>
          <w:highlight w:val="none"/>
        </w:rPr>
        <w:t>有</w:t>
      </w:r>
      <w:r>
        <w:rPr>
          <w:rFonts w:hint="eastAsia"/>
          <w:sz w:val="24"/>
          <w:highlight w:val="none"/>
        </w:rPr>
        <w:t>）及其他有关的为完成本项目发生的所有费用，招标文件中另有规定的除外。</w:t>
      </w:r>
    </w:p>
    <w:p w14:paraId="780FFDCC">
      <w:pPr>
        <w:spacing w:line="400" w:lineRule="exact"/>
        <w:ind w:firstLine="120"/>
        <w:rPr>
          <w:sz w:val="24"/>
          <w:highlight w:val="none"/>
        </w:rPr>
      </w:pPr>
      <w:r>
        <w:rPr>
          <w:rFonts w:hint="eastAsia"/>
          <w:sz w:val="24"/>
          <w:highlight w:val="none"/>
        </w:rPr>
        <w:t>2.</w:t>
      </w:r>
      <w:r>
        <w:rPr>
          <w:rFonts w:hint="eastAsia"/>
          <w:highlight w:val="none"/>
        </w:rPr>
        <w:t>“</w:t>
      </w:r>
      <w:r>
        <w:rPr>
          <w:rFonts w:hint="eastAsia"/>
          <w:sz w:val="24"/>
          <w:highlight w:val="none"/>
        </w:rPr>
        <w:t>投标分项报价表</w:t>
      </w:r>
      <w:r>
        <w:rPr>
          <w:rFonts w:hint="eastAsia"/>
          <w:highlight w:val="none"/>
        </w:rPr>
        <w:t>”</w:t>
      </w:r>
      <w:r>
        <w:rPr>
          <w:rFonts w:hint="eastAsia"/>
          <w:sz w:val="24"/>
          <w:highlight w:val="none"/>
        </w:rPr>
        <w:t>中“投标总报价”数额应当与“开标一览表”中“投标总报价”数额一致。</w:t>
      </w:r>
    </w:p>
    <w:p w14:paraId="20A89EFA">
      <w:pPr>
        <w:rPr>
          <w:rFonts w:hint="eastAsia" w:ascii="黑体" w:hAnsi="黑体" w:eastAsia="黑体"/>
          <w:b/>
          <w:sz w:val="32"/>
          <w:szCs w:val="32"/>
          <w:highlight w:val="none"/>
        </w:rPr>
      </w:pPr>
      <w:r>
        <w:rPr>
          <w:rFonts w:hint="eastAsia" w:ascii="黑体" w:hAnsi="黑体" w:eastAsia="黑体"/>
          <w:b/>
          <w:sz w:val="32"/>
          <w:szCs w:val="32"/>
          <w:highlight w:val="none"/>
        </w:rPr>
        <w:br w:type="page"/>
      </w:r>
    </w:p>
    <w:p w14:paraId="04F49097">
      <w:pPr>
        <w:ind w:firstLine="161"/>
        <w:jc w:val="center"/>
        <w:rPr>
          <w:rFonts w:ascii="黑体" w:hAnsi="黑体" w:eastAsia="黑体"/>
          <w:b/>
          <w:sz w:val="32"/>
          <w:szCs w:val="32"/>
          <w:highlight w:val="none"/>
        </w:rPr>
      </w:pPr>
      <w:r>
        <w:rPr>
          <w:rFonts w:hint="eastAsia" w:ascii="黑体" w:hAnsi="黑体" w:eastAsia="黑体"/>
          <w:b/>
          <w:sz w:val="32"/>
          <w:szCs w:val="32"/>
          <w:highlight w:val="none"/>
        </w:rPr>
        <w:t>十三、技术要求响应及偏离表（分包号：**）</w:t>
      </w:r>
    </w:p>
    <w:tbl>
      <w:tblPr>
        <w:tblStyle w:val="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5BD04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78FB7CC1">
            <w:pPr>
              <w:ind w:firstLine="120"/>
              <w:jc w:val="center"/>
              <w:rPr>
                <w:sz w:val="24"/>
                <w:szCs w:val="24"/>
                <w:highlight w:val="none"/>
              </w:rPr>
            </w:pPr>
            <w:r>
              <w:rPr>
                <w:rFonts w:hint="eastAsia"/>
                <w:sz w:val="24"/>
                <w:szCs w:val="24"/>
                <w:highlight w:val="none"/>
              </w:rPr>
              <w:t>序号</w:t>
            </w:r>
          </w:p>
        </w:tc>
        <w:tc>
          <w:tcPr>
            <w:tcW w:w="3291" w:type="dxa"/>
            <w:noWrap w:val="0"/>
            <w:vAlign w:val="center"/>
          </w:tcPr>
          <w:p w14:paraId="077DE71E">
            <w:pPr>
              <w:ind w:firstLine="120"/>
              <w:jc w:val="center"/>
              <w:rPr>
                <w:sz w:val="24"/>
                <w:szCs w:val="24"/>
                <w:highlight w:val="none"/>
              </w:rPr>
            </w:pPr>
            <w:r>
              <w:rPr>
                <w:rFonts w:hint="eastAsia"/>
                <w:sz w:val="24"/>
                <w:szCs w:val="24"/>
                <w:highlight w:val="none"/>
              </w:rPr>
              <w:t>招标文件要求</w:t>
            </w:r>
          </w:p>
        </w:tc>
        <w:tc>
          <w:tcPr>
            <w:tcW w:w="2852" w:type="dxa"/>
            <w:noWrap w:val="0"/>
            <w:vAlign w:val="center"/>
          </w:tcPr>
          <w:p w14:paraId="74821526">
            <w:pPr>
              <w:ind w:firstLine="120"/>
              <w:jc w:val="center"/>
              <w:rPr>
                <w:sz w:val="24"/>
                <w:szCs w:val="24"/>
                <w:highlight w:val="none"/>
              </w:rPr>
            </w:pPr>
            <w:r>
              <w:rPr>
                <w:rFonts w:hint="eastAsia"/>
                <w:sz w:val="24"/>
                <w:szCs w:val="24"/>
                <w:highlight w:val="none"/>
              </w:rPr>
              <w:t>投标响应情况</w:t>
            </w:r>
          </w:p>
        </w:tc>
        <w:tc>
          <w:tcPr>
            <w:tcW w:w="1308" w:type="dxa"/>
            <w:noWrap w:val="0"/>
            <w:vAlign w:val="center"/>
          </w:tcPr>
          <w:p w14:paraId="373A5D8C">
            <w:pPr>
              <w:ind w:firstLine="120"/>
              <w:jc w:val="center"/>
              <w:rPr>
                <w:sz w:val="24"/>
                <w:szCs w:val="24"/>
                <w:highlight w:val="none"/>
              </w:rPr>
            </w:pPr>
            <w:r>
              <w:rPr>
                <w:rFonts w:hint="eastAsia"/>
                <w:sz w:val="24"/>
                <w:szCs w:val="24"/>
                <w:highlight w:val="none"/>
              </w:rPr>
              <w:t>超出、符合或偏离</w:t>
            </w:r>
          </w:p>
        </w:tc>
        <w:tc>
          <w:tcPr>
            <w:tcW w:w="1173" w:type="dxa"/>
            <w:noWrap w:val="0"/>
            <w:vAlign w:val="center"/>
          </w:tcPr>
          <w:p w14:paraId="37B694EF">
            <w:pPr>
              <w:ind w:firstLine="120"/>
              <w:jc w:val="center"/>
              <w:rPr>
                <w:sz w:val="24"/>
                <w:szCs w:val="24"/>
                <w:highlight w:val="none"/>
              </w:rPr>
            </w:pPr>
            <w:r>
              <w:rPr>
                <w:rFonts w:hint="eastAsia"/>
                <w:sz w:val="24"/>
                <w:szCs w:val="24"/>
                <w:highlight w:val="none"/>
              </w:rPr>
              <w:t>证明</w:t>
            </w:r>
          </w:p>
          <w:p w14:paraId="17E2491E">
            <w:pPr>
              <w:ind w:firstLine="120"/>
              <w:jc w:val="center"/>
              <w:rPr>
                <w:sz w:val="24"/>
                <w:szCs w:val="24"/>
                <w:highlight w:val="none"/>
              </w:rPr>
            </w:pPr>
            <w:r>
              <w:rPr>
                <w:rFonts w:hint="eastAsia"/>
                <w:sz w:val="24"/>
                <w:szCs w:val="24"/>
                <w:highlight w:val="none"/>
              </w:rPr>
              <w:t>材料</w:t>
            </w:r>
          </w:p>
        </w:tc>
      </w:tr>
      <w:tr w14:paraId="3B671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851C236">
            <w:pPr>
              <w:ind w:firstLine="120"/>
              <w:jc w:val="center"/>
              <w:rPr>
                <w:sz w:val="24"/>
                <w:szCs w:val="24"/>
                <w:highlight w:val="none"/>
              </w:rPr>
            </w:pPr>
          </w:p>
        </w:tc>
        <w:tc>
          <w:tcPr>
            <w:tcW w:w="3291" w:type="dxa"/>
            <w:noWrap w:val="0"/>
            <w:vAlign w:val="top"/>
          </w:tcPr>
          <w:p w14:paraId="45030C3D">
            <w:pPr>
              <w:ind w:firstLine="120"/>
              <w:jc w:val="center"/>
              <w:rPr>
                <w:sz w:val="24"/>
                <w:szCs w:val="24"/>
                <w:highlight w:val="none"/>
              </w:rPr>
            </w:pPr>
          </w:p>
        </w:tc>
        <w:tc>
          <w:tcPr>
            <w:tcW w:w="2852" w:type="dxa"/>
            <w:noWrap w:val="0"/>
            <w:vAlign w:val="top"/>
          </w:tcPr>
          <w:p w14:paraId="19830AE4">
            <w:pPr>
              <w:ind w:firstLine="120"/>
              <w:jc w:val="center"/>
              <w:rPr>
                <w:sz w:val="24"/>
                <w:szCs w:val="24"/>
                <w:highlight w:val="none"/>
              </w:rPr>
            </w:pPr>
          </w:p>
        </w:tc>
        <w:tc>
          <w:tcPr>
            <w:tcW w:w="1308" w:type="dxa"/>
            <w:noWrap w:val="0"/>
            <w:vAlign w:val="top"/>
          </w:tcPr>
          <w:p w14:paraId="4E9D4DF1">
            <w:pPr>
              <w:ind w:firstLine="120"/>
              <w:jc w:val="center"/>
              <w:rPr>
                <w:sz w:val="24"/>
                <w:szCs w:val="24"/>
                <w:highlight w:val="none"/>
              </w:rPr>
            </w:pPr>
          </w:p>
        </w:tc>
        <w:tc>
          <w:tcPr>
            <w:tcW w:w="1173" w:type="dxa"/>
            <w:noWrap w:val="0"/>
            <w:vAlign w:val="top"/>
          </w:tcPr>
          <w:p w14:paraId="375242A0">
            <w:pPr>
              <w:ind w:firstLine="120"/>
              <w:jc w:val="center"/>
              <w:rPr>
                <w:sz w:val="24"/>
                <w:szCs w:val="24"/>
                <w:highlight w:val="none"/>
              </w:rPr>
            </w:pPr>
          </w:p>
        </w:tc>
      </w:tr>
      <w:tr w14:paraId="49097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42C365C">
            <w:pPr>
              <w:ind w:firstLine="120"/>
              <w:jc w:val="center"/>
              <w:rPr>
                <w:sz w:val="24"/>
                <w:szCs w:val="24"/>
                <w:highlight w:val="none"/>
              </w:rPr>
            </w:pPr>
          </w:p>
        </w:tc>
        <w:tc>
          <w:tcPr>
            <w:tcW w:w="3291" w:type="dxa"/>
            <w:noWrap w:val="0"/>
            <w:vAlign w:val="top"/>
          </w:tcPr>
          <w:p w14:paraId="5869D7EE">
            <w:pPr>
              <w:ind w:firstLine="120"/>
              <w:jc w:val="center"/>
              <w:rPr>
                <w:sz w:val="24"/>
                <w:szCs w:val="24"/>
                <w:highlight w:val="none"/>
              </w:rPr>
            </w:pPr>
          </w:p>
        </w:tc>
        <w:tc>
          <w:tcPr>
            <w:tcW w:w="2852" w:type="dxa"/>
            <w:noWrap w:val="0"/>
            <w:vAlign w:val="top"/>
          </w:tcPr>
          <w:p w14:paraId="1B6760DC">
            <w:pPr>
              <w:ind w:firstLine="120"/>
              <w:jc w:val="center"/>
              <w:rPr>
                <w:sz w:val="24"/>
                <w:szCs w:val="24"/>
                <w:highlight w:val="none"/>
              </w:rPr>
            </w:pPr>
          </w:p>
        </w:tc>
        <w:tc>
          <w:tcPr>
            <w:tcW w:w="1308" w:type="dxa"/>
            <w:noWrap w:val="0"/>
            <w:vAlign w:val="top"/>
          </w:tcPr>
          <w:p w14:paraId="448CC010">
            <w:pPr>
              <w:ind w:firstLine="120"/>
              <w:jc w:val="center"/>
              <w:rPr>
                <w:sz w:val="24"/>
                <w:szCs w:val="24"/>
                <w:highlight w:val="none"/>
              </w:rPr>
            </w:pPr>
          </w:p>
        </w:tc>
        <w:tc>
          <w:tcPr>
            <w:tcW w:w="1173" w:type="dxa"/>
            <w:noWrap w:val="0"/>
            <w:vAlign w:val="top"/>
          </w:tcPr>
          <w:p w14:paraId="2155120D">
            <w:pPr>
              <w:ind w:firstLine="120"/>
              <w:jc w:val="center"/>
              <w:rPr>
                <w:sz w:val="24"/>
                <w:szCs w:val="24"/>
                <w:highlight w:val="none"/>
              </w:rPr>
            </w:pPr>
          </w:p>
        </w:tc>
      </w:tr>
      <w:tr w14:paraId="39038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0E30CDB">
            <w:pPr>
              <w:ind w:firstLine="120"/>
              <w:jc w:val="center"/>
              <w:rPr>
                <w:sz w:val="24"/>
                <w:szCs w:val="24"/>
                <w:highlight w:val="none"/>
              </w:rPr>
            </w:pPr>
          </w:p>
        </w:tc>
        <w:tc>
          <w:tcPr>
            <w:tcW w:w="3291" w:type="dxa"/>
            <w:noWrap w:val="0"/>
            <w:vAlign w:val="top"/>
          </w:tcPr>
          <w:p w14:paraId="3478A8C2">
            <w:pPr>
              <w:ind w:firstLine="120"/>
              <w:jc w:val="center"/>
              <w:rPr>
                <w:sz w:val="24"/>
                <w:szCs w:val="24"/>
                <w:highlight w:val="none"/>
              </w:rPr>
            </w:pPr>
          </w:p>
        </w:tc>
        <w:tc>
          <w:tcPr>
            <w:tcW w:w="2852" w:type="dxa"/>
            <w:noWrap w:val="0"/>
            <w:vAlign w:val="top"/>
          </w:tcPr>
          <w:p w14:paraId="13339D21">
            <w:pPr>
              <w:ind w:firstLine="120"/>
              <w:jc w:val="center"/>
              <w:rPr>
                <w:sz w:val="24"/>
                <w:szCs w:val="24"/>
                <w:highlight w:val="none"/>
              </w:rPr>
            </w:pPr>
          </w:p>
        </w:tc>
        <w:tc>
          <w:tcPr>
            <w:tcW w:w="1308" w:type="dxa"/>
            <w:noWrap w:val="0"/>
            <w:vAlign w:val="top"/>
          </w:tcPr>
          <w:p w14:paraId="5C29FB2F">
            <w:pPr>
              <w:ind w:firstLine="120"/>
              <w:jc w:val="center"/>
              <w:rPr>
                <w:sz w:val="24"/>
                <w:szCs w:val="24"/>
                <w:highlight w:val="none"/>
              </w:rPr>
            </w:pPr>
          </w:p>
        </w:tc>
        <w:tc>
          <w:tcPr>
            <w:tcW w:w="1173" w:type="dxa"/>
            <w:noWrap w:val="0"/>
            <w:vAlign w:val="top"/>
          </w:tcPr>
          <w:p w14:paraId="5028F080">
            <w:pPr>
              <w:ind w:firstLine="120"/>
              <w:jc w:val="center"/>
              <w:rPr>
                <w:sz w:val="24"/>
                <w:szCs w:val="24"/>
                <w:highlight w:val="none"/>
              </w:rPr>
            </w:pPr>
          </w:p>
        </w:tc>
      </w:tr>
      <w:tr w14:paraId="1FB41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0DE1955">
            <w:pPr>
              <w:ind w:firstLine="120"/>
              <w:jc w:val="center"/>
              <w:rPr>
                <w:sz w:val="24"/>
                <w:szCs w:val="24"/>
                <w:highlight w:val="none"/>
              </w:rPr>
            </w:pPr>
          </w:p>
        </w:tc>
        <w:tc>
          <w:tcPr>
            <w:tcW w:w="3291" w:type="dxa"/>
            <w:noWrap w:val="0"/>
            <w:vAlign w:val="top"/>
          </w:tcPr>
          <w:p w14:paraId="4E33ACE1">
            <w:pPr>
              <w:ind w:firstLine="120"/>
              <w:jc w:val="center"/>
              <w:rPr>
                <w:sz w:val="24"/>
                <w:szCs w:val="24"/>
                <w:highlight w:val="none"/>
              </w:rPr>
            </w:pPr>
          </w:p>
        </w:tc>
        <w:tc>
          <w:tcPr>
            <w:tcW w:w="2852" w:type="dxa"/>
            <w:noWrap w:val="0"/>
            <w:vAlign w:val="top"/>
          </w:tcPr>
          <w:p w14:paraId="2000FA75">
            <w:pPr>
              <w:ind w:firstLine="120"/>
              <w:jc w:val="center"/>
              <w:rPr>
                <w:sz w:val="24"/>
                <w:szCs w:val="24"/>
                <w:highlight w:val="none"/>
              </w:rPr>
            </w:pPr>
          </w:p>
        </w:tc>
        <w:tc>
          <w:tcPr>
            <w:tcW w:w="1308" w:type="dxa"/>
            <w:noWrap w:val="0"/>
            <w:vAlign w:val="top"/>
          </w:tcPr>
          <w:p w14:paraId="4714B219">
            <w:pPr>
              <w:ind w:firstLine="120"/>
              <w:jc w:val="center"/>
              <w:rPr>
                <w:sz w:val="24"/>
                <w:szCs w:val="24"/>
                <w:highlight w:val="none"/>
              </w:rPr>
            </w:pPr>
          </w:p>
        </w:tc>
        <w:tc>
          <w:tcPr>
            <w:tcW w:w="1173" w:type="dxa"/>
            <w:noWrap w:val="0"/>
            <w:vAlign w:val="top"/>
          </w:tcPr>
          <w:p w14:paraId="1F766CD7">
            <w:pPr>
              <w:ind w:firstLine="120"/>
              <w:jc w:val="center"/>
              <w:rPr>
                <w:sz w:val="24"/>
                <w:szCs w:val="24"/>
                <w:highlight w:val="none"/>
              </w:rPr>
            </w:pPr>
          </w:p>
        </w:tc>
      </w:tr>
      <w:tr w14:paraId="07D53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7C8FBCB7">
            <w:pPr>
              <w:ind w:firstLine="120"/>
              <w:jc w:val="center"/>
              <w:rPr>
                <w:sz w:val="24"/>
                <w:szCs w:val="24"/>
                <w:highlight w:val="none"/>
              </w:rPr>
            </w:pPr>
          </w:p>
        </w:tc>
        <w:tc>
          <w:tcPr>
            <w:tcW w:w="3291" w:type="dxa"/>
            <w:noWrap w:val="0"/>
            <w:vAlign w:val="top"/>
          </w:tcPr>
          <w:p w14:paraId="2E0DB8A9">
            <w:pPr>
              <w:ind w:firstLine="120"/>
              <w:jc w:val="center"/>
              <w:rPr>
                <w:sz w:val="24"/>
                <w:szCs w:val="24"/>
                <w:highlight w:val="none"/>
              </w:rPr>
            </w:pPr>
          </w:p>
        </w:tc>
        <w:tc>
          <w:tcPr>
            <w:tcW w:w="2852" w:type="dxa"/>
            <w:noWrap w:val="0"/>
            <w:vAlign w:val="top"/>
          </w:tcPr>
          <w:p w14:paraId="585F1ADA">
            <w:pPr>
              <w:ind w:firstLine="120"/>
              <w:jc w:val="center"/>
              <w:rPr>
                <w:sz w:val="24"/>
                <w:szCs w:val="24"/>
                <w:highlight w:val="none"/>
              </w:rPr>
            </w:pPr>
          </w:p>
        </w:tc>
        <w:tc>
          <w:tcPr>
            <w:tcW w:w="1308" w:type="dxa"/>
            <w:noWrap w:val="0"/>
            <w:vAlign w:val="top"/>
          </w:tcPr>
          <w:p w14:paraId="13DE05CF">
            <w:pPr>
              <w:ind w:firstLine="120"/>
              <w:jc w:val="center"/>
              <w:rPr>
                <w:sz w:val="24"/>
                <w:szCs w:val="24"/>
                <w:highlight w:val="none"/>
              </w:rPr>
            </w:pPr>
          </w:p>
        </w:tc>
        <w:tc>
          <w:tcPr>
            <w:tcW w:w="1173" w:type="dxa"/>
            <w:noWrap w:val="0"/>
            <w:vAlign w:val="top"/>
          </w:tcPr>
          <w:p w14:paraId="4824125D">
            <w:pPr>
              <w:ind w:firstLine="120"/>
              <w:jc w:val="center"/>
              <w:rPr>
                <w:sz w:val="24"/>
                <w:szCs w:val="24"/>
                <w:highlight w:val="none"/>
              </w:rPr>
            </w:pPr>
          </w:p>
        </w:tc>
      </w:tr>
      <w:tr w14:paraId="42DF9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8B79396">
            <w:pPr>
              <w:ind w:firstLine="120"/>
              <w:jc w:val="center"/>
              <w:rPr>
                <w:sz w:val="24"/>
                <w:szCs w:val="24"/>
                <w:highlight w:val="none"/>
              </w:rPr>
            </w:pPr>
          </w:p>
        </w:tc>
        <w:tc>
          <w:tcPr>
            <w:tcW w:w="3291" w:type="dxa"/>
            <w:noWrap w:val="0"/>
            <w:vAlign w:val="top"/>
          </w:tcPr>
          <w:p w14:paraId="5FB20191">
            <w:pPr>
              <w:ind w:firstLine="120"/>
              <w:jc w:val="center"/>
              <w:rPr>
                <w:sz w:val="24"/>
                <w:szCs w:val="24"/>
                <w:highlight w:val="none"/>
              </w:rPr>
            </w:pPr>
          </w:p>
        </w:tc>
        <w:tc>
          <w:tcPr>
            <w:tcW w:w="2852" w:type="dxa"/>
            <w:noWrap w:val="0"/>
            <w:vAlign w:val="top"/>
          </w:tcPr>
          <w:p w14:paraId="6C525D3A">
            <w:pPr>
              <w:ind w:firstLine="120"/>
              <w:jc w:val="center"/>
              <w:rPr>
                <w:sz w:val="24"/>
                <w:szCs w:val="24"/>
                <w:highlight w:val="none"/>
              </w:rPr>
            </w:pPr>
          </w:p>
        </w:tc>
        <w:tc>
          <w:tcPr>
            <w:tcW w:w="1308" w:type="dxa"/>
            <w:noWrap w:val="0"/>
            <w:vAlign w:val="top"/>
          </w:tcPr>
          <w:p w14:paraId="58716D88">
            <w:pPr>
              <w:ind w:firstLine="120"/>
              <w:jc w:val="center"/>
              <w:rPr>
                <w:sz w:val="24"/>
                <w:szCs w:val="24"/>
                <w:highlight w:val="none"/>
              </w:rPr>
            </w:pPr>
          </w:p>
        </w:tc>
        <w:tc>
          <w:tcPr>
            <w:tcW w:w="1173" w:type="dxa"/>
            <w:noWrap w:val="0"/>
            <w:vAlign w:val="top"/>
          </w:tcPr>
          <w:p w14:paraId="56742A46">
            <w:pPr>
              <w:ind w:firstLine="120"/>
              <w:jc w:val="center"/>
              <w:rPr>
                <w:sz w:val="24"/>
                <w:szCs w:val="24"/>
                <w:highlight w:val="none"/>
              </w:rPr>
            </w:pPr>
          </w:p>
        </w:tc>
      </w:tr>
      <w:tr w14:paraId="1B71D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73745A7">
            <w:pPr>
              <w:ind w:firstLine="120"/>
              <w:jc w:val="center"/>
              <w:rPr>
                <w:sz w:val="24"/>
                <w:szCs w:val="24"/>
                <w:highlight w:val="none"/>
              </w:rPr>
            </w:pPr>
          </w:p>
        </w:tc>
        <w:tc>
          <w:tcPr>
            <w:tcW w:w="3291" w:type="dxa"/>
            <w:noWrap w:val="0"/>
            <w:vAlign w:val="top"/>
          </w:tcPr>
          <w:p w14:paraId="5CF83FEE">
            <w:pPr>
              <w:ind w:firstLine="120"/>
              <w:jc w:val="center"/>
              <w:rPr>
                <w:sz w:val="24"/>
                <w:szCs w:val="24"/>
                <w:highlight w:val="none"/>
              </w:rPr>
            </w:pPr>
          </w:p>
        </w:tc>
        <w:tc>
          <w:tcPr>
            <w:tcW w:w="2852" w:type="dxa"/>
            <w:noWrap w:val="0"/>
            <w:vAlign w:val="top"/>
          </w:tcPr>
          <w:p w14:paraId="338B9C73">
            <w:pPr>
              <w:ind w:firstLine="120"/>
              <w:jc w:val="center"/>
              <w:rPr>
                <w:sz w:val="24"/>
                <w:szCs w:val="24"/>
                <w:highlight w:val="none"/>
              </w:rPr>
            </w:pPr>
          </w:p>
        </w:tc>
        <w:tc>
          <w:tcPr>
            <w:tcW w:w="1308" w:type="dxa"/>
            <w:noWrap w:val="0"/>
            <w:vAlign w:val="top"/>
          </w:tcPr>
          <w:p w14:paraId="4D817A17">
            <w:pPr>
              <w:ind w:firstLine="120"/>
              <w:jc w:val="center"/>
              <w:rPr>
                <w:sz w:val="24"/>
                <w:szCs w:val="24"/>
                <w:highlight w:val="none"/>
              </w:rPr>
            </w:pPr>
          </w:p>
        </w:tc>
        <w:tc>
          <w:tcPr>
            <w:tcW w:w="1173" w:type="dxa"/>
            <w:noWrap w:val="0"/>
            <w:vAlign w:val="top"/>
          </w:tcPr>
          <w:p w14:paraId="07801CD5">
            <w:pPr>
              <w:ind w:firstLine="120"/>
              <w:jc w:val="center"/>
              <w:rPr>
                <w:sz w:val="24"/>
                <w:szCs w:val="24"/>
                <w:highlight w:val="none"/>
              </w:rPr>
            </w:pPr>
          </w:p>
        </w:tc>
      </w:tr>
      <w:tr w14:paraId="3EBEC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A3E8459">
            <w:pPr>
              <w:ind w:firstLine="120"/>
              <w:jc w:val="center"/>
              <w:rPr>
                <w:sz w:val="24"/>
                <w:szCs w:val="24"/>
                <w:highlight w:val="none"/>
              </w:rPr>
            </w:pPr>
          </w:p>
        </w:tc>
        <w:tc>
          <w:tcPr>
            <w:tcW w:w="3291" w:type="dxa"/>
            <w:noWrap w:val="0"/>
            <w:vAlign w:val="top"/>
          </w:tcPr>
          <w:p w14:paraId="16F3A81E">
            <w:pPr>
              <w:ind w:firstLine="120"/>
              <w:jc w:val="center"/>
              <w:rPr>
                <w:sz w:val="24"/>
                <w:szCs w:val="24"/>
                <w:highlight w:val="none"/>
              </w:rPr>
            </w:pPr>
            <w:r>
              <w:rPr>
                <w:sz w:val="24"/>
                <w:szCs w:val="24"/>
                <w:highlight w:val="none"/>
              </w:rPr>
              <w:t>……</w:t>
            </w:r>
          </w:p>
        </w:tc>
        <w:tc>
          <w:tcPr>
            <w:tcW w:w="2852" w:type="dxa"/>
            <w:noWrap w:val="0"/>
            <w:vAlign w:val="top"/>
          </w:tcPr>
          <w:p w14:paraId="11B221F5">
            <w:pPr>
              <w:ind w:firstLine="120"/>
              <w:jc w:val="center"/>
              <w:rPr>
                <w:sz w:val="24"/>
                <w:szCs w:val="24"/>
                <w:highlight w:val="none"/>
              </w:rPr>
            </w:pPr>
          </w:p>
        </w:tc>
        <w:tc>
          <w:tcPr>
            <w:tcW w:w="1308" w:type="dxa"/>
            <w:noWrap w:val="0"/>
            <w:vAlign w:val="top"/>
          </w:tcPr>
          <w:p w14:paraId="5D42AB60">
            <w:pPr>
              <w:ind w:firstLine="120"/>
              <w:jc w:val="center"/>
              <w:rPr>
                <w:sz w:val="24"/>
                <w:szCs w:val="24"/>
                <w:highlight w:val="none"/>
              </w:rPr>
            </w:pPr>
          </w:p>
        </w:tc>
        <w:tc>
          <w:tcPr>
            <w:tcW w:w="1173" w:type="dxa"/>
            <w:noWrap w:val="0"/>
            <w:vAlign w:val="top"/>
          </w:tcPr>
          <w:p w14:paraId="3835F441">
            <w:pPr>
              <w:ind w:firstLine="120"/>
              <w:jc w:val="center"/>
              <w:rPr>
                <w:sz w:val="24"/>
                <w:szCs w:val="24"/>
                <w:highlight w:val="none"/>
              </w:rPr>
            </w:pPr>
          </w:p>
        </w:tc>
      </w:tr>
    </w:tbl>
    <w:p w14:paraId="265D3CCB">
      <w:pPr>
        <w:ind w:firstLine="120"/>
        <w:rPr>
          <w:sz w:val="24"/>
          <w:szCs w:val="24"/>
          <w:highlight w:val="none"/>
        </w:rPr>
      </w:pPr>
      <w:r>
        <w:rPr>
          <w:rFonts w:hint="eastAsia"/>
          <w:sz w:val="24"/>
          <w:szCs w:val="24"/>
          <w:highlight w:val="none"/>
        </w:rPr>
        <w:t>注： 行数不够，可自行添加。</w:t>
      </w:r>
    </w:p>
    <w:bookmarkEnd w:id="66"/>
    <w:p w14:paraId="694A3D60">
      <w:pPr>
        <w:rPr>
          <w:rFonts w:hint="eastAsia" w:ascii="黑体" w:hAnsi="黑体" w:eastAsia="黑体"/>
          <w:b/>
          <w:sz w:val="32"/>
          <w:szCs w:val="32"/>
          <w:highlight w:val="none"/>
        </w:rPr>
      </w:pPr>
      <w:bookmarkStart w:id="72" w:name="_Hlt26955054"/>
      <w:bookmarkEnd w:id="72"/>
      <w:r>
        <w:rPr>
          <w:rFonts w:hint="eastAsia" w:ascii="黑体" w:hAnsi="黑体" w:eastAsia="黑体"/>
          <w:b/>
          <w:sz w:val="32"/>
          <w:szCs w:val="32"/>
          <w:highlight w:val="none"/>
        </w:rPr>
        <w:br w:type="page"/>
      </w:r>
    </w:p>
    <w:p w14:paraId="42971943">
      <w:pPr>
        <w:ind w:firstLine="161"/>
        <w:jc w:val="center"/>
        <w:rPr>
          <w:rFonts w:ascii="黑体" w:hAnsi="黑体" w:eastAsia="黑体"/>
          <w:b/>
          <w:sz w:val="32"/>
          <w:szCs w:val="32"/>
          <w:highlight w:val="none"/>
        </w:rPr>
      </w:pPr>
      <w:r>
        <w:rPr>
          <w:rFonts w:hint="eastAsia" w:ascii="黑体" w:hAnsi="黑体" w:eastAsia="黑体"/>
          <w:b/>
          <w:sz w:val="32"/>
          <w:szCs w:val="32"/>
          <w:highlight w:val="none"/>
        </w:rPr>
        <w:t>十四、商务要求响应及偏离表（分包号：**）</w:t>
      </w:r>
    </w:p>
    <w:tbl>
      <w:tblPr>
        <w:tblStyle w:val="9"/>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194A9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noWrap w:val="0"/>
            <w:vAlign w:val="center"/>
          </w:tcPr>
          <w:p w14:paraId="214290C4">
            <w:pPr>
              <w:ind w:firstLine="120"/>
              <w:jc w:val="center"/>
              <w:rPr>
                <w:sz w:val="24"/>
                <w:szCs w:val="24"/>
                <w:highlight w:val="none"/>
              </w:rPr>
            </w:pPr>
            <w:bookmarkStart w:id="73" w:name="_Hlt26609391"/>
            <w:bookmarkEnd w:id="73"/>
            <w:bookmarkStart w:id="74" w:name="_Hlt26671372"/>
            <w:bookmarkEnd w:id="74"/>
            <w:bookmarkStart w:id="75" w:name="_Hlt26671343"/>
            <w:bookmarkEnd w:id="75"/>
            <w:bookmarkStart w:id="76" w:name="_Hlt24879081"/>
            <w:bookmarkEnd w:id="76"/>
            <w:bookmarkStart w:id="77" w:name="_Hlt26580838"/>
            <w:bookmarkEnd w:id="77"/>
            <w:bookmarkStart w:id="78" w:name="_Hlt26782999"/>
            <w:bookmarkEnd w:id="78"/>
            <w:bookmarkStart w:id="79" w:name="_Hlt26955056"/>
            <w:bookmarkEnd w:id="79"/>
            <w:bookmarkStart w:id="80" w:name="_Hlt26955064"/>
            <w:bookmarkEnd w:id="80"/>
            <w:r>
              <w:rPr>
                <w:rFonts w:hint="eastAsia"/>
                <w:sz w:val="24"/>
                <w:szCs w:val="24"/>
                <w:highlight w:val="none"/>
              </w:rPr>
              <w:t>序号</w:t>
            </w:r>
          </w:p>
        </w:tc>
        <w:tc>
          <w:tcPr>
            <w:tcW w:w="2688" w:type="dxa"/>
            <w:noWrap w:val="0"/>
            <w:vAlign w:val="center"/>
          </w:tcPr>
          <w:p w14:paraId="559CF279">
            <w:pPr>
              <w:ind w:firstLine="120"/>
              <w:jc w:val="center"/>
              <w:rPr>
                <w:sz w:val="24"/>
                <w:szCs w:val="24"/>
                <w:highlight w:val="none"/>
              </w:rPr>
            </w:pPr>
            <w:r>
              <w:rPr>
                <w:rFonts w:hint="eastAsia"/>
                <w:sz w:val="24"/>
                <w:szCs w:val="24"/>
                <w:highlight w:val="none"/>
              </w:rPr>
              <w:t>招标文件要求</w:t>
            </w:r>
          </w:p>
        </w:tc>
        <w:tc>
          <w:tcPr>
            <w:tcW w:w="2883" w:type="dxa"/>
            <w:noWrap w:val="0"/>
            <w:vAlign w:val="center"/>
          </w:tcPr>
          <w:p w14:paraId="5564E4DF">
            <w:pPr>
              <w:ind w:firstLine="120"/>
              <w:jc w:val="center"/>
              <w:rPr>
                <w:sz w:val="24"/>
                <w:szCs w:val="24"/>
                <w:highlight w:val="none"/>
              </w:rPr>
            </w:pPr>
            <w:r>
              <w:rPr>
                <w:rFonts w:hint="eastAsia"/>
                <w:sz w:val="24"/>
                <w:szCs w:val="24"/>
                <w:highlight w:val="none"/>
              </w:rPr>
              <w:t>投标响应情况</w:t>
            </w:r>
          </w:p>
        </w:tc>
        <w:tc>
          <w:tcPr>
            <w:tcW w:w="1302" w:type="dxa"/>
            <w:noWrap w:val="0"/>
            <w:vAlign w:val="center"/>
          </w:tcPr>
          <w:p w14:paraId="25B3DDED">
            <w:pPr>
              <w:ind w:firstLine="120"/>
              <w:jc w:val="center"/>
              <w:rPr>
                <w:sz w:val="24"/>
                <w:szCs w:val="24"/>
                <w:highlight w:val="none"/>
              </w:rPr>
            </w:pPr>
            <w:r>
              <w:rPr>
                <w:rFonts w:hint="eastAsia"/>
                <w:sz w:val="24"/>
                <w:szCs w:val="24"/>
                <w:highlight w:val="none"/>
              </w:rPr>
              <w:t>超出、符合或偏离</w:t>
            </w:r>
          </w:p>
        </w:tc>
        <w:tc>
          <w:tcPr>
            <w:tcW w:w="1614" w:type="dxa"/>
            <w:noWrap w:val="0"/>
            <w:vAlign w:val="center"/>
          </w:tcPr>
          <w:p w14:paraId="4DC8E0AD">
            <w:pPr>
              <w:ind w:firstLine="120"/>
              <w:jc w:val="center"/>
              <w:rPr>
                <w:sz w:val="24"/>
                <w:szCs w:val="24"/>
                <w:highlight w:val="none"/>
              </w:rPr>
            </w:pPr>
            <w:r>
              <w:rPr>
                <w:rFonts w:hint="eastAsia"/>
                <w:sz w:val="24"/>
                <w:szCs w:val="24"/>
                <w:highlight w:val="none"/>
              </w:rPr>
              <w:t>证明</w:t>
            </w:r>
          </w:p>
          <w:p w14:paraId="03F68314">
            <w:pPr>
              <w:ind w:firstLine="120"/>
              <w:jc w:val="center"/>
              <w:rPr>
                <w:sz w:val="24"/>
                <w:szCs w:val="24"/>
                <w:highlight w:val="none"/>
              </w:rPr>
            </w:pPr>
            <w:r>
              <w:rPr>
                <w:rFonts w:hint="eastAsia"/>
                <w:sz w:val="24"/>
                <w:szCs w:val="24"/>
                <w:highlight w:val="none"/>
              </w:rPr>
              <w:t>材料</w:t>
            </w:r>
          </w:p>
        </w:tc>
      </w:tr>
      <w:tr w14:paraId="625BB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459BE1B2">
            <w:pPr>
              <w:ind w:firstLine="120"/>
              <w:jc w:val="center"/>
              <w:rPr>
                <w:sz w:val="24"/>
                <w:szCs w:val="24"/>
                <w:highlight w:val="none"/>
              </w:rPr>
            </w:pPr>
          </w:p>
        </w:tc>
        <w:tc>
          <w:tcPr>
            <w:tcW w:w="2688" w:type="dxa"/>
            <w:noWrap w:val="0"/>
            <w:vAlign w:val="top"/>
          </w:tcPr>
          <w:p w14:paraId="3E25CE4B">
            <w:pPr>
              <w:ind w:firstLine="120"/>
              <w:jc w:val="center"/>
              <w:rPr>
                <w:sz w:val="24"/>
                <w:szCs w:val="24"/>
                <w:highlight w:val="none"/>
              </w:rPr>
            </w:pPr>
          </w:p>
        </w:tc>
        <w:tc>
          <w:tcPr>
            <w:tcW w:w="2883" w:type="dxa"/>
            <w:noWrap w:val="0"/>
            <w:vAlign w:val="top"/>
          </w:tcPr>
          <w:p w14:paraId="25FA88BA">
            <w:pPr>
              <w:ind w:firstLine="120"/>
              <w:jc w:val="center"/>
              <w:rPr>
                <w:sz w:val="24"/>
                <w:szCs w:val="24"/>
                <w:highlight w:val="none"/>
              </w:rPr>
            </w:pPr>
          </w:p>
        </w:tc>
        <w:tc>
          <w:tcPr>
            <w:tcW w:w="1302" w:type="dxa"/>
            <w:noWrap w:val="0"/>
            <w:vAlign w:val="top"/>
          </w:tcPr>
          <w:p w14:paraId="11448B41">
            <w:pPr>
              <w:ind w:firstLine="120"/>
              <w:jc w:val="center"/>
              <w:rPr>
                <w:sz w:val="24"/>
                <w:szCs w:val="24"/>
                <w:highlight w:val="none"/>
              </w:rPr>
            </w:pPr>
          </w:p>
        </w:tc>
        <w:tc>
          <w:tcPr>
            <w:tcW w:w="1614" w:type="dxa"/>
            <w:noWrap w:val="0"/>
            <w:vAlign w:val="top"/>
          </w:tcPr>
          <w:p w14:paraId="572BC2BA">
            <w:pPr>
              <w:ind w:firstLine="120"/>
              <w:jc w:val="center"/>
              <w:rPr>
                <w:sz w:val="24"/>
                <w:szCs w:val="24"/>
                <w:highlight w:val="none"/>
              </w:rPr>
            </w:pPr>
          </w:p>
        </w:tc>
      </w:tr>
      <w:tr w14:paraId="6227CF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2196E524">
            <w:pPr>
              <w:ind w:firstLine="120"/>
              <w:jc w:val="center"/>
              <w:rPr>
                <w:sz w:val="24"/>
                <w:szCs w:val="24"/>
                <w:highlight w:val="none"/>
              </w:rPr>
            </w:pPr>
          </w:p>
        </w:tc>
        <w:tc>
          <w:tcPr>
            <w:tcW w:w="2688" w:type="dxa"/>
            <w:noWrap w:val="0"/>
            <w:vAlign w:val="top"/>
          </w:tcPr>
          <w:p w14:paraId="72BFF05F">
            <w:pPr>
              <w:ind w:firstLine="120"/>
              <w:jc w:val="center"/>
              <w:rPr>
                <w:sz w:val="24"/>
                <w:szCs w:val="24"/>
                <w:highlight w:val="none"/>
              </w:rPr>
            </w:pPr>
          </w:p>
        </w:tc>
        <w:tc>
          <w:tcPr>
            <w:tcW w:w="2883" w:type="dxa"/>
            <w:noWrap w:val="0"/>
            <w:vAlign w:val="top"/>
          </w:tcPr>
          <w:p w14:paraId="716DE290">
            <w:pPr>
              <w:ind w:firstLine="120"/>
              <w:jc w:val="center"/>
              <w:rPr>
                <w:sz w:val="24"/>
                <w:szCs w:val="24"/>
                <w:highlight w:val="none"/>
              </w:rPr>
            </w:pPr>
          </w:p>
        </w:tc>
        <w:tc>
          <w:tcPr>
            <w:tcW w:w="1302" w:type="dxa"/>
            <w:noWrap w:val="0"/>
            <w:vAlign w:val="top"/>
          </w:tcPr>
          <w:p w14:paraId="06963000">
            <w:pPr>
              <w:ind w:firstLine="120"/>
              <w:jc w:val="center"/>
              <w:rPr>
                <w:sz w:val="24"/>
                <w:szCs w:val="24"/>
                <w:highlight w:val="none"/>
              </w:rPr>
            </w:pPr>
          </w:p>
        </w:tc>
        <w:tc>
          <w:tcPr>
            <w:tcW w:w="1614" w:type="dxa"/>
            <w:noWrap w:val="0"/>
            <w:vAlign w:val="top"/>
          </w:tcPr>
          <w:p w14:paraId="17C98886">
            <w:pPr>
              <w:ind w:firstLine="120"/>
              <w:jc w:val="center"/>
              <w:rPr>
                <w:sz w:val="24"/>
                <w:szCs w:val="24"/>
                <w:highlight w:val="none"/>
              </w:rPr>
            </w:pPr>
          </w:p>
        </w:tc>
      </w:tr>
      <w:tr w14:paraId="26EE5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5117B860">
            <w:pPr>
              <w:ind w:firstLine="120"/>
              <w:jc w:val="center"/>
              <w:rPr>
                <w:sz w:val="24"/>
                <w:szCs w:val="24"/>
                <w:highlight w:val="none"/>
              </w:rPr>
            </w:pPr>
          </w:p>
        </w:tc>
        <w:tc>
          <w:tcPr>
            <w:tcW w:w="2688" w:type="dxa"/>
            <w:noWrap w:val="0"/>
            <w:vAlign w:val="top"/>
          </w:tcPr>
          <w:p w14:paraId="55047A3F">
            <w:pPr>
              <w:ind w:firstLine="120"/>
              <w:jc w:val="center"/>
              <w:rPr>
                <w:sz w:val="24"/>
                <w:szCs w:val="24"/>
                <w:highlight w:val="none"/>
              </w:rPr>
            </w:pPr>
          </w:p>
        </w:tc>
        <w:tc>
          <w:tcPr>
            <w:tcW w:w="2883" w:type="dxa"/>
            <w:noWrap w:val="0"/>
            <w:vAlign w:val="top"/>
          </w:tcPr>
          <w:p w14:paraId="2EA544CB">
            <w:pPr>
              <w:ind w:firstLine="120"/>
              <w:jc w:val="center"/>
              <w:rPr>
                <w:sz w:val="24"/>
                <w:szCs w:val="24"/>
                <w:highlight w:val="none"/>
              </w:rPr>
            </w:pPr>
          </w:p>
        </w:tc>
        <w:tc>
          <w:tcPr>
            <w:tcW w:w="1302" w:type="dxa"/>
            <w:noWrap w:val="0"/>
            <w:vAlign w:val="top"/>
          </w:tcPr>
          <w:p w14:paraId="766965DE">
            <w:pPr>
              <w:ind w:firstLine="120"/>
              <w:jc w:val="center"/>
              <w:rPr>
                <w:sz w:val="24"/>
                <w:szCs w:val="24"/>
                <w:highlight w:val="none"/>
              </w:rPr>
            </w:pPr>
          </w:p>
        </w:tc>
        <w:tc>
          <w:tcPr>
            <w:tcW w:w="1614" w:type="dxa"/>
            <w:noWrap w:val="0"/>
            <w:vAlign w:val="top"/>
          </w:tcPr>
          <w:p w14:paraId="6DE71EC4">
            <w:pPr>
              <w:ind w:firstLine="120"/>
              <w:jc w:val="center"/>
              <w:rPr>
                <w:sz w:val="24"/>
                <w:szCs w:val="24"/>
                <w:highlight w:val="none"/>
              </w:rPr>
            </w:pPr>
          </w:p>
        </w:tc>
      </w:tr>
      <w:tr w14:paraId="7A6B2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61CC3F12">
            <w:pPr>
              <w:ind w:firstLine="120"/>
              <w:jc w:val="center"/>
              <w:rPr>
                <w:sz w:val="24"/>
                <w:szCs w:val="24"/>
                <w:highlight w:val="none"/>
              </w:rPr>
            </w:pPr>
          </w:p>
        </w:tc>
        <w:tc>
          <w:tcPr>
            <w:tcW w:w="2688" w:type="dxa"/>
            <w:noWrap w:val="0"/>
            <w:vAlign w:val="top"/>
          </w:tcPr>
          <w:p w14:paraId="6C8877EA">
            <w:pPr>
              <w:ind w:firstLine="120"/>
              <w:jc w:val="center"/>
              <w:rPr>
                <w:sz w:val="24"/>
                <w:szCs w:val="24"/>
                <w:highlight w:val="none"/>
              </w:rPr>
            </w:pPr>
          </w:p>
        </w:tc>
        <w:tc>
          <w:tcPr>
            <w:tcW w:w="2883" w:type="dxa"/>
            <w:noWrap w:val="0"/>
            <w:vAlign w:val="top"/>
          </w:tcPr>
          <w:p w14:paraId="54E08BC2">
            <w:pPr>
              <w:ind w:firstLine="120"/>
              <w:jc w:val="center"/>
              <w:rPr>
                <w:sz w:val="24"/>
                <w:szCs w:val="24"/>
                <w:highlight w:val="none"/>
              </w:rPr>
            </w:pPr>
          </w:p>
        </w:tc>
        <w:tc>
          <w:tcPr>
            <w:tcW w:w="1302" w:type="dxa"/>
            <w:noWrap w:val="0"/>
            <w:vAlign w:val="top"/>
          </w:tcPr>
          <w:p w14:paraId="5AD42BC9">
            <w:pPr>
              <w:ind w:firstLine="120"/>
              <w:jc w:val="center"/>
              <w:rPr>
                <w:sz w:val="24"/>
                <w:szCs w:val="24"/>
                <w:highlight w:val="none"/>
              </w:rPr>
            </w:pPr>
          </w:p>
        </w:tc>
        <w:tc>
          <w:tcPr>
            <w:tcW w:w="1614" w:type="dxa"/>
            <w:noWrap w:val="0"/>
            <w:vAlign w:val="top"/>
          </w:tcPr>
          <w:p w14:paraId="0EC44F7D">
            <w:pPr>
              <w:ind w:firstLine="120"/>
              <w:jc w:val="center"/>
              <w:rPr>
                <w:sz w:val="24"/>
                <w:szCs w:val="24"/>
                <w:highlight w:val="none"/>
              </w:rPr>
            </w:pPr>
          </w:p>
        </w:tc>
      </w:tr>
      <w:tr w14:paraId="7BE9B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46109AB2">
            <w:pPr>
              <w:ind w:firstLine="120"/>
              <w:jc w:val="center"/>
              <w:rPr>
                <w:sz w:val="24"/>
                <w:szCs w:val="24"/>
                <w:highlight w:val="none"/>
              </w:rPr>
            </w:pPr>
          </w:p>
        </w:tc>
        <w:tc>
          <w:tcPr>
            <w:tcW w:w="2688" w:type="dxa"/>
            <w:noWrap w:val="0"/>
            <w:vAlign w:val="top"/>
          </w:tcPr>
          <w:p w14:paraId="1187693F">
            <w:pPr>
              <w:ind w:firstLine="120"/>
              <w:jc w:val="center"/>
              <w:rPr>
                <w:sz w:val="24"/>
                <w:szCs w:val="24"/>
                <w:highlight w:val="none"/>
              </w:rPr>
            </w:pPr>
          </w:p>
        </w:tc>
        <w:tc>
          <w:tcPr>
            <w:tcW w:w="2883" w:type="dxa"/>
            <w:noWrap w:val="0"/>
            <w:vAlign w:val="top"/>
          </w:tcPr>
          <w:p w14:paraId="6DDBC0DA">
            <w:pPr>
              <w:ind w:firstLine="120"/>
              <w:jc w:val="center"/>
              <w:rPr>
                <w:sz w:val="24"/>
                <w:szCs w:val="24"/>
                <w:highlight w:val="none"/>
              </w:rPr>
            </w:pPr>
          </w:p>
        </w:tc>
        <w:tc>
          <w:tcPr>
            <w:tcW w:w="1302" w:type="dxa"/>
            <w:noWrap w:val="0"/>
            <w:vAlign w:val="top"/>
          </w:tcPr>
          <w:p w14:paraId="192DE776">
            <w:pPr>
              <w:ind w:firstLine="120"/>
              <w:jc w:val="center"/>
              <w:rPr>
                <w:sz w:val="24"/>
                <w:szCs w:val="24"/>
                <w:highlight w:val="none"/>
              </w:rPr>
            </w:pPr>
          </w:p>
        </w:tc>
        <w:tc>
          <w:tcPr>
            <w:tcW w:w="1614" w:type="dxa"/>
            <w:noWrap w:val="0"/>
            <w:vAlign w:val="top"/>
          </w:tcPr>
          <w:p w14:paraId="7D274BB3">
            <w:pPr>
              <w:ind w:firstLine="120"/>
              <w:jc w:val="center"/>
              <w:rPr>
                <w:sz w:val="24"/>
                <w:szCs w:val="24"/>
                <w:highlight w:val="none"/>
              </w:rPr>
            </w:pPr>
          </w:p>
        </w:tc>
      </w:tr>
      <w:tr w14:paraId="312E7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4E342992">
            <w:pPr>
              <w:ind w:firstLine="120"/>
              <w:jc w:val="center"/>
              <w:rPr>
                <w:sz w:val="24"/>
                <w:szCs w:val="24"/>
                <w:highlight w:val="none"/>
              </w:rPr>
            </w:pPr>
          </w:p>
        </w:tc>
        <w:tc>
          <w:tcPr>
            <w:tcW w:w="2688" w:type="dxa"/>
            <w:noWrap w:val="0"/>
            <w:vAlign w:val="top"/>
          </w:tcPr>
          <w:p w14:paraId="3B8F0A05">
            <w:pPr>
              <w:ind w:firstLine="120"/>
              <w:jc w:val="center"/>
              <w:rPr>
                <w:sz w:val="24"/>
                <w:szCs w:val="24"/>
                <w:highlight w:val="none"/>
              </w:rPr>
            </w:pPr>
          </w:p>
        </w:tc>
        <w:tc>
          <w:tcPr>
            <w:tcW w:w="2883" w:type="dxa"/>
            <w:noWrap w:val="0"/>
            <w:vAlign w:val="top"/>
          </w:tcPr>
          <w:p w14:paraId="0535364E">
            <w:pPr>
              <w:ind w:firstLine="120"/>
              <w:jc w:val="center"/>
              <w:rPr>
                <w:sz w:val="24"/>
                <w:szCs w:val="24"/>
                <w:highlight w:val="none"/>
              </w:rPr>
            </w:pPr>
          </w:p>
        </w:tc>
        <w:tc>
          <w:tcPr>
            <w:tcW w:w="1302" w:type="dxa"/>
            <w:noWrap w:val="0"/>
            <w:vAlign w:val="top"/>
          </w:tcPr>
          <w:p w14:paraId="1C8E5F16">
            <w:pPr>
              <w:ind w:firstLine="120"/>
              <w:jc w:val="center"/>
              <w:rPr>
                <w:sz w:val="24"/>
                <w:szCs w:val="24"/>
                <w:highlight w:val="none"/>
              </w:rPr>
            </w:pPr>
          </w:p>
        </w:tc>
        <w:tc>
          <w:tcPr>
            <w:tcW w:w="1614" w:type="dxa"/>
            <w:noWrap w:val="0"/>
            <w:vAlign w:val="top"/>
          </w:tcPr>
          <w:p w14:paraId="4EC5551F">
            <w:pPr>
              <w:ind w:firstLine="120"/>
              <w:jc w:val="center"/>
              <w:rPr>
                <w:sz w:val="24"/>
                <w:szCs w:val="24"/>
                <w:highlight w:val="none"/>
              </w:rPr>
            </w:pPr>
          </w:p>
        </w:tc>
      </w:tr>
      <w:tr w14:paraId="49217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4065379D">
            <w:pPr>
              <w:ind w:firstLine="120"/>
              <w:jc w:val="center"/>
              <w:rPr>
                <w:sz w:val="24"/>
                <w:szCs w:val="24"/>
                <w:highlight w:val="none"/>
              </w:rPr>
            </w:pPr>
          </w:p>
        </w:tc>
        <w:tc>
          <w:tcPr>
            <w:tcW w:w="2688" w:type="dxa"/>
            <w:noWrap w:val="0"/>
            <w:vAlign w:val="top"/>
          </w:tcPr>
          <w:p w14:paraId="1BFC6C19">
            <w:pPr>
              <w:ind w:firstLine="120"/>
              <w:jc w:val="center"/>
              <w:rPr>
                <w:sz w:val="24"/>
                <w:szCs w:val="24"/>
                <w:highlight w:val="none"/>
              </w:rPr>
            </w:pPr>
          </w:p>
        </w:tc>
        <w:tc>
          <w:tcPr>
            <w:tcW w:w="2883" w:type="dxa"/>
            <w:noWrap w:val="0"/>
            <w:vAlign w:val="top"/>
          </w:tcPr>
          <w:p w14:paraId="75C124AE">
            <w:pPr>
              <w:ind w:firstLine="120"/>
              <w:jc w:val="center"/>
              <w:rPr>
                <w:sz w:val="24"/>
                <w:szCs w:val="24"/>
                <w:highlight w:val="none"/>
              </w:rPr>
            </w:pPr>
          </w:p>
        </w:tc>
        <w:tc>
          <w:tcPr>
            <w:tcW w:w="1302" w:type="dxa"/>
            <w:noWrap w:val="0"/>
            <w:vAlign w:val="top"/>
          </w:tcPr>
          <w:p w14:paraId="4732D328">
            <w:pPr>
              <w:ind w:firstLine="120"/>
              <w:jc w:val="center"/>
              <w:rPr>
                <w:sz w:val="24"/>
                <w:szCs w:val="24"/>
                <w:highlight w:val="none"/>
              </w:rPr>
            </w:pPr>
          </w:p>
        </w:tc>
        <w:tc>
          <w:tcPr>
            <w:tcW w:w="1614" w:type="dxa"/>
            <w:noWrap w:val="0"/>
            <w:vAlign w:val="top"/>
          </w:tcPr>
          <w:p w14:paraId="4651D5FB">
            <w:pPr>
              <w:ind w:firstLine="120"/>
              <w:jc w:val="center"/>
              <w:rPr>
                <w:sz w:val="24"/>
                <w:szCs w:val="24"/>
                <w:highlight w:val="none"/>
              </w:rPr>
            </w:pPr>
          </w:p>
        </w:tc>
      </w:tr>
      <w:tr w14:paraId="5F58F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136864D7">
            <w:pPr>
              <w:ind w:firstLine="120"/>
              <w:jc w:val="center"/>
              <w:rPr>
                <w:sz w:val="24"/>
                <w:szCs w:val="24"/>
                <w:highlight w:val="none"/>
              </w:rPr>
            </w:pPr>
          </w:p>
        </w:tc>
        <w:tc>
          <w:tcPr>
            <w:tcW w:w="2688" w:type="dxa"/>
            <w:noWrap w:val="0"/>
            <w:vAlign w:val="top"/>
          </w:tcPr>
          <w:p w14:paraId="436BE072">
            <w:pPr>
              <w:ind w:firstLine="120"/>
              <w:jc w:val="center"/>
              <w:rPr>
                <w:sz w:val="24"/>
                <w:szCs w:val="24"/>
                <w:highlight w:val="none"/>
              </w:rPr>
            </w:pPr>
          </w:p>
        </w:tc>
        <w:tc>
          <w:tcPr>
            <w:tcW w:w="2883" w:type="dxa"/>
            <w:noWrap w:val="0"/>
            <w:vAlign w:val="top"/>
          </w:tcPr>
          <w:p w14:paraId="3C39C6AB">
            <w:pPr>
              <w:ind w:firstLine="120"/>
              <w:jc w:val="center"/>
              <w:rPr>
                <w:sz w:val="24"/>
                <w:szCs w:val="24"/>
                <w:highlight w:val="none"/>
              </w:rPr>
            </w:pPr>
          </w:p>
        </w:tc>
        <w:tc>
          <w:tcPr>
            <w:tcW w:w="1302" w:type="dxa"/>
            <w:noWrap w:val="0"/>
            <w:vAlign w:val="top"/>
          </w:tcPr>
          <w:p w14:paraId="1F49C8ED">
            <w:pPr>
              <w:ind w:firstLine="120"/>
              <w:jc w:val="center"/>
              <w:rPr>
                <w:sz w:val="24"/>
                <w:szCs w:val="24"/>
                <w:highlight w:val="none"/>
              </w:rPr>
            </w:pPr>
          </w:p>
        </w:tc>
        <w:tc>
          <w:tcPr>
            <w:tcW w:w="1614" w:type="dxa"/>
            <w:noWrap w:val="0"/>
            <w:vAlign w:val="top"/>
          </w:tcPr>
          <w:p w14:paraId="6628E322">
            <w:pPr>
              <w:ind w:firstLine="120"/>
              <w:jc w:val="center"/>
              <w:rPr>
                <w:sz w:val="24"/>
                <w:szCs w:val="24"/>
                <w:highlight w:val="none"/>
              </w:rPr>
            </w:pPr>
          </w:p>
        </w:tc>
      </w:tr>
    </w:tbl>
    <w:p w14:paraId="7CE47430">
      <w:pPr>
        <w:ind w:firstLine="120"/>
        <w:rPr>
          <w:sz w:val="24"/>
          <w:szCs w:val="24"/>
          <w:highlight w:val="none"/>
        </w:rPr>
      </w:pPr>
      <w:r>
        <w:rPr>
          <w:rFonts w:hint="eastAsia"/>
          <w:sz w:val="24"/>
          <w:szCs w:val="24"/>
          <w:highlight w:val="none"/>
        </w:rPr>
        <w:t>注： 行数不够，可自行添加。</w:t>
      </w:r>
    </w:p>
    <w:p w14:paraId="08156DCF">
      <w:pP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br w:type="page"/>
      </w:r>
    </w:p>
    <w:p w14:paraId="71A6B7F5">
      <w:pPr>
        <w:ind w:firstLine="161"/>
        <w:rPr>
          <w:rFonts w:ascii="黑体" w:hAnsi="黑体" w:eastAsia="黑体"/>
          <w:b/>
          <w:i/>
          <w:sz w:val="32"/>
          <w:szCs w:val="32"/>
          <w:highlight w:val="none"/>
          <w:u w:val="single"/>
        </w:rPr>
      </w:pPr>
      <w:r>
        <w:rPr>
          <w:rFonts w:hint="eastAsia" w:ascii="黑体" w:hAnsi="黑体" w:eastAsia="黑体"/>
          <w:b/>
          <w:i/>
          <w:sz w:val="32"/>
          <w:szCs w:val="32"/>
          <w:highlight w:val="none"/>
          <w:u w:val="single"/>
        </w:rPr>
        <w:t>十五、开标一览表</w:t>
      </w:r>
    </w:p>
    <w:p w14:paraId="40D8F363">
      <w:pPr>
        <w:ind w:firstLine="120"/>
        <w:rPr>
          <w:sz w:val="24"/>
          <w:szCs w:val="24"/>
          <w:highlight w:val="none"/>
        </w:rPr>
      </w:pPr>
      <w:r>
        <w:rPr>
          <w:rFonts w:hint="eastAsia"/>
          <w:sz w:val="24"/>
          <w:szCs w:val="24"/>
          <w:highlight w:val="none"/>
        </w:rPr>
        <w:t>投标人全称（加盖CA电子签章）：</w:t>
      </w:r>
    </w:p>
    <w:p w14:paraId="75973D4B">
      <w:pPr>
        <w:ind w:firstLine="120"/>
        <w:rPr>
          <w:sz w:val="24"/>
          <w:szCs w:val="24"/>
          <w:highlight w:val="none"/>
        </w:rPr>
      </w:pPr>
      <w:r>
        <w:rPr>
          <w:rFonts w:hint="eastAsia"/>
          <w:sz w:val="24"/>
          <w:szCs w:val="24"/>
          <w:highlight w:val="none"/>
        </w:rPr>
        <w:t>项目名称：</w:t>
      </w:r>
    </w:p>
    <w:p w14:paraId="1188DC29">
      <w:pPr>
        <w:ind w:firstLine="120"/>
        <w:rPr>
          <w:sz w:val="24"/>
          <w:szCs w:val="24"/>
          <w:highlight w:val="none"/>
        </w:rPr>
      </w:pPr>
      <w:r>
        <w:rPr>
          <w:rFonts w:hint="eastAsia"/>
          <w:sz w:val="24"/>
          <w:szCs w:val="24"/>
          <w:highlight w:val="none"/>
        </w:rPr>
        <w:t>项目编号：                                   分包号：</w:t>
      </w:r>
    </w:p>
    <w:tbl>
      <w:tblPr>
        <w:tblStyle w:val="9"/>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29757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728E94DC">
            <w:pPr>
              <w:ind w:firstLine="120"/>
              <w:rPr>
                <w:sz w:val="24"/>
                <w:szCs w:val="24"/>
                <w:highlight w:val="none"/>
              </w:rPr>
            </w:pPr>
            <w:r>
              <w:rPr>
                <w:rFonts w:hint="eastAsia"/>
                <w:sz w:val="24"/>
                <w:szCs w:val="24"/>
                <w:highlight w:val="none"/>
              </w:rPr>
              <w:t xml:space="preserve">                      投标总报价</w:t>
            </w:r>
          </w:p>
        </w:tc>
      </w:tr>
      <w:tr w14:paraId="5C1CF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vMerge w:val="restart"/>
            <w:noWrap w:val="0"/>
            <w:vAlign w:val="center"/>
          </w:tcPr>
          <w:p w14:paraId="054DF039">
            <w:pPr>
              <w:pStyle w:val="12"/>
              <w:spacing w:before="0" w:after="0" w:line="500" w:lineRule="exact"/>
              <w:ind w:firstLine="120"/>
              <w:rPr>
                <w:rFonts w:ascii="宋体" w:hAnsi="宋体"/>
                <w:highlight w:val="none"/>
              </w:rPr>
            </w:pPr>
            <w:r>
              <w:rPr>
                <w:rFonts w:hint="eastAsia" w:ascii="宋体" w:hAnsi="宋体"/>
                <w:highlight w:val="none"/>
              </w:rPr>
              <w:t>大写：                              （人民币：元）</w:t>
            </w:r>
          </w:p>
        </w:tc>
      </w:tr>
      <w:tr w14:paraId="40643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4CF409E0">
            <w:pPr>
              <w:pStyle w:val="12"/>
              <w:spacing w:before="0" w:after="0" w:line="500" w:lineRule="exact"/>
              <w:ind w:firstLine="120"/>
              <w:rPr>
                <w:rFonts w:ascii="宋体" w:hAnsi="宋体"/>
                <w:szCs w:val="21"/>
                <w:highlight w:val="none"/>
              </w:rPr>
            </w:pPr>
            <w:r>
              <w:rPr>
                <w:rFonts w:hint="eastAsia" w:ascii="宋体" w:hAnsi="宋体"/>
                <w:highlight w:val="none"/>
              </w:rPr>
              <w:t>小写：                             （人民币：元）</w:t>
            </w:r>
          </w:p>
        </w:tc>
      </w:tr>
    </w:tbl>
    <w:p w14:paraId="3723488C">
      <w:pPr>
        <w:ind w:firstLine="120"/>
        <w:rPr>
          <w:sz w:val="24"/>
          <w:szCs w:val="24"/>
          <w:highlight w:val="none"/>
        </w:rPr>
      </w:pPr>
    </w:p>
    <w:p w14:paraId="14A6B7FF">
      <w:pPr>
        <w:ind w:firstLine="120"/>
        <w:rPr>
          <w:sz w:val="24"/>
          <w:szCs w:val="24"/>
          <w:highlight w:val="none"/>
        </w:rPr>
      </w:pPr>
      <w:r>
        <w:rPr>
          <w:rFonts w:hint="eastAsia"/>
          <w:sz w:val="24"/>
          <w:szCs w:val="24"/>
          <w:highlight w:val="none"/>
        </w:rPr>
        <w:t xml:space="preserve">                                       日期：  </w:t>
      </w:r>
      <w:r>
        <w:rPr>
          <w:rFonts w:hint="eastAsia"/>
          <w:sz w:val="24"/>
          <w:szCs w:val="24"/>
          <w:highlight w:val="none"/>
          <w:u w:val="single"/>
        </w:rPr>
        <w:t xml:space="preserve">     </w:t>
      </w:r>
      <w:r>
        <w:rPr>
          <w:rFonts w:hint="eastAsia"/>
          <w:sz w:val="24"/>
          <w:szCs w:val="24"/>
          <w:highlight w:val="none"/>
        </w:rPr>
        <w:t>年</w:t>
      </w:r>
      <w:r>
        <w:rPr>
          <w:rFonts w:hint="eastAsia"/>
          <w:sz w:val="24"/>
          <w:szCs w:val="24"/>
          <w:highlight w:val="none"/>
          <w:u w:val="single"/>
        </w:rPr>
        <w:t xml:space="preserve">   </w:t>
      </w:r>
      <w:r>
        <w:rPr>
          <w:rFonts w:hint="eastAsia"/>
          <w:sz w:val="24"/>
          <w:szCs w:val="24"/>
          <w:highlight w:val="none"/>
        </w:rPr>
        <w:t>月</w:t>
      </w:r>
      <w:r>
        <w:rPr>
          <w:rFonts w:hint="eastAsia"/>
          <w:sz w:val="24"/>
          <w:szCs w:val="24"/>
          <w:highlight w:val="none"/>
          <w:u w:val="single"/>
        </w:rPr>
        <w:t xml:space="preserve">   </w:t>
      </w:r>
      <w:r>
        <w:rPr>
          <w:rFonts w:hint="eastAsia"/>
          <w:sz w:val="24"/>
          <w:szCs w:val="24"/>
          <w:highlight w:val="none"/>
        </w:rPr>
        <w:t>日</w:t>
      </w:r>
    </w:p>
    <w:p w14:paraId="377BE363">
      <w:pPr>
        <w:rPr>
          <w:rFonts w:hint="eastAsia" w:ascii="黑体" w:hAnsi="黑体" w:eastAsia="黑体"/>
          <w:b/>
          <w:iCs/>
          <w:sz w:val="32"/>
          <w:szCs w:val="32"/>
          <w:highlight w:val="none"/>
        </w:rPr>
      </w:pPr>
      <w:r>
        <w:rPr>
          <w:rFonts w:hint="eastAsia" w:ascii="黑体" w:hAnsi="黑体" w:eastAsia="黑体"/>
          <w:b/>
          <w:iCs/>
          <w:sz w:val="32"/>
          <w:szCs w:val="32"/>
          <w:highlight w:val="none"/>
        </w:rPr>
        <w:br w:type="page"/>
      </w:r>
    </w:p>
    <w:p w14:paraId="6F5651ED">
      <w:pPr>
        <w:ind w:firstLine="161"/>
        <w:rPr>
          <w:rFonts w:ascii="黑体" w:hAnsi="黑体" w:eastAsia="黑体"/>
          <w:b/>
          <w:iCs/>
          <w:sz w:val="32"/>
          <w:szCs w:val="32"/>
          <w:highlight w:val="none"/>
        </w:rPr>
      </w:pPr>
      <w:r>
        <w:rPr>
          <w:rFonts w:hint="eastAsia" w:ascii="黑体" w:hAnsi="黑体" w:eastAsia="黑体"/>
          <w:b/>
          <w:iCs/>
          <w:sz w:val="32"/>
          <w:szCs w:val="32"/>
          <w:highlight w:val="none"/>
        </w:rPr>
        <w:t>十六、主要标的信息</w:t>
      </w:r>
    </w:p>
    <w:p w14:paraId="2BD2EC76">
      <w:pPr>
        <w:spacing w:before="312" w:line="360" w:lineRule="auto"/>
        <w:jc w:val="center"/>
        <w:rPr>
          <w:b/>
          <w:highlight w:val="none"/>
        </w:rPr>
      </w:pPr>
      <w:r>
        <w:rPr>
          <w:rFonts w:hint="eastAsia"/>
          <w:b/>
          <w:highlight w:val="none"/>
        </w:rPr>
        <w:t>主要标的信息（中标后将公示）</w:t>
      </w:r>
    </w:p>
    <w:p w14:paraId="23696B9D">
      <w:pPr>
        <w:spacing w:after="312" w:line="360" w:lineRule="auto"/>
        <w:rPr>
          <w:b/>
          <w:highlight w:val="none"/>
        </w:rPr>
      </w:pPr>
      <w:r>
        <w:rPr>
          <w:rFonts w:hint="eastAsia"/>
          <w:highlight w:val="none"/>
        </w:rPr>
        <w:t>投标人全称：</w:t>
      </w:r>
    </w:p>
    <w:tbl>
      <w:tblPr>
        <w:tblStyle w:val="9"/>
        <w:tblW w:w="7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0"/>
      </w:tblGrid>
      <w:tr w14:paraId="3912A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530" w:type="dxa"/>
            <w:noWrap w:val="0"/>
          </w:tcPr>
          <w:p w14:paraId="6027DE9D">
            <w:pPr>
              <w:jc w:val="center"/>
              <w:rPr>
                <w:rFonts w:ascii="宋体" w:hAnsi="宋体" w:cs="宋体"/>
                <w:highlight w:val="none"/>
              </w:rPr>
            </w:pPr>
            <w:r>
              <w:rPr>
                <w:rFonts w:hint="eastAsia" w:cs="宋体"/>
                <w:highlight w:val="none"/>
                <w:lang w:val="en-US" w:eastAsia="zh-CN"/>
              </w:rPr>
              <w:t>服务</w:t>
            </w:r>
            <w:r>
              <w:rPr>
                <w:rFonts w:hint="eastAsia" w:ascii="宋体" w:hAnsi="宋体" w:cs="宋体"/>
                <w:highlight w:val="none"/>
              </w:rPr>
              <w:t>类</w:t>
            </w:r>
          </w:p>
        </w:tc>
      </w:tr>
      <w:tr w14:paraId="1317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7530" w:type="dxa"/>
            <w:noWrap w:val="0"/>
          </w:tcPr>
          <w:p w14:paraId="5E40E779">
            <w:pPr>
              <w:spacing w:line="360" w:lineRule="auto"/>
              <w:rPr>
                <w:rFonts w:ascii="宋体" w:hAnsi="宋体" w:cs="宋体"/>
                <w:color w:val="auto"/>
                <w:highlight w:val="none"/>
              </w:rPr>
            </w:pPr>
            <w:r>
              <w:rPr>
                <w:rFonts w:hint="eastAsia" w:ascii="宋体" w:hAnsi="宋体" w:cs="宋体"/>
                <w:color w:val="auto"/>
                <w:highlight w:val="none"/>
              </w:rPr>
              <w:t>名称：</w:t>
            </w:r>
          </w:p>
          <w:p w14:paraId="0484475D">
            <w:pPr>
              <w:spacing w:line="360" w:lineRule="auto"/>
              <w:rPr>
                <w:rFonts w:hint="eastAsia" w:ascii="宋体" w:hAnsi="宋体" w:cs="宋体"/>
                <w:color w:val="auto"/>
                <w:highlight w:val="none"/>
              </w:rPr>
            </w:pPr>
            <w:r>
              <w:rPr>
                <w:rFonts w:hint="eastAsia" w:ascii="宋体" w:hAnsi="宋体" w:cs="宋体"/>
                <w:color w:val="auto"/>
                <w:highlight w:val="none"/>
              </w:rPr>
              <w:t>服务范围：</w:t>
            </w:r>
          </w:p>
          <w:p w14:paraId="46269E4D">
            <w:pPr>
              <w:spacing w:line="360" w:lineRule="auto"/>
              <w:rPr>
                <w:rFonts w:hint="eastAsia" w:ascii="宋体" w:hAnsi="宋体" w:cs="宋体"/>
                <w:color w:val="auto"/>
                <w:highlight w:val="none"/>
              </w:rPr>
            </w:pPr>
            <w:r>
              <w:rPr>
                <w:rFonts w:hint="eastAsia" w:ascii="宋体" w:hAnsi="宋体" w:cs="宋体"/>
                <w:color w:val="auto"/>
                <w:highlight w:val="none"/>
              </w:rPr>
              <w:t>服务要求：</w:t>
            </w:r>
          </w:p>
          <w:p w14:paraId="7079814E">
            <w:pPr>
              <w:spacing w:line="360" w:lineRule="auto"/>
              <w:rPr>
                <w:rFonts w:hint="eastAsia" w:ascii="宋体" w:hAnsi="宋体" w:cs="宋体"/>
                <w:color w:val="auto"/>
                <w:highlight w:val="none"/>
              </w:rPr>
            </w:pPr>
            <w:r>
              <w:rPr>
                <w:rFonts w:hint="eastAsia" w:ascii="宋体" w:hAnsi="宋体" w:cs="宋体"/>
                <w:color w:val="auto"/>
                <w:highlight w:val="none"/>
              </w:rPr>
              <w:t>服务时间：</w:t>
            </w:r>
          </w:p>
          <w:p w14:paraId="16E1E40E">
            <w:pPr>
              <w:spacing w:line="360" w:lineRule="auto"/>
              <w:rPr>
                <w:rFonts w:ascii="宋体" w:hAnsi="宋体" w:cs="宋体"/>
                <w:highlight w:val="none"/>
              </w:rPr>
            </w:pPr>
            <w:r>
              <w:rPr>
                <w:rFonts w:hint="eastAsia" w:ascii="宋体" w:hAnsi="宋体" w:cs="宋体"/>
                <w:color w:val="auto"/>
                <w:highlight w:val="none"/>
              </w:rPr>
              <w:t>服务标准：</w:t>
            </w:r>
          </w:p>
        </w:tc>
      </w:tr>
    </w:tbl>
    <w:p w14:paraId="457B6D80">
      <w:pPr>
        <w:rPr>
          <w:rFonts w:hint="eastAsia" w:cs="仿宋"/>
          <w:b/>
          <w:bCs/>
          <w:sz w:val="32"/>
          <w:szCs w:val="32"/>
          <w:highlight w:val="none"/>
        </w:rPr>
      </w:pPr>
      <w:r>
        <w:rPr>
          <w:rFonts w:hint="eastAsia" w:cs="仿宋"/>
          <w:b/>
          <w:bCs/>
          <w:sz w:val="32"/>
          <w:szCs w:val="32"/>
          <w:highlight w:val="none"/>
        </w:rPr>
        <w:br w:type="page"/>
      </w:r>
    </w:p>
    <w:p w14:paraId="6A774657">
      <w:pPr>
        <w:ind w:firstLine="161"/>
        <w:jc w:val="center"/>
        <w:rPr>
          <w:rFonts w:cs="仿宋"/>
          <w:b/>
          <w:bCs/>
          <w:sz w:val="32"/>
          <w:szCs w:val="32"/>
          <w:highlight w:val="none"/>
        </w:rPr>
      </w:pPr>
      <w:r>
        <w:rPr>
          <w:rFonts w:hint="eastAsia" w:cs="仿宋"/>
          <w:b/>
          <w:bCs/>
          <w:sz w:val="32"/>
          <w:szCs w:val="32"/>
          <w:highlight w:val="none"/>
        </w:rPr>
        <w:t>质疑函范本</w:t>
      </w:r>
    </w:p>
    <w:p w14:paraId="2D86A38D">
      <w:pPr>
        <w:spacing w:before="290" w:line="360" w:lineRule="auto"/>
        <w:ind w:firstLine="120"/>
        <w:rPr>
          <w:rFonts w:cs="仿宋"/>
          <w:bCs/>
          <w:sz w:val="24"/>
          <w:szCs w:val="24"/>
          <w:highlight w:val="none"/>
        </w:rPr>
      </w:pPr>
      <w:r>
        <w:rPr>
          <w:rFonts w:hint="eastAsia" w:cs="仿宋"/>
          <w:bCs/>
          <w:sz w:val="24"/>
          <w:szCs w:val="24"/>
          <w:highlight w:val="none"/>
        </w:rPr>
        <w:t>一、质疑供应商基本信息</w:t>
      </w:r>
    </w:p>
    <w:p w14:paraId="6C84D21E">
      <w:pPr>
        <w:spacing w:line="360" w:lineRule="auto"/>
        <w:ind w:firstLine="120"/>
        <w:rPr>
          <w:rFonts w:cs="仿宋"/>
          <w:sz w:val="24"/>
          <w:szCs w:val="24"/>
          <w:highlight w:val="none"/>
          <w:u w:val="single"/>
        </w:rPr>
      </w:pPr>
      <w:r>
        <w:rPr>
          <w:rFonts w:hint="eastAsia" w:cs="仿宋"/>
          <w:sz w:val="24"/>
          <w:szCs w:val="24"/>
          <w:highlight w:val="none"/>
        </w:rPr>
        <w:t>质疑供应商：</w:t>
      </w:r>
      <w:r>
        <w:rPr>
          <w:rFonts w:hint="eastAsia" w:cs="仿宋"/>
          <w:sz w:val="24"/>
          <w:szCs w:val="24"/>
          <w:highlight w:val="none"/>
          <w:u w:val="single"/>
        </w:rPr>
        <w:t xml:space="preserve">                                                              </w:t>
      </w:r>
    </w:p>
    <w:p w14:paraId="7F0D7335">
      <w:pPr>
        <w:spacing w:line="360" w:lineRule="auto"/>
        <w:ind w:firstLine="120"/>
        <w:rPr>
          <w:rFonts w:cs="仿宋"/>
          <w:sz w:val="24"/>
          <w:szCs w:val="24"/>
          <w:highlight w:val="none"/>
        </w:rPr>
      </w:pPr>
      <w:r>
        <w:rPr>
          <w:rFonts w:hint="eastAsia" w:cs="仿宋"/>
          <w:sz w:val="24"/>
          <w:szCs w:val="24"/>
          <w:highlight w:val="none"/>
        </w:rPr>
        <w:t>地址：</w:t>
      </w:r>
      <w:r>
        <w:rPr>
          <w:rFonts w:hint="eastAsia" w:cs="仿宋"/>
          <w:sz w:val="24"/>
          <w:szCs w:val="24"/>
          <w:highlight w:val="none"/>
          <w:u w:val="single"/>
        </w:rPr>
        <w:t xml:space="preserve">                             </w:t>
      </w:r>
      <w:r>
        <w:rPr>
          <w:rFonts w:hint="eastAsia" w:cs="仿宋"/>
          <w:sz w:val="24"/>
          <w:szCs w:val="24"/>
          <w:highlight w:val="none"/>
        </w:rPr>
        <w:t>邮编：</w:t>
      </w:r>
      <w:r>
        <w:rPr>
          <w:rFonts w:hint="eastAsia" w:cs="仿宋"/>
          <w:sz w:val="24"/>
          <w:szCs w:val="24"/>
          <w:highlight w:val="none"/>
          <w:u w:val="single"/>
        </w:rPr>
        <w:t xml:space="preserve">                                    </w:t>
      </w:r>
    </w:p>
    <w:p w14:paraId="3A5A9373">
      <w:pPr>
        <w:spacing w:line="360" w:lineRule="auto"/>
        <w:ind w:firstLine="120"/>
        <w:rPr>
          <w:rFonts w:cs="仿宋"/>
          <w:sz w:val="24"/>
          <w:szCs w:val="24"/>
          <w:highlight w:val="none"/>
        </w:rPr>
      </w:pPr>
      <w:r>
        <w:rPr>
          <w:rFonts w:hint="eastAsia" w:cs="仿宋"/>
          <w:sz w:val="24"/>
          <w:szCs w:val="24"/>
          <w:highlight w:val="none"/>
        </w:rPr>
        <w:t>联系人：</w:t>
      </w:r>
      <w:r>
        <w:rPr>
          <w:rFonts w:hint="eastAsia" w:cs="仿宋"/>
          <w:sz w:val="24"/>
          <w:szCs w:val="24"/>
          <w:highlight w:val="none"/>
          <w:u w:val="single"/>
        </w:rPr>
        <w:t xml:space="preserve">                      </w:t>
      </w:r>
      <w:r>
        <w:rPr>
          <w:rFonts w:hint="eastAsia" w:cs="仿宋"/>
          <w:sz w:val="24"/>
          <w:szCs w:val="24"/>
          <w:highlight w:val="none"/>
        </w:rPr>
        <w:t>联系电话：</w:t>
      </w:r>
      <w:r>
        <w:rPr>
          <w:rFonts w:hint="eastAsia" w:cs="仿宋"/>
          <w:sz w:val="24"/>
          <w:szCs w:val="24"/>
          <w:highlight w:val="none"/>
          <w:u w:val="single"/>
        </w:rPr>
        <w:t xml:space="preserve">                                       </w:t>
      </w:r>
    </w:p>
    <w:p w14:paraId="1C0A7C79">
      <w:pPr>
        <w:spacing w:line="360" w:lineRule="auto"/>
        <w:ind w:firstLine="120"/>
        <w:rPr>
          <w:rFonts w:cs="仿宋"/>
          <w:sz w:val="24"/>
          <w:szCs w:val="24"/>
          <w:highlight w:val="none"/>
          <w:u w:val="single"/>
        </w:rPr>
      </w:pPr>
      <w:r>
        <w:rPr>
          <w:rFonts w:hint="eastAsia" w:cs="仿宋"/>
          <w:sz w:val="24"/>
          <w:szCs w:val="24"/>
          <w:highlight w:val="none"/>
        </w:rPr>
        <w:t>授权代表：</w:t>
      </w:r>
      <w:r>
        <w:rPr>
          <w:rFonts w:hint="eastAsia" w:cs="仿宋"/>
          <w:sz w:val="24"/>
          <w:szCs w:val="24"/>
          <w:highlight w:val="none"/>
          <w:u w:val="single"/>
        </w:rPr>
        <w:t xml:space="preserve">                                                                 </w:t>
      </w:r>
    </w:p>
    <w:p w14:paraId="07DF2BE0">
      <w:pPr>
        <w:spacing w:line="360" w:lineRule="auto"/>
        <w:ind w:firstLine="120"/>
        <w:rPr>
          <w:rFonts w:cs="仿宋"/>
          <w:sz w:val="24"/>
          <w:szCs w:val="24"/>
          <w:highlight w:val="none"/>
        </w:rPr>
      </w:pPr>
      <w:r>
        <w:rPr>
          <w:rFonts w:hint="eastAsia" w:cs="仿宋"/>
          <w:sz w:val="24"/>
          <w:szCs w:val="24"/>
          <w:highlight w:val="none"/>
        </w:rPr>
        <w:t>联系电话：</w:t>
      </w:r>
      <w:r>
        <w:rPr>
          <w:rFonts w:hint="eastAsia" w:cs="仿宋"/>
          <w:sz w:val="24"/>
          <w:szCs w:val="24"/>
          <w:highlight w:val="none"/>
          <w:u w:val="single"/>
        </w:rPr>
        <w:t xml:space="preserve">                                                                </w:t>
      </w:r>
    </w:p>
    <w:p w14:paraId="023386BE">
      <w:pPr>
        <w:spacing w:line="360" w:lineRule="auto"/>
        <w:ind w:firstLine="120"/>
        <w:rPr>
          <w:rFonts w:cs="仿宋"/>
          <w:sz w:val="24"/>
          <w:szCs w:val="24"/>
          <w:highlight w:val="none"/>
        </w:rPr>
      </w:pPr>
      <w:r>
        <w:rPr>
          <w:rFonts w:hint="eastAsia" w:cs="仿宋"/>
          <w:sz w:val="24"/>
          <w:szCs w:val="24"/>
          <w:highlight w:val="none"/>
        </w:rPr>
        <w:t>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邮编：</w:t>
      </w:r>
      <w:r>
        <w:rPr>
          <w:rFonts w:hint="eastAsia" w:cs="仿宋"/>
          <w:sz w:val="24"/>
          <w:szCs w:val="24"/>
          <w:highlight w:val="none"/>
          <w:u w:val="single"/>
        </w:rPr>
        <w:t xml:space="preserve">                                     </w:t>
      </w:r>
    </w:p>
    <w:p w14:paraId="1B7D1187">
      <w:pPr>
        <w:spacing w:line="360" w:lineRule="auto"/>
        <w:ind w:firstLine="120"/>
        <w:rPr>
          <w:rFonts w:cs="仿宋"/>
          <w:bCs/>
          <w:sz w:val="24"/>
          <w:szCs w:val="24"/>
          <w:highlight w:val="none"/>
        </w:rPr>
      </w:pPr>
      <w:r>
        <w:rPr>
          <w:rFonts w:hint="eastAsia" w:cs="仿宋"/>
          <w:bCs/>
          <w:sz w:val="24"/>
          <w:szCs w:val="24"/>
          <w:highlight w:val="none"/>
        </w:rPr>
        <w:t>二、质疑项目基本情况</w:t>
      </w:r>
    </w:p>
    <w:p w14:paraId="55F80898">
      <w:pPr>
        <w:spacing w:line="360" w:lineRule="auto"/>
        <w:ind w:firstLine="120"/>
        <w:rPr>
          <w:rFonts w:cs="仿宋"/>
          <w:sz w:val="24"/>
          <w:szCs w:val="24"/>
          <w:highlight w:val="none"/>
        </w:rPr>
      </w:pPr>
      <w:r>
        <w:rPr>
          <w:rFonts w:hint="eastAsia" w:cs="仿宋"/>
          <w:sz w:val="24"/>
          <w:szCs w:val="24"/>
          <w:highlight w:val="none"/>
        </w:rPr>
        <w:t>质疑项目的名称：</w:t>
      </w:r>
      <w:r>
        <w:rPr>
          <w:rFonts w:hint="eastAsia" w:cs="仿宋"/>
          <w:sz w:val="24"/>
          <w:szCs w:val="24"/>
          <w:highlight w:val="none"/>
          <w:u w:val="single"/>
        </w:rPr>
        <w:t xml:space="preserve">                                                          </w:t>
      </w:r>
    </w:p>
    <w:p w14:paraId="65B6971F">
      <w:pPr>
        <w:spacing w:line="360" w:lineRule="auto"/>
        <w:ind w:firstLine="120"/>
        <w:rPr>
          <w:rFonts w:cs="仿宋"/>
          <w:sz w:val="24"/>
          <w:szCs w:val="24"/>
          <w:highlight w:val="none"/>
        </w:rPr>
      </w:pPr>
      <w:r>
        <w:rPr>
          <w:rFonts w:hint="eastAsia" w:cs="仿宋"/>
          <w:sz w:val="24"/>
          <w:szCs w:val="24"/>
          <w:highlight w:val="none"/>
        </w:rPr>
        <w:t>质疑项目的编号：</w:t>
      </w:r>
      <w:r>
        <w:rPr>
          <w:rFonts w:hint="eastAsia" w:cs="仿宋"/>
          <w:sz w:val="24"/>
          <w:szCs w:val="24"/>
          <w:highlight w:val="none"/>
          <w:u w:val="single"/>
        </w:rPr>
        <w:t xml:space="preserve">                         </w:t>
      </w:r>
      <w:r>
        <w:rPr>
          <w:rFonts w:hint="eastAsia" w:cs="仿宋"/>
          <w:sz w:val="24"/>
          <w:szCs w:val="24"/>
          <w:highlight w:val="none"/>
        </w:rPr>
        <w:t>包号：</w:t>
      </w:r>
      <w:r>
        <w:rPr>
          <w:rFonts w:hint="eastAsia" w:cs="仿宋"/>
          <w:sz w:val="24"/>
          <w:szCs w:val="24"/>
          <w:highlight w:val="none"/>
          <w:u w:val="single"/>
        </w:rPr>
        <w:t xml:space="preserve">                           </w:t>
      </w:r>
    </w:p>
    <w:p w14:paraId="1B86836B">
      <w:pPr>
        <w:spacing w:line="360" w:lineRule="auto"/>
        <w:ind w:firstLine="120"/>
        <w:rPr>
          <w:rFonts w:cs="仿宋"/>
          <w:sz w:val="24"/>
          <w:szCs w:val="24"/>
          <w:highlight w:val="none"/>
          <w:u w:val="single"/>
        </w:rPr>
      </w:pPr>
      <w:r>
        <w:rPr>
          <w:rFonts w:hint="eastAsia" w:cs="仿宋"/>
          <w:sz w:val="24"/>
          <w:szCs w:val="24"/>
          <w:highlight w:val="none"/>
        </w:rPr>
        <w:t>采购人名称：</w:t>
      </w:r>
      <w:r>
        <w:rPr>
          <w:rFonts w:hint="eastAsia" w:cs="仿宋"/>
          <w:sz w:val="24"/>
          <w:szCs w:val="24"/>
          <w:highlight w:val="none"/>
          <w:u w:val="single"/>
        </w:rPr>
        <w:t xml:space="preserve">                                                              </w:t>
      </w:r>
    </w:p>
    <w:p w14:paraId="7A0D74F4">
      <w:pPr>
        <w:spacing w:line="360" w:lineRule="auto"/>
        <w:ind w:firstLine="120"/>
        <w:rPr>
          <w:rFonts w:cs="仿宋"/>
          <w:sz w:val="24"/>
          <w:szCs w:val="24"/>
          <w:highlight w:val="none"/>
        </w:rPr>
      </w:pPr>
      <w:r>
        <w:rPr>
          <w:rFonts w:hint="eastAsia" w:cs="仿宋"/>
          <w:sz w:val="24"/>
          <w:szCs w:val="24"/>
          <w:highlight w:val="none"/>
        </w:rPr>
        <w:t>采购文件获取日期：</w:t>
      </w:r>
      <w:r>
        <w:rPr>
          <w:rFonts w:hint="eastAsia" w:cs="仿宋"/>
          <w:sz w:val="24"/>
          <w:szCs w:val="24"/>
          <w:highlight w:val="none"/>
          <w:u w:val="single"/>
        </w:rPr>
        <w:t xml:space="preserve">                                                        </w:t>
      </w:r>
    </w:p>
    <w:p w14:paraId="62117844">
      <w:pPr>
        <w:spacing w:line="360" w:lineRule="auto"/>
        <w:ind w:firstLine="120"/>
        <w:rPr>
          <w:rFonts w:cs="仿宋"/>
          <w:bCs/>
          <w:sz w:val="24"/>
          <w:szCs w:val="24"/>
          <w:highlight w:val="none"/>
        </w:rPr>
      </w:pPr>
      <w:r>
        <w:rPr>
          <w:rFonts w:hint="eastAsia" w:cs="仿宋"/>
          <w:bCs/>
          <w:sz w:val="24"/>
          <w:szCs w:val="24"/>
          <w:highlight w:val="none"/>
        </w:rPr>
        <w:t>三、质疑事项具体内容</w:t>
      </w:r>
    </w:p>
    <w:p w14:paraId="3C9BCE1D">
      <w:pPr>
        <w:spacing w:line="360" w:lineRule="auto"/>
        <w:ind w:firstLine="120"/>
        <w:rPr>
          <w:rFonts w:cs="仿宋"/>
          <w:sz w:val="24"/>
          <w:szCs w:val="24"/>
          <w:highlight w:val="none"/>
          <w:u w:val="single"/>
        </w:rPr>
      </w:pPr>
      <w:r>
        <w:rPr>
          <w:rFonts w:hint="eastAsia" w:cs="仿宋"/>
          <w:sz w:val="24"/>
          <w:szCs w:val="24"/>
          <w:highlight w:val="none"/>
        </w:rPr>
        <w:t>质疑事项1：</w:t>
      </w:r>
      <w:r>
        <w:rPr>
          <w:rFonts w:hint="eastAsia" w:cs="仿宋"/>
          <w:sz w:val="24"/>
          <w:szCs w:val="24"/>
          <w:highlight w:val="none"/>
          <w:u w:val="single"/>
        </w:rPr>
        <w:t xml:space="preserve">                                                              </w:t>
      </w:r>
    </w:p>
    <w:p w14:paraId="6D3B3B7D">
      <w:pPr>
        <w:spacing w:line="360" w:lineRule="auto"/>
        <w:ind w:firstLine="120"/>
        <w:rPr>
          <w:rFonts w:cs="仿宋"/>
          <w:sz w:val="24"/>
          <w:szCs w:val="24"/>
          <w:highlight w:val="none"/>
          <w:u w:val="single"/>
        </w:rPr>
      </w:pPr>
      <w:r>
        <w:rPr>
          <w:rFonts w:hint="eastAsia" w:cs="仿宋"/>
          <w:sz w:val="24"/>
          <w:szCs w:val="24"/>
          <w:highlight w:val="none"/>
        </w:rPr>
        <w:t>事实依据：</w:t>
      </w:r>
      <w:r>
        <w:rPr>
          <w:rFonts w:hint="eastAsia" w:cs="仿宋"/>
          <w:sz w:val="24"/>
          <w:szCs w:val="24"/>
          <w:highlight w:val="none"/>
          <w:u w:val="single"/>
        </w:rPr>
        <w:t xml:space="preserve">                                                                </w:t>
      </w:r>
    </w:p>
    <w:p w14:paraId="1A792833">
      <w:pPr>
        <w:spacing w:line="360" w:lineRule="auto"/>
        <w:ind w:firstLine="120"/>
        <w:rPr>
          <w:rFonts w:cs="仿宋"/>
          <w:sz w:val="24"/>
          <w:szCs w:val="24"/>
          <w:highlight w:val="none"/>
        </w:rPr>
      </w:pPr>
      <w:r>
        <w:rPr>
          <w:rFonts w:hint="eastAsia" w:cs="仿宋"/>
          <w:sz w:val="24"/>
          <w:szCs w:val="24"/>
          <w:highlight w:val="none"/>
          <w:u w:val="single"/>
        </w:rPr>
        <w:t xml:space="preserve">                                                                           </w:t>
      </w:r>
    </w:p>
    <w:p w14:paraId="3F1269EF">
      <w:pPr>
        <w:spacing w:line="360" w:lineRule="auto"/>
        <w:ind w:firstLine="120"/>
        <w:rPr>
          <w:rFonts w:cs="仿宋"/>
          <w:sz w:val="24"/>
          <w:szCs w:val="24"/>
          <w:highlight w:val="none"/>
          <w:u w:val="single"/>
        </w:rPr>
      </w:pPr>
      <w:r>
        <w:rPr>
          <w:rFonts w:hint="eastAsia" w:cs="仿宋"/>
          <w:sz w:val="24"/>
          <w:szCs w:val="24"/>
          <w:highlight w:val="none"/>
        </w:rPr>
        <w:t>法律依据：</w:t>
      </w:r>
      <w:r>
        <w:rPr>
          <w:rFonts w:hint="eastAsia" w:cs="仿宋"/>
          <w:sz w:val="24"/>
          <w:szCs w:val="24"/>
          <w:highlight w:val="none"/>
          <w:u w:val="single"/>
        </w:rPr>
        <w:t xml:space="preserve">                                                                 </w:t>
      </w:r>
    </w:p>
    <w:p w14:paraId="31D04C93">
      <w:pPr>
        <w:spacing w:line="360" w:lineRule="auto"/>
        <w:ind w:firstLine="120"/>
        <w:rPr>
          <w:rFonts w:cs="仿宋"/>
          <w:sz w:val="24"/>
          <w:szCs w:val="24"/>
          <w:highlight w:val="none"/>
          <w:u w:val="single"/>
        </w:rPr>
      </w:pPr>
      <w:r>
        <w:rPr>
          <w:rFonts w:hint="eastAsia" w:cs="仿宋"/>
          <w:sz w:val="24"/>
          <w:szCs w:val="24"/>
          <w:highlight w:val="none"/>
          <w:u w:val="single"/>
        </w:rPr>
        <w:t xml:space="preserve">                                                                           </w:t>
      </w:r>
    </w:p>
    <w:p w14:paraId="6599EEAF">
      <w:pPr>
        <w:spacing w:line="360" w:lineRule="auto"/>
        <w:ind w:firstLine="120"/>
        <w:rPr>
          <w:rFonts w:cs="仿宋"/>
          <w:sz w:val="24"/>
          <w:szCs w:val="24"/>
          <w:highlight w:val="none"/>
          <w:u w:val="single"/>
        </w:rPr>
      </w:pPr>
      <w:r>
        <w:rPr>
          <w:rFonts w:hint="eastAsia" w:cs="仿宋"/>
          <w:sz w:val="24"/>
          <w:szCs w:val="24"/>
          <w:highlight w:val="none"/>
        </w:rPr>
        <w:t>质疑事项2</w:t>
      </w:r>
    </w:p>
    <w:p w14:paraId="3A60C0A9">
      <w:pPr>
        <w:spacing w:line="360" w:lineRule="auto"/>
        <w:ind w:firstLine="120"/>
        <w:rPr>
          <w:rFonts w:cs="仿宋"/>
          <w:sz w:val="24"/>
          <w:szCs w:val="24"/>
          <w:highlight w:val="none"/>
        </w:rPr>
      </w:pPr>
      <w:r>
        <w:rPr>
          <w:rFonts w:hint="eastAsia" w:cs="仿宋"/>
          <w:sz w:val="24"/>
          <w:szCs w:val="24"/>
          <w:highlight w:val="none"/>
        </w:rPr>
        <w:t>……</w:t>
      </w:r>
    </w:p>
    <w:p w14:paraId="7E6B9DFB">
      <w:pPr>
        <w:spacing w:line="360" w:lineRule="auto"/>
        <w:ind w:firstLine="120"/>
        <w:rPr>
          <w:rFonts w:cs="仿宋"/>
          <w:bCs/>
          <w:sz w:val="24"/>
          <w:szCs w:val="24"/>
          <w:highlight w:val="none"/>
        </w:rPr>
      </w:pPr>
      <w:r>
        <w:rPr>
          <w:rFonts w:hint="eastAsia" w:cs="仿宋"/>
          <w:bCs/>
          <w:sz w:val="24"/>
          <w:szCs w:val="24"/>
          <w:highlight w:val="none"/>
        </w:rPr>
        <w:t>四、与质疑事项相关的质疑请求</w:t>
      </w:r>
    </w:p>
    <w:p w14:paraId="078408B8">
      <w:pPr>
        <w:spacing w:line="360" w:lineRule="auto"/>
        <w:ind w:firstLine="120"/>
        <w:rPr>
          <w:rFonts w:cs="仿宋"/>
          <w:sz w:val="24"/>
          <w:szCs w:val="24"/>
          <w:highlight w:val="none"/>
          <w:u w:val="single"/>
        </w:rPr>
      </w:pPr>
      <w:r>
        <w:rPr>
          <w:rFonts w:hint="eastAsia" w:cs="仿宋"/>
          <w:sz w:val="24"/>
          <w:szCs w:val="24"/>
          <w:highlight w:val="none"/>
        </w:rPr>
        <w:t>请求：</w:t>
      </w:r>
      <w:r>
        <w:rPr>
          <w:rFonts w:hint="eastAsia" w:cs="仿宋"/>
          <w:sz w:val="24"/>
          <w:szCs w:val="24"/>
          <w:highlight w:val="none"/>
          <w:u w:val="single"/>
        </w:rPr>
        <w:t xml:space="preserve">                                                                     </w:t>
      </w:r>
    </w:p>
    <w:p w14:paraId="7E14E15E">
      <w:pPr>
        <w:ind w:firstLine="120"/>
        <w:rPr>
          <w:sz w:val="24"/>
          <w:szCs w:val="24"/>
          <w:highlight w:val="none"/>
        </w:rPr>
      </w:pPr>
      <w:r>
        <w:rPr>
          <w:rFonts w:hint="eastAsia"/>
          <w:sz w:val="24"/>
          <w:szCs w:val="24"/>
          <w:highlight w:val="none"/>
        </w:rPr>
        <w:t xml:space="preserve">签字(签章)：                   公章：                      </w:t>
      </w:r>
    </w:p>
    <w:p w14:paraId="6B28D428">
      <w:pPr>
        <w:ind w:firstLine="120"/>
        <w:rPr>
          <w:sz w:val="24"/>
          <w:szCs w:val="24"/>
          <w:highlight w:val="none"/>
        </w:rPr>
      </w:pPr>
      <w:r>
        <w:rPr>
          <w:rFonts w:hint="eastAsia"/>
          <w:sz w:val="24"/>
          <w:szCs w:val="24"/>
          <w:highlight w:val="none"/>
        </w:rPr>
        <w:t xml:space="preserve">日期：    </w:t>
      </w:r>
    </w:p>
    <w:p w14:paraId="3AEF5789">
      <w:pPr>
        <w:spacing w:line="400" w:lineRule="exact"/>
        <w:ind w:firstLine="120"/>
        <w:rPr>
          <w:b/>
          <w:sz w:val="24"/>
          <w:szCs w:val="24"/>
          <w:highlight w:val="none"/>
        </w:rPr>
      </w:pPr>
      <w:r>
        <w:rPr>
          <w:rFonts w:hint="eastAsia"/>
          <w:b/>
          <w:sz w:val="24"/>
          <w:szCs w:val="24"/>
          <w:highlight w:val="none"/>
        </w:rPr>
        <w:t>质疑函制作说明：</w:t>
      </w:r>
    </w:p>
    <w:p w14:paraId="693C2236">
      <w:pPr>
        <w:spacing w:line="400" w:lineRule="exact"/>
        <w:ind w:firstLine="120"/>
        <w:rPr>
          <w:sz w:val="24"/>
          <w:szCs w:val="24"/>
          <w:highlight w:val="none"/>
        </w:rPr>
      </w:pPr>
      <w:r>
        <w:rPr>
          <w:rFonts w:hint="eastAsia"/>
          <w:sz w:val="24"/>
          <w:szCs w:val="24"/>
          <w:highlight w:val="none"/>
        </w:rPr>
        <w:t>1.供应商提出质疑时，应提交质疑函和必要的证明材料。</w:t>
      </w:r>
    </w:p>
    <w:p w14:paraId="0DCFC760">
      <w:pPr>
        <w:spacing w:line="400" w:lineRule="exact"/>
        <w:ind w:firstLine="120"/>
        <w:rPr>
          <w:sz w:val="24"/>
          <w:szCs w:val="24"/>
          <w:highlight w:val="none"/>
        </w:rPr>
      </w:pPr>
      <w:r>
        <w:rPr>
          <w:rFonts w:hint="eastAsia"/>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88BF240">
      <w:pPr>
        <w:spacing w:line="400" w:lineRule="exact"/>
        <w:ind w:firstLine="120"/>
        <w:rPr>
          <w:sz w:val="24"/>
          <w:szCs w:val="24"/>
          <w:highlight w:val="none"/>
        </w:rPr>
      </w:pPr>
      <w:r>
        <w:rPr>
          <w:rFonts w:hint="eastAsia"/>
          <w:sz w:val="24"/>
          <w:szCs w:val="24"/>
          <w:highlight w:val="none"/>
        </w:rPr>
        <w:t>3.质疑供应商若对项目的某一分包进行质疑，质疑函中应列明具体分包号。</w:t>
      </w:r>
    </w:p>
    <w:p w14:paraId="1F1AF66D">
      <w:pPr>
        <w:spacing w:line="400" w:lineRule="exact"/>
        <w:ind w:firstLine="120"/>
        <w:rPr>
          <w:sz w:val="24"/>
          <w:szCs w:val="24"/>
          <w:highlight w:val="none"/>
        </w:rPr>
      </w:pPr>
      <w:r>
        <w:rPr>
          <w:rFonts w:hint="eastAsia"/>
          <w:sz w:val="24"/>
          <w:szCs w:val="24"/>
          <w:highlight w:val="none"/>
        </w:rPr>
        <w:t>4.质疑函的质疑事项应具体、明确，并有必要的事实依据和法律依据。</w:t>
      </w:r>
    </w:p>
    <w:p w14:paraId="12519ADD">
      <w:pPr>
        <w:spacing w:line="400" w:lineRule="exact"/>
        <w:ind w:firstLine="120"/>
        <w:rPr>
          <w:sz w:val="24"/>
          <w:szCs w:val="24"/>
          <w:highlight w:val="none"/>
        </w:rPr>
      </w:pPr>
      <w:r>
        <w:rPr>
          <w:rFonts w:hint="eastAsia"/>
          <w:sz w:val="24"/>
          <w:szCs w:val="24"/>
          <w:highlight w:val="none"/>
        </w:rPr>
        <w:t>5.质疑函的质疑请求应与质疑事项相关。</w:t>
      </w:r>
    </w:p>
    <w:p w14:paraId="595F3D8C">
      <w:pPr>
        <w:spacing w:line="400" w:lineRule="exact"/>
        <w:ind w:firstLine="120"/>
        <w:rPr>
          <w:sz w:val="24"/>
          <w:szCs w:val="24"/>
          <w:highlight w:val="none"/>
        </w:rPr>
      </w:pPr>
      <w:r>
        <w:rPr>
          <w:rFonts w:hint="eastAsia"/>
          <w:sz w:val="24"/>
          <w:szCs w:val="24"/>
          <w:highlight w:val="none"/>
        </w:rPr>
        <w:t>6.质疑供应商为自然人的，质疑函应由本人签字；质疑供应商为法人或者其他组织的，质疑函应由法定代表人、主要负责人，或者其授权代表签字或者盖章，并加盖公章。</w:t>
      </w:r>
    </w:p>
    <w:p w14:paraId="4FB12F20">
      <w:pPr>
        <w:ind w:firstLine="480" w:firstLineChars="200"/>
        <w:rPr>
          <w:rFonts w:hint="default" w:cs="宋体"/>
          <w:bCs/>
          <w:sz w:val="24"/>
          <w:highlight w:val="none"/>
          <w:lang w:val="en-US" w:eastAsia="zh-CN"/>
        </w:rPr>
      </w:pPr>
    </w:p>
    <w:sectPr>
      <w:pgSz w:w="11906" w:h="16838"/>
      <w:pgMar w:top="1077" w:right="1134" w:bottom="107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幼圆">
    <w:panose1 w:val="02010509060101010101"/>
    <w:charset w:val="86"/>
    <w:family w:val="auto"/>
    <w:pitch w:val="default"/>
    <w:sig w:usb0="00000001" w:usb1="080E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仿宋">
    <w:panose1 w:val="02010609060101010101"/>
    <w:charset w:val="86"/>
    <w:family w:val="auto"/>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方正仿宋_GBK">
    <w:altName w:val="微软雅黑"/>
    <w:panose1 w:val="020B0503020202020204"/>
    <w:charset w:val="00"/>
    <w:family w:val="auto"/>
    <w:pitch w:val="default"/>
    <w:sig w:usb0="00000000" w:usb1="00000000" w:usb2="00000000" w:usb3="00000000" w:csb0="00000000" w:csb1="00000000"/>
  </w:font>
  <w:font w:name="经典仿宋简">
    <w:altName w:val="仿宋"/>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3D62ECE"/>
    <w:multiLevelType w:val="multilevel"/>
    <w:tmpl w:val="03D62ECE"/>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4A0F1EF4"/>
    <w:rsid w:val="00774402"/>
    <w:rsid w:val="015A4A98"/>
    <w:rsid w:val="01F1594A"/>
    <w:rsid w:val="02581525"/>
    <w:rsid w:val="028B66E3"/>
    <w:rsid w:val="04D05CEB"/>
    <w:rsid w:val="060914B4"/>
    <w:rsid w:val="0652587B"/>
    <w:rsid w:val="06C47E2A"/>
    <w:rsid w:val="07001500"/>
    <w:rsid w:val="07E5166B"/>
    <w:rsid w:val="094748D9"/>
    <w:rsid w:val="0D855A48"/>
    <w:rsid w:val="0D8853B5"/>
    <w:rsid w:val="0E440BB0"/>
    <w:rsid w:val="0EE479AD"/>
    <w:rsid w:val="0FAB3A46"/>
    <w:rsid w:val="10BB784F"/>
    <w:rsid w:val="117D5529"/>
    <w:rsid w:val="13F22FD8"/>
    <w:rsid w:val="13FA41EA"/>
    <w:rsid w:val="14855D7D"/>
    <w:rsid w:val="159E6595"/>
    <w:rsid w:val="16702E8A"/>
    <w:rsid w:val="16BE1E47"/>
    <w:rsid w:val="172F064F"/>
    <w:rsid w:val="179B36FF"/>
    <w:rsid w:val="17BA627B"/>
    <w:rsid w:val="18CD22FA"/>
    <w:rsid w:val="193E027B"/>
    <w:rsid w:val="19FC64CD"/>
    <w:rsid w:val="1BA50EE0"/>
    <w:rsid w:val="1BAB0DCF"/>
    <w:rsid w:val="1BF27E9D"/>
    <w:rsid w:val="1C501A14"/>
    <w:rsid w:val="1C6434F5"/>
    <w:rsid w:val="1DE9690E"/>
    <w:rsid w:val="1F274302"/>
    <w:rsid w:val="2230171F"/>
    <w:rsid w:val="233A0AA7"/>
    <w:rsid w:val="24015121"/>
    <w:rsid w:val="246122F3"/>
    <w:rsid w:val="25E85D9C"/>
    <w:rsid w:val="26437C73"/>
    <w:rsid w:val="266B541C"/>
    <w:rsid w:val="287F622D"/>
    <w:rsid w:val="28DE2693"/>
    <w:rsid w:val="29045714"/>
    <w:rsid w:val="2B0A542C"/>
    <w:rsid w:val="2BC4411E"/>
    <w:rsid w:val="2CB35427"/>
    <w:rsid w:val="2DC254F4"/>
    <w:rsid w:val="311741D6"/>
    <w:rsid w:val="320F1970"/>
    <w:rsid w:val="32621481"/>
    <w:rsid w:val="337E678E"/>
    <w:rsid w:val="38910D12"/>
    <w:rsid w:val="3DFB774C"/>
    <w:rsid w:val="3E1372CB"/>
    <w:rsid w:val="3EC970F7"/>
    <w:rsid w:val="3F2E419F"/>
    <w:rsid w:val="3F710F55"/>
    <w:rsid w:val="40833897"/>
    <w:rsid w:val="409D4F49"/>
    <w:rsid w:val="426E79CE"/>
    <w:rsid w:val="43616D69"/>
    <w:rsid w:val="44006D4C"/>
    <w:rsid w:val="44587A81"/>
    <w:rsid w:val="448D7759"/>
    <w:rsid w:val="47941C85"/>
    <w:rsid w:val="49060960"/>
    <w:rsid w:val="498D0B5B"/>
    <w:rsid w:val="49F96033"/>
    <w:rsid w:val="4A081D52"/>
    <w:rsid w:val="4A0F1EF4"/>
    <w:rsid w:val="4A654B7B"/>
    <w:rsid w:val="4A8B63AC"/>
    <w:rsid w:val="4B58121B"/>
    <w:rsid w:val="4B614A4E"/>
    <w:rsid w:val="4D1B1AD8"/>
    <w:rsid w:val="4DE17BEE"/>
    <w:rsid w:val="4E5B1318"/>
    <w:rsid w:val="4FC62B7B"/>
    <w:rsid w:val="50E07B05"/>
    <w:rsid w:val="522A71AB"/>
    <w:rsid w:val="530D0A5B"/>
    <w:rsid w:val="56E13974"/>
    <w:rsid w:val="56E7213C"/>
    <w:rsid w:val="572C012C"/>
    <w:rsid w:val="595B4CF8"/>
    <w:rsid w:val="5B1626D9"/>
    <w:rsid w:val="5BB10BFF"/>
    <w:rsid w:val="5F73746C"/>
    <w:rsid w:val="5FFB4B3F"/>
    <w:rsid w:val="637075F2"/>
    <w:rsid w:val="66A159CB"/>
    <w:rsid w:val="66B15F58"/>
    <w:rsid w:val="69AE49D0"/>
    <w:rsid w:val="6ADE3093"/>
    <w:rsid w:val="6BC21A3C"/>
    <w:rsid w:val="6BD44496"/>
    <w:rsid w:val="6E2E424D"/>
    <w:rsid w:val="6E713187"/>
    <w:rsid w:val="6F406298"/>
    <w:rsid w:val="70D13B5A"/>
    <w:rsid w:val="72896B59"/>
    <w:rsid w:val="741312DC"/>
    <w:rsid w:val="74BF1599"/>
    <w:rsid w:val="75124773"/>
    <w:rsid w:val="756A5164"/>
    <w:rsid w:val="75DC6580"/>
    <w:rsid w:val="76786B5B"/>
    <w:rsid w:val="7A2F0B53"/>
    <w:rsid w:val="7D162B61"/>
    <w:rsid w:val="7D196DB1"/>
    <w:rsid w:val="7DA41F1A"/>
    <w:rsid w:val="7F6942C5"/>
    <w:rsid w:val="7F824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
    <w:autoRedefine/>
    <w:qFormat/>
    <w:uiPriority w:val="0"/>
    <w:rPr>
      <w:rFonts w:hint="default" w:ascii="宋体" w:hAnsi="宋体" w:eastAsia="宋体" w:cs="宋体"/>
      <w:lang w:val="en-US" w:eastAsia="zh-CN" w:bidi="ar-SA"/>
    </w:rPr>
  </w:style>
  <w:style w:type="character" w:default="1" w:styleId="10">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0"/>
    <w:pPr>
      <w:ind w:firstLine="420"/>
    </w:pPr>
  </w:style>
  <w:style w:type="paragraph" w:styleId="3">
    <w:name w:val="Body Text"/>
    <w:basedOn w:val="1"/>
    <w:qFormat/>
    <w:uiPriority w:val="0"/>
    <w:rPr>
      <w:rFonts w:ascii="楷体_GB2312" w:hAnsi="Arial" w:eastAsia="楷体_GB2312"/>
      <w:kern w:val="0"/>
      <w:sz w:val="28"/>
      <w:szCs w:val="28"/>
    </w:rPr>
  </w:style>
  <w:style w:type="paragraph" w:styleId="4">
    <w:name w:val="Body Text Indent"/>
    <w:basedOn w:val="1"/>
    <w:qFormat/>
    <w:uiPriority w:val="0"/>
    <w:pPr>
      <w:spacing w:after="120"/>
      <w:ind w:left="420"/>
    </w:pPr>
    <w:rPr>
      <w:szCs w:val="24"/>
    </w:rPr>
  </w:style>
  <w:style w:type="paragraph" w:styleId="5">
    <w:name w:val="Plain Text"/>
    <w:basedOn w:val="1"/>
    <w:qFormat/>
    <w:uiPriority w:val="0"/>
    <w:rPr>
      <w:rFonts w:ascii="宋体" w:hAnsi="Courier New"/>
      <w:sz w:val="20"/>
      <w:szCs w:val="21"/>
    </w:rPr>
  </w:style>
  <w:style w:type="paragraph" w:styleId="6">
    <w:name w:val="footer"/>
    <w:basedOn w:val="1"/>
    <w:unhideWhenUsed/>
    <w:qFormat/>
    <w:uiPriority w:val="99"/>
    <w:pPr>
      <w:tabs>
        <w:tab w:val="center" w:pos="7143"/>
        <w:tab w:val="right" w:pos="14287"/>
      </w:tabs>
      <w:spacing w:after="0" w:line="240" w:lineRule="auto"/>
    </w:pPr>
  </w:style>
  <w:style w:type="paragraph" w:styleId="7">
    <w:name w:val="Normal (Web)"/>
    <w:basedOn w:val="1"/>
    <w:qFormat/>
    <w:uiPriority w:val="0"/>
    <w:rPr>
      <w:sz w:val="24"/>
    </w:rPr>
  </w:style>
  <w:style w:type="paragraph" w:styleId="8">
    <w:name w:val="Body Text First Indent 2"/>
    <w:basedOn w:val="4"/>
    <w:qFormat/>
    <w:uiPriority w:val="0"/>
    <w:pPr>
      <w:ind w:firstLine="420"/>
    </w:pPr>
    <w:rPr>
      <w:rFonts w:ascii="楷体_GB2312" w:eastAsia="楷体_GB2312" w:cs="宋体"/>
      <w:szCs w:val="21"/>
    </w:rPr>
  </w:style>
  <w:style w:type="character" w:styleId="11">
    <w:name w:val="Emphasis"/>
    <w:basedOn w:val="10"/>
    <w:qFormat/>
    <w:uiPriority w:val="20"/>
    <w:rPr>
      <w:i/>
    </w:rPr>
  </w:style>
  <w:style w:type="paragraph" w:customStyle="1" w:styleId="12">
    <w:name w:val="普通正文"/>
    <w:basedOn w:val="1"/>
    <w:qFormat/>
    <w:uiPriority w:val="0"/>
    <w:pPr>
      <w:spacing w:before="120" w:after="120" w:line="360" w:lineRule="auto"/>
      <w:ind w:firstLine="480"/>
    </w:pPr>
    <w:rPr>
      <w:rFonts w:ascii="Arial" w:hAnsi="Arial"/>
      <w:sz w:val="24"/>
      <w:szCs w:val="24"/>
    </w:rPr>
  </w:style>
  <w:style w:type="paragraph" w:customStyle="1" w:styleId="13">
    <w:name w:val="Default"/>
    <w:next w:val="1"/>
    <w:qFormat/>
    <w:uiPriority w:val="0"/>
    <w:pPr>
      <w:widowControl w:val="0"/>
    </w:pPr>
    <w:rPr>
      <w:rFonts w:hint="default" w:ascii="宋体" w:hAnsi="宋体" w:eastAsia="宋体" w:cs="宋体"/>
      <w:color w:val="000000"/>
      <w:lang w:val="en-US" w:eastAsia="zh-CN" w:bidi="ar-SA"/>
    </w:rPr>
  </w:style>
  <w:style w:type="paragraph" w:customStyle="1" w:styleId="14">
    <w:name w:val="标题 11"/>
    <w:basedOn w:val="1"/>
    <w:next w:val="1"/>
    <w:qFormat/>
    <w:uiPriority w:val="0"/>
    <w:pPr>
      <w:keepNext/>
      <w:jc w:val="center"/>
      <w:outlineLvl w:val="0"/>
    </w:pPr>
    <w:rPr>
      <w:rFonts w:ascii="楷体_GB2312" w:hAnsi="Times New Roman" w:eastAsia="楷体_GB2312" w:cs="Times New Roman"/>
      <w:sz w:val="28"/>
      <w:szCs w:val="28"/>
      <w:lang w:val="en-US" w:eastAsia="en-US"/>
    </w:rPr>
  </w:style>
  <w:style w:type="paragraph" w:customStyle="1" w:styleId="15">
    <w:name w:val="标题 31"/>
    <w:basedOn w:val="1"/>
    <w:next w:val="1"/>
    <w:qFormat/>
    <w:uiPriority w:val="0"/>
    <w:pPr>
      <w:keepNext/>
      <w:keepLines/>
      <w:spacing w:before="260" w:after="260" w:line="416" w:lineRule="auto"/>
      <w:outlineLvl w:val="2"/>
    </w:pPr>
    <w:rPr>
      <w:rFonts w:ascii="Times New Roman" w:hAnsi="Times New Roman" w:cs="Times New Roman"/>
      <w:b/>
      <w:bCs/>
      <w:sz w:val="32"/>
      <w:szCs w:val="32"/>
      <w:lang w:val="en-US" w:eastAsia="en-US"/>
    </w:rPr>
  </w:style>
  <w:style w:type="paragraph" w:customStyle="1" w:styleId="16">
    <w:name w:val="标题 21"/>
    <w:basedOn w:val="1"/>
    <w:next w:val="1"/>
    <w:qFormat/>
    <w:uiPriority w:val="0"/>
    <w:pPr>
      <w:keepNext/>
      <w:keepLines/>
      <w:spacing w:before="260" w:after="260" w:line="416" w:lineRule="auto"/>
      <w:jc w:val="center"/>
      <w:outlineLvl w:val="1"/>
    </w:pPr>
    <w:rPr>
      <w:rFonts w:ascii="Arial" w:hAnsi="Arial" w:eastAsia="幼圆" w:cs="Times New Roman"/>
      <w:b/>
      <w:bCs/>
      <w:sz w:val="44"/>
      <w:szCs w:val="44"/>
      <w:lang w:val="en-US" w:eastAsia="en-US"/>
    </w:rPr>
  </w:style>
  <w:style w:type="paragraph" w:customStyle="1" w:styleId="17">
    <w:name w:val="正文_0_0"/>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18">
    <w:name w:val="纯文本1"/>
    <w:basedOn w:val="1"/>
    <w:qFormat/>
    <w:uiPriority w:val="0"/>
    <w:rPr>
      <w:rFonts w:hAnsi="Courier New" w:cs="Times New Roman"/>
      <w:szCs w:val="21"/>
      <w:lang w:val="en-US" w:eastAsia="en-US"/>
    </w:rPr>
  </w:style>
  <w:style w:type="paragraph" w:customStyle="1" w:styleId="19">
    <w:name w:val="正文缩进1"/>
    <w:basedOn w:val="1"/>
    <w:qFormat/>
    <w:uiPriority w:val="0"/>
    <w:pPr>
      <w:ind w:firstLine="420"/>
    </w:pPr>
    <w:rPr>
      <w:rFonts w:ascii="Times New Roman" w:hAnsi="Times New Roman" w:cs="Times New Roman"/>
      <w:szCs w:val="21"/>
      <w:lang w:val="en-US" w:eastAsia="en-US"/>
    </w:rPr>
  </w:style>
  <w:style w:type="paragraph" w:customStyle="1" w:styleId="20">
    <w:name w:val="Char1"/>
    <w:basedOn w:val="1"/>
    <w:qFormat/>
    <w:uiPriority w:val="0"/>
    <w:pPr>
      <w:tabs>
        <w:tab w:val="left" w:pos="360"/>
      </w:tabs>
      <w:ind w:firstLine="200"/>
    </w:pPr>
    <w:rPr>
      <w:sz w:val="28"/>
      <w:szCs w:val="30"/>
    </w:rPr>
  </w:style>
  <w:style w:type="paragraph" w:customStyle="1" w:styleId="21">
    <w:name w:val="页脚1"/>
    <w:basedOn w:val="1"/>
    <w:qFormat/>
    <w:uiPriority w:val="0"/>
    <w:pPr>
      <w:tabs>
        <w:tab w:val="center" w:pos="4153"/>
        <w:tab w:val="right" w:pos="8306"/>
      </w:tabs>
      <w:jc w:val="center"/>
    </w:pPr>
    <w:rPr>
      <w:rFonts w:cs="Times New Roman"/>
      <w:sz w:val="18"/>
      <w:szCs w:val="18"/>
      <w:lang w:val="en-US" w:eastAsia="en-US"/>
    </w:rPr>
  </w:style>
  <w:style w:type="character" w:customStyle="1" w:styleId="22">
    <w:name w:val="页码1"/>
    <w:link w:val="1"/>
    <w:qFormat/>
    <w:uiPriority w:val="0"/>
    <w:rPr>
      <w:rFonts w:hint="default" w:ascii="宋体" w:hAnsi="宋体" w:eastAsia="宋体" w:cs="宋体"/>
      <w:lang w:val="en-US" w:eastAsia="zh-CN" w:bidi="ar-SA"/>
    </w:rPr>
  </w:style>
  <w:style w:type="paragraph" w:customStyle="1" w:styleId="23">
    <w:name w:val="正文1"/>
    <w:basedOn w:val="24"/>
    <w:qFormat/>
    <w:uiPriority w:val="0"/>
    <w:pPr>
      <w:spacing w:line="360" w:lineRule="atLeast"/>
      <w:jc w:val="left"/>
    </w:pPr>
    <w:rPr>
      <w:rFonts w:ascii="宋体" w:hAnsiTheme="minorHAnsi" w:eastAsiaTheme="minorEastAsia" w:cstheme="minorBidi"/>
      <w:sz w:val="24"/>
      <w:szCs w:val="20"/>
    </w:rPr>
  </w:style>
  <w:style w:type="paragraph" w:customStyle="1" w:styleId="24">
    <w:name w:val="正文11"/>
    <w:next w:val="2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
    <w:name w:val="正文首行缩进 21"/>
    <w:basedOn w:val="26"/>
    <w:next w:val="19"/>
    <w:qFormat/>
    <w:uiPriority w:val="0"/>
    <w:pPr>
      <w:spacing w:after="0" w:line="360" w:lineRule="auto"/>
      <w:ind w:left="0" w:firstLine="420"/>
    </w:pPr>
    <w:rPr>
      <w:rFonts w:ascii="宋体" w:hAnsi="宋体" w:eastAsia="宋体"/>
      <w:sz w:val="20"/>
      <w:szCs w:val="20"/>
    </w:rPr>
  </w:style>
  <w:style w:type="paragraph" w:customStyle="1" w:styleId="26">
    <w:name w:val="正文文本缩进1"/>
    <w:basedOn w:val="24"/>
    <w:next w:val="1"/>
    <w:qFormat/>
    <w:uiPriority w:val="0"/>
    <w:pPr>
      <w:spacing w:after="120"/>
      <w:ind w:left="420"/>
    </w:pPr>
    <w:rPr>
      <w:rFonts w:ascii="Times New Roman" w:hAnsi="Times New Roman" w:eastAsia="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60</Pages>
  <Words>22205</Words>
  <Characters>23614</Characters>
  <Lines>0</Lines>
  <Paragraphs>0</Paragraphs>
  <TotalTime>9</TotalTime>
  <ScaleCrop>false</ScaleCrop>
  <LinksUpToDate>false</LinksUpToDate>
  <CharactersWithSpaces>24249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2026-05-11T08:32:00Z</dcterms:created>
  <dc:creator> 李某某</dc:creator>
  <cp:lastModifiedBy>pc</cp:lastModifiedBy>
  <cp:lastPrinted>2026-07-06T02:59:00Z</cp:lastPrinted>
  <dcterms:modified xsi:type="dcterms:W3CDTF">2026-07-06T07:52:22Z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B743E43E8ADE48BB9FB702031A5212AF_11</vt:lpwstr>
  </property>
  <property fmtid="{D5CDD505-2E9C-101B-9397-08002B2CF9AE}" pid="4" name="KSOTemplateDocerSaveRecord">
    <vt:lpwstr>eyJoZGlkIjoiNTE2MGRlY2VjOTdhNzQxNmJiY2EwMWRmNWVmMWFlZTIiLCJ1c2VySWQiOiI5MTExMDY4MzEifQ==</vt:lpwstr>
  </property>
</Properties>
</file>