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cs="宋体"/>
          <w:b/>
          <w:bCs/>
          <w:color w:val="auto"/>
          <w:sz w:val="36"/>
          <w:highlight w:val="none"/>
        </w:rPr>
      </w:pPr>
      <w:r>
        <w:rPr>
          <w:rFonts w:hint="eastAsia" w:ascii="宋体" w:hAnsi="宋体" w:cs="宋体"/>
          <w:b/>
          <w:bCs/>
          <w:color w:val="auto"/>
          <w:sz w:val="36"/>
          <w:highlight w:val="none"/>
        </w:rPr>
        <w:t xml:space="preserve">    </w:t>
      </w:r>
      <w:r/>
    </w:p>
    <w:p>
      <w:pPr>
        <w:jc w:val="right"/>
        <w:rPr>
          <w:rFonts w:hint="eastAsia" w:ascii="宋体" w:hAnsi="宋体" w:cs="宋体"/>
          <w:b/>
          <w:bCs/>
          <w:color w:val="auto"/>
          <w:sz w:val="36"/>
          <w:highlight w:val="none"/>
        </w:rPr>
      </w:pPr>
      <w:r>
        <w:rPr>
          <w:rFonts w:hint="eastAsia" w:ascii="宋体" w:hAnsi="宋体" w:cs="宋体"/>
          <w:b/>
          <w:bCs/>
          <w:color w:val="auto"/>
          <w:sz w:val="36"/>
          <w:highlight w:val="none"/>
        </w:rPr>
        <w:tab/>
      </w:r>
      <w:r>
        <w:rPr>
          <w:rFonts w:hint="eastAsia" w:ascii="宋体" w:hAnsi="宋体" w:cs="宋体"/>
          <w:b/>
          <w:bCs/>
          <w:color w:val="auto"/>
          <w:sz w:val="36"/>
          <w:highlight w:val="none"/>
          <w:lang w:eastAsia="zh-CN"/>
        </w:rPr>
        <w:t xml:space="preserve">JSZC-321000-JSWC-G2026-</w:t>
      </w:r>
      <w:r>
        <w:rPr>
          <w:rFonts w:hint="eastAsia" w:ascii="宋体" w:hAnsi="宋体" w:cs="宋体"/>
          <w:b/>
          <w:bCs/>
          <w:color w:val="auto"/>
          <w:sz w:val="36"/>
          <w:highlight w:val="none"/>
          <w:lang w:eastAsia="zh-CN"/>
        </w:rPr>
        <w:t xml:space="preserve">0018</w:t>
      </w:r>
      <w:r>
        <w:rPr>
          <w:rFonts w:hint="eastAsia" w:ascii="宋体" w:hAnsi="宋体" w:cs="宋体"/>
          <w:b/>
          <w:bCs/>
          <w:color w:val="auto"/>
          <w:sz w:val="36"/>
          <w:highlight w:val="none"/>
        </w:rPr>
        <w:t xml:space="preserve">号</w:t>
      </w:r>
      <w:r/>
    </w:p>
    <w:p>
      <w:pPr>
        <w:jc w:val="right"/>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spacing w:line="360" w:lineRule="auto"/>
        <w:rPr>
          <w:rFonts w:hint="eastAsia" w:ascii="宋体" w:hAnsi="宋体" w:eastAsia="宋体" w:cs="宋体"/>
          <w:b/>
          <w:bCs/>
          <w:color w:val="auto"/>
          <w:sz w:val="36"/>
          <w:highlight w:val="none"/>
          <w:lang w:eastAsia="zh-CN"/>
        </w:rPr>
      </w:pPr>
      <w:r>
        <w:rPr>
          <w:rFonts w:hint="eastAsia" w:ascii="宋体" w:hAnsi="宋体" w:cs="宋体"/>
          <w:b/>
          <w:bCs/>
          <w:color w:val="auto"/>
          <w:sz w:val="36"/>
          <w:highlight w:val="none"/>
        </w:rPr>
        <w:t xml:space="preserve">扬州市中医院</w:t>
      </w:r>
      <w:r>
        <w:rPr>
          <w:rFonts w:hint="eastAsia" w:ascii="宋体" w:hAnsi="宋体" w:cs="宋体"/>
          <w:b/>
          <w:bCs/>
          <w:color w:val="auto"/>
          <w:sz w:val="36"/>
          <w:highlight w:val="none"/>
          <w:lang w:eastAsia="zh-CN"/>
        </w:rPr>
        <w:t xml:space="preserve">被服洗涤服务采购项目</w:t>
      </w:r>
      <w:r/>
    </w:p>
    <w:p>
      <w:pPr>
        <w:jc w:val="center"/>
        <w:spacing w:line="360" w:lineRule="auto"/>
        <w:rPr>
          <w:rFonts w:hint="eastAsia" w:ascii="宋体" w:hAnsi="宋体" w:cs="宋体"/>
          <w:b/>
          <w:bCs/>
          <w:color w:val="auto"/>
          <w:sz w:val="36"/>
          <w:highlight w:val="none"/>
        </w:rPr>
      </w:pPr>
      <w:r>
        <w:rPr>
          <w:rFonts w:hint="eastAsia" w:ascii="宋体" w:hAnsi="宋体" w:cs="宋体"/>
          <w:b/>
          <w:bCs/>
          <w:color w:val="auto"/>
          <w:sz w:val="36"/>
          <w:highlight w:val="none"/>
        </w:rPr>
        <w:t xml:space="preserve">公开招标文件</w:t>
      </w:r>
      <w:r/>
    </w:p>
    <w:p>
      <w:pPr>
        <w:jc w:val="center"/>
        <w:tabs>
          <w:tab w:val="left" w:pos="4620" w:leader="none"/>
        </w:tabs>
        <w:rPr>
          <w:rFonts w:hint="eastAsia" w:ascii="宋体" w:hAnsi="宋体" w:cs="宋体"/>
          <w:color w:val="auto"/>
          <w:sz w:val="36"/>
          <w:highlight w:val="none"/>
        </w:rPr>
      </w:pPr>
      <w:r>
        <w:rPr>
          <w:rFonts w:hint="eastAsia" w:ascii="宋体" w:hAnsi="宋体" w:cs="宋体"/>
          <w:color w:val="auto"/>
          <w:sz w:val="36"/>
          <w:highlight w:val="none"/>
        </w:rPr>
      </w:r>
      <w:r/>
    </w:p>
    <w:p>
      <w:pPr>
        <w:pStyle w:val="1228"/>
        <w:rPr>
          <w:color w:val="auto"/>
          <w:highlight w:val="none"/>
        </w:rPr>
      </w:pPr>
      <w:r>
        <w:rPr>
          <w:color w:val="auto"/>
          <w:highlight w:val="none"/>
        </w:rPr>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left"/>
        <w:rPr>
          <w:rFonts w:hint="eastAsia" w:ascii="宋体" w:hAnsi="宋体" w:cs="宋体"/>
          <w:color w:val="auto"/>
          <w:sz w:val="36"/>
          <w:highlight w:val="none"/>
        </w:rPr>
      </w:pPr>
      <w:r>
        <w:rPr>
          <w:color w:val="auto"/>
          <w:highlight w:val="none"/>
        </w:rPr>
        <mc:AlternateContent>
          <mc:Choice Requires="wpg">
            <w:drawing>
              <wp:inline xmlns:wp="http://schemas.openxmlformats.org/drawingml/2006/wordprocessingDrawing" distT="0" distB="0" distL="0" distR="0">
                <wp:extent cx="5266690" cy="2222500"/>
                <wp:effectExtent l="0" t="0" r="10160" b="635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6"/>
                        <a:stretch/>
                      </pic:blipFill>
                      <pic:spPr bwMode="auto">
                        <a:xfrm>
                          <a:off x="0" y="0"/>
                          <a:ext cx="5266690" cy="2222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4.7pt;height:175.0pt;mso-wrap-distance-left:0.0pt;mso-wrap-distance-top:0.0pt;mso-wrap-distance-right:0.0pt;mso-wrap-distance-bottom:0.0pt;" stroked="f">
                <v:path textboxrect="0,0,0,0"/>
                <v:imagedata r:id="rId16" o:title=""/>
              </v:shape>
            </w:pict>
          </mc:Fallback>
        </mc:AlternateContent>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pStyle w:val="1228"/>
        <w:rPr>
          <w:color w:val="auto"/>
          <w:highlight w:val="none"/>
        </w:rPr>
      </w:pPr>
      <w:r>
        <w:rPr>
          <w:color w:val="auto"/>
          <w:highlight w:val="none"/>
        </w:rPr>
      </w:r>
      <w:r/>
    </w:p>
    <w:p>
      <w:pPr>
        <w:pStyle w:val="866"/>
        <w:rPr>
          <w:color w:val="auto"/>
          <w:highlight w:val="none"/>
        </w:rPr>
      </w:pPr>
      <w:r>
        <w:rPr>
          <w:color w:val="auto"/>
          <w:highlight w:val="none"/>
        </w:rPr>
      </w:r>
      <w:r/>
    </w:p>
    <w:p>
      <w:pPr>
        <w:ind w:firstLine="1134"/>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 购 人：扬州市中医院</w:t>
      </w:r>
      <w:r/>
    </w:p>
    <w:p>
      <w:pPr>
        <w:ind w:firstLine="1134"/>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采购代理机构(章)：江苏唯诚建设咨询有限公司</w:t>
      </w:r>
      <w:r/>
    </w:p>
    <w:p>
      <w:pPr>
        <w:ind w:firstLine="1134"/>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发放日期：</w:t>
      </w:r>
      <w:bookmarkStart w:id="0" w:name="EB59c3faf64f2a4bd092a206fb1d0c3c03"/>
      <w:r>
        <w:rPr>
          <w:rFonts w:hint="eastAsia" w:ascii="宋体" w:hAnsi="宋体" w:cs="宋体"/>
          <w:b/>
          <w:bCs/>
          <w:color w:val="auto"/>
          <w:sz w:val="32"/>
          <w:szCs w:val="32"/>
          <w:highlight w:val="none"/>
        </w:rPr>
        <w:t xml:space="preserve">2026年</w:t>
      </w:r>
      <w:r>
        <w:rPr>
          <w:rFonts w:hint="eastAsia" w:ascii="宋体" w:hAnsi="宋体" w:cs="宋体"/>
          <w:b/>
          <w:bCs/>
          <w:color w:val="auto"/>
          <w:sz w:val="32"/>
          <w:szCs w:val="32"/>
          <w:highlight w:val="none"/>
          <w:lang w:val="en-US" w:eastAsia="zh-CN"/>
        </w:rPr>
        <w:t xml:space="preserve">7</w:t>
      </w:r>
      <w:r>
        <w:rPr>
          <w:rFonts w:hint="eastAsia" w:ascii="宋体" w:hAnsi="宋体" w:cs="宋体"/>
          <w:b/>
          <w:bCs/>
          <w:color w:val="auto"/>
          <w:sz w:val="32"/>
          <w:szCs w:val="32"/>
          <w:highlight w:val="none"/>
        </w:rPr>
        <w:t xml:space="preserve">月</w:t>
      </w:r>
      <w:bookmarkEnd w:id="0"/>
      <w:r>
        <w:rPr>
          <w:rFonts w:hint="eastAsia" w:ascii="宋体" w:hAnsi="宋体" w:cs="宋体"/>
          <w:b/>
          <w:bCs/>
          <w:color w:val="auto"/>
          <w:sz w:val="32"/>
          <w:szCs w:val="32"/>
          <w:highlight w:val="none"/>
          <w:lang w:val="en-US" w:eastAsia="zh-CN"/>
        </w:rPr>
        <w:t xml:space="preserve">3</w:t>
      </w:r>
      <w:r>
        <w:rPr>
          <w:rFonts w:hint="eastAsia" w:ascii="宋体" w:hAnsi="宋体" w:cs="宋体"/>
          <w:b/>
          <w:bCs/>
          <w:color w:val="auto"/>
          <w:sz w:val="32"/>
          <w:szCs w:val="32"/>
          <w:highlight w:val="none"/>
        </w:rPr>
        <w:t xml:space="preserve">日</w:t>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rPr>
          <w:rFonts w:hint="eastAsia" w:ascii="宋体" w:hAnsi="宋体" w:cs="宋体"/>
          <w:b/>
          <w:bCs/>
          <w:color w:val="auto"/>
          <w:sz w:val="32"/>
          <w:highlight w:val="none"/>
        </w:rPr>
      </w:pPr>
      <w:r>
        <w:rPr>
          <w:rFonts w:hint="eastAsia" w:ascii="宋体" w:hAnsi="宋体" w:cs="宋体"/>
          <w:b/>
          <w:bCs/>
          <w:color w:val="auto"/>
          <w:sz w:val="32"/>
          <w:highlight w:val="none"/>
        </w:rPr>
        <w:br w:type="page" w:clear="all"/>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highlight w:val="none"/>
        </w:rPr>
        <w:t xml:space="preserve">目 录</w:t>
      </w:r>
      <w:r/>
    </w:p>
    <w:p>
      <w:pPr>
        <w:pStyle w:val="851"/>
        <w:spacing w:line="360" w:lineRule="auto"/>
        <w:tabs>
          <w:tab w:val="right" w:pos="8296" w:leader="dot"/>
        </w:tabs>
        <w:rPr>
          <w:rFonts w:hint="eastAsia" w:ascii="宋体" w:hAnsi="宋体" w:cs="宋体"/>
          <w:color w:val="auto"/>
          <w:highlight w:val="none"/>
        </w:rPr>
      </w:pPr>
      <w:r>
        <w:rPr>
          <w:rFonts w:hint="eastAsia" w:ascii="宋体" w:hAnsi="宋体" w:cs="宋体"/>
          <w:color w:val="auto"/>
          <w:sz w:val="28"/>
          <w:highlight w:val="none"/>
        </w:rPr>
        <w:fldChar w:fldCharType="begin"/>
      </w:r>
      <w:r>
        <w:rPr>
          <w:rFonts w:hint="eastAsia" w:ascii="宋体" w:hAnsi="宋体" w:cs="宋体"/>
          <w:color w:val="auto"/>
          <w:sz w:val="28"/>
          <w:highlight w:val="none"/>
        </w:rPr>
        <w:instrText xml:space="preserve"> TOC \o "1-3" \f </w:instrText>
      </w:r>
      <w:r>
        <w:rPr>
          <w:rFonts w:hint="eastAsia" w:ascii="宋体" w:hAnsi="宋体" w:cs="宋体"/>
          <w:color w:val="auto"/>
          <w:sz w:val="28"/>
          <w:highlight w:val="none"/>
        </w:rPr>
        <w:fldChar w:fldCharType="separate"/>
      </w:r>
      <w:r>
        <w:rPr>
          <w:rFonts w:hint="eastAsia" w:ascii="宋体" w:hAnsi="宋体" w:cs="宋体"/>
          <w:color w:val="auto"/>
          <w:highlight w:val="none"/>
        </w:rPr>
        <w:t xml:space="preserve">第一章 招标公告</w:t>
      </w:r>
      <w:r>
        <w:rPr>
          <w:rFonts w:hint="eastAsia" w:ascii="宋体" w:hAnsi="宋体" w:cs="宋体"/>
          <w:color w:val="auto"/>
          <w:highlight w:val="none"/>
        </w:rPr>
        <w:tab/>
      </w:r>
      <w:r>
        <w:rPr>
          <w:rFonts w:hint="eastAsia" w:ascii="宋体" w:hAnsi="宋体" w:cs="宋体"/>
          <w:color w:val="auto"/>
          <w:highlight w:val="none"/>
        </w:rPr>
        <w:t xml:space="preserve">3</w:t>
      </w:r>
      <w:r/>
    </w:p>
    <w:p>
      <w:pPr>
        <w:pStyle w:val="851"/>
        <w:spacing w:line="360" w:lineRule="auto"/>
        <w:tabs>
          <w:tab w:val="right" w:pos="8296" w:leader="dot"/>
        </w:tabs>
        <w:rPr>
          <w:rFonts w:hint="eastAsia" w:ascii="宋体" w:hAnsi="宋体" w:eastAsia="宋体" w:cs="宋体"/>
          <w:color w:val="auto"/>
          <w:highlight w:val="none"/>
          <w:lang w:eastAsia="zh-CN"/>
        </w:rPr>
      </w:pPr>
      <w:r>
        <w:rPr>
          <w:rFonts w:hint="eastAsia" w:ascii="宋体" w:hAnsi="宋体" w:cs="宋体"/>
          <w:color w:val="auto"/>
          <w:highlight w:val="none"/>
        </w:rPr>
        <w:t xml:space="preserve">第二章 投标人须知</w:t>
      </w:r>
      <w:r>
        <w:rPr>
          <w:rFonts w:hint="eastAsia" w:ascii="宋体" w:hAnsi="宋体" w:cs="宋体"/>
          <w:color w:val="auto"/>
          <w:highlight w:val="none"/>
        </w:rPr>
        <w:tab/>
      </w:r>
      <w:r>
        <w:rPr>
          <w:rFonts w:hint="eastAsia" w:ascii="宋体" w:hAnsi="宋体" w:cs="宋体"/>
          <w:color w:val="auto"/>
          <w:highlight w:val="none"/>
          <w:lang w:val="en-US" w:eastAsia="zh-CN"/>
        </w:rPr>
        <w:t xml:space="preserve">7</w:t>
      </w:r>
      <w:r/>
    </w:p>
    <w:p>
      <w:pPr>
        <w:pStyle w:val="851"/>
        <w:spacing w:line="360" w:lineRule="auto"/>
        <w:tabs>
          <w:tab w:val="right" w:pos="8296" w:leader="dot"/>
        </w:tabs>
        <w:rPr>
          <w:rFonts w:hint="eastAsia" w:ascii="宋体" w:hAnsi="宋体" w:eastAsia="宋体" w:cs="宋体"/>
          <w:color w:val="auto"/>
          <w:highlight w:val="none"/>
          <w:lang w:eastAsia="zh-CN"/>
        </w:rPr>
      </w:pPr>
      <w:r>
        <w:rPr>
          <w:rFonts w:hint="eastAsia" w:ascii="宋体" w:hAnsi="宋体" w:cs="宋体"/>
          <w:color w:val="auto"/>
          <w:highlight w:val="none"/>
        </w:rPr>
        <w:t xml:space="preserve">第三章 合同条款及格式</w:t>
      </w:r>
      <w:r>
        <w:rPr>
          <w:rFonts w:hint="eastAsia" w:ascii="宋体" w:hAnsi="宋体" w:cs="宋体"/>
          <w:color w:val="auto"/>
          <w:highlight w:val="none"/>
        </w:rPr>
        <w:tab/>
      </w:r>
      <w:r>
        <w:rPr>
          <w:rFonts w:hint="eastAsia" w:ascii="宋体" w:hAnsi="宋体" w:cs="宋体"/>
          <w:color w:val="auto"/>
          <w:highlight w:val="none"/>
        </w:rPr>
        <w:t xml:space="preserve">1</w:t>
      </w:r>
      <w:r>
        <w:rPr>
          <w:rFonts w:hint="eastAsia" w:ascii="宋体" w:hAnsi="宋体" w:cs="宋体"/>
          <w:color w:val="auto"/>
          <w:highlight w:val="none"/>
          <w:lang w:val="en-US" w:eastAsia="zh-CN"/>
        </w:rPr>
        <w:t xml:space="preserve">7</w:t>
      </w:r>
      <w:r/>
    </w:p>
    <w:p>
      <w:pPr>
        <w:pStyle w:val="851"/>
        <w:spacing w:line="360" w:lineRule="auto"/>
        <w:tabs>
          <w:tab w:val="right" w:pos="8296" w:leader="dot"/>
        </w:tabs>
        <w:rPr>
          <w:rFonts w:hint="eastAsia" w:ascii="宋体" w:hAnsi="宋体" w:eastAsia="宋体" w:cs="宋体"/>
          <w:color w:val="auto"/>
          <w:highlight w:val="none"/>
          <w:lang w:eastAsia="zh-CN"/>
        </w:rPr>
      </w:pPr>
      <w:r>
        <w:rPr>
          <w:rFonts w:hint="eastAsia" w:ascii="宋体" w:hAnsi="宋体" w:cs="宋体"/>
          <w:color w:val="auto"/>
          <w:highlight w:val="none"/>
        </w:rPr>
        <w:t xml:space="preserve">第四章 项目需求</w:t>
      </w:r>
      <w:r>
        <w:rPr>
          <w:rFonts w:hint="eastAsia" w:ascii="宋体" w:hAnsi="宋体" w:cs="宋体"/>
          <w:color w:val="auto"/>
          <w:highlight w:val="none"/>
        </w:rPr>
        <w:tab/>
      </w:r>
      <w:r>
        <w:rPr>
          <w:rFonts w:hint="eastAsia" w:ascii="宋体" w:hAnsi="宋体" w:cs="宋体"/>
          <w:color w:val="auto"/>
          <w:highlight w:val="none"/>
        </w:rPr>
        <w:t xml:space="preserve">2</w:t>
      </w:r>
      <w:r>
        <w:rPr>
          <w:rFonts w:hint="eastAsia" w:ascii="宋体" w:hAnsi="宋体" w:cs="宋体"/>
          <w:color w:val="auto"/>
          <w:highlight w:val="none"/>
          <w:lang w:val="en-US" w:eastAsia="zh-CN"/>
        </w:rPr>
        <w:t xml:space="preserve">3</w:t>
      </w:r>
      <w:r/>
    </w:p>
    <w:p>
      <w:pPr>
        <w:pStyle w:val="851"/>
        <w:spacing w:line="360" w:lineRule="auto"/>
        <w:tabs>
          <w:tab w:val="right" w:pos="8296" w:leader="dot"/>
        </w:tabs>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第五章 评标方法及评标标准</w:t>
      </w:r>
      <w:r>
        <w:rPr>
          <w:rFonts w:hint="eastAsia" w:ascii="宋体" w:hAnsi="宋体" w:cs="宋体"/>
          <w:color w:val="auto"/>
          <w:highlight w:val="none"/>
        </w:rPr>
        <w:tab/>
      </w:r>
      <w:r>
        <w:rPr>
          <w:rFonts w:hint="eastAsia" w:ascii="宋体" w:hAnsi="宋体" w:cs="宋体"/>
          <w:color w:val="auto"/>
          <w:highlight w:val="none"/>
          <w:lang w:val="en-US" w:eastAsia="zh-CN"/>
        </w:rPr>
        <w:t xml:space="preserve">31</w:t>
      </w:r>
      <w:r/>
    </w:p>
    <w:p>
      <w:pPr>
        <w:pStyle w:val="851"/>
        <w:spacing w:line="360" w:lineRule="auto"/>
        <w:tabs>
          <w:tab w:val="right" w:pos="8296" w:leader="dot"/>
        </w:tabs>
        <w:rPr>
          <w:rFonts w:hint="eastAsia" w:ascii="宋体" w:hAnsi="宋体" w:eastAsia="宋体" w:cs="宋体"/>
          <w:color w:val="auto"/>
          <w:highlight w:val="none"/>
          <w:lang w:eastAsia="zh-CN"/>
        </w:rPr>
      </w:pPr>
      <w:r>
        <w:rPr>
          <w:rFonts w:hint="eastAsia" w:ascii="宋体" w:hAnsi="宋体" w:cs="宋体"/>
          <w:color w:val="auto"/>
          <w:highlight w:val="none"/>
        </w:rPr>
        <w:t xml:space="preserve">第六章 投标文件格式</w:t>
      </w:r>
      <w:r>
        <w:rPr>
          <w:rFonts w:hint="eastAsia" w:ascii="宋体" w:hAnsi="宋体" w:cs="宋体"/>
          <w:color w:val="auto"/>
          <w:highlight w:val="none"/>
        </w:rPr>
        <w:tab/>
      </w:r>
      <w:r>
        <w:rPr>
          <w:rFonts w:hint="eastAsia" w:ascii="宋体" w:hAnsi="宋体" w:cs="宋体"/>
          <w:color w:val="auto"/>
          <w:highlight w:val="none"/>
        </w:rPr>
        <w:t xml:space="preserve">3</w:t>
      </w:r>
      <w:r>
        <w:rPr>
          <w:rFonts w:hint="eastAsia" w:ascii="宋体" w:hAnsi="宋体" w:cs="宋体"/>
          <w:color w:val="auto"/>
          <w:highlight w:val="none"/>
          <w:lang w:val="en-US" w:eastAsia="zh-CN"/>
        </w:rPr>
        <w:t xml:space="preserve">4</w:t>
      </w:r>
      <w:r/>
    </w:p>
    <w:p>
      <w:pPr>
        <w:jc w:val="center"/>
        <w:spacing w:line="360" w:lineRule="auto"/>
        <w:rPr>
          <w:rFonts w:hint="eastAsia" w:ascii="宋体" w:hAnsi="宋体" w:cs="宋体"/>
          <w:color w:val="auto"/>
          <w:sz w:val="28"/>
          <w:highlight w:val="none"/>
        </w:rPr>
        <w:sectPr>
          <w:headerReference w:type="default" r:id="rId9"/>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cs="宋体"/>
          <w:color w:val="auto"/>
          <w:sz w:val="28"/>
          <w:highlight w:val="none"/>
        </w:rPr>
        <w:fldChar w:fldCharType="end"/>
      </w:r>
      <w:r/>
    </w:p>
    <w:p>
      <w:pPr>
        <w:pStyle w:val="821"/>
        <w:jc w:val="center"/>
        <w:spacing w:line="360" w:lineRule="auto"/>
        <w:rPr>
          <w:rFonts w:hint="eastAsia" w:ascii="宋体" w:hAnsi="宋体" w:cs="宋体"/>
          <w:color w:val="auto"/>
          <w:sz w:val="36"/>
          <w:highlight w:val="none"/>
        </w:rPr>
      </w:pPr>
      <w:r/>
      <w:bookmarkStart w:id="1" w:name="_Toc497133090"/>
      <w:r/>
      <w:bookmarkStart w:id="2" w:name="OLE_LINK1"/>
      <w:r>
        <w:rPr>
          <w:rFonts w:hint="eastAsia" w:ascii="宋体" w:hAnsi="宋体" w:cs="宋体"/>
          <w:color w:val="auto"/>
          <w:sz w:val="36"/>
          <w:highlight w:val="none"/>
        </w:rPr>
        <w:t xml:space="preserve">第一章 招标公告</w:t>
      </w:r>
      <w:bookmarkEnd w:id="1"/>
      <w:r/>
      <w:bookmarkEnd w:id="2"/>
      <w:r/>
      <w:r/>
    </w:p>
    <w:p>
      <w:pPr>
        <w:ind w:firstLine="420"/>
        <w:spacing w:line="360" w:lineRule="auto"/>
        <w:tabs>
          <w:tab w:val="left" w:pos="266" w:leader="none"/>
        </w:tabs>
        <w:rPr>
          <w:rFonts w:hint="eastAsia" w:ascii="宋体" w:hAnsi="宋体" w:cs="宋体"/>
          <w:color w:val="auto"/>
          <w:szCs w:val="21"/>
          <w:highlight w:val="none"/>
        </w:rPr>
      </w:pPr>
      <w:r/>
      <w:bookmarkStart w:id="3" w:name="_Toc497133091"/>
      <w:r>
        <w:rPr>
          <w:rFonts w:hint="eastAsia" w:ascii="宋体" w:hAnsi="宋体" w:cs="宋体"/>
          <w:color w:val="auto"/>
          <w:highlight w:val="none"/>
        </w:rPr>
        <w:t xml:space="preserve">受扬州市中医院的委托，江苏唯诚建设咨询有限公司就扬州市中医院</w:t>
      </w:r>
      <w:r>
        <w:rPr>
          <w:rFonts w:hint="eastAsia" w:ascii="宋体" w:hAnsi="宋体" w:cs="宋体"/>
          <w:color w:val="auto"/>
          <w:highlight w:val="none"/>
          <w:lang w:eastAsia="zh-CN"/>
        </w:rPr>
        <w:t xml:space="preserve">被服洗涤服务采购项目</w:t>
      </w:r>
      <w:r>
        <w:rPr>
          <w:rFonts w:hint="eastAsia" w:ascii="宋体" w:hAnsi="宋体" w:cs="宋体"/>
          <w:color w:val="auto"/>
          <w:highlight w:val="none"/>
        </w:rPr>
        <w:t xml:space="preserve">进行公开招标采购，欢迎符合条件的供应商投标。</w:t>
      </w:r>
      <w:r/>
    </w:p>
    <w:p>
      <w:pPr>
        <w:ind w:firstLine="422"/>
        <w:spacing w:line="360" w:lineRule="auto"/>
        <w:rPr>
          <w:rFonts w:hint="eastAsia" w:ascii="宋体" w:hAnsi="宋体" w:cs="宋体"/>
          <w:b/>
          <w:bCs/>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color w:val="auto"/>
          <w:highlight w:val="none"/>
        </w:rPr>
        <w:t xml:space="preserve">项目概况</w:t>
      </w:r>
      <w:r/>
    </w:p>
    <w:p>
      <w:pPr>
        <w:ind w:firstLine="420"/>
        <w:spacing w:line="360" w:lineRule="auto"/>
        <w:rPr>
          <w:rFonts w:hint="eastAsia" w:ascii="宋体" w:hAnsi="宋体" w:cs="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highlight w:val="none"/>
          <w:u w:val="single"/>
        </w:rPr>
        <w:t xml:space="preserve">扬州市中医院</w:t>
      </w:r>
      <w:r>
        <w:rPr>
          <w:rFonts w:hint="eastAsia" w:ascii="宋体" w:hAnsi="宋体" w:cs="宋体"/>
          <w:color w:val="auto"/>
          <w:highlight w:val="none"/>
          <w:u w:val="single"/>
          <w:lang w:eastAsia="zh-CN"/>
        </w:rPr>
        <w:t xml:space="preserve">被服洗涤服务采购项目</w:t>
      </w:r>
      <w:r>
        <w:rPr>
          <w:rFonts w:hint="eastAsia" w:ascii="宋体" w:hAnsi="宋体" w:cs="宋体"/>
          <w:color w:val="auto"/>
          <w:highlight w:val="none"/>
        </w:rPr>
        <w:t xml:space="preserve">的潜在投标人可在</w:t>
      </w:r>
      <w:r>
        <w:rPr>
          <w:rFonts w:hint="eastAsia" w:ascii="宋体" w:hAnsi="宋体" w:cs="宋体"/>
          <w:color w:val="auto"/>
          <w:highlight w:val="none"/>
          <w:u w:val="single"/>
        </w:rPr>
        <w:t xml:space="preserve">“扬州市政府采购网”、“江苏省政府采购网”、“中国政府采购网”自行免费下载</w:t>
      </w:r>
      <w:r>
        <w:rPr>
          <w:rFonts w:hint="eastAsia" w:ascii="宋体" w:hAnsi="宋体" w:cs="宋体"/>
          <w:color w:val="auto"/>
          <w:highlight w:val="none"/>
        </w:rPr>
        <w:t xml:space="preserve">招标文件，并于</w:t>
      </w:r>
      <w:r>
        <w:rPr>
          <w:rFonts w:hint="eastAsia" w:ascii="宋体" w:hAnsi="宋体" w:cs="宋体"/>
          <w:color w:val="auto"/>
          <w:szCs w:val="21"/>
          <w:highlight w:val="none"/>
          <w:u w:val="single"/>
        </w:rPr>
        <w:t xml:space="preserve">202</w:t>
      </w:r>
      <w:r>
        <w:rPr>
          <w:rFonts w:hint="eastAsia" w:ascii="宋体" w:hAnsi="宋体" w:cs="宋体"/>
          <w:color w:val="auto"/>
          <w:szCs w:val="21"/>
          <w:highlight w:val="none"/>
          <w:u w:val="single"/>
          <w:lang w:val="en-US" w:eastAsia="zh-CN"/>
        </w:rPr>
        <w:t xml:space="preserve">6</w:t>
      </w:r>
      <w:r>
        <w:rPr>
          <w:rFonts w:hint="eastAsia" w:ascii="宋体" w:hAnsi="宋体" w:cs="宋体"/>
          <w:color w:val="auto"/>
          <w:szCs w:val="21"/>
          <w:highlight w:val="none"/>
          <w:u w:val="single"/>
        </w:rPr>
        <w:t xml:space="preserve">年</w:t>
      </w:r>
      <w:r>
        <w:rPr>
          <w:rFonts w:hint="eastAsia" w:ascii="宋体" w:hAnsi="宋体" w:cs="宋体"/>
          <w:color w:val="auto"/>
          <w:szCs w:val="21"/>
          <w:highlight w:val="none"/>
          <w:u w:val="single"/>
          <w:lang w:val="en-US" w:eastAsia="zh-CN"/>
        </w:rPr>
        <w:t xml:space="preserve">7</w:t>
      </w:r>
      <w:r>
        <w:rPr>
          <w:rFonts w:hint="eastAsia" w:ascii="宋体" w:hAnsi="宋体" w:cs="宋体"/>
          <w:color w:val="auto"/>
          <w:szCs w:val="21"/>
          <w:highlight w:val="none"/>
          <w:u w:val="single"/>
        </w:rPr>
        <w:t xml:space="preserve">月</w:t>
      </w:r>
      <w:r>
        <w:rPr>
          <w:rFonts w:hint="eastAsia" w:ascii="宋体" w:hAnsi="宋体" w:cs="宋体"/>
          <w:color w:val="auto"/>
          <w:szCs w:val="21"/>
          <w:highlight w:val="none"/>
          <w:u w:val="single"/>
          <w:lang w:val="en-US" w:eastAsia="zh-CN"/>
        </w:rPr>
        <w:t xml:space="preserve">24</w:t>
      </w:r>
      <w:r>
        <w:rPr>
          <w:rFonts w:hint="eastAsia" w:ascii="宋体" w:hAnsi="宋体" w:cs="宋体"/>
          <w:color w:val="auto"/>
          <w:szCs w:val="21"/>
          <w:highlight w:val="none"/>
          <w:u w:val="single"/>
        </w:rPr>
        <w:t xml:space="preserve">日</w:t>
      </w:r>
      <w:r>
        <w:rPr>
          <w:rFonts w:hint="eastAsia" w:ascii="宋体" w:hAnsi="宋体" w:cs="宋体"/>
          <w:color w:val="auto"/>
          <w:szCs w:val="21"/>
          <w:highlight w:val="none"/>
          <w:u w:val="single"/>
          <w:lang w:val="en-US" w:eastAsia="zh-CN"/>
        </w:rPr>
        <w:t xml:space="preserve">14</w:t>
      </w:r>
      <w:r>
        <w:rPr>
          <w:rFonts w:hint="eastAsia" w:ascii="宋体" w:hAnsi="宋体" w:cs="宋体"/>
          <w:color w:val="auto"/>
          <w:szCs w:val="21"/>
          <w:highlight w:val="none"/>
          <w:u w:val="single"/>
        </w:rPr>
        <w:t xml:space="preserve">点30分</w:t>
      </w:r>
      <w:r>
        <w:rPr>
          <w:rFonts w:hint="eastAsia" w:ascii="宋体" w:hAnsi="宋体" w:cs="宋体"/>
          <w:bCs/>
          <w:color w:val="auto"/>
          <w:highlight w:val="none"/>
          <w:u w:val="single"/>
        </w:rPr>
        <w:t xml:space="preserve">（</w:t>
      </w:r>
      <w:r>
        <w:rPr>
          <w:rFonts w:hint="eastAsia" w:ascii="宋体" w:hAnsi="宋体" w:cs="宋体"/>
          <w:bCs/>
          <w:color w:val="auto"/>
          <w:highlight w:val="none"/>
        </w:rPr>
        <w:t xml:space="preserve">北京时间）前递交投标文件</w:t>
      </w:r>
      <w:r>
        <w:rPr>
          <w:rFonts w:hint="eastAsia" w:ascii="宋体" w:hAnsi="宋体" w:cs="宋体"/>
          <w:color w:val="auto"/>
          <w:highlight w:val="none"/>
        </w:rPr>
        <w:t xml:space="preserve">。</w:t>
      </w:r>
      <w:r/>
    </w:p>
    <w:p>
      <w:pPr>
        <w:spacing w:line="360" w:lineRule="auto"/>
        <w:tabs>
          <w:tab w:val="left" w:pos="266" w:leader="none"/>
        </w:tabs>
        <w:rPr>
          <w:rFonts w:hint="eastAsia" w:ascii="宋体" w:hAnsi="宋体" w:cs="宋体"/>
          <w:b/>
          <w:bCs/>
          <w:color w:val="auto"/>
          <w:highlight w:val="none"/>
        </w:rPr>
      </w:pPr>
      <w:r/>
      <w:bookmarkStart w:id="4" w:name="_Toc38985263"/>
      <w:r>
        <w:rPr>
          <w:rFonts w:hint="eastAsia" w:ascii="宋体" w:hAnsi="宋体" w:cs="宋体"/>
          <w:b/>
          <w:bCs/>
          <w:color w:val="auto"/>
          <w:highlight w:val="none"/>
        </w:rPr>
        <w:t xml:space="preserve">一、项目基本情况</w:t>
      </w:r>
      <w:bookmarkEnd w:id="4"/>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highlight w:val="none"/>
        </w:rPr>
        <w:t xml:space="preserve">1.项目编号：</w:t>
      </w:r>
      <w:r>
        <w:rPr>
          <w:rFonts w:hint="eastAsia" w:ascii="宋体" w:hAnsi="宋体" w:cs="宋体"/>
          <w:color w:val="auto"/>
          <w:highlight w:val="none"/>
          <w:lang w:eastAsia="zh-CN"/>
        </w:rPr>
        <w:t xml:space="preserve">JSZC-321000-JSWC-G2026-0018</w:t>
      </w:r>
      <w:r/>
    </w:p>
    <w:p>
      <w:pPr>
        <w:ind w:firstLine="42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2.项目名称：扬州市中医院</w:t>
      </w:r>
      <w:r>
        <w:rPr>
          <w:rFonts w:hint="eastAsia" w:ascii="宋体" w:hAnsi="宋体" w:cs="宋体"/>
          <w:color w:val="auto"/>
          <w:highlight w:val="none"/>
          <w:lang w:eastAsia="zh-CN"/>
        </w:rPr>
        <w:t xml:space="preserve">被服洗涤服务采购项目</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3.预算金额：</w:t>
      </w:r>
      <w:r>
        <w:rPr>
          <w:rFonts w:hint="eastAsia" w:ascii="宋体" w:hAnsi="宋体" w:cs="宋体"/>
          <w:color w:val="auto"/>
          <w:highlight w:val="none"/>
          <w:u w:val="single"/>
        </w:rPr>
        <w:t xml:space="preserve"> 331.8 </w:t>
      </w:r>
      <w:r>
        <w:rPr>
          <w:rFonts w:hint="eastAsia" w:ascii="宋体" w:hAnsi="宋体" w:cs="宋体"/>
          <w:color w:val="auto"/>
          <w:highlight w:val="none"/>
        </w:rPr>
        <w:t xml:space="preserve">万元。</w:t>
      </w:r>
      <w:r/>
    </w:p>
    <w:p>
      <w:pPr>
        <w:ind w:firstLine="420"/>
        <w:spacing w:line="360" w:lineRule="auto"/>
        <w:rPr>
          <w:rFonts w:hint="eastAsia" w:ascii="宋体" w:hAnsi="宋体" w:eastAsia="宋体" w:cs="宋体"/>
          <w:color w:val="auto"/>
          <w:szCs w:val="21"/>
          <w:highlight w:val="none"/>
          <w:u w:val="single"/>
          <w:lang w:eastAsia="zh-CN"/>
        </w:rPr>
      </w:pPr>
      <w:r>
        <w:rPr>
          <w:rFonts w:hint="eastAsia" w:ascii="宋体" w:hAnsi="宋体" w:cs="宋体"/>
          <w:color w:val="auto"/>
          <w:highlight w:val="none"/>
        </w:rPr>
        <w:t xml:space="preserve">4.本项目设置最高单价限价：1.</w:t>
      </w:r>
      <w:r>
        <w:rPr>
          <w:rFonts w:hint="eastAsia" w:ascii="宋体" w:hAnsi="宋体" w:cs="宋体"/>
          <w:color w:val="auto"/>
          <w:highlight w:val="none"/>
          <w:lang w:val="en-US" w:eastAsia="zh-CN"/>
        </w:rPr>
        <w:t xml:space="preserve">58</w:t>
      </w:r>
      <w:r>
        <w:rPr>
          <w:rFonts w:hint="eastAsia" w:ascii="宋体" w:hAnsi="宋体" w:cs="宋体"/>
          <w:color w:val="auto"/>
          <w:highlight w:val="none"/>
        </w:rPr>
        <w:t xml:space="preserve">元/件</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报价超过最高单价限价做无效响应文件处理</w:t>
      </w:r>
      <w:r>
        <w:rPr>
          <w:rFonts w:hint="eastAsia" w:ascii="宋体" w:hAnsi="宋体" w:cs="宋体"/>
          <w:color w:val="auto"/>
          <w:highlight w:val="none"/>
          <w:lang w:eastAsia="zh-CN"/>
        </w:rPr>
        <w:t xml:space="preserve">。</w:t>
      </w:r>
      <w:r/>
    </w:p>
    <w:p>
      <w:pPr>
        <w:ind w:firstLine="420"/>
        <w:spacing w:line="360" w:lineRule="auto"/>
        <w:tabs>
          <w:tab w:val="left" w:pos="7570" w:leader="none"/>
        </w:tabs>
        <w:rPr>
          <w:rFonts w:hint="eastAsia" w:ascii="宋体" w:hAnsi="宋体" w:cs="宋体"/>
          <w:color w:val="auto"/>
          <w:highlight w:val="none"/>
          <w:u w:val="single"/>
        </w:rPr>
      </w:pPr>
      <w:r>
        <w:rPr>
          <w:rFonts w:hint="eastAsia" w:ascii="宋体" w:hAnsi="宋体" w:cs="宋体"/>
          <w:color w:val="auto"/>
          <w:highlight w:val="none"/>
        </w:rPr>
        <w:t xml:space="preserve">5.采购需求：扬州市中医院文昌路院区、真州路院区分别位于扬州市文昌中路577号、翠岗路400号，此次洗涤项目包含工作服、内穿衣、洞巾、床单、被套、枕套等，不分种类统一按件报价，此次报价包含洗涤费、运费、税费（开票）、利润、规费、企业管理费等所有费用，洗涤数量约为210万件/三年，具体详见招标文件第四章。</w:t>
      </w:r>
      <w:r/>
    </w:p>
    <w:p>
      <w:pPr>
        <w:ind w:firstLine="420"/>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6.</w:t>
      </w:r>
      <w:bookmarkStart w:id="5" w:name="_Toc38985264"/>
      <w:r>
        <w:rPr>
          <w:rFonts w:hint="eastAsia" w:ascii="宋体" w:hAnsi="宋体" w:cs="宋体"/>
          <w:color w:val="auto"/>
          <w:highlight w:val="none"/>
          <w:lang w:val="en-US" w:eastAsia="zh-CN"/>
        </w:rPr>
        <w:t xml:space="preserve">服务期：三年</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7.本项目</w:t>
      </w:r>
      <w:r>
        <w:rPr>
          <w:rFonts w:hint="eastAsia" w:ascii="宋体" w:hAnsi="宋体" w:cs="宋体"/>
          <w:color w:val="auto"/>
          <w:highlight w:val="none"/>
          <w:u w:val="single"/>
        </w:rPr>
        <w:t xml:space="preserve">不接受</w:t>
      </w:r>
      <w:r>
        <w:rPr>
          <w:rFonts w:hint="eastAsia" w:ascii="宋体" w:hAnsi="宋体" w:cs="宋体"/>
          <w:color w:val="auto"/>
          <w:highlight w:val="none"/>
        </w:rPr>
        <w:t xml:space="preserve">联合体投标。</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8.本项目</w:t>
      </w:r>
      <w:r>
        <w:rPr>
          <w:rFonts w:hint="eastAsia" w:ascii="宋体" w:hAnsi="宋体" w:cs="宋体"/>
          <w:color w:val="auto"/>
          <w:highlight w:val="none"/>
          <w:u w:val="single"/>
          <w:lang w:val="en-US" w:eastAsia="zh-CN"/>
        </w:rPr>
        <w:t xml:space="preserve">不</w:t>
      </w:r>
      <w:r>
        <w:rPr>
          <w:rFonts w:hint="eastAsia" w:ascii="宋体" w:hAnsi="宋体" w:cs="宋体"/>
          <w:color w:val="auto"/>
          <w:highlight w:val="none"/>
          <w:u w:val="single"/>
        </w:rPr>
        <w:t xml:space="preserve">接受</w:t>
      </w:r>
      <w:r>
        <w:rPr>
          <w:rFonts w:hint="eastAsia" w:ascii="宋体" w:hAnsi="宋体" w:cs="宋体"/>
          <w:color w:val="auto"/>
          <w:highlight w:val="none"/>
        </w:rPr>
        <w:t xml:space="preserve">进口产品投标。</w:t>
      </w:r>
      <w:r/>
    </w:p>
    <w:p>
      <w:pPr>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二、申请人的资格要求：</w:t>
      </w:r>
      <w:bookmarkEnd w:id="5"/>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1.满足《中华人民共和国政府采购法》第二十二条规定，并提供下列材料：</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1.1法人或者其他组织的营业执照等证明文件，自然人的身份证明</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1.2 依法缴纳职工社会保障资金的证明材料</w:t>
      </w:r>
      <w:r>
        <w:rPr>
          <w:rFonts w:hint="eastAsia" w:ascii="宋体" w:hAnsi="宋体" w:cs="宋体"/>
          <w:b/>
          <w:bCs/>
          <w:i/>
          <w:iCs/>
          <w:color w:val="auto"/>
          <w:szCs w:val="21"/>
          <w:highlight w:val="none"/>
          <w:u w:val="single"/>
        </w:rPr>
        <w:t xml:space="preserve">(税务、银行或社会保险基金管理部门出具的提交投标文件截止时间前一年内至少一个月缴纳职工社会保障资金的缴款凭证或缴款证明)（投标人依法享受缓缴、免缴的提供证明材料）</w:t>
      </w:r>
      <w:r/>
    </w:p>
    <w:p>
      <w:pPr>
        <w:ind w:firstLine="420"/>
        <w:spacing w:line="360" w:lineRule="auto"/>
        <w:rPr>
          <w:rFonts w:hint="eastAsia" w:ascii="宋体" w:hAnsi="宋体"/>
          <w:b/>
          <w:bCs/>
          <w:i/>
          <w:iCs/>
          <w:color w:val="auto"/>
          <w:highlight w:val="none"/>
          <w:u w:val="single"/>
        </w:rPr>
      </w:pPr>
      <w:r>
        <w:rPr>
          <w:rFonts w:hint="eastAsia" w:ascii="宋体" w:hAnsi="宋体" w:cs="宋体"/>
          <w:i/>
          <w:iCs/>
          <w:color w:val="auto"/>
          <w:szCs w:val="21"/>
          <w:highlight w:val="none"/>
          <w:u w:val="single"/>
        </w:rPr>
        <w:t xml:space="preserve">1.3 投标人提交投标文件截止时间前一年内至少一个月依法纳税的缴款凭证</w:t>
      </w:r>
      <w:r>
        <w:rPr>
          <w:rFonts w:hint="eastAsia" w:ascii="宋体" w:hAnsi="宋体" w:cs="宋体"/>
          <w:b/>
          <w:bCs/>
          <w:i/>
          <w:iCs/>
          <w:color w:val="auto"/>
          <w:szCs w:val="21"/>
          <w:highlight w:val="none"/>
          <w:u w:val="single"/>
        </w:rPr>
        <w:t xml:space="preserve">（投标人依法享受缓缴、免缴的提供证明材料）</w:t>
      </w:r>
      <w:r/>
    </w:p>
    <w:p>
      <w:pPr>
        <w:ind w:firstLine="420"/>
        <w:spacing w:line="360" w:lineRule="auto"/>
        <w:rPr>
          <w:rFonts w:hint="eastAsia"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1.4</w:t>
      </w:r>
      <w:r>
        <w:rPr>
          <w:rFonts w:hint="eastAsia" w:ascii="宋体" w:hAnsi="宋体" w:cs="宋体"/>
          <w:i/>
          <w:iCs/>
          <w:color w:val="auto"/>
          <w:szCs w:val="21"/>
          <w:highlight w:val="none"/>
          <w:u w:val="single"/>
        </w:rPr>
        <w:t xml:space="preserve"> </w:t>
      </w:r>
      <w:r>
        <w:rPr>
          <w:rFonts w:ascii="Arial" w:hAnsi="Arial" w:eastAsia="Arial" w:cs="Arial"/>
          <w:i/>
          <w:iCs/>
          <w:color w:val="000000"/>
          <w:sz w:val="21"/>
          <w:highlight w:val="none"/>
          <w:u w:val="single"/>
        </w:rPr>
        <w:t xml:space="preserve">上一年度的财务报告</w:t>
      </w:r>
      <w:r>
        <w:rPr>
          <w:rFonts w:ascii="Arial" w:hAnsi="Arial" w:eastAsia="Arial" w:cs="Arial"/>
          <w:b/>
          <w:bCs/>
          <w:i/>
          <w:iCs/>
          <w:color w:val="000000"/>
          <w:sz w:val="21"/>
          <w:highlight w:val="none"/>
          <w:u w:val="single"/>
        </w:rPr>
        <w:t xml:space="preserve">（成立不满一年不需提供）</w:t>
      </w:r>
      <w:r>
        <w:rPr>
          <w:rFonts w:hint="eastAsia" w:ascii="宋体" w:hAnsi="宋体" w:cs="宋体"/>
          <w:b/>
          <w:bCs/>
          <w:i/>
          <w:iCs/>
          <w:color w:val="auto"/>
          <w:szCs w:val="21"/>
          <w:highlight w:val="none"/>
          <w:u w:val="single"/>
        </w:rPr>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 具备履行合同所必需的设备和专业技术能力的证明材料</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1.6 参加本次政府采购活动前3年内在经营活动中没有重大违法记录的书面声明</w:t>
      </w:r>
      <w:r/>
    </w:p>
    <w:p>
      <w:pPr>
        <w:ind w:firstLine="420"/>
        <w:spacing w:line="360" w:lineRule="auto"/>
        <w:rPr>
          <w:rFonts w:hint="eastAsia"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1.7 未被“信用中国”网站（www.creditchina.gov.cn）、“中国政府采购网"(www.ccgp.gov.cn)列入失信被执行人、重大税收违法案件当事人名单、政府采购严重违法失信行为记录名单</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1.8供应商信用承诺函</w:t>
      </w:r>
      <w:r/>
    </w:p>
    <w:p>
      <w:pPr>
        <w:ind w:firstLine="420"/>
        <w:spacing w:line="360" w:lineRule="auto"/>
        <w:rPr>
          <w:rFonts w:hint="eastAsia" w:ascii="宋体" w:hAnsi="宋体" w:cs="宋体"/>
          <w:bCs/>
          <w:iCs/>
          <w:color w:val="auto"/>
          <w:szCs w:val="21"/>
          <w:highlight w:val="none"/>
        </w:rPr>
      </w:pPr>
      <w:r>
        <w:rPr>
          <w:rFonts w:hint="eastAsia" w:ascii="宋体" w:hAnsi="宋体" w:cs="宋体"/>
          <w:color w:val="auto"/>
          <w:szCs w:val="21"/>
          <w:highlight w:val="none"/>
        </w:rPr>
        <w:t xml:space="preserve">2.落实政府采购政策需满足的资格要求：</w:t>
      </w:r>
      <w:r>
        <w:rPr>
          <w:rFonts w:hint="eastAsia" w:ascii="宋体" w:hAnsi="宋体" w:cs="宋体"/>
          <w:bCs/>
          <w:i/>
          <w:color w:val="auto"/>
          <w:highlight w:val="none"/>
          <w:u w:val="single"/>
        </w:rPr>
        <w:t xml:space="preserve">根据《政府采购促进中小企业发展管理办法》的规定，本项目专门面向中小企业采购，供应商投标时须提供《中小企业声明函》，《中小企业声明函》不符合要求或未提供的，响应文件无效。</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本项目采购标的按中小企业划分标准所属行业区分为：其他未列明行业（中小微企业划型标准网</w:t>
      </w:r>
      <w:r>
        <w:rPr>
          <w:rFonts w:hint="eastAsia" w:ascii="宋体" w:hAnsi="宋体" w:cs="宋体"/>
          <w:bCs/>
          <w:iCs/>
          <w:color w:val="auto"/>
          <w:szCs w:val="21"/>
          <w:highlight w:val="none"/>
        </w:rPr>
        <w:fldChar w:fldCharType="begin"/>
      </w:r>
      <w:r>
        <w:rPr>
          <w:rFonts w:hint="eastAsia" w:ascii="宋体" w:hAnsi="宋体" w:cs="宋体"/>
          <w:bCs/>
          <w:iCs/>
          <w:color w:val="auto"/>
          <w:szCs w:val="21"/>
          <w:highlight w:val="none"/>
        </w:rPr>
        <w:instrText xml:space="preserve"> HYPERLINK "http://www.ccgp.gov.cn/zcfg/mof/201310/t20131029_3587674.htm" </w:instrText>
      </w:r>
      <w:r>
        <w:rPr>
          <w:rFonts w:hint="eastAsia" w:ascii="宋体" w:hAnsi="宋体" w:cs="宋体"/>
          <w:bCs/>
          <w:iCs/>
          <w:color w:val="auto"/>
          <w:szCs w:val="21"/>
          <w:highlight w:val="none"/>
        </w:rPr>
        <w:fldChar w:fldCharType="separate"/>
      </w:r>
      <w:r>
        <w:rPr>
          <w:rFonts w:hint="eastAsia" w:ascii="宋体" w:hAnsi="宋体" w:cs="宋体"/>
          <w:bCs/>
          <w:iCs/>
          <w:color w:val="auto"/>
          <w:highlight w:val="none"/>
        </w:rPr>
        <w:t xml:space="preserve">http://www.ccgp.gov.cn/zcfg/mof/201310/t20131029_3587674.htm</w:t>
      </w:r>
      <w:r>
        <w:rPr>
          <w:rFonts w:hint="eastAsia" w:ascii="宋体" w:hAnsi="宋体" w:cs="宋体"/>
          <w:bCs/>
          <w:iCs/>
          <w:color w:val="auto"/>
          <w:highlight w:val="none"/>
        </w:rPr>
        <w:fldChar w:fldCharType="end"/>
      </w:r>
      <w:r>
        <w:rPr>
          <w:rFonts w:hint="eastAsia" w:ascii="宋体" w:hAnsi="宋体" w:cs="宋体"/>
          <w:bCs/>
          <w:iCs/>
          <w:color w:val="auto"/>
          <w:szCs w:val="21"/>
          <w:highlight w:val="none"/>
        </w:rPr>
        <w:t xml:space="preserve">）。</w:t>
      </w:r>
      <w:r/>
    </w:p>
    <w:p>
      <w:pPr>
        <w:ind w:firstLine="420"/>
        <w:spacing w:line="360" w:lineRule="auto"/>
        <w:rPr>
          <w:rFonts w:hint="eastAsia" w:ascii="宋体" w:hAnsi="宋体" w:cs="宋体"/>
          <w:i/>
          <w:color w:val="auto"/>
          <w:szCs w:val="21"/>
          <w:highlight w:val="none"/>
          <w:u w:val="single"/>
        </w:rPr>
      </w:pPr>
      <w:r>
        <w:rPr>
          <w:rFonts w:hint="eastAsia" w:ascii="宋体" w:hAnsi="宋体" w:cs="宋体"/>
          <w:color w:val="auto"/>
          <w:szCs w:val="21"/>
          <w:highlight w:val="none"/>
        </w:rPr>
        <w:t xml:space="preserve">3.本项目的特定资格要求：无</w:t>
      </w:r>
      <w:r/>
    </w:p>
    <w:p>
      <w:pPr>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三、获取招标文件</w:t>
      </w:r>
      <w:r/>
    </w:p>
    <w:p>
      <w:pPr>
        <w:ind w:firstLine="420"/>
        <w:spacing w:line="360" w:lineRule="auto"/>
        <w:rPr>
          <w:rFonts w:hint="eastAsia" w:ascii="宋体" w:hAnsi="宋体" w:cs="宋体"/>
          <w:color w:val="auto"/>
          <w:highlight w:val="none"/>
        </w:rPr>
      </w:pPr>
      <w:r/>
      <w:bookmarkStart w:id="6" w:name="_Toc38985266"/>
      <w:r>
        <w:rPr>
          <w:rFonts w:hint="eastAsia" w:ascii="宋体" w:hAnsi="宋体" w:cs="宋体"/>
          <w:color w:val="auto"/>
          <w:highlight w:val="none"/>
        </w:rPr>
        <w:t xml:space="preserve">1.时间：自招标文件公告发布之日起5个工作日。</w:t>
      </w:r>
      <w:r/>
    </w:p>
    <w:p>
      <w:pPr>
        <w:ind w:firstLine="422"/>
        <w:spacing w:line="360" w:lineRule="auto"/>
        <w:rPr>
          <w:rFonts w:hint="eastAsia" w:ascii="宋体" w:hAnsi="宋体"/>
          <w:b w:val="0"/>
          <w:bCs w:val="0"/>
          <w:color w:val="auto"/>
          <w:sz w:val="24"/>
          <w:szCs w:val="24"/>
          <w:highlight w:val="none"/>
        </w:rPr>
      </w:pPr>
      <w:r>
        <w:rPr>
          <w:rFonts w:hint="eastAsia" w:ascii="宋体" w:hAnsi="宋体" w:cs="宋体"/>
          <w:b w:val="0"/>
          <w:bCs w:val="0"/>
          <w:color w:val="auto"/>
          <w:highlight w:val="none"/>
        </w:rPr>
        <w:t xml:space="preserve">2.获取方式：</w:t>
      </w:r>
      <w:r>
        <w:rPr>
          <w:rFonts w:hint="eastAsia" w:ascii="宋体" w:hAnsi="宋体"/>
          <w:b w:val="0"/>
          <w:bCs w:val="0"/>
          <w:color w:val="auto"/>
          <w:szCs w:val="21"/>
          <w:highlight w:val="none"/>
        </w:rPr>
        <w:t xml:space="preserve">本项目采用网上注册登记方式。</w:t>
      </w:r>
      <w:r/>
    </w:p>
    <w:p>
      <w:pPr>
        <w:ind w:firstLine="422"/>
        <w:spacing w:line="360" w:lineRule="auto"/>
        <w:rPr>
          <w:rFonts w:hint="eastAsia" w:ascii="宋体" w:hAnsi="宋体" w:cs="宋体"/>
          <w:b w:val="0"/>
          <w:bCs w:val="0"/>
          <w:color w:val="auto"/>
          <w:highlight w:val="none"/>
        </w:rPr>
      </w:pPr>
      <w:r>
        <w:rPr>
          <w:rFonts w:hint="eastAsia" w:ascii="宋体" w:hAnsi="宋体" w:cs="宋体"/>
          <w:b w:val="0"/>
          <w:bCs w:val="0"/>
          <w:color w:val="auto"/>
          <w:highlight w:val="none"/>
        </w:rPr>
        <w:t xml:space="preserve">3.潜在投标人访问</w:t>
      </w:r>
      <w:r>
        <w:rPr>
          <w:rFonts w:hint="eastAsia" w:ascii="宋体" w:hAnsi="宋体"/>
          <w:b w:val="0"/>
          <w:bCs w:val="0"/>
          <w:color w:val="auto"/>
          <w:szCs w:val="21"/>
          <w:highlight w:val="none"/>
        </w:rPr>
        <w:t xml:space="preserve">政府采购管理交易系统（苏采云）</w:t>
      </w:r>
      <w:r>
        <w:rPr>
          <w:rFonts w:hint="eastAsia" w:ascii="宋体" w:hAnsi="宋体" w:cs="宋体"/>
          <w:b w:val="0"/>
          <w:bCs w:val="0"/>
          <w:color w:val="auto"/>
          <w:highlight w:val="none"/>
        </w:rPr>
        <w:t xml:space="preserve">的网络地址和方法：</w:t>
      </w:r>
      <w:r/>
    </w:p>
    <w:p>
      <w:pPr>
        <w:ind w:firstLine="422"/>
        <w:spacing w:line="360" w:lineRule="auto"/>
        <w:tabs>
          <w:tab w:val="left" w:pos="266" w:leader="none"/>
        </w:tabs>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tabs>
          <w:tab w:val="left" w:pos="266" w:leader="none"/>
        </w:tabs>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0"/>
        <w:spacing w:line="360" w:lineRule="auto"/>
        <w:tabs>
          <w:tab w:val="left" w:pos="266" w:leader="none"/>
        </w:tabs>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（3）“CA数字证书”的办理材料以及供应商操作手册详见：http：//zfcg.yangzhou.gov.cn/zfcg/xzzx/202309/4d7de1f7865f4a2894fc22bc452f94d8.shtml。</w:t>
      </w:r>
      <w:r/>
    </w:p>
    <w:p>
      <w:pPr>
        <w:ind w:firstLine="422"/>
        <w:jc w:val="left"/>
        <w:spacing w:line="360" w:lineRule="auto"/>
        <w:tabs>
          <w:tab w:val="left" w:pos="266" w:leader="none"/>
        </w:tabs>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（4）潜在供应商访问“苏采云”系统的网络地址和方法：“苏采云”系统的网址：http：//jszfcg.jsczt.cn/。</w:t>
      </w:r>
      <w:r/>
    </w:p>
    <w:p>
      <w:pPr>
        <w:ind w:firstLine="422"/>
        <w:spacing w:line="360" w:lineRule="auto"/>
        <w:tabs>
          <w:tab w:val="left" w:pos="266" w:leader="none"/>
        </w:tabs>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（5）采购文件（后缀名为“.kedt”）、供应商操作手册及政府采购客户端工具也可通过“苏采云”系统--已报名项目--报名详情页面内相应链接进行下载。</w:t>
      </w:r>
      <w:r/>
    </w:p>
    <w:p>
      <w:pPr>
        <w:ind w:firstLine="422"/>
        <w:spacing w:line="360" w:lineRule="auto"/>
        <w:tabs>
          <w:tab w:val="left" w:pos="266" w:leader="none"/>
        </w:tabs>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（6）招标代理机构（采购代理机构）将数据电文形式的采购文件加载至“苏采云”系统，供潜在供应商下载或者查阅。     </w:t>
      </w:r>
      <w:r/>
    </w:p>
    <w:p>
      <w:pPr>
        <w:ind w:firstLine="422"/>
        <w:spacing w:line="360" w:lineRule="auto"/>
        <w:tabs>
          <w:tab w:val="left" w:pos="266" w:leader="none"/>
        </w:tabs>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（7）苏采云系统使用谷歌浏览器参与不见面开标。</w:t>
      </w:r>
      <w:r/>
    </w:p>
    <w:p>
      <w:pPr>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四、提交投标文件截止时间、开标时间和地点</w:t>
      </w:r>
      <w:bookmarkEnd w:id="6"/>
      <w:r/>
      <w:r/>
    </w:p>
    <w:p>
      <w:pPr>
        <w:ind w:firstLine="420"/>
        <w:spacing w:line="360" w:lineRule="auto"/>
        <w:rPr>
          <w:rFonts w:hint="eastAsia" w:ascii="宋体" w:hAnsi="宋体" w:cs="宋体"/>
          <w:bCs/>
          <w:color w:val="auto"/>
          <w:szCs w:val="21"/>
          <w:highlight w:val="none"/>
          <w:u w:val="single"/>
        </w:rPr>
      </w:pPr>
      <w:r>
        <w:rPr>
          <w:rFonts w:hint="eastAsia" w:ascii="宋体" w:hAnsi="宋体" w:cs="宋体"/>
          <w:color w:val="auto"/>
          <w:highlight w:val="none"/>
        </w:rPr>
        <w:t xml:space="preserve">1.时间：</w:t>
      </w:r>
      <w:r>
        <w:rPr>
          <w:rFonts w:hint="eastAsia" w:ascii="宋体" w:hAnsi="宋体" w:cs="宋体"/>
          <w:color w:val="auto"/>
          <w:szCs w:val="21"/>
          <w:highlight w:val="none"/>
          <w:u w:val="single"/>
        </w:rPr>
        <w:t xml:space="preserve">2026年</w:t>
      </w:r>
      <w:r>
        <w:rPr>
          <w:rFonts w:hint="eastAsia" w:ascii="宋体" w:hAnsi="宋体" w:cs="宋体"/>
          <w:color w:val="auto"/>
          <w:szCs w:val="21"/>
          <w:highlight w:val="none"/>
          <w:u w:val="single"/>
          <w:lang w:val="en-US" w:eastAsia="zh-CN"/>
        </w:rPr>
        <w:t xml:space="preserve">7</w:t>
      </w:r>
      <w:r>
        <w:rPr>
          <w:rFonts w:hint="eastAsia" w:ascii="宋体" w:hAnsi="宋体" w:cs="宋体"/>
          <w:color w:val="auto"/>
          <w:szCs w:val="21"/>
          <w:highlight w:val="none"/>
          <w:u w:val="single"/>
        </w:rPr>
        <w:t xml:space="preserve">月</w:t>
      </w:r>
      <w:r>
        <w:rPr>
          <w:rFonts w:hint="eastAsia" w:ascii="宋体" w:hAnsi="宋体" w:cs="宋体"/>
          <w:color w:val="auto"/>
          <w:szCs w:val="21"/>
          <w:highlight w:val="none"/>
          <w:u w:val="single"/>
          <w:lang w:val="en-US" w:eastAsia="zh-CN"/>
        </w:rPr>
        <w:t xml:space="preserve">24</w:t>
      </w:r>
      <w:r>
        <w:rPr>
          <w:rFonts w:hint="eastAsia" w:ascii="宋体" w:hAnsi="宋体" w:cs="宋体"/>
          <w:color w:val="auto"/>
          <w:szCs w:val="21"/>
          <w:highlight w:val="none"/>
          <w:u w:val="single"/>
        </w:rPr>
        <w:t xml:space="preserve">日</w:t>
      </w:r>
      <w:r>
        <w:rPr>
          <w:rFonts w:hint="eastAsia" w:ascii="宋体" w:hAnsi="宋体" w:cs="宋体"/>
          <w:color w:val="auto"/>
          <w:szCs w:val="21"/>
          <w:highlight w:val="none"/>
          <w:u w:val="single"/>
          <w:lang w:val="en-US" w:eastAsia="zh-CN"/>
        </w:rPr>
        <w:t xml:space="preserve">14</w:t>
      </w:r>
      <w:r>
        <w:rPr>
          <w:rFonts w:hint="eastAsia" w:ascii="宋体" w:hAnsi="宋体" w:cs="宋体"/>
          <w:color w:val="auto"/>
          <w:szCs w:val="21"/>
          <w:highlight w:val="none"/>
          <w:u w:val="single"/>
        </w:rPr>
        <w:t xml:space="preserve">点30分</w:t>
      </w:r>
      <w:r>
        <w:rPr>
          <w:rFonts w:hint="eastAsia" w:ascii="宋体" w:hAnsi="宋体" w:cs="宋体"/>
          <w:bCs/>
          <w:color w:val="auto"/>
          <w:highlight w:val="none"/>
        </w:rPr>
        <w:t xml:space="preserve">（北京时间）</w:t>
      </w:r>
      <w:r/>
    </w:p>
    <w:p>
      <w:pPr>
        <w:ind w:firstLine="420"/>
        <w:spacing w:line="360" w:lineRule="auto"/>
        <w:rPr>
          <w:rFonts w:hint="eastAsia" w:ascii="宋体" w:hAnsi="宋体" w:cs="宋体"/>
          <w:bCs/>
          <w:color w:val="auto"/>
          <w:highlight w:val="none"/>
          <w:u w:val="single"/>
        </w:rPr>
      </w:pPr>
      <w:r>
        <w:rPr>
          <w:rFonts w:hint="eastAsia" w:ascii="宋体" w:hAnsi="宋体" w:cs="宋体"/>
          <w:color w:val="auto"/>
          <w:highlight w:val="none"/>
        </w:rPr>
        <w:t xml:space="preserve">2.开标地点：</w:t>
      </w:r>
      <w:r>
        <w:rPr>
          <w:rFonts w:hint="eastAsia" w:ascii="宋体" w:hAnsi="宋体"/>
          <w:bCs/>
          <w:color w:val="auto"/>
          <w:szCs w:val="21"/>
          <w:highlight w:val="none"/>
        </w:rPr>
        <w:t xml:space="preserve">“苏采云”系统（网址：http：//jszfcg.jsczt.cn/）“开标大厅”</w:t>
      </w:r>
      <w:r/>
    </w:p>
    <w:p>
      <w:pPr>
        <w:spacing w:line="360" w:lineRule="auto"/>
        <w:tabs>
          <w:tab w:val="left" w:pos="266" w:leader="none"/>
        </w:tabs>
        <w:rPr>
          <w:rFonts w:hint="eastAsia" w:ascii="宋体" w:hAnsi="宋体" w:cs="宋体"/>
          <w:b/>
          <w:bCs/>
          <w:color w:val="auto"/>
          <w:highlight w:val="none"/>
        </w:rPr>
      </w:pPr>
      <w:r/>
      <w:bookmarkStart w:id="7" w:name="_Toc38985267"/>
      <w:r>
        <w:rPr>
          <w:rFonts w:hint="eastAsia" w:ascii="宋体" w:hAnsi="宋体" w:cs="宋体"/>
          <w:b/>
          <w:bCs/>
          <w:color w:val="auto"/>
          <w:highlight w:val="none"/>
        </w:rPr>
        <w:t xml:space="preserve">五、公告期限</w:t>
      </w:r>
      <w:bookmarkEnd w:id="7"/>
      <w:r/>
      <w:r/>
    </w:p>
    <w:p>
      <w:pPr>
        <w:ind w:firstLine="420"/>
        <w:spacing w:line="360" w:lineRule="auto"/>
        <w:rPr>
          <w:rFonts w:hint="eastAsia" w:ascii="宋体" w:hAnsi="宋体" w:cs="宋体"/>
          <w:color w:val="auto"/>
          <w:highlight w:val="none"/>
        </w:rPr>
      </w:pPr>
      <w:r/>
      <w:bookmarkStart w:id="8" w:name="_Toc38985268"/>
      <w:r>
        <w:rPr>
          <w:rFonts w:hint="eastAsia" w:ascii="宋体" w:hAnsi="宋体" w:cs="宋体"/>
          <w:color w:val="auto"/>
          <w:highlight w:val="none"/>
        </w:rPr>
        <w:t xml:space="preserve">招标公告及招标文件公告期限为自本公告发布之日起5个工作日。</w:t>
      </w:r>
      <w:bookmarkEnd w:id="8"/>
      <w:r/>
      <w:r/>
    </w:p>
    <w:p>
      <w:pPr>
        <w:spacing w:line="360" w:lineRule="auto"/>
        <w:tabs>
          <w:tab w:val="left" w:pos="266" w:leader="none"/>
        </w:tabs>
        <w:rPr>
          <w:rFonts w:hint="eastAsia" w:ascii="宋体" w:hAnsi="宋体" w:cs="宋体"/>
          <w:b/>
          <w:bCs/>
          <w:color w:val="auto"/>
          <w:highlight w:val="none"/>
        </w:rPr>
      </w:pPr>
      <w:r/>
      <w:bookmarkStart w:id="9" w:name="_Toc28359010"/>
      <w:r/>
      <w:bookmarkStart w:id="10" w:name="_Toc28359087"/>
      <w:r>
        <w:rPr>
          <w:rFonts w:hint="eastAsia" w:ascii="宋体" w:hAnsi="宋体" w:cs="宋体"/>
          <w:b/>
          <w:bCs/>
          <w:color w:val="auto"/>
          <w:highlight w:val="none"/>
        </w:rPr>
        <w:t xml:space="preserve">六、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中标供应商可凭政府采购合同办理融资贷款，详见江苏政府采购网“政采贷”专栏。</w:t>
      </w:r>
      <w:bookmarkEnd w:id="9"/>
      <w:r/>
      <w:bookmarkEnd w:id="10"/>
      <w:r/>
      <w:r/>
    </w:p>
    <w:p>
      <w:pP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七、其他</w:t>
      </w:r>
      <w:r/>
    </w:p>
    <w:p>
      <w:pPr>
        <w:ind w:firstLine="422"/>
        <w:spacing w:line="360" w:lineRule="auto"/>
        <w:rPr>
          <w:rFonts w:hint="eastAsia" w:ascii="宋体" w:hAnsi="宋体" w:cs="宋体"/>
          <w:b w:val="0"/>
          <w:bCs w:val="0"/>
          <w:color w:val="auto"/>
          <w:szCs w:val="21"/>
          <w:highlight w:val="none"/>
        </w:rPr>
      </w:pPr>
      <w:r/>
      <w:bookmarkStart w:id="11" w:name="_Toc38985269"/>
      <w:r>
        <w:rPr>
          <w:rFonts w:hint="eastAsia" w:ascii="宋体" w:hAnsi="宋体" w:cs="宋体"/>
          <w:b w:val="0"/>
          <w:bCs w:val="0"/>
          <w:color w:val="auto"/>
          <w:szCs w:val="21"/>
          <w:highlight w:val="none"/>
        </w:rPr>
        <w:t xml:space="preserve">1.本次采购采用“政府采购管理交易系统（苏采云）”，招标、投标、评标和成交结果发布全程电子化，开标方式为不见面开标。供应商应当按照《政府采购管理交易系统（苏采云）供应商操作手册》参加投标活动。如供应商未按要求操作，由此所产生的风险由供应商自行承担。</w:t>
      </w:r>
      <w:r/>
    </w:p>
    <w:p>
      <w:pPr>
        <w:ind w:firstLine="422"/>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hint="eastAsia" w:ascii="宋体" w:hAnsi="宋体" w:cs="宋体"/>
          <w:b w:val="0"/>
          <w:bCs w:val="0"/>
          <w:color w:val="auto"/>
          <w:szCs w:val="21"/>
          <w:highlight w:val="none"/>
        </w:rPr>
      </w:pPr>
      <w:r>
        <w:rPr>
          <w:rFonts w:ascii="宋体" w:hAnsi="宋体" w:cs="宋体"/>
          <w:b w:val="0"/>
          <w:bCs w:val="0"/>
          <w:color w:val="auto"/>
          <w:szCs w:val="21"/>
          <w:highlight w:val="none"/>
        </w:rPr>
        <w:t xml:space="preserve">3</w:t>
      </w:r>
      <w:r>
        <w:rPr>
          <w:rFonts w:hint="eastAsia" w:ascii="宋体" w:hAnsi="宋体" w:cs="宋体"/>
          <w:b w:val="0"/>
          <w:bCs w:val="0"/>
          <w:color w:val="auto"/>
          <w:szCs w:val="21"/>
          <w:highlight w:val="none"/>
        </w:rPr>
        <w:t xml:space="preserve">.严格执行政府采购关于支持节能</w:t>
      </w:r>
      <w:r>
        <w:rPr>
          <w:rFonts w:hint="eastAsia" w:ascii="宋体" w:hAnsi="宋体" w:cs="宋体"/>
          <w:b w:val="0"/>
          <w:bCs w:val="0"/>
          <w:color w:val="auto"/>
          <w:szCs w:val="21"/>
          <w:highlight w:val="none"/>
        </w:rPr>
        <w:t xml:space="preserve">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  </w:t>
      </w:r>
      <w:r/>
    </w:p>
    <w:p>
      <w:pPr>
        <w:ind w:firstLine="422"/>
        <w:jc w:val="left"/>
        <w:spacing w:line="360" w:lineRule="auto"/>
        <w:widowControl/>
        <w:rPr>
          <w:b w:val="0"/>
          <w:bCs w:val="0"/>
          <w:color w:val="auto"/>
          <w:highlight w:val="none"/>
        </w:rPr>
      </w:pPr>
      <w:r>
        <w:rPr>
          <w:rFonts w:ascii="宋体" w:hAnsi="宋体" w:cs="宋体"/>
          <w:b w:val="0"/>
          <w:bCs w:val="0"/>
          <w:color w:val="auto"/>
          <w:szCs w:val="21"/>
          <w:highlight w:val="none"/>
        </w:rPr>
        <w:t xml:space="preserve">4</w:t>
      </w:r>
      <w:r>
        <w:rPr>
          <w:rFonts w:hint="eastAsia" w:ascii="宋体" w:hAnsi="宋体" w:cs="宋体"/>
          <w:b w:val="0"/>
          <w:bCs w:val="0"/>
          <w:color w:val="auto"/>
          <w:szCs w:val="21"/>
          <w:highlight w:val="none"/>
        </w:rPr>
        <w:t xml:space="preserve">.供应商对于投标产品的包装应按照“财办库[2020]123号《关于印发《商品包装政府采购需求标准（试行）》、《快递包装政府采购需求标准（试行）的通知》”执行。</w:t>
      </w:r>
      <w:r/>
    </w:p>
    <w:p>
      <w:pPr>
        <w:ind w:firstLine="422"/>
        <w:jc w:val="left"/>
        <w:spacing w:line="360" w:lineRule="auto"/>
        <w:widowControl/>
        <w:rPr>
          <w:rFonts w:hint="eastAsia" w:ascii="宋体" w:hAnsi="宋体" w:cs="宋体"/>
          <w:b w:val="0"/>
          <w:bCs w:val="0"/>
          <w:color w:val="auto"/>
          <w:szCs w:val="21"/>
          <w:highlight w:val="none"/>
        </w:rPr>
      </w:pPr>
      <w:r>
        <w:rPr>
          <w:rFonts w:ascii="宋体" w:hAnsi="宋体" w:cs="宋体"/>
          <w:b w:val="0"/>
          <w:bCs w:val="0"/>
          <w:color w:val="auto"/>
          <w:szCs w:val="21"/>
          <w:highlight w:val="none"/>
        </w:rPr>
        <w:t xml:space="preserve">5</w:t>
      </w:r>
      <w:r>
        <w:rPr>
          <w:rFonts w:hint="eastAsia" w:ascii="宋体" w:hAnsi="宋体" w:cs="宋体"/>
          <w:b w:val="0"/>
          <w:bCs w:val="0"/>
          <w:color w:val="auto"/>
          <w:szCs w:val="21"/>
          <w:highlight w:val="none"/>
        </w:rPr>
        <w:t xml:space="preserve">.潜在供应商对采购文件项目需求部分的询问、质疑请向采购人提出，由采购人负责答复。</w:t>
      </w:r>
      <w:r/>
    </w:p>
    <w:p>
      <w:pPr>
        <w:ind w:firstLine="420"/>
        <w:spacing w:line="360" w:lineRule="auto"/>
        <w:rPr>
          <w:rFonts w:hint="eastAsia" w:ascii="宋体" w:hAnsi="宋体" w:cs="宋体"/>
          <w:bCs/>
          <w:color w:val="auto"/>
          <w:highlight w:val="none"/>
        </w:rPr>
      </w:pPr>
      <w:r>
        <w:rPr>
          <w:rFonts w:ascii="宋体" w:hAnsi="宋体" w:cs="宋体"/>
          <w:bCs/>
          <w:color w:val="auto"/>
          <w:szCs w:val="21"/>
          <w:highlight w:val="none"/>
        </w:rPr>
        <w:t xml:space="preserve">6</w:t>
      </w:r>
      <w:r>
        <w:rPr>
          <w:rFonts w:hint="eastAsia" w:ascii="宋体" w:hAnsi="宋体" w:cs="宋体"/>
          <w:bCs/>
          <w:color w:val="auto"/>
          <w:szCs w:val="21"/>
          <w:highlight w:val="none"/>
        </w:rPr>
        <w:t xml:space="preserve">.</w:t>
      </w:r>
      <w:r>
        <w:rPr>
          <w:rFonts w:hint="eastAsia" w:ascii="宋体" w:hAnsi="宋体"/>
          <w:color w:val="auto"/>
          <w:highlight w:val="none"/>
        </w:rPr>
        <w:t xml:space="preserve">本次招标不收取投标保证金。</w:t>
      </w:r>
      <w:r/>
    </w:p>
    <w:p>
      <w:pPr>
        <w:ind w:firstLine="420"/>
        <w:spacing w:line="360" w:lineRule="auto"/>
        <w:rPr>
          <w:rFonts w:hint="eastAsia" w:ascii="宋体" w:hAnsi="宋体" w:cs="宋体"/>
          <w:bCs/>
          <w:color w:val="auto"/>
          <w:szCs w:val="21"/>
          <w:highlight w:val="none"/>
        </w:rPr>
      </w:pPr>
      <w:r>
        <w:rPr>
          <w:rFonts w:ascii="宋体" w:hAnsi="宋体" w:cs="宋体"/>
          <w:bCs/>
          <w:color w:val="auto"/>
          <w:szCs w:val="21"/>
          <w:highlight w:val="none"/>
        </w:rPr>
        <w:t xml:space="preserve">7</w:t>
      </w:r>
      <w:r>
        <w:rPr>
          <w:rFonts w:hint="eastAsia" w:ascii="宋体" w:hAnsi="宋体" w:cs="宋体"/>
          <w:bCs/>
          <w:color w:val="auto"/>
          <w:szCs w:val="21"/>
          <w:highlight w:val="none"/>
        </w:rPr>
        <w:t xml:space="preserve">.有关本次招标的事项若存在变动或修改，敬请及时关注“扬州市政府采购网”、“江苏省政府采购网”、“中国政府采购网”发布的信息。</w:t>
      </w:r>
      <w:r/>
    </w:p>
    <w:p>
      <w:pPr>
        <w:ind w:firstLine="422"/>
        <w:jc w:val="left"/>
        <w:spacing w:line="360" w:lineRule="auto"/>
        <w:rPr>
          <w:rFonts w:hint="eastAsia" w:ascii="宋体" w:hAnsi="宋体" w:cs="宋体"/>
          <w:b/>
          <w:bCs/>
          <w:i/>
          <w:color w:val="auto"/>
          <w:szCs w:val="21"/>
          <w:highlight w:val="none"/>
          <w:u w:val="single"/>
        </w:rPr>
      </w:pPr>
      <w:r>
        <w:rPr>
          <w:rFonts w:ascii="宋体" w:hAnsi="宋体" w:cs="宋体"/>
          <w:b/>
          <w:bCs/>
          <w:i/>
          <w:color w:val="auto"/>
          <w:szCs w:val="21"/>
          <w:highlight w:val="none"/>
          <w:u w:val="single"/>
        </w:rPr>
        <w:t xml:space="preserve">8</w:t>
      </w:r>
      <w:r>
        <w:rPr>
          <w:rFonts w:hint="eastAsia" w:ascii="宋体" w:hAnsi="宋体" w:cs="宋体"/>
          <w:b/>
          <w:bCs/>
          <w:i/>
          <w:color w:val="auto"/>
          <w:szCs w:val="21"/>
          <w:highlight w:val="none"/>
          <w:u w:val="single"/>
        </w:rPr>
        <w:t xml:space="preserve">.本项目招标文件中所有斜体下划线部分为实质性条款，如不满足，则为无效投标</w:t>
      </w:r>
      <w:r/>
    </w:p>
    <w:p>
      <w:pPr>
        <w:ind w:firstLine="420"/>
        <w:jc w:val="left"/>
        <w:spacing w:line="360" w:lineRule="auto"/>
        <w:rPr>
          <w:rFonts w:hint="eastAsia" w:ascii="宋体" w:hAnsi="宋体" w:cs="宋体"/>
          <w:bCs/>
          <w:color w:val="auto"/>
          <w:szCs w:val="21"/>
          <w:highlight w:val="none"/>
        </w:rPr>
      </w:pPr>
      <w:r>
        <w:rPr>
          <w:rFonts w:ascii="宋体" w:hAnsi="宋体" w:cs="宋体"/>
          <w:bCs/>
          <w:color w:val="auto"/>
          <w:szCs w:val="21"/>
          <w:highlight w:val="none"/>
        </w:rPr>
        <w:t xml:space="preserve">9</w:t>
      </w:r>
      <w:r>
        <w:rPr>
          <w:rFonts w:hint="eastAsia" w:ascii="宋体" w:hAnsi="宋体" w:cs="宋体"/>
          <w:bCs/>
          <w:color w:val="auto"/>
          <w:szCs w:val="21"/>
          <w:highlight w:val="none"/>
        </w:rPr>
        <w:t xml:space="preserve">.如在开标时间发生系统崩溃等不可预见的情况，造成开评标活动无法正常进行的，将延迟开评标，具体开评标时间另行通知。</w:t>
      </w:r>
      <w:r/>
    </w:p>
    <w:p>
      <w:pPr>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八、本次招标联系方式</w:t>
      </w:r>
      <w:bookmarkEnd w:id="11"/>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highlight w:val="none"/>
        </w:rPr>
        <w:t xml:space="preserve">1.采购人信息</w:t>
      </w:r>
      <w:r/>
    </w:p>
    <w:p>
      <w:pPr>
        <w:pStyle w:val="1069"/>
        <w:ind w:firstLine="420"/>
        <w:jc w:val="left"/>
        <w:spacing w:line="360" w:lineRule="auto"/>
        <w:rPr>
          <w:rFonts w:hint="eastAsia" w:ascii="宋体" w:hAnsi="宋体" w:cs="宋体"/>
          <w:color w:val="auto"/>
          <w:szCs w:val="21"/>
          <w:highlight w:val="none"/>
        </w:rPr>
      </w:pPr>
      <w:r/>
      <w:bookmarkStart w:id="12" w:name="_Toc28359086"/>
      <w:r/>
      <w:bookmarkStart w:id="13" w:name="_Toc28359009"/>
      <w:r>
        <w:rPr>
          <w:rFonts w:hint="eastAsia" w:ascii="宋体" w:hAnsi="宋体" w:cs="宋体"/>
          <w:color w:val="auto"/>
          <w:szCs w:val="21"/>
          <w:highlight w:val="none"/>
        </w:rPr>
        <w:t xml:space="preserve">名    称：扬州市中医院</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    址：扬州市邗江区文昌中路577号</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联系方式：0514-87930563</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2.代理机构信息</w:t>
      </w:r>
      <w:bookmarkEnd w:id="12"/>
      <w:r/>
      <w:bookmarkEnd w:id="13"/>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名    称：江苏唯诚建设咨询有限公司</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地　  址：扬州市维扬路106-1#扬州商城国际大厦19F1910室</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联 系 人：林祖超</w:t>
      </w:r>
      <w:r/>
    </w:p>
    <w:p>
      <w:pPr>
        <w:ind w:firstLine="420"/>
        <w:jc w:val="left"/>
        <w:spacing w:line="360" w:lineRule="auto"/>
        <w:rPr>
          <w:color w:val="auto"/>
          <w:highlight w:val="none"/>
        </w:rPr>
      </w:pPr>
      <w:r>
        <w:rPr>
          <w:rFonts w:hint="eastAsia" w:ascii="宋体" w:hAnsi="宋体" w:cs="宋体"/>
          <w:color w:val="auto"/>
          <w:highlight w:val="none"/>
        </w:rPr>
        <w:t xml:space="preserve">联系方式：18652401357</w:t>
      </w:r>
      <w:r/>
    </w:p>
    <w:p>
      <w:pPr>
        <w:pStyle w:val="821"/>
        <w:jc w:val="center"/>
        <w:spacing w:line="240" w:lineRule="auto"/>
        <w:rPr>
          <w:rFonts w:hint="eastAsia" w:ascii="宋体" w:hAnsi="宋体" w:cs="宋体"/>
          <w:color w:val="auto"/>
          <w:sz w:val="36"/>
          <w:highlight w:val="none"/>
        </w:rPr>
      </w:pPr>
      <w:r>
        <w:rPr>
          <w:rFonts w:hint="eastAsia" w:ascii="宋体" w:hAnsi="宋体" w:cs="宋体"/>
          <w:color w:val="auto"/>
          <w:sz w:val="36"/>
          <w:highlight w:val="none"/>
        </w:rPr>
        <w:br w:type="page" w:clear="all"/>
      </w:r>
      <w:r>
        <w:rPr>
          <w:rFonts w:hint="eastAsia" w:ascii="宋体" w:hAnsi="宋体" w:cs="宋体"/>
          <w:color w:val="auto"/>
          <w:sz w:val="36"/>
          <w:highlight w:val="none"/>
        </w:rPr>
        <w:t xml:space="preserve">第二章 投标人须知</w:t>
      </w:r>
      <w:bookmarkEnd w:id="3"/>
      <w:r/>
      <w:r/>
    </w:p>
    <w:p>
      <w:pPr>
        <w:ind w:left="0" w:firstLine="422"/>
        <w:jc w:val="both"/>
        <w:keepLines w:val="0"/>
        <w:keepNext w:val="0"/>
        <w:pageBreakBefore w:val="0"/>
        <w:spacing w:line="360" w:lineRule="auto"/>
        <w:widowControl w:val="off"/>
        <w:rPr>
          <w:rFonts w:hint="eastAsia" w:ascii="宋体" w:hAnsi="宋体"/>
          <w:b/>
          <w:color w:val="auto"/>
          <w:szCs w:val="21"/>
          <w:highlight w:val="none"/>
        </w:rPr>
      </w:pPr>
      <w:r/>
      <w:bookmarkStart w:id="14" w:name="_Toc497133092"/>
      <w:r>
        <w:rPr>
          <w:rFonts w:hint="eastAsia" w:ascii="宋体" w:hAnsi="宋体"/>
          <w:b/>
          <w:color w:val="auto"/>
          <w:szCs w:val="21"/>
          <w:highlight w:val="none"/>
        </w:rPr>
        <w:t xml:space="preserve">1、招标方式</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1.1 本次招标采取公开招标方式，本招标文件仅适用于JSZC-321000-JSWC-G2026-0004号项目。</w:t>
      </w:r>
      <w:r/>
    </w:p>
    <w:p>
      <w:pPr>
        <w:ind w:left="0" w:firstLine="422"/>
        <w:jc w:val="both"/>
        <w:keepLines w:val="0"/>
        <w:keepNext w:val="0"/>
        <w:pageBreakBefore w:val="0"/>
        <w:spacing w:line="360" w:lineRule="auto"/>
        <w:widowControl w:val="off"/>
        <w:rPr>
          <w:rFonts w:hint="eastAsia" w:ascii="宋体" w:hAnsi="宋体"/>
          <w:b/>
          <w:color w:val="auto"/>
          <w:szCs w:val="21"/>
          <w:highlight w:val="none"/>
        </w:rPr>
      </w:pPr>
      <w:r>
        <w:rPr>
          <w:rFonts w:hint="eastAsia" w:ascii="宋体" w:hAnsi="宋体"/>
          <w:b/>
          <w:color w:val="auto"/>
          <w:szCs w:val="21"/>
          <w:highlight w:val="none"/>
        </w:rPr>
        <w:t xml:space="preserve">2、投标人</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2.1 本招标文件中“供应商”，即“投标人”，是指参加投标竞争，并符合招标文件规定资格条件的法人、其他组织或者自然人。</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2.2合格的投标人</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2.2.1 满足招标公告中供应商的资格条件要求的规定。</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2.2.2 满足本文件实质性条款的规定。</w:t>
      </w:r>
      <w:r/>
    </w:p>
    <w:p>
      <w:pPr>
        <w:ind w:left="0" w:firstLine="422"/>
        <w:jc w:val="both"/>
        <w:keepLines w:val="0"/>
        <w:keepNext w:val="0"/>
        <w:pageBreakBefore w:val="0"/>
        <w:spacing w:line="360" w:lineRule="auto"/>
        <w:widowControl w:val="off"/>
        <w:rPr>
          <w:rFonts w:hint="eastAsia" w:ascii="宋体" w:hAnsi="宋体"/>
          <w:b/>
          <w:color w:val="auto"/>
          <w:szCs w:val="21"/>
          <w:highlight w:val="none"/>
        </w:rPr>
      </w:pPr>
      <w:r>
        <w:rPr>
          <w:rFonts w:hint="eastAsia" w:ascii="宋体" w:hAnsi="宋体"/>
          <w:b/>
          <w:color w:val="auto"/>
          <w:szCs w:val="21"/>
          <w:highlight w:val="none"/>
        </w:rPr>
        <w:t xml:space="preserve">3、适用法律</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3.1 本次招标及由此产生的合同受中华人民共和国有关的法律法规制约和保护。</w:t>
      </w:r>
      <w:r/>
    </w:p>
    <w:p>
      <w:pPr>
        <w:ind w:left="0" w:firstLine="422"/>
        <w:jc w:val="both"/>
        <w:keepLines w:val="0"/>
        <w:keepNext w:val="0"/>
        <w:pageBreakBefore w:val="0"/>
        <w:spacing w:line="360" w:lineRule="auto"/>
        <w:widowControl w:val="off"/>
        <w:rPr>
          <w:rFonts w:hint="eastAsia" w:ascii="宋体" w:hAnsi="宋体"/>
          <w:b/>
          <w:color w:val="auto"/>
          <w:szCs w:val="21"/>
          <w:highlight w:val="none"/>
        </w:rPr>
      </w:pPr>
      <w:r>
        <w:rPr>
          <w:rFonts w:hint="eastAsia" w:ascii="宋体" w:hAnsi="宋体"/>
          <w:b/>
          <w:color w:val="auto"/>
          <w:szCs w:val="21"/>
          <w:highlight w:val="none"/>
        </w:rPr>
        <w:t xml:space="preserve">4、投标费用</w:t>
      </w:r>
      <w:r/>
    </w:p>
    <w:p>
      <w:pPr>
        <w:ind w:left="0" w:firstLine="420"/>
        <w:jc w:val="both"/>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4.1 投标人应自行承担所有与参加投标有关的费用，无论投标过程中的做法和结果如 何，代理机构在任何情况下均无义务和责任承担这些费用。 </w:t>
      </w:r>
      <w:r/>
    </w:p>
    <w:p>
      <w:pPr>
        <w:ind w:left="0" w:firstLine="420"/>
        <w:jc w:val="both"/>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4.2本次采购由中标人在领取中标通知书前分别根据国家计委印发的《招标代理服务收费管理暂行办法》(计价格【2002】1980号文)</w:t>
      </w:r>
      <w:r>
        <w:rPr>
          <w:rFonts w:hint="eastAsia" w:ascii="宋体" w:hAnsi="宋体" w:cs="宋体"/>
          <w:color w:val="auto"/>
          <w:highlight w:val="none"/>
          <w:lang w:val="en-US" w:eastAsia="zh-CN"/>
        </w:rPr>
        <w:t xml:space="preserve">服务</w:t>
      </w:r>
      <w:r>
        <w:rPr>
          <w:rFonts w:hint="eastAsia" w:ascii="宋体" w:hAnsi="宋体" w:cs="宋体"/>
          <w:color w:val="auto"/>
          <w:highlight w:val="none"/>
        </w:rPr>
        <w:t xml:space="preserve">类*30%标准一次性支付给代理机构代理服务费。 </w:t>
      </w:r>
      <w:r/>
    </w:p>
    <w:p>
      <w:pPr>
        <w:ind w:left="0" w:firstLine="420"/>
        <w:jc w:val="both"/>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（1）代理服务费以人民币支付； </w:t>
      </w:r>
      <w:r/>
    </w:p>
    <w:p>
      <w:pPr>
        <w:ind w:left="0" w:firstLine="420"/>
        <w:jc w:val="both"/>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（2）代理服务费一次性以电汇、转账等非现金形式支付； </w:t>
      </w:r>
      <w:r/>
    </w:p>
    <w:p>
      <w:pPr>
        <w:ind w:left="0" w:firstLine="420"/>
        <w:jc w:val="both"/>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（3）招标代理服务费不在投标报价中单列，包含在投标总价中，由中标单位支付给代理机构。 </w:t>
      </w:r>
      <w:r/>
    </w:p>
    <w:p>
      <w:pPr>
        <w:ind w:left="0" w:firstLine="420"/>
        <w:jc w:val="both"/>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代理服务费开户银行：江苏银行扬州广陵支行</w:t>
      </w:r>
      <w:r/>
    </w:p>
    <w:p>
      <w:pPr>
        <w:ind w:left="0" w:firstLine="420"/>
        <w:jc w:val="both"/>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开户名称：江苏唯诚建设咨询有限公司</w:t>
      </w:r>
      <w:r/>
    </w:p>
    <w:p>
      <w:pPr>
        <w:ind w:left="0" w:firstLine="420"/>
        <w:jc w:val="both"/>
        <w:keepLines w:val="0"/>
        <w:keepNext w:val="0"/>
        <w:pageBreakBefore w:val="0"/>
        <w:spacing w:line="360" w:lineRule="auto"/>
        <w:widowControl w:val="off"/>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开户帐号：05000440900000685</w:t>
      </w:r>
      <w:r/>
    </w:p>
    <w:p>
      <w:pPr>
        <w:ind w:left="0" w:firstLine="422"/>
        <w:jc w:val="both"/>
        <w:keepLines w:val="0"/>
        <w:keepNext w:val="0"/>
        <w:pageBreakBefore w:val="0"/>
        <w:spacing w:line="360" w:lineRule="auto"/>
        <w:widowControl w:val="off"/>
        <w:rPr>
          <w:rFonts w:hint="eastAsia" w:ascii="宋体" w:hAnsi="宋体"/>
          <w:b/>
          <w:color w:val="auto"/>
          <w:szCs w:val="21"/>
          <w:highlight w:val="none"/>
        </w:rPr>
      </w:pPr>
      <w:r>
        <w:rPr>
          <w:rFonts w:hint="eastAsia" w:ascii="宋体" w:hAnsi="宋体"/>
          <w:b/>
          <w:color w:val="auto"/>
          <w:szCs w:val="21"/>
          <w:highlight w:val="none"/>
        </w:rPr>
        <w:t xml:space="preserve">5、招标文件的约束力</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5.1 投标人一旦参加本项目采购活动，即被认为接受了本招标文件的规定和约束。</w:t>
      </w:r>
      <w:r/>
    </w:p>
    <w:p>
      <w:pPr>
        <w:ind w:left="0" w:firstLine="422"/>
        <w:jc w:val="both"/>
        <w:keepLines w:val="0"/>
        <w:keepNext w:val="0"/>
        <w:pageBreakBefore w:val="0"/>
        <w:spacing w:line="360" w:lineRule="auto"/>
        <w:widowControl w:val="off"/>
        <w:rPr>
          <w:rFonts w:hint="eastAsia" w:ascii="宋体" w:hAnsi="宋体"/>
          <w:b/>
          <w:color w:val="auto"/>
          <w:szCs w:val="21"/>
          <w:highlight w:val="none"/>
        </w:rPr>
      </w:pPr>
      <w:r>
        <w:rPr>
          <w:rFonts w:hint="eastAsia" w:ascii="宋体" w:hAnsi="宋体"/>
          <w:b/>
          <w:color w:val="auto"/>
          <w:szCs w:val="21"/>
          <w:highlight w:val="none"/>
        </w:rPr>
        <w:t xml:space="preserve">6、招标文件构成</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6.1 招标文件有以下部分组成：</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（1）招标公告</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（2）投标人须知</w:t>
      </w:r>
      <w:r>
        <w:rPr>
          <w:rFonts w:hint="eastAsia" w:ascii="宋体" w:hAnsi="宋体"/>
          <w:bCs/>
          <w:color w:val="auto"/>
          <w:szCs w:val="21"/>
          <w:highlight w:val="none"/>
        </w:rPr>
        <w:tab/>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（3）合同条款及格式</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（4）项目需求</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（5）评标方法与评标标准</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（6）投标文件格式</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请仔细检查招标文件是否齐全，如有缺漏请立即与代理机构联系解决。</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6.3 招标文件如果要求供应商提交备选投标方案的，供应商可以提交备选方案；否则，备选方案将被拒绝。</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firstLine="422"/>
        <w:jc w:val="both"/>
        <w:keepLines w:val="0"/>
        <w:keepNext w:val="0"/>
        <w:pageBreakBefore w:val="0"/>
        <w:spacing w:line="360" w:lineRule="auto"/>
        <w:widowControl w:val="off"/>
        <w:rPr>
          <w:rFonts w:hint="eastAsia" w:ascii="宋体" w:hAnsi="宋体"/>
          <w:b/>
          <w:color w:val="auto"/>
          <w:szCs w:val="21"/>
          <w:highlight w:val="none"/>
        </w:rPr>
      </w:pPr>
      <w:r>
        <w:rPr>
          <w:rFonts w:hint="eastAsia" w:ascii="宋体" w:hAnsi="宋体"/>
          <w:b/>
          <w:color w:val="auto"/>
          <w:szCs w:val="21"/>
          <w:highlight w:val="none"/>
        </w:rPr>
        <w:t xml:space="preserve">7、招标文件的澄清</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7.1 任何要求对招标文件进行澄清的投标人，应在投标截止日期的十日前按招标公告中的通讯地址，以书面形式通知代理机构。</w:t>
      </w:r>
      <w:r/>
    </w:p>
    <w:p>
      <w:pPr>
        <w:ind w:left="0" w:firstLine="422"/>
        <w:jc w:val="both"/>
        <w:keepLines w:val="0"/>
        <w:keepNext w:val="0"/>
        <w:pageBreakBefore w:val="0"/>
        <w:spacing w:line="360" w:lineRule="auto"/>
        <w:widowControl w:val="off"/>
        <w:rPr>
          <w:rFonts w:hint="eastAsia" w:ascii="宋体" w:hAnsi="宋体"/>
          <w:b/>
          <w:color w:val="auto"/>
          <w:szCs w:val="21"/>
          <w:highlight w:val="none"/>
        </w:rPr>
      </w:pPr>
      <w:r>
        <w:rPr>
          <w:rFonts w:hint="eastAsia" w:ascii="宋体" w:hAnsi="宋体"/>
          <w:b/>
          <w:color w:val="auto"/>
          <w:szCs w:val="21"/>
          <w:highlight w:val="none"/>
        </w:rPr>
        <w:t xml:space="preserve">8、招标文件的修改</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8.1 在投标截止时间前，代理机构可以对招标文件进行修改。</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8.2代理机构在招标文件要求提交投标文件截止时间前，有权按照法定要求推迟投标截止时间和开标时间。</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8.3招标文件的修改将在“扬州市政府采购网”、“江苏省政府采购网”、“中国政府采购网”公布，补充文件将作为招标文件的组成部分，并对投标人具有约束力。</w:t>
      </w:r>
      <w:r/>
    </w:p>
    <w:p>
      <w:pPr>
        <w:ind w:left="0" w:firstLine="422"/>
        <w:jc w:val="both"/>
        <w:keepLines w:val="0"/>
        <w:keepNext w:val="0"/>
        <w:pageBreakBefore w:val="0"/>
        <w:spacing w:line="360" w:lineRule="auto"/>
        <w:widowControl w:val="off"/>
        <w:rPr>
          <w:rFonts w:hint="eastAsia" w:ascii="宋体" w:hAnsi="宋体"/>
          <w:b/>
          <w:color w:val="auto"/>
          <w:szCs w:val="21"/>
          <w:highlight w:val="none"/>
        </w:rPr>
      </w:pPr>
      <w:r>
        <w:rPr>
          <w:rFonts w:hint="eastAsia" w:ascii="宋体" w:hAnsi="宋体"/>
          <w:b/>
          <w:color w:val="auto"/>
          <w:szCs w:val="21"/>
          <w:highlight w:val="none"/>
        </w:rPr>
        <w:t xml:space="preserve">9、投标文件的语言、度量衡单位、货币</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9.1投标人提交的投标文件以及投标人与代理机构就有关投标的所有来往通知、函件和文件均应使用简体中文。</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9.2 除技术性能另有规定外，投标文件所使用的度量衡单位，均须采用国家法定计量单位。</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9.3投标人应使用人民币报价。</w:t>
      </w:r>
      <w:r/>
    </w:p>
    <w:p>
      <w:pPr>
        <w:ind w:left="0" w:firstLine="422"/>
        <w:jc w:val="both"/>
        <w:keepLines w:val="0"/>
        <w:keepNext w:val="0"/>
        <w:pageBreakBefore w:val="0"/>
        <w:spacing w:line="360" w:lineRule="auto"/>
        <w:widowControl w:val="off"/>
        <w:rPr>
          <w:rFonts w:hint="eastAsia" w:ascii="宋体" w:hAnsi="宋体"/>
          <w:b/>
          <w:color w:val="auto"/>
          <w:szCs w:val="21"/>
          <w:highlight w:val="none"/>
        </w:rPr>
      </w:pPr>
      <w:r>
        <w:rPr>
          <w:rFonts w:hint="eastAsia" w:ascii="宋体" w:hAnsi="宋体"/>
          <w:b/>
          <w:color w:val="auto"/>
          <w:szCs w:val="21"/>
          <w:highlight w:val="none"/>
        </w:rPr>
        <w:t xml:space="preserve">10、投标文件构成</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10.1投标文件由以下部分组成</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（1）资格审查响应对照表</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（2）符合性审查响应对照表</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（3）非实质性响应对照表</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（4）开标一览表 </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（5）分项报价表 </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（6）技术参数响应及偏离表 </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（7）商务条款响应及偏离表 </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（8）其他 （投标人认为有必要提供的声明和文件，如有自拟并自行添加）</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left="0" w:firstLine="422"/>
        <w:jc w:val="both"/>
        <w:keepLines w:val="0"/>
        <w:keepNext w:val="0"/>
        <w:pageBreakBefore w:val="0"/>
        <w:spacing w:line="360" w:lineRule="auto"/>
        <w:widowControl w:val="off"/>
        <w:rPr>
          <w:rFonts w:hint="eastAsia" w:ascii="宋体" w:hAnsi="宋体"/>
          <w:b/>
          <w:color w:val="auto"/>
          <w:szCs w:val="21"/>
          <w:highlight w:val="none"/>
        </w:rPr>
      </w:pPr>
      <w:r>
        <w:rPr>
          <w:rFonts w:hint="eastAsia" w:ascii="宋体" w:hAnsi="宋体"/>
          <w:b/>
          <w:color w:val="auto"/>
          <w:szCs w:val="21"/>
          <w:highlight w:val="none"/>
        </w:rPr>
        <w:t xml:space="preserve">11、证明投标人资格及符合招标文件规定的文件</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11.1投标人应按要求提交资格证明文件及符合招标文件规定的文件。</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11.2投标人应提交证明其有资格参加投标和中标后有能力独立履行合同的文件。</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11.3投标人除必须具有履行合同所需提供的产品或服务的能力外，还必须具备相应的财务、技术方面的能力。</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11.4投标人应提交根据合同要求提供的证明服务质量合格以及符合招标文件规定的证明文件。</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11.5证明投标人所提供服务与招标文件的要求相一致的文件可以是手册、图纸、文字资料和数据。</w:t>
      </w:r>
      <w:r/>
    </w:p>
    <w:p>
      <w:pPr>
        <w:ind w:left="0" w:firstLine="422"/>
        <w:jc w:val="both"/>
        <w:keepLines w:val="0"/>
        <w:keepNext w:val="0"/>
        <w:pageBreakBefore w:val="0"/>
        <w:spacing w:line="360" w:lineRule="auto"/>
        <w:widowControl w:val="off"/>
        <w:rPr>
          <w:rFonts w:hint="eastAsia" w:ascii="宋体" w:hAnsi="宋体"/>
          <w:b/>
          <w:color w:val="auto"/>
          <w:szCs w:val="21"/>
          <w:highlight w:val="none"/>
        </w:rPr>
      </w:pPr>
      <w:r>
        <w:rPr>
          <w:rFonts w:hint="eastAsia" w:ascii="宋体" w:hAnsi="宋体"/>
          <w:b/>
          <w:color w:val="auto"/>
          <w:szCs w:val="21"/>
          <w:highlight w:val="none"/>
        </w:rPr>
        <w:t xml:space="preserve">12、分项报价表</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12.1 投标人应按照招标文件规定格式填报分项报价表，每项服务只允许有一个报价，任何有选择的报价将不予接受。</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12.2 标的物</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采购人需求的服务供应、安装，调试及有关技术服务等。</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12.3其它费用处理</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招标文件未列明，而投标人认为必需的费用也需列入报价。</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12.4投标货币</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投标文件中的服务单价和总价无特殊规定的采用人民币报价，以元为单位标注。招标文件中另有规定的按规定执行。</w:t>
      </w:r>
      <w:r/>
    </w:p>
    <w:p>
      <w:pPr>
        <w:ind w:left="0" w:firstLine="422"/>
        <w:jc w:val="both"/>
        <w:keepLines w:val="0"/>
        <w:keepNext w:val="0"/>
        <w:pageBreakBefore w:val="0"/>
        <w:spacing w:line="360" w:lineRule="auto"/>
        <w:widowControl w:val="off"/>
        <w:rPr>
          <w:rFonts w:hint="eastAsia" w:ascii="宋体" w:hAnsi="宋体"/>
          <w:b/>
          <w:color w:val="auto"/>
          <w:szCs w:val="21"/>
          <w:highlight w:val="none"/>
        </w:rPr>
      </w:pPr>
      <w:r>
        <w:rPr>
          <w:rFonts w:hint="eastAsia" w:ascii="宋体" w:hAnsi="宋体"/>
          <w:b/>
          <w:color w:val="auto"/>
          <w:szCs w:val="21"/>
          <w:highlight w:val="none"/>
        </w:rPr>
        <w:t xml:space="preserve">13、技术参数响应及偏离表、商务条款响应及偏离表及投标服务说明</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13.1 对招标文件中的技术与商务条款要求逐项作出响应或偏离，并说明原因；</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13.2 提供参加本项目类似案例简介；</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13.3 详细阐述所投服务的主要组成部分、功能设计、实现思路及关键技术；</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13.4 投标人认为需要的其他技术文件或说明。</w:t>
      </w:r>
      <w:r/>
    </w:p>
    <w:p>
      <w:pPr>
        <w:ind w:left="0" w:firstLine="422"/>
        <w:jc w:val="both"/>
        <w:keepLines w:val="0"/>
        <w:keepNext w:val="0"/>
        <w:pageBreakBefore w:val="0"/>
        <w:spacing w:line="360" w:lineRule="auto"/>
        <w:widowControl w:val="off"/>
        <w:rPr>
          <w:rFonts w:hint="eastAsia" w:ascii="宋体" w:hAnsi="宋体"/>
          <w:b/>
          <w:color w:val="auto"/>
          <w:szCs w:val="21"/>
          <w:highlight w:val="none"/>
        </w:rPr>
      </w:pPr>
      <w:r>
        <w:rPr>
          <w:rFonts w:hint="eastAsia" w:ascii="宋体" w:hAnsi="宋体"/>
          <w:b/>
          <w:color w:val="auto"/>
          <w:szCs w:val="21"/>
          <w:highlight w:val="none"/>
        </w:rPr>
        <w:t xml:space="preserve">14、服务承诺及售后服务机构、人员的情况介绍</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14.1投标人的服务承诺应按不低于招标文件中商务要求的标准。</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14.2提供投标人有关售后服务的管理制度、售后服务机构的分布情况、售后服务人员的数量、素质、技术水平及售后服务的反应能力。</w:t>
      </w:r>
      <w:r/>
    </w:p>
    <w:p>
      <w:pPr>
        <w:ind w:left="0" w:firstLine="422"/>
        <w:jc w:val="both"/>
        <w:keepLines w:val="0"/>
        <w:keepNext w:val="0"/>
        <w:pageBreakBefore w:val="0"/>
        <w:spacing w:line="360" w:lineRule="auto"/>
        <w:widowControl w:val="off"/>
        <w:rPr>
          <w:rFonts w:hint="eastAsia" w:ascii="宋体" w:hAnsi="宋体"/>
          <w:b/>
          <w:color w:val="auto"/>
          <w:szCs w:val="21"/>
          <w:highlight w:val="none"/>
        </w:rPr>
      </w:pPr>
      <w:r>
        <w:rPr>
          <w:rFonts w:hint="eastAsia" w:ascii="宋体" w:hAnsi="宋体"/>
          <w:b/>
          <w:color w:val="auto"/>
          <w:szCs w:val="21"/>
          <w:highlight w:val="none"/>
        </w:rPr>
        <w:t xml:space="preserve">15、投标函和开标一览表</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15.1 投标人应按照招标文件中提供的格式完整、正确填写投标函、开标一览表。</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left="0" w:firstLine="422"/>
        <w:jc w:val="both"/>
        <w:keepLines w:val="0"/>
        <w:keepNext w:val="0"/>
        <w:pageBreakBefore w:val="0"/>
        <w:spacing w:line="360" w:lineRule="auto"/>
        <w:widowControl w:val="off"/>
        <w:rPr>
          <w:rFonts w:hint="eastAsia" w:ascii="宋体" w:hAnsi="宋体"/>
          <w:b/>
          <w:color w:val="auto"/>
          <w:szCs w:val="21"/>
          <w:highlight w:val="none"/>
        </w:rPr>
      </w:pPr>
      <w:r>
        <w:rPr>
          <w:rFonts w:hint="eastAsia" w:ascii="宋体" w:hAnsi="宋体"/>
          <w:b/>
          <w:color w:val="auto"/>
          <w:szCs w:val="21"/>
          <w:highlight w:val="none"/>
        </w:rPr>
        <w:t xml:space="preserve">16、投标有效期</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16.1 投标有效期为开标之日起六十（60）天。投标有效期比规定短的将被视为非响应性投标而予以拒绝。</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left="0" w:firstLine="422"/>
        <w:jc w:val="both"/>
        <w:keepLines w:val="0"/>
        <w:keepNext w:val="0"/>
        <w:pageBreakBefore w:val="0"/>
        <w:spacing w:line="360" w:lineRule="auto"/>
        <w:widowControl w:val="off"/>
        <w:rPr>
          <w:rFonts w:hint="eastAsia" w:ascii="宋体" w:hAnsi="宋体"/>
          <w:b/>
          <w:color w:val="auto"/>
          <w:szCs w:val="21"/>
          <w:highlight w:val="none"/>
        </w:rPr>
      </w:pPr>
      <w:r/>
      <w:bookmarkStart w:id="15" w:name="_Toc513029225"/>
      <w:r/>
      <w:bookmarkStart w:id="16" w:name="_Toc20823297"/>
      <w:r/>
      <w:bookmarkStart w:id="17" w:name="_Toc462564084"/>
      <w:r/>
      <w:bookmarkStart w:id="18" w:name="_Toc16938541"/>
      <w:r>
        <w:rPr>
          <w:rFonts w:hint="eastAsia" w:ascii="宋体" w:hAnsi="宋体"/>
          <w:b/>
          <w:color w:val="auto"/>
          <w:szCs w:val="21"/>
          <w:highlight w:val="none"/>
        </w:rPr>
        <w:t xml:space="preserve">17、投标文件</w:t>
      </w:r>
      <w:bookmarkEnd w:id="15"/>
      <w:r/>
      <w:bookmarkEnd w:id="16"/>
      <w:r/>
      <w:bookmarkEnd w:id="17"/>
      <w:r/>
      <w:bookmarkEnd w:id="18"/>
      <w:r>
        <w:rPr>
          <w:rFonts w:hint="eastAsia" w:ascii="宋体" w:hAnsi="宋体"/>
          <w:b/>
          <w:color w:val="auto"/>
          <w:szCs w:val="21"/>
          <w:highlight w:val="none"/>
        </w:rPr>
        <w:t xml:space="preserve">的递交</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17.1 电子投标文件的递交投标人应当按照《操作手册》规定，在投标截止时间前制作并上传电子投标文件。</w:t>
      </w:r>
      <w:bookmarkStart w:id="19" w:name="_Toc513029226"/>
      <w:r/>
      <w:bookmarkStart w:id="20" w:name="_Toc16938542"/>
      <w:r/>
      <w:bookmarkStart w:id="21" w:name="_Toc20823298"/>
      <w:r/>
      <w:r/>
    </w:p>
    <w:p>
      <w:pPr>
        <w:ind w:left="0" w:firstLine="420"/>
        <w:jc w:val="both"/>
        <w:keepLines w:val="0"/>
        <w:keepNext w:val="0"/>
        <w:pageBreakBefore w:val="0"/>
        <w:spacing w:line="360" w:lineRule="auto"/>
        <w:widowControl w:val="off"/>
        <w:rPr>
          <w:rFonts w:hint="eastAsia" w:ascii="宋体" w:hAnsi="宋体"/>
          <w:b w:val="0"/>
          <w:bCs/>
          <w:color w:val="auto"/>
          <w:szCs w:val="21"/>
          <w:highlight w:val="none"/>
        </w:rPr>
      </w:pPr>
      <w:r>
        <w:rPr>
          <w:rFonts w:hint="eastAsia" w:ascii="宋体" w:hAnsi="宋体"/>
          <w:b w:val="0"/>
          <w:bCs/>
          <w:color w:val="auto"/>
          <w:szCs w:val="21"/>
          <w:highlight w:val="none"/>
        </w:rPr>
        <w:t xml:space="preserve">17.2政府采购管理交易系统（苏采云）相关要求是本招标文件的组成部分。</w:t>
      </w:r>
      <w:r/>
    </w:p>
    <w:p>
      <w:pPr>
        <w:ind w:left="0" w:firstLine="420"/>
        <w:jc w:val="both"/>
        <w:keepLines w:val="0"/>
        <w:keepNext w:val="0"/>
        <w:pageBreakBefore w:val="0"/>
        <w:spacing w:line="360" w:lineRule="auto"/>
        <w:widowControl w:val="off"/>
        <w:rPr>
          <w:rFonts w:hint="eastAsia" w:ascii="宋体" w:hAnsi="宋体"/>
          <w:b w:val="0"/>
          <w:bCs/>
          <w:color w:val="auto"/>
          <w:szCs w:val="21"/>
          <w:highlight w:val="none"/>
        </w:rPr>
      </w:pPr>
      <w:r>
        <w:rPr>
          <w:rFonts w:hint="eastAsia" w:ascii="宋体" w:hAnsi="宋体"/>
          <w:b w:val="0"/>
          <w:bCs/>
          <w:color w:val="auto"/>
          <w:szCs w:val="21"/>
          <w:highlight w:val="none"/>
        </w:rPr>
        <w:t xml:space="preserve">17.3投标人应对 CA 证书妥善保管，如被他人盗用投标，因此带来的结果均由投标人自行承担。</w:t>
      </w:r>
      <w:r/>
    </w:p>
    <w:p>
      <w:pPr>
        <w:ind w:left="0" w:firstLine="420"/>
        <w:jc w:val="both"/>
        <w:keepLines w:val="0"/>
        <w:keepNext w:val="0"/>
        <w:pageBreakBefore w:val="0"/>
        <w:spacing w:line="360" w:lineRule="auto"/>
        <w:widowControl w:val="off"/>
        <w:rPr>
          <w:rFonts w:hint="eastAsia" w:ascii="宋体" w:hAnsi="宋体"/>
          <w:b w:val="0"/>
          <w:bCs/>
          <w:color w:val="auto"/>
          <w:szCs w:val="21"/>
          <w:highlight w:val="none"/>
        </w:rPr>
      </w:pPr>
      <w:r>
        <w:rPr>
          <w:rFonts w:hint="eastAsia" w:ascii="宋体" w:hAnsi="宋体"/>
          <w:b w:val="0"/>
          <w:bCs/>
          <w:color w:val="auto"/>
          <w:szCs w:val="21"/>
          <w:highlight w:val="none"/>
        </w:rPr>
        <w:t xml:space="preserve">17.4投标人应当对招标文件提出的要求和条件作出实质性响应，并在电子投标系统逐条应答。</w:t>
      </w:r>
      <w:r/>
    </w:p>
    <w:p>
      <w:pPr>
        <w:ind w:left="0" w:firstLine="420"/>
        <w:jc w:val="both"/>
        <w:keepLines w:val="0"/>
        <w:keepNext w:val="0"/>
        <w:pageBreakBefore w:val="0"/>
        <w:spacing w:line="360" w:lineRule="auto"/>
        <w:widowControl w:val="off"/>
        <w:rPr>
          <w:rFonts w:hint="eastAsia" w:ascii="宋体" w:hAnsi="宋体"/>
          <w:b w:val="0"/>
          <w:bCs/>
          <w:color w:val="auto"/>
          <w:szCs w:val="21"/>
          <w:highlight w:val="none"/>
        </w:rPr>
      </w:pPr>
      <w:r>
        <w:rPr>
          <w:rFonts w:hint="eastAsia" w:ascii="宋体" w:hAnsi="宋体"/>
          <w:b w:val="0"/>
          <w:bCs/>
          <w:color w:val="auto"/>
          <w:szCs w:val="21"/>
          <w:highlight w:val="none"/>
        </w:rPr>
        <w:t xml:space="preserve">17.5投标人应对要求提供的资格证明文件（如资质证书、资格证书）、技术资料（如白皮书、彩页、手册、检测报告等）扫描上传至投标系统。</w:t>
      </w:r>
      <w:r/>
    </w:p>
    <w:p>
      <w:pPr>
        <w:ind w:left="0" w:firstLine="420"/>
        <w:jc w:val="both"/>
        <w:keepLines w:val="0"/>
        <w:keepNext w:val="0"/>
        <w:pageBreakBefore w:val="0"/>
        <w:spacing w:line="360" w:lineRule="auto"/>
        <w:widowControl w:val="off"/>
        <w:rPr>
          <w:rFonts w:hint="eastAsia" w:ascii="宋体" w:hAnsi="宋体"/>
          <w:b w:val="0"/>
          <w:bCs/>
          <w:color w:val="auto"/>
          <w:szCs w:val="21"/>
          <w:highlight w:val="none"/>
        </w:rPr>
      </w:pPr>
      <w:r>
        <w:rPr>
          <w:rFonts w:hint="eastAsia" w:ascii="宋体" w:hAnsi="宋体"/>
          <w:b w:val="0"/>
          <w:bCs/>
          <w:color w:val="auto"/>
          <w:szCs w:val="21"/>
          <w:highlight w:val="none"/>
        </w:rPr>
        <w:t xml:space="preserve">17.6投标人应当在招标文件要求提交投标文件的截止时间前，将投标文件提交至“苏采云”系统，逾期提交的投标文件，“苏采云”系统将自动拒收。</w:t>
      </w:r>
      <w:r/>
    </w:p>
    <w:p>
      <w:pPr>
        <w:ind w:left="0" w:firstLine="420"/>
        <w:jc w:val="both"/>
        <w:keepLines w:val="0"/>
        <w:keepNext w:val="0"/>
        <w:pageBreakBefore w:val="0"/>
        <w:spacing w:line="360" w:lineRule="auto"/>
        <w:widowControl w:val="off"/>
        <w:rPr>
          <w:b w:val="0"/>
          <w:bCs/>
          <w:color w:val="auto"/>
          <w:highlight w:val="none"/>
        </w:rPr>
      </w:pPr>
      <w:r>
        <w:rPr>
          <w:rFonts w:hint="eastAsia" w:ascii="宋体" w:hAnsi="宋体"/>
          <w:b w:val="0"/>
          <w:bCs/>
          <w:color w:val="auto"/>
          <w:szCs w:val="21"/>
          <w:highlight w:val="none"/>
        </w:rPr>
        <w:t xml:space="preserve">17.7各投标人应在规定时间内凭CA证书进行网上解密。</w:t>
      </w:r>
      <w:r/>
    </w:p>
    <w:p>
      <w:pPr>
        <w:ind w:left="0" w:firstLine="422"/>
        <w:jc w:val="both"/>
        <w:keepLines w:val="0"/>
        <w:keepNext w:val="0"/>
        <w:pageBreakBefore w:val="0"/>
        <w:spacing w:line="360" w:lineRule="auto"/>
        <w:widowControl w:val="off"/>
        <w:rPr>
          <w:rFonts w:hint="eastAsia" w:ascii="宋体" w:hAnsi="宋体"/>
          <w:b/>
          <w:color w:val="auto"/>
          <w:szCs w:val="21"/>
          <w:highlight w:val="none"/>
        </w:rPr>
      </w:pPr>
      <w:r>
        <w:rPr>
          <w:rFonts w:hint="eastAsia" w:ascii="宋体" w:hAnsi="宋体"/>
          <w:b/>
          <w:color w:val="auto"/>
          <w:szCs w:val="21"/>
          <w:highlight w:val="none"/>
        </w:rPr>
        <w:t xml:space="preserve">18、投标截止日期</w:t>
      </w:r>
      <w:bookmarkEnd w:id="19"/>
      <w:r/>
      <w:bookmarkEnd w:id="20"/>
      <w:r/>
      <w:bookmarkEnd w:id="21"/>
      <w:r/>
      <w:r/>
    </w:p>
    <w:p>
      <w:pPr>
        <w:ind w:left="0" w:firstLine="420"/>
        <w:jc w:val="both"/>
        <w:keepLines w:val="0"/>
        <w:keepNext w:val="0"/>
        <w:pageBreakBefore w:val="0"/>
        <w:spacing w:line="360" w:lineRule="auto"/>
        <w:widowControl w:val="off"/>
        <w:rPr>
          <w:rFonts w:hint="eastAsia" w:ascii="宋体" w:hAnsi="宋体"/>
          <w:bCs/>
          <w:i/>
          <w:iCs/>
          <w:color w:val="auto"/>
          <w:szCs w:val="21"/>
          <w:highlight w:val="none"/>
          <w:u w:val="single"/>
        </w:rPr>
      </w:pPr>
      <w:r>
        <w:rPr>
          <w:rFonts w:hint="eastAsia" w:ascii="宋体" w:hAnsi="宋体"/>
          <w:bCs/>
          <w:i/>
          <w:iCs/>
          <w:color w:val="auto"/>
          <w:szCs w:val="21"/>
          <w:highlight w:val="none"/>
          <w:u w:val="single"/>
        </w:rPr>
        <w:t xml:space="preserve">18.1 投标人上传电子投标文件的时间不得迟于招标公告中规定的投标截止时间。</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left="0" w:firstLine="422"/>
        <w:jc w:val="both"/>
        <w:keepLines w:val="0"/>
        <w:keepNext w:val="0"/>
        <w:pageBreakBefore w:val="0"/>
        <w:spacing w:line="360" w:lineRule="auto"/>
        <w:widowControl w:val="off"/>
        <w:rPr>
          <w:rFonts w:hint="eastAsia" w:ascii="宋体" w:hAnsi="宋体"/>
          <w:b/>
          <w:color w:val="auto"/>
          <w:szCs w:val="21"/>
          <w:highlight w:val="none"/>
        </w:rPr>
      </w:pPr>
      <w:r/>
      <w:bookmarkStart w:id="22" w:name="_Toc513029227"/>
      <w:r/>
      <w:bookmarkStart w:id="23" w:name="_Toc20823299"/>
      <w:r/>
      <w:bookmarkStart w:id="24" w:name="_Toc16938543"/>
      <w:r>
        <w:rPr>
          <w:rFonts w:hint="eastAsia" w:ascii="宋体" w:hAnsi="宋体"/>
          <w:b/>
          <w:color w:val="auto"/>
          <w:szCs w:val="21"/>
          <w:highlight w:val="none"/>
        </w:rPr>
        <w:t xml:space="preserve">19、投标文件</w:t>
      </w:r>
      <w:bookmarkEnd w:id="22"/>
      <w:r/>
      <w:bookmarkEnd w:id="23"/>
      <w:r/>
      <w:bookmarkEnd w:id="24"/>
      <w:r>
        <w:rPr>
          <w:rFonts w:hint="eastAsia" w:ascii="宋体" w:hAnsi="宋体"/>
          <w:b/>
          <w:color w:val="auto"/>
          <w:szCs w:val="21"/>
          <w:highlight w:val="none"/>
        </w:rPr>
        <w:t xml:space="preserve">的拒收</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19.1代理机构拒绝接收在其规定的投标截止时间后上传的任何投标文件。</w:t>
      </w:r>
      <w:r/>
    </w:p>
    <w:p>
      <w:pPr>
        <w:ind w:left="0" w:firstLine="422"/>
        <w:jc w:val="both"/>
        <w:keepLines w:val="0"/>
        <w:keepNext w:val="0"/>
        <w:pageBreakBefore w:val="0"/>
        <w:spacing w:line="360" w:lineRule="auto"/>
        <w:widowControl w:val="off"/>
        <w:rPr>
          <w:rFonts w:hint="eastAsia" w:ascii="宋体" w:hAnsi="宋体"/>
          <w:b/>
          <w:color w:val="auto"/>
          <w:szCs w:val="21"/>
          <w:highlight w:val="none"/>
        </w:rPr>
      </w:pPr>
      <w:r/>
      <w:bookmarkStart w:id="25" w:name="_Toc20823300"/>
      <w:r/>
      <w:bookmarkStart w:id="26" w:name="_Toc16938544"/>
      <w:r/>
      <w:bookmarkStart w:id="27" w:name="_Toc513029228"/>
      <w:r>
        <w:rPr>
          <w:rFonts w:hint="eastAsia" w:ascii="宋体" w:hAnsi="宋体"/>
          <w:b/>
          <w:color w:val="auto"/>
          <w:szCs w:val="21"/>
          <w:highlight w:val="none"/>
        </w:rPr>
        <w:t xml:space="preserve">20、投标文件的撤回和修改</w:t>
      </w:r>
      <w:bookmarkEnd w:id="25"/>
      <w:r/>
      <w:bookmarkEnd w:id="26"/>
      <w:r/>
      <w:bookmarkEnd w:id="27"/>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20.1 投标文件的撤回</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20.1.1 电子投标文件的撤回</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投标人可在投标截止时间前，撤回其电子投标文件，具体操作方法见《操作手册》。</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20.1.2 投标人撤回电子投标文件，则认为其不再参与本项目投标活动。</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20.2 投标文件的修改</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投标人可在投标截止时间前，对其电子投标文件进行修改，具体操作方法见《操作手册》。</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20.3 在投标截止时间之后，投标人不得对其电子投标文件作任何修改。</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20.4 在投标截止时间至招标文件中规定的投标有效期满之间的这段时间内，投标人不得撤回其投标。</w:t>
      </w:r>
      <w:r/>
    </w:p>
    <w:p>
      <w:pPr>
        <w:ind w:left="0" w:firstLine="422"/>
        <w:jc w:val="both"/>
        <w:keepLines w:val="0"/>
        <w:keepNext w:val="0"/>
        <w:pageBreakBefore w:val="0"/>
        <w:spacing w:line="360" w:lineRule="auto"/>
        <w:widowControl w:val="off"/>
        <w:rPr>
          <w:rFonts w:hint="eastAsia" w:ascii="宋体" w:hAnsi="宋体"/>
          <w:b/>
          <w:color w:val="auto"/>
          <w:szCs w:val="21"/>
          <w:highlight w:val="none"/>
        </w:rPr>
      </w:pPr>
      <w:r>
        <w:rPr>
          <w:rFonts w:hint="eastAsia" w:ascii="宋体" w:hAnsi="宋体"/>
          <w:b/>
          <w:color w:val="auto"/>
          <w:szCs w:val="21"/>
          <w:highlight w:val="none"/>
        </w:rPr>
        <w:t xml:space="preserve">21、开标</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21.2投标人不足3家的，不得开标。</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    </w:t>
      </w:r>
      <w:r>
        <w:rPr>
          <w:rFonts w:hint="eastAsia" w:ascii="宋体" w:hAnsi="宋体"/>
          <w:b/>
          <w:color w:val="auto"/>
          <w:szCs w:val="21"/>
          <w:highlight w:val="none"/>
        </w:rPr>
        <w:t xml:space="preserve">21.3开标仪式由代理机构主持。“政府采购管理交易系统（苏采云）”将自动对项目进行开标，并宣读各投标人的《开标一览表》。</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21.4投标人在开标过程中涉及到的投标文件解密、开标结果确认等工作，应按照《操作手册》规定执行。</w:t>
      </w:r>
      <w:r/>
    </w:p>
    <w:p>
      <w:pPr>
        <w:ind w:left="0" w:firstLine="422"/>
        <w:jc w:val="both"/>
        <w:keepLines w:val="0"/>
        <w:keepNext w:val="0"/>
        <w:pageBreakBefore w:val="0"/>
        <w:spacing w:line="360" w:lineRule="auto"/>
        <w:widowControl w:val="off"/>
        <w:rPr>
          <w:rFonts w:hint="eastAsia" w:ascii="宋体" w:hAnsi="宋体"/>
          <w:b/>
          <w:color w:val="auto"/>
          <w:szCs w:val="21"/>
          <w:highlight w:val="none"/>
        </w:rPr>
      </w:pPr>
      <w:r>
        <w:rPr>
          <w:rFonts w:hint="eastAsia" w:ascii="宋体" w:hAnsi="宋体"/>
          <w:b/>
          <w:color w:val="auto"/>
          <w:szCs w:val="21"/>
          <w:highlight w:val="none"/>
        </w:rPr>
        <w:t xml:space="preserve">22、评标委员会</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    22.1 开标后，代理机构将立即组织评标委员会（以下简称评委会）进行评标。</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    22.2 评委会由采购人代表和有关技术、经济等方面的专家组成，且人员构成符合政府采购有关规定。</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    22.3评委会独立工作，负责评审所有投标文件并确定中标候选人。</w:t>
      </w:r>
      <w:r/>
    </w:p>
    <w:p>
      <w:pPr>
        <w:ind w:left="0" w:firstLine="422"/>
        <w:jc w:val="both"/>
        <w:keepLines w:val="0"/>
        <w:keepNext w:val="0"/>
        <w:pageBreakBefore w:val="0"/>
        <w:spacing w:line="360" w:lineRule="auto"/>
        <w:widowControl w:val="off"/>
        <w:rPr>
          <w:rFonts w:hint="eastAsia" w:ascii="宋体" w:hAnsi="宋体"/>
          <w:b/>
          <w:color w:val="auto"/>
          <w:szCs w:val="21"/>
          <w:highlight w:val="none"/>
        </w:rPr>
      </w:pPr>
      <w:r>
        <w:rPr>
          <w:rFonts w:hint="eastAsia" w:ascii="宋体" w:hAnsi="宋体"/>
          <w:b/>
          <w:color w:val="auto"/>
          <w:szCs w:val="21"/>
          <w:highlight w:val="none"/>
        </w:rPr>
        <w:t xml:space="preserve">23、评标过程的保密与公正</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23.2在评标过程中，投标人不得以任何行为影响评标过程，否则其投标文件将被作为无效投标文件。</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23.3 在评标期间，代理机构将设专门工作人员与投标人联系。</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23.4 代理机构和评委会不向未中标的投标人解释未中标原因，也不公布评标过程中的相关细节。</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left="0" w:firstLine="422"/>
        <w:jc w:val="both"/>
        <w:keepLines w:val="0"/>
        <w:keepNext w:val="0"/>
        <w:pageBreakBefore w:val="0"/>
        <w:spacing w:line="360" w:lineRule="auto"/>
        <w:widowControl w:val="off"/>
        <w:rPr>
          <w:rFonts w:hint="eastAsia" w:ascii="宋体" w:hAnsi="宋体"/>
          <w:b/>
          <w:color w:val="auto"/>
          <w:szCs w:val="21"/>
          <w:highlight w:val="none"/>
        </w:rPr>
      </w:pPr>
      <w:r>
        <w:rPr>
          <w:rFonts w:hint="eastAsia" w:ascii="宋体" w:hAnsi="宋体"/>
          <w:b/>
          <w:color w:val="auto"/>
          <w:szCs w:val="21"/>
          <w:highlight w:val="none"/>
        </w:rPr>
        <w:t xml:space="preserve">24、投标的澄清</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24.3 接到评委会澄清要求的投标人如未按规定做出澄清，其风险由投标人自行承担。</w:t>
      </w:r>
      <w:r/>
    </w:p>
    <w:p>
      <w:pPr>
        <w:ind w:left="0" w:firstLine="422"/>
        <w:jc w:val="both"/>
        <w:keepLines w:val="0"/>
        <w:keepNext w:val="0"/>
        <w:pageBreakBefore w:val="0"/>
        <w:spacing w:line="360" w:lineRule="auto"/>
        <w:widowControl w:val="off"/>
        <w:rPr>
          <w:rFonts w:hint="eastAsia" w:ascii="宋体" w:hAnsi="宋体"/>
          <w:b/>
          <w:color w:val="auto"/>
          <w:szCs w:val="21"/>
          <w:highlight w:val="none"/>
        </w:rPr>
      </w:pPr>
      <w:r>
        <w:rPr>
          <w:rFonts w:hint="eastAsia" w:ascii="宋体" w:hAnsi="宋体"/>
          <w:b/>
          <w:color w:val="auto"/>
          <w:szCs w:val="21"/>
          <w:highlight w:val="none"/>
        </w:rPr>
        <w:t xml:space="preserve">25、对投标文件的初审</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25.1投标文件初审分为资格审查和符合性审查。</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25.1.1资格审查：依据法律法规和招标文件的规定，对投标文件中的资格证明文件进行审查。并将审查结论以书面形式向评委会反馈。</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25.4评委会将对确定为实质性响应的投标进行进一步审核，看其是否有计算上或累加上的算术错误，修正错误的原则如下：</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（1）投标文件中开标一览表内容与投标文件中相应内容不一致的，以开标一览表为准。</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（2）大写金额与小写金额不一致的，以大写金额为准。</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（3）单价金额小数点或者百分比有明显错位的，以开标一览表的总价为准，并修改单价。</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（4）总价金额与按单价汇总金额不一致的，以单价金额计算结果为准。</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同时出现两种以上错误的，按照前款规定的顺序修正。</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left="0" w:firstLine="420"/>
        <w:jc w:val="both"/>
        <w:keepLines w:val="0"/>
        <w:keepNext w:val="0"/>
        <w:pageBreakBefore w:val="0"/>
        <w:spacing w:line="360" w:lineRule="auto"/>
        <w:widowControl w:val="off"/>
        <w:rPr>
          <w:rFonts w:hint="eastAsia" w:ascii="宋体" w:hAnsi="宋体"/>
          <w:color w:val="auto"/>
          <w:highlight w:val="none"/>
        </w:rPr>
      </w:pPr>
      <w:r>
        <w:rPr>
          <w:rFonts w:hint="eastAsia" w:ascii="宋体" w:hAnsi="宋体"/>
          <w:color w:val="auto"/>
          <w:highlight w:val="none"/>
        </w:rPr>
        <w:t xml:space="preserve">25.7 投标人在开、评标全过程中应保持通讯畅通，并安排专人与代理机构及评委会联系。</w:t>
      </w:r>
      <w:r/>
    </w:p>
    <w:p>
      <w:pPr>
        <w:ind w:left="0" w:firstLine="422"/>
        <w:jc w:val="both"/>
        <w:keepLines w:val="0"/>
        <w:keepNext w:val="0"/>
        <w:pageBreakBefore w:val="0"/>
        <w:spacing w:line="360" w:lineRule="auto"/>
        <w:widowControl w:val="off"/>
        <w:rPr>
          <w:rFonts w:hint="eastAsia" w:ascii="宋体" w:hAnsi="宋体"/>
          <w:b/>
          <w:color w:val="auto"/>
          <w:szCs w:val="21"/>
          <w:highlight w:val="none"/>
        </w:rPr>
      </w:pPr>
      <w:r>
        <w:rPr>
          <w:rFonts w:hint="eastAsia" w:ascii="宋体" w:hAnsi="宋体"/>
          <w:b/>
          <w:color w:val="auto"/>
          <w:szCs w:val="21"/>
          <w:highlight w:val="none"/>
        </w:rPr>
        <w:t xml:space="preserve">26、无效投标、废标及投标人不足三家的处理</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26.1无效投标条款</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26.1.1 投标人未成功解密电子投标文件的。</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26.1.2 投标人未按照招标文件要求上传电子投标文件的。</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26.1.3投标人在报价时采用选择性报价的。</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26.1.4投标人不具备招标文件中规定资格要求的。</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26.1.5投标人的报价超过了采购预算或最高限价的。</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26.1.6未通过符合性审查的。</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26.1.7不符合招标文件中规定的其他实质性要求和条件的（</w:t>
      </w:r>
      <w:r>
        <w:rPr>
          <w:rFonts w:hint="eastAsia" w:ascii="宋体" w:hAnsi="宋体"/>
          <w:bCs/>
          <w:i/>
          <w:iCs/>
          <w:color w:val="auto"/>
          <w:szCs w:val="21"/>
          <w:highlight w:val="none"/>
          <w:u w:val="single"/>
        </w:rPr>
        <w:t xml:space="preserve">本招标文件中斜体且有下划线部分为实质性要求和条件</w:t>
      </w:r>
      <w:r>
        <w:rPr>
          <w:rFonts w:hint="eastAsia" w:ascii="宋体" w:hAnsi="宋体"/>
          <w:bCs/>
          <w:color w:val="auto"/>
          <w:szCs w:val="21"/>
          <w:highlight w:val="none"/>
        </w:rPr>
        <w:t xml:space="preserve">）。</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26.1.9  投标文件含有采购人不能接受的附加条件的。</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bCs/>
          <w:color w:val="auto"/>
          <w:szCs w:val="21"/>
          <w:highlight w:val="none"/>
        </w:rPr>
        <w:t xml:space="preserve">26.1.10 异常低价投标（响应）</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26.1.10.1投标（响应）报价低于全部通过符合性审查供应商投标（响应）报价平均值50%的，即投标（响应）报价&lt;全部通过符合性审查供应商投标（响应）报价平均值×50%； </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26.1.10.2投标（响应）报价低于通过符合性审查的次低报价供应商投标（响应）报价50%的，即投标（响应）报价&lt;通过符合性审查的次低报价供应商投标（响应）报价×50%； </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26.1.10.3投标（响应）报价低于采购项目最高限价45%的，即投标（响应）报价&lt;采购项目最高限价×45%； </w:t>
      </w:r>
      <w:r/>
    </w:p>
    <w:p>
      <w:pPr>
        <w:ind w:left="0" w:firstLine="420"/>
        <w:jc w:val="both"/>
        <w:keepLines w:val="0"/>
        <w:keepNext w:val="0"/>
        <w:pageBreakBefore w:val="0"/>
        <w:spacing w:line="360" w:lineRule="auto"/>
        <w:widowControl w:val="off"/>
        <w:rPr>
          <w:color w:val="auto"/>
          <w:highlight w:val="none"/>
        </w:rPr>
      </w:pPr>
      <w:r>
        <w:rPr>
          <w:rFonts w:hint="eastAsia" w:ascii="宋体" w:hAnsi="宋体"/>
          <w:bCs/>
          <w:color w:val="auto"/>
          <w:szCs w:val="21"/>
          <w:highlight w:val="none"/>
        </w:rPr>
        <w:t xml:space="preserve">26.1.10.4 评审委员会认定的供应商报价过低、有可能影响产品质量或者不能诚信履约的其他情形。</w:t>
      </w:r>
      <w:r/>
    </w:p>
    <w:p>
      <w:pPr>
        <w:ind w:left="0" w:firstLine="420"/>
        <w:jc w:val="both"/>
        <w:keepLines w:val="0"/>
        <w:keepNext w:val="0"/>
        <w:pageBreakBefore w:val="0"/>
        <w:spacing w:line="360" w:lineRule="auto"/>
        <w:widowControl w:val="off"/>
        <w:rPr>
          <w:rFonts w:hint="eastAsia" w:ascii="宋体" w:hAnsi="宋体"/>
          <w:color w:val="auto"/>
          <w:highlight w:val="none"/>
        </w:rPr>
      </w:pPr>
      <w:r>
        <w:rPr>
          <w:rFonts w:hint="eastAsia" w:ascii="宋体" w:hAnsi="宋体"/>
          <w:bCs/>
          <w:color w:val="auto"/>
          <w:szCs w:val="21"/>
          <w:highlight w:val="none"/>
        </w:rPr>
        <w:t xml:space="preserve">26.1.10.5 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26.1.11 本项目采购产品被财政部、国家发改委、生态环境部等列入“节能产品品目清单”、“环境标志产品品目清单”强制采购范围，而投标人所投标产品不在强制采购范围内的。</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26.1.12 投标文件未按照招标文件要求加盖电子签章。</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26.1.13其他法律、法规及本招标文件规定的属无效投标的情形。</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26.2废标条款：</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26.2.1符合专业条件的供应商或者对招标文件作实质响应的供应商不足三家的。26.2.2出现影响采购公正的违法、违规行为的。</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26.2.3因重大变故，采购任务取消的。</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26.2.4评委会认定招标文件存在歧义、重大缺陷导致评审工作无法进行。</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26.3 投标截止时间结束后参加投标的供应商不足三家的处理：</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left="0" w:firstLine="422"/>
        <w:jc w:val="both"/>
        <w:keepLines w:val="0"/>
        <w:keepNext w:val="0"/>
        <w:pageBreakBefore w:val="0"/>
        <w:spacing w:line="360" w:lineRule="auto"/>
        <w:widowControl w:val="off"/>
        <w:rPr>
          <w:rFonts w:hint="eastAsia" w:ascii="宋体" w:hAnsi="宋体"/>
          <w:b/>
          <w:color w:val="auto"/>
          <w:szCs w:val="21"/>
          <w:highlight w:val="none"/>
        </w:rPr>
      </w:pPr>
      <w:r>
        <w:rPr>
          <w:rFonts w:hint="eastAsia" w:ascii="宋体" w:hAnsi="宋体"/>
          <w:b/>
          <w:color w:val="auto"/>
          <w:szCs w:val="21"/>
          <w:highlight w:val="none"/>
        </w:rPr>
        <w:t xml:space="preserve">27、确定中标单位</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27.1评委会根据本招标文件规定评标方法与评标标准向采购人推荐出中标候选人。</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27.2 采购人应根据评委会推荐的中标候选人确定中标人。</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27.3代理机构将在“扬州市政府采购网”、“江苏省政府采购网”、“中国政府采购网”发布中标公告，公告期限为1个工作日。</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27.4若有充分证据证明，中标人出现下列情况之一的，一经查实，将被取消中标资格：</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27.4.1提供虚假材料谋取中标的；</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27.4.2向采购人、代理机构行贿或者提供其他不正当利益的；</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27.4.3恶意竞争，投标总报价明显低于其自身合理成本且又无法提供证明的；</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27.4.4属于本文件规定的无效条件，但在评标过程中又未被评委会发现的；</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27.4.5与采购人或者其他投标人恶意串通的；</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27.4.6采取不正当手段诋毁、排挤其他供应商的；</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27.4.7不符合法律、法规的规定的。</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27.5. 有下列情形之一的，视为投标人串通投标，投标无效：</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27.5.1不同投标人的投标文件由同一单位或者个人编制。</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27.5.2不同投标人委托同一单位或者个人办理投标事宜。</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27.5.3 不同投标人的投标文件载明的项目管理成员或者联系人员为同一人。</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27.5.4不同投标人的投标文件异常一致或者投标报价呈规律性差异。</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27.5.5不同投标人的投标文件相互混装。</w:t>
      </w:r>
      <w:r/>
    </w:p>
    <w:p>
      <w:pPr>
        <w:ind w:left="0" w:firstLine="422"/>
        <w:jc w:val="both"/>
        <w:keepLines w:val="0"/>
        <w:keepNext w:val="0"/>
        <w:pageBreakBefore w:val="0"/>
        <w:spacing w:line="360" w:lineRule="auto"/>
        <w:widowControl w:val="off"/>
        <w:rPr>
          <w:rFonts w:hint="eastAsia" w:ascii="宋体" w:hAnsi="宋体"/>
          <w:b/>
          <w:color w:val="auto"/>
          <w:szCs w:val="21"/>
          <w:highlight w:val="none"/>
        </w:rPr>
      </w:pPr>
      <w:r>
        <w:rPr>
          <w:rFonts w:hint="eastAsia" w:ascii="宋体" w:hAnsi="宋体"/>
          <w:b/>
          <w:color w:val="auto"/>
          <w:szCs w:val="21"/>
          <w:highlight w:val="none"/>
        </w:rPr>
        <w:t xml:space="preserve">28、质疑处理</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对项目需求部分的质疑，潜在供应商应向采购人提出，由采购人负责答复。</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28.2.1对采购文件提出质疑的，应当在获取采购文件之日或者采购文件公告期限届满之日起7个工作日内提出。</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28.2.2对采购过程提出质疑的，为各采购程序环节结束之日起7个工作日内提出。</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28.2.3对中标结果提出质疑的，为中标结果公告期限届满之日起7个工作日内提出。</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28.5 代理机构及采购人只接收以纸质原件形式送达的质疑。</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采购人质疑接收人及联系方式见招标文件第一章。</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28.6代理机构收到质疑申请后，将对质疑的形式和内容进行审查，如质疑内容、格式不符合规定，代理机构将告知质疑人进行补正。</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28.7质疑人应当在法定质疑期限内进行补正并重新提交质疑函。</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28.8 以下情形的质疑不予受理</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28.8.1 内容不符合《政府采购质疑和投诉办法》第十二条规定的质疑。</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28.8.2 超出政府采购法定期限的质疑。</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28.8.3 以传真、电子邮件等方式递交的非原件形式的质疑。</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28.8.4 未参加投标活动的供应商或在投标活动中自身权益未受到损害的供应商所提出的质疑。</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28.8.5供应商组成联合体参加投标，联合体中任何一方或多方未按要求签字、盖章、加盖公章的质疑。</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left="0" w:firstLine="422"/>
        <w:jc w:val="both"/>
        <w:keepLines w:val="0"/>
        <w:keepNext w:val="0"/>
        <w:pageBreakBefore w:val="0"/>
        <w:spacing w:line="360" w:lineRule="auto"/>
        <w:widowControl w:val="off"/>
        <w:rPr>
          <w:rFonts w:hint="eastAsia" w:ascii="宋体" w:hAnsi="宋体"/>
          <w:b/>
          <w:color w:val="auto"/>
          <w:szCs w:val="21"/>
          <w:highlight w:val="none"/>
        </w:rPr>
      </w:pPr>
      <w:r>
        <w:rPr>
          <w:rFonts w:hint="eastAsia" w:ascii="宋体" w:hAnsi="宋体"/>
          <w:b/>
          <w:color w:val="auto"/>
          <w:szCs w:val="21"/>
          <w:highlight w:val="none"/>
        </w:rPr>
        <w:t xml:space="preserve">29、中标通知书</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29.l 中标结果确定后，代理机构将向中标人发出中标通知书。</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29.2 中标人可在“政府采购管理交易系统（苏采云）”中标通知书下载模块中自行下载中标通知书。</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left="0" w:firstLine="422"/>
        <w:jc w:val="both"/>
        <w:keepLines w:val="0"/>
        <w:keepNext w:val="0"/>
        <w:pageBreakBefore w:val="0"/>
        <w:spacing w:line="360" w:lineRule="auto"/>
        <w:widowControl w:val="off"/>
        <w:rPr>
          <w:rFonts w:hint="eastAsia" w:ascii="宋体" w:hAnsi="宋体"/>
          <w:b/>
          <w:color w:val="auto"/>
          <w:szCs w:val="21"/>
          <w:highlight w:val="none"/>
        </w:rPr>
      </w:pPr>
      <w:r>
        <w:rPr>
          <w:rFonts w:hint="eastAsia" w:ascii="宋体" w:hAnsi="宋体"/>
          <w:b/>
          <w:color w:val="auto"/>
          <w:szCs w:val="21"/>
          <w:highlight w:val="none"/>
        </w:rPr>
        <w:t xml:space="preserve">30、 签订合同</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30.l中标人应在中标通知书发出之日起三十日内，按照招标文件确定的事项与采购人签订政府采购合同。</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30.2 招标文件、中标人的投标文件及招标过程中有关澄清、承诺文件均应作为合同附件。</w:t>
      </w:r>
      <w:r/>
    </w:p>
    <w:p>
      <w:pPr>
        <w:ind w:left="0" w:firstLine="420"/>
        <w:jc w:val="both"/>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30.3 合同在“政府采购管理交易系统（苏采云）”中签订，签订合同后，</w:t>
      </w:r>
      <w:r>
        <w:rPr>
          <w:rFonts w:hint="eastAsia" w:ascii="宋体" w:hAnsi="宋体"/>
          <w:bCs/>
          <w:i/>
          <w:iCs/>
          <w:color w:val="auto"/>
          <w:szCs w:val="21"/>
          <w:highlight w:val="none"/>
          <w:u w:val="single"/>
        </w:rPr>
        <w:t xml:space="preserve">中标人不得将货物或服务及其他服务进行转包</w:t>
      </w:r>
      <w:r>
        <w:rPr>
          <w:rFonts w:hint="eastAsia" w:ascii="宋体" w:hAnsi="宋体"/>
          <w:bCs/>
          <w:color w:val="auto"/>
          <w:szCs w:val="21"/>
          <w:highlight w:val="none"/>
        </w:rPr>
        <w:t xml:space="preserve">。未经采购人同意，中标人也不得采用分包的形式履行合同，否则采购人有权终止合同。转包或分包造成采购人损失的，中标人应承担赔偿责任。</w:t>
      </w:r>
      <w:r/>
    </w:p>
    <w:p>
      <w:pPr>
        <w:ind w:left="0" w:firstLine="420"/>
        <w:jc w:val="both"/>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left="0" w:firstLine="422"/>
        <w:jc w:val="both"/>
        <w:keepLines w:val="0"/>
        <w:keepNext w:val="0"/>
        <w:pageBreakBefore w:val="0"/>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31、其他</w:t>
      </w:r>
      <w:r/>
    </w:p>
    <w:p>
      <w:pPr>
        <w:ind w:left="0" w:firstLine="420"/>
        <w:jc w:val="both"/>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color w:val="auto"/>
          <w:highlight w:val="none"/>
        </w:rPr>
        <w:t xml:space="preserve">31.1 依据《政府采购促进中小企业发展管理办法》享受扶持政策获得政府采购合同的，小微企业不得将合同分包给大中型企业，中型企业不得将合同分包给大型企业。</w:t>
      </w:r>
      <w:r/>
    </w:p>
    <w:p>
      <w:pPr>
        <w:pStyle w:val="821"/>
        <w:jc w:val="center"/>
        <w:rPr>
          <w:rFonts w:hint="eastAsia" w:ascii="宋体" w:hAnsi="宋体" w:cs="宋体"/>
          <w:color w:val="auto"/>
          <w:sz w:val="36"/>
          <w:highlight w:val="none"/>
        </w:rPr>
      </w:pPr>
      <w:r>
        <w:rPr>
          <w:rFonts w:hint="eastAsia" w:ascii="宋体" w:hAnsi="宋体" w:cs="宋体"/>
          <w:color w:val="auto"/>
          <w:sz w:val="36"/>
          <w:highlight w:val="none"/>
        </w:rPr>
        <w:br w:type="page" w:clear="all"/>
      </w:r>
      <w:r>
        <w:rPr>
          <w:rFonts w:hint="eastAsia" w:ascii="宋体" w:hAnsi="宋体" w:cs="宋体"/>
          <w:color w:val="auto"/>
          <w:sz w:val="36"/>
          <w:highlight w:val="none"/>
        </w:rPr>
        <w:t xml:space="preserve">第三章 合同条款及格式</w:t>
      </w:r>
      <w:bookmarkEnd w:id="14"/>
      <w:r/>
      <w:r/>
    </w:p>
    <w:p>
      <w:pPr>
        <w:pStyle w:val="843"/>
        <w:ind w:firstLine="420"/>
        <w:spacing w:line="360" w:lineRule="auto"/>
        <w:rPr>
          <w:rFonts w:hint="eastAsia" w:hAnsi="宋体" w:cs="宋体"/>
          <w:color w:val="auto"/>
          <w:sz w:val="21"/>
          <w:highlight w:val="none"/>
        </w:rPr>
      </w:pPr>
      <w:r/>
      <w:bookmarkStart w:id="28" w:name="_Hlt16619369"/>
      <w:r/>
      <w:bookmarkEnd w:id="28"/>
      <w:r>
        <w:rPr>
          <w:rFonts w:hint="eastAsia" w:hAnsi="宋体" w:cs="宋体"/>
          <w:color w:val="auto"/>
          <w:sz w:val="21"/>
          <w:highlight w:val="none"/>
        </w:rPr>
        <w:t xml:space="preserve">以下为中标后签定本项目合同的通用条款，中标供应商不得提出实质性的修改。关于专用条款将由采购人与中标供应商结合本项目具体情况协商后补充，但补充内容对招标文件和投标文件以及通用条款，不得作实质性修改。</w:t>
      </w:r>
      <w:r/>
    </w:p>
    <w:p>
      <w:pPr>
        <w:pStyle w:val="843"/>
        <w:rPr>
          <w:rFonts w:hint="eastAsia" w:hAnsi="宋体" w:cs="宋体"/>
          <w:color w:val="auto"/>
          <w:highlight w:val="none"/>
        </w:rPr>
      </w:pPr>
      <w:r>
        <w:rPr>
          <w:rFonts w:hint="eastAsia" w:hAnsi="宋体" w:cs="宋体"/>
          <w:color w:val="auto"/>
          <w:highlight w:val="none"/>
        </w:rPr>
      </w:r>
      <w:r/>
    </w:p>
    <w:p>
      <w:pPr>
        <w:jc w:val="center"/>
        <w:keepLines w:val="0"/>
        <w:keepNext w:val="0"/>
        <w:pageBreakBefore w:val="0"/>
        <w:spacing w:before="120" w:after="120" w:line="360" w:lineRule="auto"/>
        <w:widowControl w:val="off"/>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扬州市政府采购合同（服务）（合同编号）</w:t>
      </w:r>
      <w:r/>
    </w:p>
    <w:p>
      <w:pPr>
        <w:ind w:firstLine="420"/>
        <w:keepLines w:val="0"/>
        <w:keepNext w:val="0"/>
        <w:pageBreakBefore w:val="0"/>
        <w:spacing w:before="120" w:after="12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项目名称：_________                                       </w:t>
      </w:r>
      <w:r/>
    </w:p>
    <w:p>
      <w:pPr>
        <w:ind w:firstLine="420"/>
        <w:keepLines w:val="0"/>
        <w:keepNext w:val="0"/>
        <w:pageBreakBefore w:val="0"/>
        <w:spacing w:before="120" w:after="12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项目编号：_________</w:t>
      </w:r>
      <w:r/>
    </w:p>
    <w:p>
      <w:pPr>
        <w:ind w:firstLine="420"/>
        <w:keepLines w:val="0"/>
        <w:keepNext w:val="0"/>
        <w:pageBreakBefore w:val="0"/>
        <w:spacing w:before="120" w:after="120" w:line="360" w:lineRule="auto"/>
        <w:widowControl w:val="off"/>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rPr>
        <w:t xml:space="preserve">甲方：（买方）扬州市</w:t>
      </w:r>
      <w:r>
        <w:rPr>
          <w:rFonts w:hint="eastAsia" w:asciiTheme="minorEastAsia" w:hAnsiTheme="minorEastAsia" w:eastAsiaTheme="minorEastAsia" w:cstheme="minorEastAsia"/>
          <w:color w:val="auto"/>
          <w:highlight w:val="none"/>
          <w:lang w:val="en-US" w:eastAsia="zh-CN"/>
        </w:rPr>
        <w:t xml:space="preserve">中医院</w:t>
      </w:r>
      <w:r/>
    </w:p>
    <w:p>
      <w:pPr>
        <w:ind w:firstLine="420"/>
        <w:keepLines w:val="0"/>
        <w:keepNext w:val="0"/>
        <w:pageBreakBefore w:val="0"/>
        <w:spacing w:before="120" w:after="12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乙方：（卖方）_________</w:t>
      </w:r>
      <w:r/>
    </w:p>
    <w:p>
      <w:pPr>
        <w:ind w:firstLine="420"/>
        <w:keepLines w:val="0"/>
        <w:keepNext w:val="0"/>
        <w:pageBreakBefore w:val="0"/>
        <w:spacing w:before="120" w:after="12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甲、乙双方根据江苏唯诚建设咨询有限公司组织</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lang w:val="en-US" w:eastAsia="zh-CN"/>
        </w:rPr>
        <w:t xml:space="preserve"> </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lang w:val="en-US" w:eastAsia="zh-CN"/>
        </w:rPr>
        <w:t xml:space="preserve">公开招标</w:t>
      </w:r>
      <w:r>
        <w:rPr>
          <w:rFonts w:hint="eastAsia" w:asciiTheme="minorEastAsia" w:hAnsiTheme="minorEastAsia" w:eastAsiaTheme="minorEastAsia" w:cstheme="minorEastAsia"/>
          <w:color w:val="auto"/>
          <w:highlight w:val="none"/>
        </w:rPr>
        <w:t xml:space="preserve">的结果，签署本合同。</w:t>
      </w:r>
      <w:r/>
    </w:p>
    <w:p>
      <w:pPr>
        <w:ind w:firstLine="420"/>
        <w:keepLines w:val="0"/>
        <w:keepNext w:val="0"/>
        <w:pageBreakBefore w:val="0"/>
        <w:spacing w:before="120" w:after="12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一、服务及产品内容</w:t>
      </w:r>
      <w:r/>
    </w:p>
    <w:p>
      <w:pPr>
        <w:ind w:firstLine="420"/>
        <w:keepLines w:val="0"/>
        <w:keepNext w:val="0"/>
        <w:pageBreakBefore w:val="0"/>
        <w:spacing w:before="120" w:after="12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1.1 项目名称：</w:t>
      </w:r>
      <w:r/>
    </w:p>
    <w:p>
      <w:pPr>
        <w:ind w:firstLine="420"/>
        <w:keepLines w:val="0"/>
        <w:keepNext w:val="0"/>
        <w:pageBreakBefore w:val="0"/>
        <w:spacing w:before="120" w:after="12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1.2 项目服务内容：</w:t>
      </w:r>
      <w:r/>
    </w:p>
    <w:p>
      <w:pPr>
        <w:ind w:firstLine="420"/>
        <w:keepLines w:val="0"/>
        <w:keepNext w:val="0"/>
        <w:pageBreakBefore w:val="0"/>
        <w:spacing w:before="120" w:after="12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二、合同金额</w:t>
      </w:r>
      <w:r/>
    </w:p>
    <w:p>
      <w:pPr>
        <w:ind w:firstLine="420"/>
        <w:keepLines w:val="0"/>
        <w:keepNext w:val="0"/>
        <w:pageBreakBefore w:val="0"/>
        <w:spacing w:before="120" w:after="12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2.1 本合同金额为（大写）：人民币____________元/件（____________元/件）。</w:t>
      </w:r>
      <w:r/>
    </w:p>
    <w:p>
      <w:pPr>
        <w:ind w:firstLine="420"/>
        <w:keepLines w:val="0"/>
        <w:keepNext w:val="0"/>
        <w:pageBreakBefore w:val="0"/>
        <w:spacing w:before="120" w:after="12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三、技术资料</w:t>
      </w:r>
      <w:r/>
    </w:p>
    <w:p>
      <w:pPr>
        <w:ind w:firstLine="420"/>
        <w:keepLines w:val="0"/>
        <w:keepNext w:val="0"/>
        <w:pageBreakBefore w:val="0"/>
        <w:spacing w:before="120" w:after="12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3.1乙方应按采购文件规定的时间向甲方提供使用服务或产品的有关技术资料。</w:t>
      </w:r>
      <w:r/>
    </w:p>
    <w:p>
      <w:pPr>
        <w:ind w:firstLine="420"/>
        <w:keepLines w:val="0"/>
        <w:keepNext w:val="0"/>
        <w:pageBreakBefore w:val="0"/>
        <w:spacing w:before="120" w:after="12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0"/>
        <w:keepLines w:val="0"/>
        <w:keepNext w:val="0"/>
        <w:pageBreakBefore w:val="0"/>
        <w:spacing w:before="120" w:after="12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四、知识产权</w:t>
      </w:r>
      <w:r/>
    </w:p>
    <w:p>
      <w:pPr>
        <w:ind w:firstLine="420"/>
        <w:keepLines w:val="0"/>
        <w:keepNext w:val="0"/>
        <w:pageBreakBefore w:val="0"/>
        <w:spacing w:before="120" w:after="12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4.1乙方应保证甲方在使用、接受本合同服务或产品或其任何一部分时不受第三方提出侵犯其专利权、版权、商标权和工业设计权等知识产权的起诉。一旦出现侵权，由乙方负全部责任。</w:t>
      </w:r>
      <w:r/>
    </w:p>
    <w:p>
      <w:pPr>
        <w:ind w:firstLine="420"/>
        <w:keepLines w:val="0"/>
        <w:keepNext w:val="0"/>
        <w:pageBreakBefore w:val="0"/>
        <w:spacing w:before="120" w:after="12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五、产权担保</w:t>
      </w:r>
      <w:r/>
    </w:p>
    <w:p>
      <w:pPr>
        <w:ind w:firstLine="420"/>
        <w:keepLines w:val="0"/>
        <w:keepNext w:val="0"/>
        <w:pageBreakBefore w:val="0"/>
        <w:spacing w:before="120" w:after="12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5.1 乙方保证所交付的服务或产品的所有权完全属于乙方且无任何抵押、查封等产权瑕疵。</w:t>
      </w:r>
      <w:r/>
    </w:p>
    <w:p>
      <w:pPr>
        <w:ind w:firstLine="420"/>
        <w:keepLines w:val="0"/>
        <w:keepNext w:val="0"/>
        <w:pageBreakBefore w:val="0"/>
        <w:spacing w:before="120" w:after="12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六、履约保证金</w:t>
      </w:r>
      <w:r/>
    </w:p>
    <w:p>
      <w:pPr>
        <w:ind w:firstLine="420"/>
        <w:keepLines w:val="0"/>
        <w:keepNext w:val="0"/>
        <w:pageBreakBefore w:val="0"/>
        <w:spacing w:before="120" w:after="12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6.1 乙方交纳人民币捌万元作为本合同的履约保证金。</w:t>
      </w:r>
      <w:r/>
    </w:p>
    <w:p>
      <w:pPr>
        <w:ind w:firstLine="420"/>
        <w:keepLines w:val="0"/>
        <w:keepNext w:val="0"/>
        <w:pageBreakBefore w:val="0"/>
        <w:spacing w:before="120" w:after="12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6.2合同履行结束后，甲方应及时退还交纳的履约保证金。</w:t>
      </w:r>
      <w:r/>
    </w:p>
    <w:p>
      <w:pPr>
        <w:ind w:firstLine="420"/>
        <w:keepLines w:val="0"/>
        <w:keepNext w:val="0"/>
        <w:pageBreakBefore w:val="0"/>
        <w:spacing w:before="120" w:after="12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6.2.1履约保证金退还方式：原路退回</w:t>
      </w:r>
      <w:r/>
    </w:p>
    <w:p>
      <w:pPr>
        <w:ind w:firstLine="420"/>
        <w:keepLines w:val="0"/>
        <w:keepNext w:val="0"/>
        <w:pageBreakBefore w:val="0"/>
        <w:spacing w:before="120" w:after="12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6.2.2履约保证金退还时间：合同期满后5个工作日内</w:t>
      </w:r>
      <w:r/>
    </w:p>
    <w:p>
      <w:pPr>
        <w:ind w:firstLine="420"/>
        <w:keepLines w:val="0"/>
        <w:keepNext w:val="0"/>
        <w:pageBreakBefore w:val="0"/>
        <w:spacing w:before="120" w:after="12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6.2.3履约保证金退还条件：合同期满后乙方无违约行为</w:t>
      </w:r>
      <w:r/>
    </w:p>
    <w:p>
      <w:pPr>
        <w:ind w:firstLine="420"/>
        <w:keepLines w:val="0"/>
        <w:keepNext w:val="0"/>
        <w:pageBreakBefore w:val="0"/>
        <w:spacing w:before="120" w:after="12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6.2.4履约保证金不予退还的情形：乙方在履约期间违约或单方提前终止协议</w:t>
      </w:r>
      <w:r/>
    </w:p>
    <w:p>
      <w:pPr>
        <w:ind w:firstLine="420"/>
        <w:keepLines w:val="0"/>
        <w:keepNext w:val="0"/>
        <w:pageBreakBefore w:val="0"/>
        <w:spacing w:before="120" w:after="12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6.2.5履约保证金逾期退还的违约责任：无</w:t>
      </w:r>
      <w:r/>
    </w:p>
    <w:p>
      <w:pPr>
        <w:ind w:firstLine="420"/>
        <w:keepLines w:val="0"/>
        <w:keepNext w:val="0"/>
        <w:pageBreakBefore w:val="0"/>
        <w:spacing w:before="120" w:after="12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七、转包或分包</w:t>
      </w:r>
      <w:r/>
    </w:p>
    <w:p>
      <w:pPr>
        <w:ind w:firstLine="420"/>
        <w:keepLines w:val="0"/>
        <w:keepNext w:val="0"/>
        <w:pageBreakBefore w:val="0"/>
        <w:spacing w:before="120" w:after="12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7.1本合同范围的服务或产品，应由乙方直接供应，不得转让他人供应；</w:t>
      </w:r>
      <w:r/>
    </w:p>
    <w:p>
      <w:pPr>
        <w:ind w:firstLine="420"/>
        <w:keepLines w:val="0"/>
        <w:keepNext w:val="0"/>
        <w:pageBreakBefore w:val="0"/>
        <w:spacing w:before="120" w:after="12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7.2 除非得到甲方的书面同意，乙方不得部分分包给他人供应。</w:t>
      </w:r>
      <w:r/>
    </w:p>
    <w:p>
      <w:pPr>
        <w:ind w:firstLine="420"/>
        <w:keepLines w:val="0"/>
        <w:keepNext w:val="0"/>
        <w:pageBreakBefore w:val="0"/>
        <w:spacing w:before="120" w:after="12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7.3如有转让和未经甲方同意的分包行为，甲方有权给予终止合同。</w:t>
      </w:r>
      <w:r/>
    </w:p>
    <w:p>
      <w:pPr>
        <w:ind w:firstLine="420"/>
        <w:keepLines w:val="0"/>
        <w:keepNext w:val="0"/>
        <w:pageBreakBefore w:val="0"/>
        <w:spacing w:before="120" w:after="12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八、服务期</w:t>
      </w:r>
      <w:r/>
    </w:p>
    <w:p>
      <w:pPr>
        <w:ind w:firstLine="420"/>
        <w:keepLines w:val="0"/>
        <w:keepNext w:val="0"/>
        <w:pageBreakBefore w:val="0"/>
        <w:spacing w:before="120" w:after="12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8.1 服务期：3年</w:t>
      </w:r>
      <w:r/>
    </w:p>
    <w:p>
      <w:pPr>
        <w:ind w:firstLine="420"/>
        <w:keepLines w:val="0"/>
        <w:keepNext w:val="0"/>
        <w:pageBreakBefore w:val="0"/>
        <w:spacing w:before="120" w:after="12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九、交付期、交付方式及交付地点</w:t>
      </w:r>
      <w:r/>
    </w:p>
    <w:p>
      <w:pPr>
        <w:ind w:firstLine="420"/>
        <w:keepLines w:val="0"/>
        <w:keepNext w:val="0"/>
        <w:pageBreakBefore w:val="0"/>
        <w:spacing w:before="120" w:after="12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9.1 交付期：_________</w:t>
      </w:r>
      <w:r/>
    </w:p>
    <w:p>
      <w:pPr>
        <w:ind w:firstLine="420"/>
        <w:keepLines w:val="0"/>
        <w:keepNext w:val="0"/>
        <w:pageBreakBefore w:val="0"/>
        <w:spacing w:before="120" w:after="12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9.2 交付方式：_________</w:t>
      </w:r>
      <w:r/>
    </w:p>
    <w:p>
      <w:pPr>
        <w:ind w:firstLine="420"/>
        <w:keepLines w:val="0"/>
        <w:keepNext w:val="0"/>
        <w:pageBreakBefore w:val="0"/>
        <w:spacing w:before="120" w:after="12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9.3 交付地点：_________</w:t>
      </w:r>
      <w:r/>
    </w:p>
    <w:p>
      <w:pPr>
        <w:ind w:firstLine="420"/>
        <w:keepLines w:val="0"/>
        <w:keepNext w:val="0"/>
        <w:pageBreakBefore w:val="0"/>
        <w:spacing w:before="120" w:after="120" w:line="360" w:lineRule="auto"/>
        <w:widowControl w:val="off"/>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rPr>
        <w:t xml:space="preserve">十、支付</w:t>
      </w:r>
      <w:r>
        <w:rPr>
          <w:rFonts w:hint="eastAsia" w:asciiTheme="minorEastAsia" w:hAnsiTheme="minorEastAsia" w:eastAsiaTheme="minorEastAsia" w:cstheme="minorEastAsia"/>
          <w:color w:val="auto"/>
          <w:highlight w:val="none"/>
          <w:lang w:val="en-US" w:eastAsia="zh-CN"/>
        </w:rPr>
        <w:t xml:space="preserve">方式</w:t>
      </w:r>
      <w:r/>
    </w:p>
    <w:p>
      <w:pPr>
        <w:ind w:firstLine="420"/>
        <w:keepLines w:val="0"/>
        <w:keepNext w:val="0"/>
        <w:pageBreakBefore w:val="0"/>
        <w:spacing w:before="120" w:after="12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10.1 本合同项下所有款项均以人民币支付。 </w:t>
      </w:r>
      <w:r/>
    </w:p>
    <w:p>
      <w:pPr>
        <w:ind w:firstLine="420"/>
        <w:keepLines w:val="0"/>
        <w:keepNext w:val="0"/>
        <w:pageBreakBefore w:val="0"/>
        <w:spacing w:before="120" w:after="12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10.2 本合同项下的采购资金由甲方支付，付款前乙方向甲方开具发票。</w:t>
      </w:r>
      <w:r/>
    </w:p>
    <w:p>
      <w:pPr>
        <w:ind w:firstLine="420"/>
        <w:keepLines w:val="0"/>
        <w:keepNext w:val="0"/>
        <w:pageBreakBefore w:val="0"/>
        <w:spacing w:before="120" w:after="120" w:line="360" w:lineRule="auto"/>
        <w:widowControl w:val="off"/>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 xml:space="preserve">10.3 甲方付款方式：合同签订后，收到发票后10个工作日内，支付年度合同总金额的30%作为预付款；每月考核后，次月按成交单价乘以上月实际清洗数量支付服务费。</w:t>
      </w:r>
      <w:r>
        <w:rPr>
          <w:rFonts w:hint="eastAsia" w:asciiTheme="minorEastAsia" w:hAnsiTheme="minorEastAsia" w:eastAsiaTheme="minorEastAsia" w:cstheme="minorEastAsia"/>
          <w:color w:val="auto"/>
          <w:highlight w:val="none"/>
          <w:lang w:val="en-US" w:eastAsia="zh-CN"/>
        </w:rPr>
        <w:t xml:space="preserve">优先</w:t>
      </w:r>
      <w:r>
        <w:rPr>
          <w:rFonts w:hint="eastAsia" w:asciiTheme="minorEastAsia" w:hAnsiTheme="minorEastAsia" w:eastAsiaTheme="minorEastAsia" w:cstheme="minorEastAsia"/>
          <w:color w:val="auto"/>
          <w:highlight w:val="none"/>
        </w:rPr>
        <w:t xml:space="preserve">扣除预付款，按差额付款</w:t>
      </w:r>
      <w:r>
        <w:rPr>
          <w:rFonts w:hint="eastAsia" w:asciiTheme="minorEastAsia" w:hAnsiTheme="minorEastAsia" w:eastAsiaTheme="minorEastAsia" w:cstheme="minorEastAsia"/>
          <w:color w:val="auto"/>
          <w:highlight w:val="none"/>
          <w:lang w:eastAsia="zh-CN"/>
        </w:rPr>
        <w:t xml:space="preserve">。</w:t>
      </w:r>
      <w:r/>
    </w:p>
    <w:p>
      <w:pPr>
        <w:ind w:firstLine="420"/>
        <w:keepLines w:val="0"/>
        <w:keepNext w:val="0"/>
        <w:pageBreakBefore w:val="0"/>
        <w:spacing w:before="120" w:after="12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十一、税费</w:t>
      </w:r>
      <w:r/>
    </w:p>
    <w:p>
      <w:pPr>
        <w:ind w:firstLine="420"/>
        <w:keepLines w:val="0"/>
        <w:keepNext w:val="0"/>
        <w:pageBreakBefore w:val="0"/>
        <w:spacing w:before="120" w:after="12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11.1本合同执行中相关的一切税费均由乙方负担。</w:t>
      </w:r>
      <w:r/>
    </w:p>
    <w:p>
      <w:pPr>
        <w:ind w:firstLine="420"/>
        <w:keepLines w:val="0"/>
        <w:keepNext w:val="0"/>
        <w:pageBreakBefore w:val="0"/>
        <w:spacing w:before="120" w:after="12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十二、质量保证及售后服务</w:t>
      </w:r>
      <w:r/>
    </w:p>
    <w:p>
      <w:pPr>
        <w:ind w:firstLine="420"/>
        <w:keepLines w:val="0"/>
        <w:keepNext w:val="0"/>
        <w:pageBreakBefore w:val="0"/>
        <w:spacing w:before="120" w:after="12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12.1 乙方应按采购文件规定的服务或产品性能、技术要求、质量标准向甲方提供。</w:t>
      </w:r>
      <w:r/>
    </w:p>
    <w:p>
      <w:pPr>
        <w:ind w:firstLine="420"/>
        <w:keepLines w:val="0"/>
        <w:keepNext w:val="0"/>
        <w:pageBreakBefore w:val="0"/>
        <w:spacing w:before="120" w:after="12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12.2 乙方提供的服务或产品在质量期内因服务及产品本身的质量问题发生故障，乙方应负责免费更换。对达不到技术要求者，根据实际情况，经双方协商，可按以下办法处理：</w:t>
      </w:r>
      <w:r/>
    </w:p>
    <w:p>
      <w:pPr>
        <w:ind w:firstLine="420"/>
        <w:keepLines w:val="0"/>
        <w:keepNext w:val="0"/>
        <w:pageBreakBefore w:val="0"/>
        <w:spacing w:before="120" w:after="12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⑴更换：由乙方承担所发生的全部费用。</w:t>
      </w:r>
      <w:r/>
    </w:p>
    <w:p>
      <w:pPr>
        <w:ind w:firstLine="420"/>
        <w:keepLines w:val="0"/>
        <w:keepNext w:val="0"/>
        <w:pageBreakBefore w:val="0"/>
        <w:spacing w:before="120" w:after="12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⑵贬值处理：由甲乙双方合议定价。</w:t>
      </w:r>
      <w:r/>
    </w:p>
    <w:p>
      <w:pPr>
        <w:ind w:firstLine="420"/>
        <w:keepLines w:val="0"/>
        <w:keepNext w:val="0"/>
        <w:pageBreakBefore w:val="0"/>
        <w:spacing w:before="120" w:after="12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⑶退还处理：乙方应退还甲方支付的合同款，同时应承担该服务或产品的直接费用（运输、保险、检验、款项利息及银行手续费等）。</w:t>
      </w:r>
      <w:r/>
    </w:p>
    <w:p>
      <w:pPr>
        <w:ind w:firstLine="420"/>
        <w:keepLines w:val="0"/>
        <w:keepNext w:val="0"/>
        <w:pageBreakBefore w:val="0"/>
        <w:spacing w:before="120" w:after="12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12.3 如在使用过程中发生质量问题，乙方在接到甲方通知后在______小时内到达甲方现场。</w:t>
      </w:r>
      <w:r/>
    </w:p>
    <w:p>
      <w:pPr>
        <w:ind w:firstLine="420"/>
        <w:keepLines w:val="0"/>
        <w:keepNext w:val="0"/>
        <w:pageBreakBefore w:val="0"/>
        <w:spacing w:before="120" w:after="12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12.4 在质保期内，乙方应对服务或产品出现的质量及安全问题负责处理解决并承担一切费用。</w:t>
      </w:r>
      <w:r/>
    </w:p>
    <w:p>
      <w:pPr>
        <w:ind w:firstLine="420"/>
        <w:keepLines w:val="0"/>
        <w:keepNext w:val="0"/>
        <w:pageBreakBefore w:val="0"/>
        <w:spacing w:before="120" w:after="12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十三、调试和验收</w:t>
      </w:r>
      <w:r/>
    </w:p>
    <w:p>
      <w:pPr>
        <w:ind w:firstLine="420"/>
        <w:keepLines w:val="0"/>
        <w:keepNext w:val="0"/>
        <w:pageBreakBefore w:val="0"/>
        <w:spacing w:before="120" w:after="12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13.1 甲方对乙方提交的服务或产品依据采购文件上的技术规格要求和国家有关质量标准进行现场初步验收，外观、说明书符合采购文件技术要求的，给予签收，初步验收不合格的不予签收。交付后，甲方需在五个工作日内验收。</w:t>
      </w:r>
      <w:r/>
    </w:p>
    <w:p>
      <w:pPr>
        <w:ind w:firstLine="420"/>
        <w:keepLines w:val="0"/>
        <w:keepNext w:val="0"/>
        <w:pageBreakBefore w:val="0"/>
        <w:spacing w:before="120" w:after="12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13.2 乙方交付前应对服务或产品作出全面检查和对验收文件进行整理，并列出清单，作为甲方交付验收和使用的技术条件依据，检验的结果应随服务或产品交甲方。</w:t>
      </w:r>
      <w:r/>
    </w:p>
    <w:p>
      <w:pPr>
        <w:ind w:firstLine="420"/>
        <w:keepLines w:val="0"/>
        <w:keepNext w:val="0"/>
        <w:pageBreakBefore w:val="0"/>
        <w:spacing w:before="120" w:after="12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13.3 甲方对乙方提供的服务或产品在使用前进行调试时，乙方需负责安装并培训甲方的使用操作人员，并协助甲方一起调试，直到符合技术要求，甲方才做最终验收。</w:t>
      </w:r>
      <w:r/>
    </w:p>
    <w:p>
      <w:pPr>
        <w:ind w:firstLine="420"/>
        <w:keepLines w:val="0"/>
        <w:keepNext w:val="0"/>
        <w:pageBreakBefore w:val="0"/>
        <w:spacing w:before="120" w:after="12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13.4 对技术复杂的服务或产品，甲方可请国家认可的专业检测机构参与初步验收及最终验收，并由其出具质量检测报告。</w:t>
      </w:r>
      <w:r/>
    </w:p>
    <w:p>
      <w:pPr>
        <w:ind w:firstLine="420"/>
        <w:keepLines w:val="0"/>
        <w:keepNext w:val="0"/>
        <w:pageBreakBefore w:val="0"/>
        <w:spacing w:before="120" w:after="12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13.5 验收时乙方必须在现场，验收完毕后作出验收结果报告；验收费用由甲乙双方协商解决。</w:t>
      </w:r>
      <w:r/>
    </w:p>
    <w:p>
      <w:pPr>
        <w:ind w:firstLine="420"/>
        <w:keepLines w:val="0"/>
        <w:keepNext w:val="0"/>
        <w:pageBreakBefore w:val="0"/>
        <w:spacing w:before="120" w:after="12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十四、服务或产品包装、发运及运输</w:t>
      </w:r>
      <w:r/>
    </w:p>
    <w:p>
      <w:pPr>
        <w:ind w:firstLine="420"/>
        <w:keepLines w:val="0"/>
        <w:keepNext w:val="0"/>
        <w:pageBreakBefore w:val="0"/>
        <w:spacing w:before="120" w:after="12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14.1 乙方应在服务或产品发运前对其进行满足运输距离、防潮、防震、防锈和防破损装卸等要求包装，以保证服务或产品安全运达甲方指定地点。</w:t>
      </w:r>
      <w:r/>
    </w:p>
    <w:p>
      <w:pPr>
        <w:ind w:firstLine="420"/>
        <w:keepLines w:val="0"/>
        <w:keepNext w:val="0"/>
        <w:pageBreakBefore w:val="0"/>
        <w:spacing w:before="120" w:after="12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14.2 使用说明书、质量检验证明书、随配附件和工具以及清单一并交付甲方。</w:t>
      </w:r>
      <w:r/>
    </w:p>
    <w:p>
      <w:pPr>
        <w:ind w:firstLine="420"/>
        <w:keepLines w:val="0"/>
        <w:keepNext w:val="0"/>
        <w:pageBreakBefore w:val="0"/>
        <w:spacing w:before="120" w:after="12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14.3 乙方在服务或产品发运手续办理完毕后24小时内或交付到甲方48小时前通知甲方，以准备接受交付。</w:t>
      </w:r>
      <w:r/>
    </w:p>
    <w:p>
      <w:pPr>
        <w:ind w:firstLine="420"/>
        <w:keepLines w:val="0"/>
        <w:keepNext w:val="0"/>
        <w:pageBreakBefore w:val="0"/>
        <w:spacing w:before="120" w:after="12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14.4 服务在交付甲方前发生的风险均由乙方负责。</w:t>
      </w:r>
      <w:r/>
    </w:p>
    <w:p>
      <w:pPr>
        <w:ind w:firstLine="420"/>
        <w:keepLines w:val="0"/>
        <w:keepNext w:val="0"/>
        <w:pageBreakBefore w:val="0"/>
        <w:spacing w:before="120" w:after="12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14.5 服务或产品在规定的交付期限内由乙方送达甲方指定的地点视为交付，乙方同时需通知甲方服务或产品已送达。</w:t>
      </w:r>
      <w:r/>
    </w:p>
    <w:p>
      <w:pPr>
        <w:ind w:firstLine="420"/>
        <w:keepLines w:val="0"/>
        <w:keepNext w:val="0"/>
        <w:pageBreakBefore w:val="0"/>
        <w:spacing w:before="120" w:after="12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十五、违约责任</w:t>
      </w:r>
      <w:r/>
    </w:p>
    <w:p>
      <w:pPr>
        <w:ind w:firstLine="420"/>
        <w:keepLines w:val="0"/>
        <w:keepNext w:val="0"/>
        <w:pageBreakBefore w:val="0"/>
        <w:spacing w:before="120" w:after="12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15.1 甲方无正当理由拒收服务或产品的，甲方向乙方偿付拒收款项总值的百分之五违约金。</w:t>
      </w:r>
      <w:r/>
    </w:p>
    <w:p>
      <w:pPr>
        <w:ind w:firstLine="420"/>
        <w:keepLines w:val="0"/>
        <w:keepNext w:val="0"/>
        <w:pageBreakBefore w:val="0"/>
        <w:spacing w:before="120" w:after="12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15.2 甲方无故逾期验收和办理款项支付手续的,甲方应按逾期付款总额每日万分之五向乙方支付违约金。</w:t>
      </w:r>
      <w:r/>
    </w:p>
    <w:p>
      <w:pPr>
        <w:ind w:firstLine="420"/>
        <w:keepLines w:val="0"/>
        <w:keepNext w:val="0"/>
        <w:pageBreakBefore w:val="0"/>
        <w:spacing w:before="120" w:after="12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15.3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firstLine="420"/>
        <w:keepLines w:val="0"/>
        <w:keepNext w:val="0"/>
        <w:pageBreakBefore w:val="0"/>
        <w:spacing w:before="120" w:after="12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15.4 乙方所交的服务或产品数量、质量不符合合同规定及采购文件规定标准的，甲方有权拒收该服务或产品，乙方愿意更换服务或产品但逾期交付的，按乙方逾期交付处理。乙方拒绝更换服务或产品的，甲方可单方面解除合同。</w:t>
      </w:r>
      <w:r/>
    </w:p>
    <w:p>
      <w:pPr>
        <w:ind w:firstLine="420"/>
        <w:keepLines w:val="0"/>
        <w:keepNext w:val="0"/>
        <w:pageBreakBefore w:val="0"/>
        <w:spacing w:before="120" w:after="12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十六、不可抗力事件处理</w:t>
      </w:r>
      <w:r/>
    </w:p>
    <w:p>
      <w:pPr>
        <w:ind w:firstLine="420"/>
        <w:keepLines w:val="0"/>
        <w:keepNext w:val="0"/>
        <w:pageBreakBefore w:val="0"/>
        <w:spacing w:before="120" w:after="12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16.1 在合同有效期内，任何一方因不可抗力事件导致不能履行合同，则合同履行期可延长，其延长期与不可抗力影响期相同。</w:t>
      </w:r>
      <w:r/>
    </w:p>
    <w:p>
      <w:pPr>
        <w:ind w:firstLine="420"/>
        <w:keepLines w:val="0"/>
        <w:keepNext w:val="0"/>
        <w:pageBreakBefore w:val="0"/>
        <w:spacing w:before="120" w:after="12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16.2 不可抗力事件发生后，应立即通知对方，并寄送有关权威机构出具的证明。</w:t>
      </w:r>
      <w:r/>
    </w:p>
    <w:p>
      <w:pPr>
        <w:ind w:firstLine="420"/>
        <w:keepLines w:val="0"/>
        <w:keepNext w:val="0"/>
        <w:pageBreakBefore w:val="0"/>
        <w:spacing w:before="120" w:after="12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16.3 不可抗力事件延续120天以上，双方应通过友好协商，确定是否继续履行合同。</w:t>
      </w:r>
      <w:r/>
    </w:p>
    <w:p>
      <w:pPr>
        <w:ind w:firstLine="420"/>
        <w:keepLines w:val="0"/>
        <w:keepNext w:val="0"/>
        <w:pageBreakBefore w:val="0"/>
        <w:spacing w:before="120" w:after="12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十七、诉讼</w:t>
      </w:r>
      <w:r/>
    </w:p>
    <w:p>
      <w:pPr>
        <w:ind w:firstLine="420"/>
        <w:keepLines w:val="0"/>
        <w:keepNext w:val="0"/>
        <w:pageBreakBefore w:val="0"/>
        <w:spacing w:before="120" w:after="12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17.1 双方在执行合同中所发生的一切争议，应通过协商解决。如协商不成，可向合同签订地法院起诉，合同签订地在此约定为扬州市。</w:t>
      </w:r>
      <w:r/>
    </w:p>
    <w:p>
      <w:pPr>
        <w:ind w:firstLine="420"/>
        <w:keepLines w:val="0"/>
        <w:keepNext w:val="0"/>
        <w:pageBreakBefore w:val="0"/>
        <w:spacing w:before="120" w:after="12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十八、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p>
    <w:p>
      <w:pPr>
        <w:ind w:firstLine="420"/>
        <w:keepLines w:val="0"/>
        <w:keepNext w:val="0"/>
        <w:pageBreakBefore w:val="0"/>
        <w:spacing w:before="120" w:after="12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十九、合同生效及其它</w:t>
      </w:r>
      <w:r/>
    </w:p>
    <w:p>
      <w:pPr>
        <w:ind w:firstLine="420"/>
        <w:keepLines w:val="0"/>
        <w:keepNext w:val="0"/>
        <w:pageBreakBefore w:val="0"/>
        <w:spacing w:before="120" w:after="12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19.1 合同经双方法定代表人签章并加盖单位公章，并经江苏唯诚建设咨询有限公司见证盖章后生效。</w:t>
      </w:r>
      <w:r/>
    </w:p>
    <w:p>
      <w:pPr>
        <w:ind w:firstLine="420"/>
        <w:keepLines w:val="0"/>
        <w:keepNext w:val="0"/>
        <w:pageBreakBefore w:val="0"/>
        <w:spacing w:before="120" w:after="12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19.2本合同未尽事宜，遵照《中华人民共和国民法典》有关条文执行。</w:t>
      </w:r>
      <w:r/>
    </w:p>
    <w:p>
      <w:pPr>
        <w:ind w:firstLine="420"/>
        <w:keepLines w:val="0"/>
        <w:keepNext w:val="0"/>
        <w:pageBreakBefore w:val="0"/>
        <w:spacing w:before="120" w:after="12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19.3 本合同正本一式伍份，具有同等法律效力，甲方、乙方各执贰份、见证方执壹份。 </w:t>
      </w:r>
      <w:r/>
    </w:p>
    <w:p>
      <w:pPr>
        <w:ind w:firstLine="420"/>
        <w:keepLines w:val="0"/>
        <w:keepNext w:val="0"/>
        <w:pageBreakBefore w:val="0"/>
        <w:spacing w:before="120" w:after="120"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keepLines w:val="0"/>
        <w:keepNext w:val="0"/>
        <w:pageBreakBefore w:val="0"/>
        <w:spacing w:before="120" w:after="120"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甲方：（采购单位）</w:t>
      </w:r>
      <w:r>
        <w:rPr>
          <w:rFonts w:hint="eastAsia" w:ascii="宋体" w:hAnsi="宋体"/>
          <w:color w:val="auto"/>
          <w:sz w:val="21"/>
          <w:szCs w:val="21"/>
          <w:highlight w:val="none"/>
        </w:rPr>
        <w:tab/>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 xml:space="preserve">乙方： </w:t>
      </w:r>
      <w:r/>
    </w:p>
    <w:p>
      <w:pPr>
        <w:ind w:firstLine="420"/>
        <w:keepLines w:val="0"/>
        <w:keepNext w:val="0"/>
        <w:pageBreakBefore w:val="0"/>
        <w:spacing w:before="120" w:after="120"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地址： </w:t>
      </w:r>
      <w:r>
        <w:rPr>
          <w:rFonts w:hint="eastAsia" w:ascii="宋体" w:hAnsi="宋体"/>
          <w:color w:val="auto"/>
          <w:sz w:val="21"/>
          <w:szCs w:val="21"/>
          <w:highlight w:val="none"/>
        </w:rPr>
        <w:tab/>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 xml:space="preserve">地址： </w:t>
      </w:r>
      <w:r/>
    </w:p>
    <w:p>
      <w:pPr>
        <w:ind w:firstLine="420"/>
        <w:keepLines w:val="0"/>
        <w:keepNext w:val="0"/>
        <w:pageBreakBefore w:val="0"/>
        <w:spacing w:before="120" w:after="120"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法定代表人或授权代表：</w:t>
      </w:r>
      <w:r>
        <w:rPr>
          <w:rFonts w:hint="eastAsia" w:ascii="宋体" w:hAnsi="宋体"/>
          <w:color w:val="auto"/>
          <w:sz w:val="21"/>
          <w:szCs w:val="21"/>
          <w:highlight w:val="none"/>
        </w:rPr>
        <w:tab/>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 xml:space="preserve">法定代表人或授权代表：</w:t>
      </w:r>
      <w:r/>
    </w:p>
    <w:p>
      <w:pPr>
        <w:ind w:firstLine="420"/>
        <w:keepLines w:val="0"/>
        <w:keepNext w:val="0"/>
        <w:pageBreakBefore w:val="0"/>
        <w:spacing w:before="120" w:after="120"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联系电话：</w:t>
      </w:r>
      <w:r>
        <w:rPr>
          <w:rFonts w:hint="eastAsia" w:ascii="宋体" w:hAnsi="宋体"/>
          <w:color w:val="auto"/>
          <w:sz w:val="21"/>
          <w:szCs w:val="21"/>
          <w:highlight w:val="none"/>
        </w:rPr>
        <w:tab/>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 xml:space="preserve">联系电话：</w:t>
      </w:r>
      <w:r/>
    </w:p>
    <w:p>
      <w:pPr>
        <w:ind w:firstLine="420"/>
        <w:keepLines w:val="0"/>
        <w:keepNext w:val="0"/>
        <w:pageBreakBefore w:val="0"/>
        <w:spacing w:before="120" w:after="120"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日期：      年    月    日  </w:t>
      </w:r>
      <w:r>
        <w:rPr>
          <w:rFonts w:hint="eastAsia" w:ascii="宋体" w:hAnsi="宋体"/>
          <w:color w:val="auto"/>
          <w:sz w:val="21"/>
          <w:szCs w:val="21"/>
          <w:highlight w:val="none"/>
        </w:rPr>
        <w:tab/>
      </w:r>
      <w:r>
        <w:rPr>
          <w:rFonts w:hint="eastAsia" w:ascii="宋体" w:hAnsi="宋体"/>
          <w:color w:val="auto"/>
          <w:sz w:val="21"/>
          <w:szCs w:val="21"/>
          <w:highlight w:val="none"/>
        </w:rPr>
        <w:t xml:space="preserve">日期：      年    月    日</w:t>
      </w:r>
      <w:r/>
    </w:p>
    <w:p>
      <w:pPr>
        <w:ind w:firstLine="420"/>
        <w:keepLines w:val="0"/>
        <w:keepNext w:val="0"/>
        <w:pageBreakBefore w:val="0"/>
        <w:spacing w:before="120" w:after="120"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keepLines w:val="0"/>
        <w:keepNext w:val="0"/>
        <w:pageBreakBefore w:val="0"/>
        <w:spacing w:before="120" w:after="120"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见证方：江苏唯诚建设咨询有限公司</w:t>
      </w:r>
      <w:r/>
    </w:p>
    <w:p>
      <w:pPr>
        <w:ind w:firstLine="420"/>
        <w:keepLines w:val="0"/>
        <w:keepNext w:val="0"/>
        <w:pageBreakBefore w:val="0"/>
        <w:spacing w:before="120" w:after="120"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项目经办人：</w:t>
      </w:r>
      <w:r/>
    </w:p>
    <w:p>
      <w:pPr>
        <w:ind w:firstLine="420"/>
        <w:keepLines w:val="0"/>
        <w:keepNext w:val="0"/>
        <w:pageBreakBefore w:val="0"/>
        <w:spacing w:before="120" w:after="120"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日期：     年   月   日</w:t>
      </w:r>
      <w:r/>
    </w:p>
    <w:p>
      <w:pPr>
        <w:rPr>
          <w:rFonts w:hint="eastAsia" w:ascii="宋体" w:hAnsi="宋体"/>
          <w:color w:val="auto"/>
          <w:sz w:val="36"/>
          <w:highlight w:val="none"/>
        </w:rPr>
      </w:pPr>
      <w:r>
        <w:rPr>
          <w:rFonts w:hint="eastAsia" w:ascii="宋体" w:hAnsi="宋体"/>
          <w:color w:val="auto"/>
          <w:sz w:val="36"/>
          <w:highlight w:val="none"/>
        </w:rPr>
        <w:br w:type="page" w:clear="all"/>
      </w:r>
      <w:r/>
    </w:p>
    <w:p>
      <w:pPr>
        <w:pStyle w:val="821"/>
        <w:numPr>
          <w:ilvl w:val="0"/>
          <w:numId w:val="7"/>
        </w:numPr>
        <w:jc w:val="center"/>
        <w:spacing w:line="240" w:lineRule="auto"/>
        <w:rPr>
          <w:rFonts w:hint="eastAsia" w:ascii="宋体" w:hAnsi="宋体"/>
          <w:color w:val="auto"/>
          <w:sz w:val="36"/>
          <w:highlight w:val="none"/>
        </w:rPr>
      </w:pPr>
      <w:r>
        <w:rPr>
          <w:rFonts w:hint="eastAsia" w:ascii="宋体" w:hAnsi="宋体"/>
          <w:color w:val="auto"/>
          <w:sz w:val="36"/>
          <w:highlight w:val="none"/>
        </w:rPr>
        <w:t xml:space="preserve">项目需求</w:t>
      </w:r>
      <w:r/>
    </w:p>
    <w:p>
      <w:pPr>
        <w:ind w:firstLine="422"/>
        <w:spacing w:line="360" w:lineRule="auto"/>
        <w:rPr>
          <w:rFonts w:hint="eastAsia" w:ascii="宋体" w:hAnsi="宋体" w:cs="宋体"/>
          <w:b/>
          <w:bCs/>
          <w:color w:val="auto"/>
          <w:szCs w:val="21"/>
          <w:highlight w:val="none"/>
        </w:rPr>
      </w:pPr>
      <w:r/>
      <w:bookmarkStart w:id="29" w:name="_Toc319408306"/>
      <w:r>
        <w:rPr>
          <w:rFonts w:hint="eastAsia" w:ascii="宋体" w:hAnsi="宋体" w:cs="宋体"/>
          <w:b/>
          <w:bCs/>
          <w:color w:val="auto"/>
          <w:szCs w:val="21"/>
          <w:highlight w:val="none"/>
        </w:rPr>
        <w:t xml:space="preserve">注：本章内容里斜体且有下划线部分为实质性要求和条件，投标文件不满足的，视为无效投标处理。请各投标人制作电子投标文件时，将实质性响应的内容在政府采购管理交易系统（苏采云）“符合证明文件格式”中准确填写或上传。</w:t>
      </w:r>
      <w:bookmarkEnd w:id="29"/>
      <w:r/>
      <w:r/>
    </w:p>
    <w:p>
      <w:pPr>
        <w:ind w:firstLine="422"/>
        <w:spacing w:line="360" w:lineRule="auto"/>
        <w:tabs>
          <w:tab w:val="left" w:pos="900" w:leader="none"/>
        </w:tabs>
        <w:rPr>
          <w:rFonts w:hint="eastAsia" w:ascii="宋体" w:hAnsi="宋体"/>
          <w:b/>
          <w:bCs/>
          <w:color w:val="auto"/>
          <w:szCs w:val="21"/>
          <w:highlight w:val="none"/>
          <w:lang w:val="en-US" w:eastAsia="zh-CN"/>
        </w:rPr>
      </w:pPr>
      <w:r/>
      <w:bookmarkStart w:id="30" w:name="_Toc497133122"/>
      <w:r/>
      <w:r/>
    </w:p>
    <w:p>
      <w:pPr>
        <w:ind w:firstLine="422"/>
        <w:jc w:val="both"/>
        <w:keepLines w:val="0"/>
        <w:keepNext w:val="0"/>
        <w:pageBreakBefore w:val="0"/>
        <w:spacing w:line="360" w:lineRule="auto"/>
        <w:tabs>
          <w:tab w:val="left" w:pos="900" w:leader="none"/>
        </w:tabs>
        <w:rPr>
          <w:rFonts w:hint="eastAsia" w:ascii="宋体" w:hAnsi="宋体"/>
          <w:b/>
          <w:bCs/>
          <w:color w:val="auto"/>
          <w:szCs w:val="21"/>
          <w:highlight w:val="none"/>
        </w:rPr>
        <w:outlineLvl w:val="9"/>
      </w:pPr>
      <w:r>
        <w:rPr>
          <w:rFonts w:hint="eastAsia" w:ascii="宋体" w:hAnsi="宋体"/>
          <w:b/>
          <w:bCs/>
          <w:color w:val="auto"/>
          <w:szCs w:val="21"/>
          <w:highlight w:val="none"/>
          <w:lang w:val="en-US" w:eastAsia="zh-CN"/>
        </w:rPr>
        <w:t xml:space="preserve">一</w:t>
      </w:r>
      <w:r>
        <w:rPr>
          <w:rFonts w:hint="eastAsia" w:ascii="宋体" w:hAnsi="宋体"/>
          <w:b/>
          <w:bCs/>
          <w:color w:val="auto"/>
          <w:szCs w:val="21"/>
          <w:highlight w:val="none"/>
        </w:rPr>
        <w:t xml:space="preserve">、招标项目简要说明及预算金额</w:t>
      </w:r>
      <w:r/>
    </w:p>
    <w:p>
      <w:pPr>
        <w:ind w:firstLine="420"/>
        <w:jc w:val="both"/>
        <w:keepLines w:val="0"/>
        <w:keepNext w:val="0"/>
        <w:pageBreakBefore w:val="0"/>
        <w:spacing w:line="360" w:lineRule="auto"/>
        <w:rPr>
          <w:rFonts w:ascii="宋体" w:hAnsi="宋体"/>
          <w:color w:val="auto"/>
          <w:szCs w:val="21"/>
          <w:highlight w:val="none"/>
        </w:rPr>
        <w:outlineLvl w:val="9"/>
      </w:pP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扬州市中医院文昌路院区、真州路院区分别位于扬州市文昌中路577号、翠岗路400号</w:t>
      </w:r>
      <w:r>
        <w:rPr>
          <w:rFonts w:ascii="宋体" w:hAnsi="宋体"/>
          <w:color w:val="auto"/>
          <w:szCs w:val="21"/>
          <w:highlight w:val="none"/>
        </w:rPr>
        <w:t xml:space="preserve">，此次洗涤项目包含工作服、内穿衣、洞巾、床单、被套</w:t>
      </w:r>
      <w:r>
        <w:rPr>
          <w:rFonts w:hint="eastAsia" w:ascii="宋体" w:hAnsi="宋体"/>
          <w:color w:val="auto"/>
          <w:szCs w:val="21"/>
          <w:highlight w:val="none"/>
          <w:lang w:eastAsia="zh-CN"/>
        </w:rPr>
        <w:t xml:space="preserve">、枕套</w:t>
      </w:r>
      <w:r>
        <w:rPr>
          <w:rFonts w:ascii="宋体" w:hAnsi="宋体"/>
          <w:color w:val="auto"/>
          <w:szCs w:val="21"/>
          <w:highlight w:val="none"/>
        </w:rPr>
        <w:t xml:space="preserve">等，不分种类统一按件报价，此次报价包含洗涤费、运费、税费（开票）、利润、规费、企业管理费等所有费用，洗涤数量约为</w:t>
      </w:r>
      <w:r>
        <w:rPr>
          <w:rFonts w:hint="eastAsia" w:ascii="宋体" w:hAnsi="宋体"/>
          <w:color w:val="auto"/>
          <w:szCs w:val="21"/>
          <w:highlight w:val="none"/>
          <w:lang w:val="en-US" w:eastAsia="zh-CN"/>
        </w:rPr>
        <w:t xml:space="preserve">210万件/三年</w:t>
      </w:r>
      <w:r>
        <w:rPr>
          <w:rFonts w:ascii="宋体" w:hAnsi="宋体"/>
          <w:color w:val="auto"/>
          <w:szCs w:val="21"/>
          <w:highlight w:val="none"/>
        </w:rPr>
        <w:t xml:space="preserve">。</w:t>
      </w:r>
      <w:r/>
    </w:p>
    <w:p>
      <w:pPr>
        <w:ind w:firstLine="420"/>
        <w:jc w:val="both"/>
        <w:keepLines w:val="0"/>
        <w:keepNext w:val="0"/>
        <w:pageBreakBefore w:val="0"/>
        <w:spacing w:line="360" w:lineRule="auto"/>
        <w:rPr>
          <w:rFonts w:hint="eastAsia" w:ascii="宋体" w:hAnsi="宋体"/>
          <w:color w:val="auto"/>
          <w:szCs w:val="21"/>
          <w:highlight w:val="none"/>
          <w:lang w:val="en-US" w:eastAsia="zh-CN"/>
        </w:rPr>
        <w:outlineLvl w:val="9"/>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本项目服务期限：</w:t>
      </w:r>
      <w:r>
        <w:rPr>
          <w:rFonts w:hint="eastAsia" w:ascii="宋体" w:hAnsi="宋体"/>
          <w:color w:val="auto"/>
          <w:szCs w:val="21"/>
          <w:highlight w:val="none"/>
          <w:lang w:val="en-US" w:eastAsia="zh-CN"/>
        </w:rPr>
        <w:t xml:space="preserve">从2026年9月1日至2029年8月31日。</w:t>
      </w:r>
      <w:r/>
    </w:p>
    <w:p>
      <w:pPr>
        <w:ind w:firstLine="420"/>
        <w:jc w:val="both"/>
        <w:keepLines w:val="0"/>
        <w:keepNext w:val="0"/>
        <w:pageBreakBefore w:val="0"/>
        <w:spacing w:line="360" w:lineRule="auto"/>
        <w:rPr>
          <w:rFonts w:hint="eastAsia" w:ascii="宋体" w:hAnsi="宋体" w:eastAsia="宋体" w:cs="宋体"/>
          <w:b/>
          <w:bCs/>
          <w:color w:val="auto"/>
          <w:sz w:val="21"/>
          <w:szCs w:val="21"/>
          <w:highlight w:val="none"/>
          <w:lang w:val="en-US" w:eastAsia="zh-CN"/>
        </w:rPr>
        <w:outlineLvl w:val="9"/>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本项目设定最高限价，最高单件限价为</w:t>
      </w:r>
      <w:r>
        <w:rPr>
          <w:rFonts w:hint="eastAsia" w:ascii="宋体" w:hAnsi="宋体"/>
          <w:color w:val="auto"/>
          <w:szCs w:val="21"/>
          <w:highlight w:val="none"/>
          <w:lang w:val="en-US" w:eastAsia="zh-CN"/>
        </w:rPr>
        <w:t xml:space="preserve">1.58</w:t>
      </w:r>
      <w:r>
        <w:rPr>
          <w:rFonts w:ascii="宋体" w:hAnsi="宋体"/>
          <w:color w:val="auto"/>
          <w:szCs w:val="21"/>
          <w:highlight w:val="none"/>
        </w:rPr>
        <w:t xml:space="preserve">元</w:t>
      </w:r>
      <w:r>
        <w:rPr>
          <w:rFonts w:hint="eastAsia" w:ascii="宋体" w:hAnsi="宋体"/>
          <w:color w:val="auto"/>
          <w:szCs w:val="21"/>
          <w:highlight w:val="none"/>
        </w:rPr>
        <w:t xml:space="preserve">/</w:t>
      </w:r>
      <w:r>
        <w:rPr>
          <w:rFonts w:ascii="宋体" w:hAnsi="宋体"/>
          <w:color w:val="auto"/>
          <w:szCs w:val="21"/>
          <w:highlight w:val="none"/>
        </w:rPr>
        <w:t xml:space="preserve">件</w:t>
      </w:r>
      <w:r>
        <w:rPr>
          <w:rFonts w:hint="eastAsia" w:ascii="宋体" w:hAnsi="宋体"/>
          <w:color w:val="auto"/>
          <w:szCs w:val="21"/>
          <w:highlight w:val="none"/>
        </w:rPr>
        <w:t xml:space="preserve">,且</w:t>
      </w:r>
      <w:r>
        <w:rPr>
          <w:rFonts w:hint="eastAsia" w:ascii="宋体" w:hAnsi="宋体"/>
          <w:color w:val="auto"/>
          <w:szCs w:val="21"/>
          <w:highlight w:val="none"/>
          <w:lang w:val="en-US" w:eastAsia="zh-CN"/>
        </w:rPr>
        <w:t xml:space="preserve">三</w:t>
      </w:r>
      <w:r>
        <w:rPr>
          <w:rFonts w:hint="eastAsia" w:ascii="宋体" w:hAnsi="宋体"/>
          <w:color w:val="auto"/>
          <w:szCs w:val="21"/>
          <w:highlight w:val="none"/>
        </w:rPr>
        <w:t xml:space="preserve">年总价最高限价为</w:t>
      </w:r>
      <w:r>
        <w:rPr>
          <w:rFonts w:hint="eastAsia" w:ascii="宋体" w:hAnsi="宋体"/>
          <w:color w:val="auto"/>
          <w:szCs w:val="21"/>
          <w:highlight w:val="none"/>
          <w:lang w:val="en-US" w:eastAsia="zh-CN"/>
        </w:rPr>
        <w:t xml:space="preserve">331.8</w:t>
      </w:r>
      <w:r>
        <w:rPr>
          <w:rFonts w:hint="eastAsia" w:ascii="宋体" w:hAnsi="宋体"/>
          <w:color w:val="auto"/>
          <w:szCs w:val="21"/>
          <w:highlight w:val="none"/>
        </w:rPr>
        <w:t xml:space="preserve">万元</w:t>
      </w:r>
      <w:r>
        <w:rPr>
          <w:rFonts w:ascii="宋体" w:hAnsi="宋体"/>
          <w:color w:val="auto"/>
          <w:szCs w:val="21"/>
          <w:highlight w:val="none"/>
        </w:rPr>
        <w:t xml:space="preserve">。</w:t>
      </w:r>
      <w:r/>
    </w:p>
    <w:p>
      <w:pPr>
        <w:ind w:firstLine="422"/>
        <w:jc w:val="both"/>
        <w:keepLines w:val="0"/>
        <w:keepNext w:val="0"/>
        <w:pageBreakBefore w:val="0"/>
        <w:spacing w:line="360" w:lineRule="auto"/>
        <w:rPr>
          <w:rFonts w:hint="eastAsia" w:ascii="宋体" w:hAnsi="宋体" w:eastAsia="宋体" w:cs="宋体"/>
          <w:b/>
          <w:bCs/>
          <w:color w:val="auto"/>
          <w:sz w:val="21"/>
          <w:szCs w:val="21"/>
          <w:highlight w:val="none"/>
        </w:rPr>
        <w:outlineLvl w:val="9"/>
      </w:pPr>
      <w:r>
        <w:rPr>
          <w:rFonts w:hint="eastAsia" w:ascii="宋体" w:hAnsi="宋体" w:cs="宋体"/>
          <w:b/>
          <w:bCs/>
          <w:color w:val="auto"/>
          <w:sz w:val="21"/>
          <w:szCs w:val="21"/>
          <w:highlight w:val="none"/>
          <w:lang w:val="en-US" w:eastAsia="zh-CN"/>
        </w:rPr>
        <w:t xml:space="preserve">二</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洗涤配送服务要求：</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1、总则：洗涤质量符合规范、服务及时、保证供应。</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2、卫生制度：中标人应建立消毒隔离、污物/污水管理、卫生保洁、洗涤工作、清洗质量检查、从业人员定期体检保健及个人防护等制度以及可重复使用医用织物运送管理制度。</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3、质量要求：</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洗涤后医用织物必须符合“公共用纺织品安全技术规范”的医疗用品安全指标，即感观指标达到物品做到整洁、干燥、无破损、无污渍、无异味、无异物；微生物指标：细菌菌落数≤200cfu/25cm2，大肠杆菌、化脓性致病菌不得检出，婴儿用品还应进行沙门氏菌检测。pH值控在为6.5～7.4。</w:t>
      </w:r>
      <w:r/>
    </w:p>
    <w:p>
      <w:pPr>
        <w:ind w:firstLine="420"/>
        <w:jc w:val="both"/>
        <w:keepLines w:val="0"/>
        <w:keepNext w:val="0"/>
        <w:pageBreakBefore w:val="0"/>
        <w:spacing w:line="36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（2）中标人每半年至少一次对洗涤后的医用织物按婴儿用品、床上用品、手术敷料、工作服等类别分别送当地卫生监管部门进行微生物学检验，其微生物指标检测数椐应报送采购人后勤保障部备案。</w:t>
      </w:r>
      <w:r/>
    </w:p>
    <w:p>
      <w:pPr>
        <w:ind w:firstLine="420"/>
        <w:jc w:val="both"/>
        <w:keepLines w:val="0"/>
        <w:keepNext w:val="0"/>
        <w:pageBreakBefore w:val="0"/>
        <w:spacing w:line="36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（3）医用织物洗涤自然损耗率控制在3%之内。</w:t>
      </w:r>
      <w:r/>
    </w:p>
    <w:p>
      <w:pPr>
        <w:ind w:firstLine="420"/>
        <w:jc w:val="both"/>
        <w:keepLines w:val="0"/>
        <w:keepNext w:val="0"/>
        <w:pageBreakBefore w:val="0"/>
        <w:spacing w:line="36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（4）中标人有独立作业场所，各功能区布局合理符合感控管理要求、工作流程符合规范、洗涤消毒烘干设施以及人员配置满足需要。</w:t>
      </w:r>
      <w:r/>
    </w:p>
    <w:p>
      <w:pPr>
        <w:ind w:firstLine="420"/>
        <w:jc w:val="both"/>
        <w:keepLines w:val="0"/>
        <w:keepNext w:val="0"/>
        <w:pageBreakBefore w:val="0"/>
        <w:spacing w:line="36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（5）中标人使用的洗涤剂、消毒剂、各种有机溶剂等相关洗涤耗材应符合国家标准，在有效期内使用，并每批次进行有效浓度检测，中标人须提供常用洗涤耗材产品清单，附耗材供货协议。</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6）中标人应严格执行医用织物洗涤过程的消毒隔离和医院感染相关制度，防止交叉污染，患者用织物与医务人员用织物应分机或分批洗涤（消毒）；产婴区、新生儿室等婴幼儿用织物应专机洗涤，不应与成人患者用织物混洗。不将传染病采购人/病区/病人使用后的医用织物与普通医用织物在同一洗涤设备内洗涤。</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7）中标人应承担损坏织物的缝补（包括破损、系带、扣子等），保证发放到科室的医用织物均能正常使用。对于不能使用需要报废处理的织物，每周集中打包，送交采购人后勤保障部专人确认，清点报废换新。</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（8）医用织物的折叠按采购人科室有关要求，符合科室使用要求。</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（9）由于中标人原因造成医用织物丢失或洗涤不当造成破损不能使用、局部霉烂、局部染色、严重脱色等，应予赔偿。</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10）采购人不定期对中标人洗洗涤程序及洗涤质量进行检测，发现达不到洗涤质量要求，中标人必须及时整改并负责免费重新洗涤。如因中标人洗涤程序不当或不按质量洗涤而出现交叉感染事件，中标人负责赔偿经济损失和承担法律责任。连续抽检发现三次(含)以上不合格，采购人有权终止医用织物洗涤服务。</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（11）中标人随时接受卫生防疫部门及采购人感染管理部门的检查、监督、指导。</w:t>
      </w:r>
      <w:r/>
    </w:p>
    <w:p>
      <w:pPr>
        <w:ind w:firstLine="422"/>
        <w:jc w:val="both"/>
        <w:keepLines w:val="0"/>
        <w:keepNext w:val="0"/>
        <w:pageBreakBefore w:val="0"/>
        <w:spacing w:line="360" w:lineRule="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（12）采购人每月到病区对中标人的洗涤服务质量满意度进行调查（见附表）。</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（13）采购人提供给中标人使用的运营场所（被服中心）的消防、用电、物资安全由中标人全面负责，若因管理不善导致人身财产损失，由中标人负责承担全部损失与赔偿。</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4、洗涤流程符合规范要求</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（1）医用织物按标准分类收集，专车运送、储存符合规范要求。</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（2）洗涤、消毒：医用织物洗涤（消毒）应使用卫生隔离式洗涤、烘干设备。应包括、</w:t>
      </w:r>
      <w:r>
        <w:rPr>
          <w:rFonts w:hint="eastAsia" w:ascii="宋体" w:hAnsi="宋体" w:cs="宋体"/>
          <w:color w:val="auto"/>
          <w:sz w:val="21"/>
          <w:szCs w:val="21"/>
          <w:highlight w:val="none"/>
          <w:lang w:val="en-US" w:eastAsia="zh-CN"/>
        </w:rPr>
        <w:t xml:space="preserve">预洗、</w:t>
      </w:r>
      <w:r>
        <w:rPr>
          <w:rFonts w:hint="eastAsia" w:ascii="宋体" w:hAnsi="宋体" w:eastAsia="宋体" w:cs="宋体"/>
          <w:color w:val="auto"/>
          <w:sz w:val="21"/>
          <w:szCs w:val="21"/>
          <w:highlight w:val="none"/>
        </w:rPr>
        <w:t xml:space="preserve">主洗、漂洗、中和等四个步骤，预洗时间不少于10min，主洗水温≥70℃，洗涤时间不少于25 min或水温≥90℃，洗涤时间不少于10 min。每次漂洗时间不应低于3 min，每次漂洗间隔应进行一次脱水，漂洗次数应不低于3次。最后一次漂洗时的水应进行中和，中和后水中的pH值应为6.5～7.4。</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（3）烘干与整理：洗涤后清洁织物整理主要包括熨烫、修补、折叠过程，其过程应严防洗涤后清洁织物的二次污染。为避免织物损伤和过度缩水，清洁织物熨烫时的平烫机底面温度不宜超过180℃。</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（4）包装：根据采购人要求打包。</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（5）配送：专车、封闭、送货。</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5、配送要求：</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（1）工作日每日一收送，交接时间为上午</w:t>
      </w:r>
      <w:r>
        <w:rPr>
          <w:rFonts w:hint="eastAsia" w:ascii="宋体" w:hAnsi="宋体" w:eastAsia="宋体" w:cs="宋体"/>
          <w:color w:val="auto"/>
          <w:sz w:val="21"/>
          <w:szCs w:val="21"/>
          <w:highlight w:val="none"/>
        </w:rPr>
        <w:t xml:space="preserve">0</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0~</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节假日如需加班由</w:t>
      </w:r>
      <w:r>
        <w:rPr>
          <w:rFonts w:hint="eastAsia" w:ascii="宋体" w:hAnsi="宋体" w:cs="宋体"/>
          <w:color w:val="auto"/>
          <w:sz w:val="21"/>
          <w:szCs w:val="21"/>
          <w:highlight w:val="none"/>
          <w:lang w:eastAsia="zh-CN"/>
        </w:rPr>
        <w:t xml:space="preserve">采购对接</w:t>
      </w:r>
      <w:r>
        <w:rPr>
          <w:rFonts w:hint="eastAsia" w:ascii="宋体" w:hAnsi="宋体" w:eastAsia="宋体" w:cs="宋体"/>
          <w:color w:val="auto"/>
          <w:sz w:val="21"/>
          <w:szCs w:val="21"/>
          <w:highlight w:val="none"/>
        </w:rPr>
        <w:t xml:space="preserve">人</w:t>
      </w:r>
      <w:r>
        <w:rPr>
          <w:rFonts w:hint="eastAsia" w:ascii="宋体" w:hAnsi="宋体" w:eastAsia="宋体" w:cs="宋体"/>
          <w:color w:val="auto"/>
          <w:sz w:val="21"/>
          <w:szCs w:val="21"/>
          <w:highlight w:val="none"/>
        </w:rPr>
        <w:t xml:space="preserve">另行通知，</w:t>
      </w:r>
      <w:r>
        <w:rPr>
          <w:rFonts w:hint="eastAsia" w:ascii="宋体" w:hAnsi="宋体" w:cs="宋体"/>
          <w:color w:val="auto"/>
          <w:sz w:val="21"/>
          <w:szCs w:val="21"/>
          <w:highlight w:val="none"/>
          <w:lang w:eastAsia="zh-CN"/>
        </w:rPr>
        <w:t xml:space="preserve">中标人</w:t>
      </w:r>
      <w:r>
        <w:rPr>
          <w:rFonts w:hint="eastAsia" w:ascii="宋体" w:hAnsi="宋体" w:eastAsia="宋体" w:cs="宋体"/>
          <w:color w:val="auto"/>
          <w:sz w:val="21"/>
          <w:szCs w:val="21"/>
          <w:highlight w:val="none"/>
        </w:rPr>
        <w:t xml:space="preserve">须配合</w:t>
      </w:r>
      <w:r>
        <w:rPr>
          <w:rFonts w:hint="eastAsia" w:ascii="宋体" w:hAnsi="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按时交付。中标人将洗涤消毒后的衣物送到采购人指定转运点，并于转运站收取污衣。</w:t>
      </w:r>
      <w:r/>
    </w:p>
    <w:p>
      <w:pPr>
        <w:pStyle w:val="843"/>
        <w:ind w:firstLine="420"/>
        <w:jc w:val="both"/>
        <w:keepLines w:val="0"/>
        <w:keepNext w:val="0"/>
        <w:pageBreakBefore w:val="0"/>
        <w:spacing w:line="360" w:lineRule="auto"/>
        <w:rPr>
          <w:rFonts w:hint="eastAsia" w:eastAsia="宋体"/>
          <w:color w:val="auto"/>
          <w:highlight w:val="none"/>
          <w:lang w:eastAsia="zh-CN"/>
        </w:rPr>
        <w:outlineLvl w:val="9"/>
      </w:pPr>
      <w:r>
        <w:rPr>
          <w:rFonts w:hint="eastAsia" w:ascii="宋体" w:hAnsi="宋体" w:eastAsia="宋体" w:cs="宋体"/>
          <w:color w:val="auto"/>
          <w:sz w:val="21"/>
          <w:szCs w:val="21"/>
          <w:highlight w:val="none"/>
        </w:rPr>
        <w:t xml:space="preserve">（2）中标人</w:t>
      </w:r>
      <w:r>
        <w:rPr>
          <w:rFonts w:hint="eastAsia" w:hAnsi="宋体" w:cs="宋体"/>
          <w:color w:val="auto"/>
          <w:sz w:val="21"/>
          <w:szCs w:val="21"/>
          <w:highlight w:val="none"/>
          <w:lang w:eastAsia="zh-CN"/>
        </w:rPr>
        <w:t xml:space="preserve">至少</w:t>
      </w:r>
      <w:r>
        <w:rPr>
          <w:rFonts w:hint="eastAsia" w:ascii="宋体" w:hAnsi="宋体" w:eastAsia="宋体" w:cs="宋体"/>
          <w:color w:val="auto"/>
          <w:sz w:val="21"/>
          <w:szCs w:val="21"/>
          <w:highlight w:val="none"/>
        </w:rPr>
        <w:t xml:space="preserve">安排一人在采购人处办公，负责做好收送衣物清点工作，由采购人签名确认。并将每日清点表收集保存好，若因中标人保管不当造成遗失，均由中标人按质论价负责赔偿。双方交接单应清楚整齐，便于双方确认洗净衣物数量及月底结算。</w:t>
      </w:r>
      <w:r>
        <w:rPr>
          <w:rFonts w:hint="eastAsia" w:hAnsi="宋体" w:cs="宋体"/>
          <w:color w:val="auto"/>
          <w:sz w:val="21"/>
          <w:szCs w:val="21"/>
          <w:highlight w:val="none"/>
          <w:lang w:eastAsia="zh-CN"/>
        </w:rPr>
        <w:t xml:space="preserve">交付地点：扬州市邗江区文昌中路577号扬州市中医院文昌路院区被服站、扬州市邗江区翠岗路</w:t>
      </w:r>
      <w:r>
        <w:rPr>
          <w:rFonts w:hint="eastAsia" w:hAnsi="宋体" w:cs="宋体"/>
          <w:color w:val="auto"/>
          <w:sz w:val="21"/>
          <w:szCs w:val="21"/>
          <w:highlight w:val="none"/>
          <w:lang w:val="en-US" w:eastAsia="zh-CN"/>
        </w:rPr>
        <w:t xml:space="preserve">400号</w:t>
      </w:r>
      <w:r>
        <w:rPr>
          <w:rFonts w:hint="eastAsia" w:hAnsi="宋体" w:cs="宋体"/>
          <w:color w:val="auto"/>
          <w:sz w:val="21"/>
          <w:szCs w:val="21"/>
          <w:highlight w:val="none"/>
          <w:lang w:eastAsia="zh-CN"/>
        </w:rPr>
        <w:t xml:space="preserve">扬州市中医院真州路院区被服中心。</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rPr>
        <w:outlineLvl w:val="9"/>
      </w:pPr>
      <w:r/>
      <w:bookmarkStart w:id="31" w:name="_Toc29018"/>
      <w:r>
        <w:rPr>
          <w:rFonts w:hint="eastAsia" w:ascii="宋体" w:hAnsi="宋体" w:eastAsia="宋体" w:cs="宋体"/>
          <w:color w:val="auto"/>
          <w:sz w:val="21"/>
          <w:szCs w:val="21"/>
          <w:highlight w:val="none"/>
          <w:lang w:val="en-US" w:eastAsia="zh-CN"/>
        </w:rPr>
        <w:t xml:space="preserve">6、中标人履约要求</w:t>
      </w:r>
      <w:bookmarkEnd w:id="31"/>
      <w:r>
        <w:rPr>
          <w:rFonts w:hint="eastAsia" w:ascii="宋体" w:hAnsi="宋体" w:cs="宋体"/>
          <w:color w:val="auto"/>
          <w:sz w:val="21"/>
          <w:szCs w:val="21"/>
          <w:highlight w:val="none"/>
          <w:lang w:val="en-US" w:eastAsia="zh-CN"/>
        </w:rPr>
        <w:t xml:space="preserve">：</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（1）中标人应保证被服洗涤服务不中断，不得找任何理由暂停或终止服务，遇到困难时，应想方设法维持正常服务。</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2）因疫情或人工费上涨等各类原因造成洗涤成本升高，增加的所有成本均由中标人承担；合同期内，中标人无任何理由要求采购人提高洗涤费用，即固定单价不变；在投标报价时，中标人应充分考虑疫情等各类因素。</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（3）应加强安全生产管理工作，做好安全防护，若因操作不当或管理不到位等原因造成各类不良后果或损失，均由中标人承担，与采购人无关。</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（4）应严格遵守医院被服洗涤院感要求及流程。</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（5）务必做好被服消毒，确保洗涤后的被服微生物指标达到最新国家标准或行业标准。</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（6）中标人工作人员应严格遵守医院相关规章制度，无条件配合医院做好各项协调工作，尤其是疫情期间，无条件接受医院院感管控工作安排，不得扰乱医院秩序。</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其他要求：</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（1）采购人如遇上级检查、紧急救护等突发公共卫生事件及其它应急情况，中标人要配合采购人做好特殊情况下的物品供应及下收下送工作。</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（2）中标人必须服从采购人的管理，遵守采购人的有关规章制度。在服务期内对服务区域的收送工作全部负责，有义务配合采购人做好各项被服布类收送工作的监督、检查工作。</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（3）中标人必须制订安全、有效的特殊情况（如交通受阻、停电、停水、停气机器设备故障等）应急预案，以确保采购人被服布类物品的供给。</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rPr>
        <w:outlineLvl w:val="9"/>
      </w:pPr>
      <w:r/>
      <w:bookmarkStart w:id="32" w:name="_Toc274928231"/>
      <w:r>
        <w:rPr>
          <w:rFonts w:hint="eastAsia" w:ascii="宋体" w:hAnsi="宋体" w:eastAsia="宋体" w:cs="宋体"/>
          <w:color w:val="auto"/>
          <w:sz w:val="21"/>
          <w:szCs w:val="21"/>
          <w:highlight w:val="none"/>
        </w:rPr>
        <w:t xml:space="preserve">（4）报损：报损方法最终由采购人决定。</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（5）其他标准及相关要求各投标单位如有需要可详尽描述。</w:t>
      </w:r>
      <w:bookmarkEnd w:id="32"/>
      <w:r/>
      <w:r/>
    </w:p>
    <w:p>
      <w:pPr>
        <w:ind w:firstLine="420"/>
        <w:jc w:val="both"/>
        <w:keepLines w:val="0"/>
        <w:keepNext w:val="0"/>
        <w:pageBreakBefore w:val="0"/>
        <w:spacing w:line="360" w:lineRule="auto"/>
        <w:rPr>
          <w:rFonts w:hint="eastAsia" w:ascii="宋体" w:hAnsi="宋体" w:eastAsia="宋体" w:cs="宋体"/>
          <w:b/>
          <w:bCs/>
          <w:i/>
          <w:color w:val="auto"/>
          <w:sz w:val="21"/>
          <w:szCs w:val="21"/>
          <w:highlight w:val="none"/>
          <w:u w:val="single"/>
        </w:rPr>
        <w:outlineLvl w:val="9"/>
      </w:pPr>
      <w:r>
        <w:rPr>
          <w:rFonts w:hint="eastAsia" w:ascii="宋体" w:hAnsi="宋体" w:eastAsia="宋体" w:cs="宋体"/>
          <w:i/>
          <w:color w:val="auto"/>
          <w:sz w:val="21"/>
          <w:szCs w:val="21"/>
          <w:highlight w:val="none"/>
          <w:u w:val="single"/>
        </w:rPr>
        <w:t xml:space="preserve">（6）具有独立作业场所</w:t>
      </w:r>
      <w:r>
        <w:rPr>
          <w:rFonts w:hint="eastAsia" w:ascii="宋体" w:hAnsi="宋体" w:eastAsia="宋体" w:cs="宋体"/>
          <w:b/>
          <w:bCs/>
          <w:i/>
          <w:color w:val="auto"/>
          <w:sz w:val="21"/>
          <w:szCs w:val="21"/>
          <w:highlight w:val="none"/>
          <w:u w:val="single"/>
        </w:rPr>
        <w:t xml:space="preserve">（须提供租赁协议或产权证明</w:t>
      </w:r>
      <w:r>
        <w:rPr>
          <w:rFonts w:hint="eastAsia" w:ascii="宋体" w:hAnsi="宋体" w:cs="宋体"/>
          <w:b/>
          <w:bCs/>
          <w:i/>
          <w:color w:val="auto"/>
          <w:sz w:val="21"/>
          <w:szCs w:val="21"/>
          <w:highlight w:val="none"/>
          <w:u w:val="single"/>
          <w:lang w:val="en-US" w:eastAsia="zh-CN"/>
        </w:rPr>
        <w:t xml:space="preserve">原件扫描件上传</w:t>
      </w:r>
      <w:r>
        <w:rPr>
          <w:rFonts w:hint="eastAsia" w:ascii="宋体" w:hAnsi="宋体" w:eastAsia="宋体" w:cs="宋体"/>
          <w:b/>
          <w:bCs/>
          <w:i/>
          <w:color w:val="auto"/>
          <w:sz w:val="21"/>
          <w:szCs w:val="21"/>
          <w:highlight w:val="none"/>
          <w:u w:val="single"/>
        </w:rPr>
        <w:t xml:space="preserve">）</w:t>
      </w:r>
      <w:r/>
    </w:p>
    <w:p>
      <w:pPr>
        <w:ind w:firstLine="420"/>
        <w:jc w:val="both"/>
        <w:keepLines w:val="0"/>
        <w:keepNext w:val="0"/>
        <w:pageBreakBefore w:val="0"/>
        <w:spacing w:line="360" w:lineRule="auto"/>
        <w:rPr>
          <w:rFonts w:hint="eastAsia" w:ascii="宋体" w:hAnsi="宋体" w:eastAsia="宋体" w:cs="宋体"/>
          <w:b/>
          <w:i/>
          <w:color w:val="auto"/>
          <w:sz w:val="21"/>
          <w:szCs w:val="21"/>
          <w:highlight w:val="none"/>
          <w:u w:val="single"/>
        </w:rPr>
        <w:outlineLvl w:val="9"/>
      </w:pPr>
      <w:r>
        <w:rPr>
          <w:rFonts w:hint="eastAsia" w:ascii="宋体" w:hAnsi="宋体" w:eastAsia="宋体" w:cs="宋体"/>
          <w:bCs/>
          <w:i/>
          <w:color w:val="auto"/>
          <w:sz w:val="21"/>
          <w:szCs w:val="21"/>
          <w:highlight w:val="none"/>
          <w:u w:val="single"/>
        </w:rPr>
        <w:t xml:space="preserve">（7）</w:t>
      </w:r>
      <w:r>
        <w:rPr>
          <w:rFonts w:hint="eastAsia" w:ascii="宋体" w:hAnsi="宋体" w:eastAsia="宋体" w:cs="宋体"/>
          <w:i/>
          <w:color w:val="auto"/>
          <w:sz w:val="21"/>
          <w:szCs w:val="21"/>
          <w:highlight w:val="none"/>
          <w:u w:val="single"/>
        </w:rPr>
        <w:t xml:space="preserve">服务过程中发生问题，在接到采购人电话通知后，中标人承诺2小时内到达现场协商解决。</w:t>
      </w:r>
      <w:r>
        <w:rPr>
          <w:rFonts w:hint="eastAsia" w:ascii="宋体" w:hAnsi="宋体" w:eastAsia="宋体" w:cs="宋体"/>
          <w:b/>
          <w:i/>
          <w:color w:val="auto"/>
          <w:sz w:val="21"/>
          <w:szCs w:val="21"/>
          <w:highlight w:val="none"/>
          <w:u w:val="single"/>
        </w:rPr>
        <w:t xml:space="preserve">（须提供承诺书原件）</w:t>
      </w:r>
      <w:r/>
    </w:p>
    <w:tbl>
      <w:tblPr>
        <w:tblStyle w:val="831"/>
        <w:tblW w:w="5500" w:type="pct"/>
        <w:jc w:val="center"/>
        <w:tblLayout w:type="fixed"/>
        <w:tblCellMar>
          <w:left w:w="15" w:type="dxa"/>
          <w:top w:w="15" w:type="dxa"/>
          <w:right w:w="15" w:type="dxa"/>
          <w:bottom w:w="15" w:type="dxa"/>
        </w:tblCellMar>
        <w:tblLook w:val="04A0" w:firstRow="1" w:lastRow="0" w:firstColumn="1" w:lastColumn="0" w:noHBand="0" w:noVBand="1"/>
      </w:tblPr>
      <w:tblGrid>
        <w:gridCol w:w="1364"/>
        <w:gridCol w:w="1248"/>
        <w:gridCol w:w="4293"/>
        <w:gridCol w:w="582"/>
        <w:gridCol w:w="1035"/>
        <w:gridCol w:w="648"/>
      </w:tblGrid>
      <w:tr>
        <w:trPr>
          <w:jc w:val="center"/>
          <w:trHeight w:val="585"/>
        </w:trPr>
        <w:tc>
          <w:tcPr>
            <w:gridSpan w:val="6"/>
            <w:tcBorders>
              <w:bottom w:val="single" w:color="000000" w:sz="4" w:space="0"/>
            </w:tcBorders>
            <w:tcW w:w="10059"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u w:val="none"/>
              </w:rPr>
              <w:t xml:space="preserve">扬州市中医院被服站质量考核标准</w:t>
            </w:r>
            <w:r/>
          </w:p>
        </w:tc>
      </w:tr>
      <w:tr>
        <w:trPr>
          <w:jc w:val="center"/>
          <w:trHeight w:val="540"/>
        </w:trPr>
        <w:tc>
          <w:tcPr>
            <w:gridSpan w:val="2"/>
            <w:tcBorders>
              <w:top w:val="single" w:color="000000" w:sz="4" w:space="0"/>
              <w:left w:val="single" w:color="000000" w:sz="4" w:space="0"/>
              <w:bottom w:val="single" w:color="000000" w:sz="4" w:space="0"/>
              <w:right w:val="single" w:color="000000" w:sz="4" w:space="0"/>
            </w:tcBorders>
            <w:tcW w:w="28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47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检查内容</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分值</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扣分理由</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扣分</w:t>
            </w:r>
            <w:r/>
          </w:p>
        </w:tc>
      </w:tr>
      <w:tr>
        <w:trPr>
          <w:jc w:val="center"/>
          <w:trHeight w:val="765"/>
        </w:trPr>
        <w:tc>
          <w:tcPr>
            <w:tcBorders>
              <w:top w:val="single" w:color="000000" w:sz="4" w:space="0"/>
              <w:left w:val="single" w:color="000000" w:sz="4" w:space="0"/>
              <w:bottom w:val="single" w:color="000000" w:sz="4" w:space="0"/>
              <w:right w:val="single" w:color="000000" w:sz="4" w:space="0"/>
            </w:tcBorders>
            <w:tcW w:w="149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洗涤消毒要求</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工作区域</w:t>
            </w:r>
            <w:r/>
          </w:p>
        </w:tc>
        <w:tc>
          <w:tcPr>
            <w:tcBorders>
              <w:top w:val="single" w:color="000000" w:sz="4" w:space="0"/>
              <w:left w:val="single" w:color="000000" w:sz="4" w:space="0"/>
              <w:bottom w:val="single" w:color="000000" w:sz="4" w:space="0"/>
              <w:right w:val="single" w:color="000000" w:sz="4" w:space="0"/>
            </w:tcBorders>
            <w:tcW w:w="471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污染区、清洁区划分明确，污、洁、路线不交叉、不逆行、工作人员衣帽整洁、保持环境卫生。</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0.5分/次</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735"/>
        </w:trPr>
        <w:tc>
          <w:tcPr>
            <w:tcBorders>
              <w:top w:val="single" w:color="000000" w:sz="4" w:space="0"/>
              <w:left w:val="single" w:color="000000" w:sz="4" w:space="0"/>
              <w:bottom w:val="single" w:color="000000" w:sz="4" w:space="0"/>
              <w:right w:val="single" w:color="000000" w:sz="4" w:space="0"/>
            </w:tcBorders>
            <w:tcW w:w="149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收送被服</w:t>
            </w:r>
            <w:r/>
          </w:p>
        </w:tc>
        <w:tc>
          <w:tcPr>
            <w:tcBorders>
              <w:top w:val="single" w:color="000000" w:sz="4" w:space="0"/>
              <w:left w:val="single" w:color="000000" w:sz="4" w:space="0"/>
              <w:bottom w:val="single" w:color="000000" w:sz="4" w:space="0"/>
              <w:right w:val="single" w:color="000000" w:sz="4" w:space="0"/>
            </w:tcBorders>
            <w:tcW w:w="471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负责采购人各科室被服、隔离衣收取和送达，污、洁分开，避免污染，收发登记无误，准确率≥99%，特殊天气或特殊情况要想办法满足临床需求。</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0.5分/次</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149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洗涤</w:t>
            </w:r>
            <w:r/>
          </w:p>
        </w:tc>
        <w:tc>
          <w:tcPr>
            <w:tcBorders>
              <w:top w:val="single" w:color="000000" w:sz="4" w:space="0"/>
              <w:left w:val="single" w:color="000000" w:sz="4" w:space="0"/>
              <w:bottom w:val="single" w:color="000000" w:sz="4" w:space="0"/>
              <w:right w:val="single" w:color="000000" w:sz="4" w:space="0"/>
            </w:tcBorders>
            <w:tcW w:w="471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洗涤使用洗涤剂应符合国家卫生标准，洗涤中使用消毒剂的浓度符合院感要求。</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0.5分/次</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85"/>
        </w:trPr>
        <w:tc>
          <w:tcPr>
            <w:tcBorders>
              <w:top w:val="single" w:color="000000" w:sz="4" w:space="0"/>
              <w:left w:val="single" w:color="000000" w:sz="4" w:space="0"/>
              <w:bottom w:val="single" w:color="000000" w:sz="4" w:space="0"/>
              <w:right w:val="single" w:color="000000" w:sz="4" w:space="0"/>
            </w:tcBorders>
            <w:tcW w:w="149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洗涤质量标准</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45</w:t>
            </w:r>
            <w:r>
              <w:rPr>
                <w:rFonts w:hint="eastAsia" w:ascii="宋体" w:hAnsi="宋体" w:eastAsia="宋体" w:cs="宋体"/>
                <w:color w:val="auto"/>
                <w:sz w:val="21"/>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1368"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病房布类要求  </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471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1、洗涤后的布类、病员服都要做到清洁、干净，无血渍、污渍残留。</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0.5分/件</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49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68"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71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2、要烘干到位，特别是被套类，按规范平烫、折叠。</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0.5分/件</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25"/>
        </w:trPr>
        <w:tc>
          <w:tcPr>
            <w:tcBorders>
              <w:top w:val="single" w:color="000000" w:sz="4" w:space="0"/>
              <w:left w:val="single" w:color="000000" w:sz="4" w:space="0"/>
              <w:bottom w:val="single" w:color="000000" w:sz="4" w:space="0"/>
              <w:right w:val="single" w:color="000000" w:sz="4" w:space="0"/>
            </w:tcBorders>
            <w:tcW w:w="149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68"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71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3、被服如有裂缝和小洞应及时缝补，缝补平整美观。</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0.5分/件</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55"/>
        </w:trPr>
        <w:tc>
          <w:tcPr>
            <w:tcBorders>
              <w:top w:val="single" w:color="000000" w:sz="4" w:space="0"/>
              <w:left w:val="single" w:color="000000" w:sz="4" w:space="0"/>
              <w:bottom w:val="single" w:color="000000" w:sz="4" w:space="0"/>
              <w:right w:val="single" w:color="000000" w:sz="4" w:space="0"/>
            </w:tcBorders>
            <w:tcW w:w="149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68"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71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4、固定数量一定要清点核对，正确分类，确保发放质量。如数量不符说明原因</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0.5分/件</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75"/>
        </w:trPr>
        <w:tc>
          <w:tcPr>
            <w:tcBorders>
              <w:top w:val="single" w:color="000000" w:sz="4" w:space="0"/>
              <w:left w:val="single" w:color="000000" w:sz="4" w:space="0"/>
              <w:bottom w:val="single" w:color="000000" w:sz="4" w:space="0"/>
              <w:right w:val="single" w:color="000000" w:sz="4" w:space="0"/>
            </w:tcBorders>
            <w:tcW w:w="149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68"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手术布类要求</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471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1、确保所有的布类都洗涤干净，无血迹、污渍、毛絮残留、异物，无破损（4分）</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0.5分/件</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49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68"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71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2、布类按要求折叠到位，尤其是手术衣、洞巾等。</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0.5分/件</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149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68"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71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3、达到报废的手术布类一定要及时单独打包送回库房清点。</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0.5分/件</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49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68"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71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4、固定数量一定要清点核对，认真负责，确保发放质量。如数量不符说明原因</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2分/件</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30"/>
        </w:trPr>
        <w:tc>
          <w:tcPr>
            <w:tcBorders>
              <w:top w:val="single" w:color="000000" w:sz="4" w:space="0"/>
              <w:left w:val="single" w:color="000000" w:sz="4" w:space="0"/>
              <w:bottom w:val="single" w:color="000000" w:sz="4" w:space="0"/>
              <w:right w:val="single" w:color="000000" w:sz="4" w:space="0"/>
            </w:tcBorders>
            <w:tcW w:w="149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68"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工作服</w:t>
            </w:r>
            <w:r/>
          </w:p>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471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1、工作服洗涤干净，洁白、平整、无明显皱褶特别是衣领、袖口、口袋边缘及裤脚边缘（3分）</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0.5分/件</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15"/>
        </w:trPr>
        <w:tc>
          <w:tcPr>
            <w:tcBorders>
              <w:top w:val="single" w:color="000000" w:sz="4" w:space="0"/>
              <w:left w:val="single" w:color="000000" w:sz="4" w:space="0"/>
              <w:bottom w:val="single" w:color="000000" w:sz="4" w:space="0"/>
              <w:right w:val="single" w:color="000000" w:sz="4" w:space="0"/>
            </w:tcBorders>
            <w:tcW w:w="149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68"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71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2、工作服不缺扣（松紧带完好），有破损的应及时缝补。（3分）</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0.5分/件</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49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68"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71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3、工作服要烘干、平烫整齐，特别是相关专用的工作服。（2分）</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0.5分/件</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55"/>
        </w:trPr>
        <w:tc>
          <w:tcPr>
            <w:tcBorders>
              <w:top w:val="single" w:color="000000" w:sz="4" w:space="0"/>
              <w:left w:val="single" w:color="000000" w:sz="4" w:space="0"/>
              <w:bottom w:val="single" w:color="000000" w:sz="4" w:space="0"/>
              <w:right w:val="single" w:color="000000" w:sz="4" w:space="0"/>
            </w:tcBorders>
            <w:tcW w:w="149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68"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71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4、工作服按科室按内穿衣的大、中、小码分类清楚。（2分）</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0.5分/件</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85"/>
        </w:trPr>
        <w:tc>
          <w:tcPr>
            <w:tcBorders>
              <w:top w:val="single" w:color="000000" w:sz="4" w:space="0"/>
              <w:left w:val="single" w:color="000000" w:sz="4" w:space="0"/>
              <w:bottom w:val="single" w:color="000000" w:sz="4" w:space="0"/>
              <w:right w:val="single" w:color="000000" w:sz="4" w:space="0"/>
            </w:tcBorders>
            <w:tcW w:w="149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68"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71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5、固定数量一定要清点核对，认真负责，确保发放质量。如数量不符说明原因（8分）</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4分/件</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45"/>
        </w:trPr>
        <w:tc>
          <w:tcPr>
            <w:gridSpan w:val="2"/>
            <w:tcBorders>
              <w:top w:val="single" w:color="000000" w:sz="4" w:space="0"/>
              <w:left w:val="single" w:color="000000" w:sz="4" w:space="0"/>
              <w:bottom w:val="single" w:color="000000" w:sz="4" w:space="0"/>
              <w:right w:val="single" w:color="000000" w:sz="4" w:space="0"/>
            </w:tcBorders>
            <w:tcW w:w="286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其他服务标准</w:t>
            </w:r>
            <w:r/>
          </w:p>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471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1、送洗物品按时收送，每日上午下收的洗涤物品于次日上午送回，按照采购人提供收送物品流程操作，不得出现其他单位的物件，不准擅自更改收送时间。（10分）</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1分/次/项</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705"/>
        </w:trPr>
        <w:tc>
          <w:tcPr>
            <w:gridSpan w:val="2"/>
            <w:tcBorders>
              <w:top w:val="single" w:color="000000" w:sz="4" w:space="0"/>
              <w:left w:val="single" w:color="000000" w:sz="4" w:space="0"/>
              <w:bottom w:val="single" w:color="000000" w:sz="4" w:space="0"/>
              <w:right w:val="single" w:color="000000" w:sz="4" w:space="0"/>
            </w:tcBorders>
            <w:tcW w:w="286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71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2、送洗物品洗涤不净的需返厂二次洗涤，不得重复收取洗涤费用；如因消毒液不均、过度烘干损坏的，要按实赔偿。</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1分/次/项</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00"/>
        </w:trPr>
        <w:tc>
          <w:tcPr>
            <w:gridSpan w:val="2"/>
            <w:tcBorders>
              <w:top w:val="single" w:color="000000" w:sz="4" w:space="0"/>
              <w:left w:val="single" w:color="000000" w:sz="4" w:space="0"/>
              <w:bottom w:val="single" w:color="000000" w:sz="4" w:space="0"/>
              <w:right w:val="single" w:color="000000" w:sz="4" w:space="0"/>
            </w:tcBorders>
            <w:tcW w:w="286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71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3、污脏被服认真做好分检、点数的工作。做到双方核实签名。如遇到送洗病区物品缺少时，说明原因并打出欠条，次日交物品取回欠条，否则按实赔偿。（10分）</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2分/次/项</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90"/>
        </w:trPr>
        <w:tc>
          <w:tcPr>
            <w:gridSpan w:val="2"/>
            <w:tcBorders>
              <w:top w:val="single" w:color="000000" w:sz="4" w:space="0"/>
              <w:left w:val="single" w:color="000000" w:sz="4" w:space="0"/>
              <w:bottom w:val="single" w:color="000000" w:sz="4" w:space="0"/>
              <w:right w:val="single" w:color="000000" w:sz="4" w:space="0"/>
            </w:tcBorders>
            <w:tcW w:w="28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损坏率(以新被服使用时间不超过3个月的为标准）</w:t>
            </w:r>
            <w:r/>
          </w:p>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（10分）</w:t>
            </w:r>
            <w:r/>
          </w:p>
        </w:tc>
        <w:tc>
          <w:tcPr>
            <w:tcBorders>
              <w:top w:val="single" w:color="000000" w:sz="4" w:space="0"/>
              <w:left w:val="single" w:color="000000" w:sz="4" w:space="0"/>
              <w:bottom w:val="single" w:color="000000" w:sz="4" w:space="0"/>
              <w:right w:val="single" w:color="000000" w:sz="4" w:space="0"/>
            </w:tcBorders>
            <w:tcW w:w="471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每次洗涤的损坏率控制在3%之内，在此范围内的损坏数属机洗的正常情况。超过此范围的送洗物品损坏要按实赔偿，且扣除该件物品的洗涤费。（10分）</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2分/次/项</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35"/>
        </w:trPr>
        <w:tc>
          <w:tcPr>
            <w:gridSpan w:val="2"/>
            <w:tcBorders>
              <w:top w:val="single" w:color="000000" w:sz="4" w:space="0"/>
              <w:left w:val="single" w:color="000000" w:sz="4" w:space="0"/>
              <w:bottom w:val="single" w:color="000000" w:sz="4" w:space="0"/>
              <w:right w:val="single" w:color="000000" w:sz="4" w:space="0"/>
            </w:tcBorders>
            <w:tcW w:w="286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c>
          <w:tcPr>
            <w:tcBorders>
              <w:top w:val="single" w:color="000000" w:sz="4" w:space="0"/>
              <w:left w:val="single" w:color="000000" w:sz="4" w:space="0"/>
              <w:bottom w:val="single" w:color="000000" w:sz="4" w:space="0"/>
              <w:right w:val="single" w:color="000000" w:sz="4" w:space="0"/>
            </w:tcBorders>
            <w:tcW w:w="471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1、本月考核所扣费用经双方确认签字后，在本月洗涤费中扣除。</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35"/>
        </w:trPr>
        <w:tc>
          <w:tcPr>
            <w:gridSpan w:val="2"/>
            <w:tcBorders>
              <w:top w:val="single" w:color="000000" w:sz="4" w:space="0"/>
              <w:left w:val="single" w:color="000000" w:sz="4" w:space="0"/>
              <w:bottom w:val="single" w:color="000000" w:sz="4" w:space="0"/>
              <w:right w:val="single" w:color="000000" w:sz="4" w:space="0"/>
            </w:tcBorders>
            <w:tcW w:w="286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71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2、本月在洗涤客服微信群内被投诉次数≥3次，扣除本月洗涤费1000元</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35"/>
        </w:trPr>
        <w:tc>
          <w:tcPr>
            <w:gridSpan w:val="2"/>
            <w:tcBorders>
              <w:top w:val="single" w:color="000000" w:sz="4" w:space="0"/>
              <w:left w:val="single" w:color="000000" w:sz="4" w:space="0"/>
              <w:bottom w:val="single" w:color="000000" w:sz="4" w:space="0"/>
              <w:right w:val="single" w:color="000000" w:sz="4" w:space="0"/>
            </w:tcBorders>
            <w:tcW w:w="286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71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3、本月考核总分100分，80分为合格，每低于合格分 1分，扣除本月洗涤费的1%  。</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rPr>
          <w:rFonts w:hint="eastAsia" w:ascii="宋体" w:hAnsi="宋体"/>
          <w:color w:val="auto"/>
          <w:highlight w:val="none"/>
        </w:rPr>
      </w:pPr>
      <w:r>
        <w:rPr>
          <w:rFonts w:hint="eastAsia" w:ascii="宋体" w:hAnsi="宋体" w:cs="宋体"/>
          <w:i/>
          <w:iCs/>
          <w:color w:val="auto"/>
          <w:szCs w:val="20"/>
          <w:highlight w:val="none"/>
          <w:u w:val="single"/>
        </w:rPr>
        <w:br w:type="page" w:clear="all"/>
      </w:r>
      <w:bookmarkEnd w:id="30"/>
      <w:r/>
      <w:bookmarkStart w:id="33" w:name="_Toc497133123"/>
      <w:r>
        <w:rPr>
          <w:rFonts w:hint="eastAsia" w:ascii="宋体" w:hAnsi="宋体"/>
          <w:b/>
          <w:bCs/>
          <w:color w:val="auto"/>
          <w:sz w:val="36"/>
          <w:highlight w:val="none"/>
        </w:rPr>
        <w:t xml:space="preserve">第五章 评标方法及评标标准</w:t>
      </w:r>
      <w:r/>
    </w:p>
    <w:p>
      <w:pPr>
        <w:pStyle w:val="1148"/>
        <w:ind w:firstLine="422"/>
        <w:jc w:val="both"/>
        <w:spacing w:before="0" w:after="0"/>
        <w:rPr>
          <w:rFonts w:hint="eastAsia" w:ascii="宋体" w:hAnsi="宋体" w:cs="宋体"/>
          <w:b/>
          <w:color w:val="auto"/>
          <w:szCs w:val="21"/>
          <w:highlight w:val="none"/>
        </w:rPr>
      </w:pPr>
      <w:r>
        <w:rPr>
          <w:rFonts w:hint="eastAsia" w:ascii="宋体" w:hAnsi="宋体" w:cs="宋体"/>
          <w:b/>
          <w:color w:val="auto"/>
          <w:szCs w:val="21"/>
          <w:highlight w:val="none"/>
        </w:rPr>
        <w:t xml:space="preserve">一、评标方法</w:t>
      </w:r>
      <w:r/>
    </w:p>
    <w:p>
      <w:pPr>
        <w:pStyle w:val="1148"/>
        <w:ind w:firstLine="420"/>
        <w:jc w:val="both"/>
        <w:spacing w:before="0" w:after="0"/>
        <w:rPr>
          <w:rFonts w:hint="eastAsia" w:ascii="宋体" w:hAnsi="宋体" w:cs="宋体"/>
          <w:color w:val="auto"/>
          <w:szCs w:val="21"/>
          <w:highlight w:val="none"/>
        </w:rPr>
      </w:pPr>
      <w:r>
        <w:rPr>
          <w:rFonts w:hint="eastAsia" w:ascii="宋体" w:hAnsi="宋体" w:cs="宋体"/>
          <w:color w:val="auto"/>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二、政府采购政策功能落实</w:t>
      </w:r>
      <w:r/>
    </w:p>
    <w:p>
      <w:pPr>
        <w:ind w:firstLine="420"/>
        <w:spacing w:line="360" w:lineRule="auto"/>
        <w:rPr>
          <w:rFonts w:hint="eastAsia" w:ascii="宋体" w:hAnsi="宋体" w:cs="宋体"/>
          <w:b/>
          <w:color w:val="auto"/>
          <w:szCs w:val="21"/>
          <w:highlight w:val="none"/>
        </w:rPr>
      </w:pPr>
      <w:r>
        <w:rPr>
          <w:rFonts w:hint="eastAsia" w:ascii="宋体" w:hAnsi="宋体" w:cs="宋体"/>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148"/>
        <w:ind w:firstLine="420"/>
        <w:spacing w:before="0" w:after="0"/>
        <w:rPr>
          <w:rFonts w:hint="eastAsia" w:ascii="宋体" w:hAnsi="宋体" w:cs="宋体"/>
          <w:color w:val="auto"/>
          <w:szCs w:val="21"/>
          <w:highlight w:val="none"/>
        </w:rPr>
      </w:pPr>
      <w:r>
        <w:rPr>
          <w:rFonts w:hint="eastAsia" w:ascii="宋体" w:hAnsi="宋体" w:cs="宋体"/>
          <w:color w:val="auto"/>
          <w:szCs w:val="21"/>
          <w:highlight w:val="none"/>
        </w:rPr>
        <w:t xml:space="preserve">1.小微型企业价格扣除</w:t>
      </w:r>
      <w:r/>
    </w:p>
    <w:p>
      <w:pPr>
        <w:pStyle w:val="1148"/>
        <w:ind w:firstLine="420"/>
        <w:spacing w:before="0" w:after="0"/>
        <w:rPr>
          <w:rFonts w:hint="eastAsia" w:ascii="宋体" w:hAnsi="宋体" w:cs="宋体"/>
          <w:color w:val="auto"/>
          <w:szCs w:val="21"/>
          <w:highlight w:val="none"/>
        </w:rPr>
      </w:pPr>
      <w:r>
        <w:rPr>
          <w:rFonts w:hint="eastAsia" w:ascii="宋体" w:hAnsi="宋体" w:cs="宋体"/>
          <w:color w:val="auto"/>
          <w:szCs w:val="21"/>
          <w:highlight w:val="none"/>
        </w:rPr>
        <w:t xml:space="preserve">（1）本项目对小型和微型企业产品给予</w:t>
      </w:r>
      <w:r>
        <w:rPr>
          <w:rFonts w:hint="eastAsia" w:ascii="宋体" w:hAnsi="宋体" w:cs="宋体"/>
          <w:color w:val="auto"/>
          <w:szCs w:val="21"/>
          <w:highlight w:val="none"/>
          <w:u w:val="single"/>
          <w:lang w:val="en-US" w:eastAsia="zh-CN"/>
        </w:rPr>
        <w:t xml:space="preserve">/</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的扣除价格，用扣除后的价格参与评审。</w:t>
      </w:r>
      <w:r/>
    </w:p>
    <w:p>
      <w:pPr>
        <w:pStyle w:val="1148"/>
        <w:ind w:firstLine="420"/>
        <w:spacing w:before="0" w:after="0"/>
        <w:rPr>
          <w:rFonts w:hint="eastAsia" w:ascii="宋体" w:hAnsi="宋体" w:cs="宋体"/>
          <w:color w:val="auto"/>
          <w:szCs w:val="21"/>
          <w:highlight w:val="none"/>
        </w:rPr>
      </w:pPr>
      <w:r>
        <w:rPr>
          <w:rFonts w:hint="eastAsia" w:ascii="宋体" w:hAnsi="宋体" w:cs="宋体"/>
          <w:color w:val="auto"/>
          <w:szCs w:val="21"/>
          <w:highlight w:val="none"/>
        </w:rPr>
        <w:t xml:space="preserve">（2）供应商需按照采购文件的要求提供相应的《中小企业声明函》。</w:t>
      </w:r>
      <w:r/>
    </w:p>
    <w:p>
      <w:pPr>
        <w:pStyle w:val="1148"/>
        <w:ind w:firstLine="420"/>
        <w:spacing w:before="0" w:after="0"/>
        <w:rPr>
          <w:rFonts w:hint="eastAsia" w:ascii="宋体" w:hAnsi="宋体" w:cs="宋体"/>
          <w:color w:val="auto"/>
          <w:szCs w:val="21"/>
          <w:highlight w:val="none"/>
        </w:rPr>
      </w:pPr>
      <w:r>
        <w:rPr>
          <w:rFonts w:hint="eastAsia" w:ascii="宋体" w:hAnsi="宋体" w:cs="宋体"/>
          <w:color w:val="auto"/>
          <w:szCs w:val="21"/>
          <w:highlight w:val="none"/>
        </w:rPr>
        <w:t xml:space="preserve">2.残疾人福利单位价格扣除</w:t>
      </w:r>
      <w:r/>
    </w:p>
    <w:p>
      <w:pPr>
        <w:pStyle w:val="1148"/>
        <w:ind w:firstLine="420"/>
        <w:spacing w:before="0" w:after="0"/>
        <w:rPr>
          <w:rFonts w:hint="eastAsia" w:ascii="宋体" w:hAnsi="宋体" w:cs="宋体"/>
          <w:color w:val="auto"/>
          <w:szCs w:val="21"/>
          <w:highlight w:val="none"/>
        </w:rPr>
      </w:pPr>
      <w:r>
        <w:rPr>
          <w:rFonts w:hint="eastAsia" w:ascii="宋体" w:hAnsi="宋体" w:cs="宋体"/>
          <w:color w:val="auto"/>
          <w:szCs w:val="21"/>
          <w:highlight w:val="none"/>
        </w:rPr>
        <w:t xml:space="preserve">（1）本项目对残疾人福利性单位视同小型、微型企业，给予</w:t>
      </w:r>
      <w:r>
        <w:rPr>
          <w:rFonts w:hint="eastAsia" w:ascii="宋体" w:hAnsi="宋体" w:cs="宋体"/>
          <w:color w:val="auto"/>
          <w:szCs w:val="21"/>
          <w:highlight w:val="none"/>
          <w:u w:val="single"/>
          <w:lang w:val="en-US" w:eastAsia="zh-CN"/>
        </w:rPr>
        <w:t xml:space="preserve">/</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的价格扣除，用扣除后的价格参与评审。</w:t>
      </w:r>
      <w:r/>
    </w:p>
    <w:p>
      <w:pPr>
        <w:pStyle w:val="1148"/>
        <w:ind w:firstLine="420"/>
        <w:spacing w:before="0" w:after="0"/>
        <w:rPr>
          <w:rFonts w:hint="eastAsia" w:ascii="宋体" w:hAnsi="宋体" w:cs="宋体"/>
          <w:color w:val="auto"/>
          <w:szCs w:val="21"/>
          <w:highlight w:val="none"/>
        </w:rPr>
      </w:pPr>
      <w:r>
        <w:rPr>
          <w:rFonts w:hint="eastAsia" w:ascii="宋体" w:hAnsi="宋体" w:cs="宋体"/>
          <w:color w:val="auto"/>
          <w:szCs w:val="21"/>
          <w:highlight w:val="none"/>
        </w:rPr>
        <w:t xml:space="preserve">（2）残疾人福利单位需按照采购文件的要求提供《残疾人福利性单位声明函》。</w:t>
      </w:r>
      <w:r/>
    </w:p>
    <w:p>
      <w:pPr>
        <w:pStyle w:val="1148"/>
        <w:ind w:firstLine="420"/>
        <w:spacing w:before="0" w:after="0"/>
        <w:rPr>
          <w:rFonts w:hint="eastAsia" w:ascii="宋体" w:hAnsi="宋体" w:cs="宋体"/>
          <w:color w:val="auto"/>
          <w:szCs w:val="21"/>
          <w:highlight w:val="none"/>
        </w:rPr>
      </w:pPr>
      <w:r>
        <w:rPr>
          <w:rFonts w:hint="eastAsia" w:ascii="宋体" w:hAnsi="宋体" w:cs="宋体"/>
          <w:color w:val="auto"/>
          <w:szCs w:val="21"/>
          <w:highlight w:val="none"/>
        </w:rPr>
        <w:t xml:space="preserve">（3）残疾人福利单位标准请参照《关于促进残疾人就业政府采购政策的通知》（财库2017〕141号）。</w:t>
      </w:r>
      <w:r/>
    </w:p>
    <w:p>
      <w:pPr>
        <w:pStyle w:val="1148"/>
        <w:ind w:firstLine="420"/>
        <w:spacing w:before="0" w:after="0"/>
        <w:rPr>
          <w:rFonts w:hint="eastAsia" w:ascii="宋体" w:hAnsi="宋体" w:cs="宋体"/>
          <w:color w:val="auto"/>
          <w:szCs w:val="21"/>
          <w:highlight w:val="none"/>
        </w:rPr>
      </w:pPr>
      <w:r>
        <w:rPr>
          <w:rFonts w:hint="eastAsia" w:ascii="宋体" w:hAnsi="宋体" w:cs="宋体"/>
          <w:color w:val="auto"/>
          <w:szCs w:val="21"/>
          <w:highlight w:val="none"/>
        </w:rPr>
        <w:t xml:space="preserve">3.监狱和戒毒企业价格扣除</w:t>
      </w:r>
      <w:r/>
    </w:p>
    <w:p>
      <w:pPr>
        <w:pStyle w:val="1148"/>
        <w:ind w:firstLine="420"/>
        <w:spacing w:before="0" w:after="0"/>
        <w:rPr>
          <w:rFonts w:hint="eastAsia" w:ascii="宋体" w:hAnsi="宋体" w:cs="宋体"/>
          <w:color w:val="auto"/>
          <w:szCs w:val="21"/>
          <w:highlight w:val="none"/>
        </w:rPr>
      </w:pPr>
      <w:r>
        <w:rPr>
          <w:rFonts w:hint="eastAsia" w:ascii="宋体" w:hAnsi="宋体" w:cs="宋体"/>
          <w:color w:val="auto"/>
          <w:szCs w:val="21"/>
          <w:highlight w:val="none"/>
        </w:rPr>
        <w:t xml:space="preserve">（1）本项目对监狱和戒毒企业（简称监狱企业）视同小型、微型企业，给予</w:t>
      </w:r>
      <w:r>
        <w:rPr>
          <w:rFonts w:hint="eastAsia" w:ascii="宋体" w:hAnsi="宋体" w:cs="宋体"/>
          <w:color w:val="auto"/>
          <w:szCs w:val="21"/>
          <w:highlight w:val="none"/>
          <w:u w:val="single"/>
          <w:lang w:val="en-US" w:eastAsia="zh-CN"/>
        </w:rPr>
        <w:t xml:space="preserve">/</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的价格扣除，用扣除后的价格参与评审。</w:t>
      </w:r>
      <w:r/>
    </w:p>
    <w:p>
      <w:pPr>
        <w:pStyle w:val="1148"/>
        <w:ind w:firstLine="420"/>
        <w:spacing w:before="0" w:after="0"/>
        <w:rPr>
          <w:rFonts w:hint="eastAsia" w:ascii="宋体" w:hAnsi="宋体" w:cs="宋体"/>
          <w:color w:val="auto"/>
          <w:szCs w:val="21"/>
          <w:highlight w:val="none"/>
        </w:rPr>
      </w:pPr>
      <w:r>
        <w:rPr>
          <w:rFonts w:hint="eastAsia" w:ascii="宋体" w:hAnsi="宋体" w:cs="宋体"/>
          <w:color w:val="auto"/>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148"/>
        <w:ind w:firstLine="420"/>
        <w:spacing w:before="0" w:after="0"/>
        <w:rPr>
          <w:rFonts w:hint="eastAsia" w:ascii="宋体" w:hAnsi="宋体" w:cs="宋体"/>
          <w:color w:val="auto"/>
          <w:szCs w:val="21"/>
          <w:highlight w:val="none"/>
        </w:rPr>
      </w:pPr>
      <w:r>
        <w:rPr>
          <w:rFonts w:hint="eastAsia" w:ascii="宋体" w:hAnsi="宋体" w:cs="宋体"/>
          <w:color w:val="auto"/>
          <w:szCs w:val="21"/>
          <w:highlight w:val="none"/>
        </w:rPr>
        <w:t xml:space="preserve">（3）监狱企业标准请参照《关于政府采购支持监狱企业发展有关问题的通知》（财库[2014]68号）。</w:t>
      </w:r>
      <w:r/>
    </w:p>
    <w:p>
      <w:pPr>
        <w:pStyle w:val="1148"/>
        <w:ind w:firstLine="420"/>
        <w:spacing w:before="0" w:after="0"/>
        <w:rPr>
          <w:rFonts w:hint="eastAsia" w:ascii="宋体" w:hAnsi="宋体" w:cs="宋体"/>
          <w:color w:val="auto"/>
          <w:szCs w:val="21"/>
          <w:highlight w:val="none"/>
        </w:rPr>
      </w:pPr>
      <w:r>
        <w:rPr>
          <w:rFonts w:hint="eastAsia" w:ascii="宋体" w:hAnsi="宋体" w:cs="宋体"/>
          <w:color w:val="auto"/>
          <w:szCs w:val="21"/>
          <w:highlight w:val="none"/>
        </w:rPr>
        <w:t xml:space="preserve">4.残疾人福利单位、监狱企业属于小型、微型企业的，不重复享受政策。</w:t>
      </w:r>
      <w:r/>
    </w:p>
    <w:p>
      <w:pPr>
        <w:pStyle w:val="1148"/>
        <w:ind w:firstLine="420"/>
        <w:spacing w:before="0" w:after="0"/>
        <w:rPr>
          <w:rFonts w:hint="eastAsia" w:ascii="宋体" w:hAnsi="宋体" w:cs="宋体"/>
          <w:color w:val="auto"/>
          <w:szCs w:val="21"/>
          <w:highlight w:val="none"/>
        </w:rPr>
      </w:pPr>
      <w:r>
        <w:rPr>
          <w:rFonts w:hint="eastAsia" w:ascii="宋体" w:hAnsi="宋体" w:cs="宋体"/>
          <w:color w:val="auto"/>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cs="宋体"/>
          <w:color w:val="auto"/>
          <w:szCs w:val="21"/>
          <w:highlight w:val="none"/>
          <w:u w:val="single"/>
          <w:lang w:val="en-US" w:eastAsia="zh-CN"/>
        </w:rPr>
        <w:t xml:space="preserve">/</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的价格扣除，用扣除后的价格参与评审。</w:t>
      </w:r>
      <w:r/>
    </w:p>
    <w:p>
      <w:pPr>
        <w:pStyle w:val="1148"/>
        <w:ind w:firstLine="420"/>
        <w:spacing w:before="0" w:after="0"/>
        <w:rPr>
          <w:rFonts w:hint="eastAsia" w:ascii="宋体" w:hAnsi="宋体" w:cs="宋体"/>
          <w:color w:val="auto"/>
          <w:szCs w:val="21"/>
          <w:highlight w:val="none"/>
        </w:rPr>
      </w:pPr>
      <w:r>
        <w:rPr>
          <w:rFonts w:hint="eastAsia" w:ascii="宋体" w:hAnsi="宋体" w:cs="宋体"/>
          <w:color w:val="auto"/>
          <w:szCs w:val="21"/>
          <w:highlight w:val="none"/>
        </w:rPr>
        <w:t xml:space="preserve">6.联合体各方均为小型、微型企业（残疾人福利单位、监狱企业）的，联合体享受</w:t>
      </w:r>
      <w:r>
        <w:rPr>
          <w:rFonts w:hint="eastAsia" w:ascii="宋体" w:hAnsi="宋体" w:cs="宋体"/>
          <w:color w:val="auto"/>
          <w:szCs w:val="21"/>
          <w:highlight w:val="none"/>
          <w:u w:val="single"/>
          <w:lang w:val="en-US" w:eastAsia="zh-CN"/>
        </w:rPr>
        <w:t xml:space="preserve">/</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价格扣除，用扣除后的价格参与评审。</w:t>
      </w:r>
      <w:r/>
    </w:p>
    <w:p>
      <w:pPr>
        <w:pStyle w:val="1148"/>
        <w:ind w:firstLine="420"/>
        <w:spacing w:before="0" w:after="0"/>
        <w:rPr>
          <w:rFonts w:hint="eastAsia" w:ascii="宋体" w:hAnsi="宋体" w:cs="宋体"/>
          <w:color w:val="auto"/>
          <w:szCs w:val="21"/>
          <w:highlight w:val="none"/>
        </w:rPr>
      </w:pPr>
      <w:r>
        <w:rPr>
          <w:rFonts w:hint="eastAsia" w:ascii="宋体" w:hAnsi="宋体" w:cs="宋体"/>
          <w:color w:val="auto"/>
          <w:szCs w:val="21"/>
          <w:highlight w:val="none"/>
        </w:rPr>
        <w:t xml:space="preserve">7.大中型企业向小型、微型企业分包的，分包意向协议约定小型、微型企业合同份额占到合同总金额30%以上的，给予</w:t>
      </w:r>
      <w:r>
        <w:rPr>
          <w:rFonts w:hint="eastAsia" w:ascii="宋体" w:hAnsi="宋体" w:cs="宋体"/>
          <w:color w:val="auto"/>
          <w:szCs w:val="21"/>
          <w:highlight w:val="none"/>
          <w:u w:val="single"/>
          <w:lang w:val="en-US" w:eastAsia="zh-CN"/>
        </w:rPr>
        <w:t xml:space="preserve">/</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的价格扣除，用扣除后的价格参与评审。</w:t>
      </w:r>
      <w:r/>
    </w:p>
    <w:p>
      <w:pPr>
        <w:pStyle w:val="1148"/>
        <w:ind w:firstLine="420"/>
        <w:spacing w:before="0" w:after="0"/>
        <w:rPr>
          <w:rFonts w:hint="eastAsia" w:ascii="宋体" w:hAnsi="宋体" w:cs="宋体"/>
          <w:color w:val="auto"/>
          <w:szCs w:val="21"/>
          <w:highlight w:val="none"/>
        </w:rPr>
      </w:pPr>
      <w:r>
        <w:rPr>
          <w:rFonts w:hint="eastAsia" w:ascii="宋体" w:hAnsi="宋体" w:cs="宋体"/>
          <w:color w:val="auto"/>
          <w:szCs w:val="21"/>
          <w:highlight w:val="none"/>
        </w:rPr>
        <w:t xml:space="preserve">8.采购本国产品的支持政策</w:t>
      </w:r>
      <w:r/>
    </w:p>
    <w:p>
      <w:pPr>
        <w:pStyle w:val="1148"/>
        <w:ind w:firstLine="420"/>
        <w:spacing w:before="0" w:after="0"/>
        <w:rPr>
          <w:rFonts w:hint="eastAsia" w:ascii="宋体" w:hAnsi="宋体" w:cs="宋体"/>
          <w:color w:val="auto"/>
          <w:szCs w:val="21"/>
          <w:highlight w:val="none"/>
        </w:rPr>
      </w:pPr>
      <w:r>
        <w:rPr>
          <w:rFonts w:hint="eastAsia" w:ascii="宋体" w:hAnsi="宋体" w:cs="宋体"/>
          <w:color w:val="auto"/>
          <w:szCs w:val="21"/>
          <w:highlight w:val="none"/>
        </w:rPr>
        <w:t xml:space="preserve">8.1 本项目政府采购活动中既有本国产品又有非本国产品参与竞争的，依法对本国产品给予价格评审优惠，对本国产品的报价给予 20%的价格扣除，用扣除后的价格参与评审。</w:t>
      </w:r>
      <w:r/>
    </w:p>
    <w:p>
      <w:pPr>
        <w:pStyle w:val="1148"/>
        <w:ind w:firstLine="420"/>
        <w:spacing w:before="0" w:after="0"/>
        <w:rPr>
          <w:rFonts w:hint="eastAsia" w:ascii="宋体" w:hAnsi="宋体" w:cs="宋体"/>
          <w:color w:val="auto"/>
          <w:szCs w:val="21"/>
          <w:highlight w:val="none"/>
        </w:rPr>
      </w:pPr>
      <w:r>
        <w:rPr>
          <w:rFonts w:hint="eastAsia" w:ascii="宋体" w:hAnsi="宋体" w:cs="宋体"/>
          <w:color w:val="auto"/>
          <w:szCs w:val="21"/>
          <w:highlight w:val="none"/>
        </w:rPr>
        <w:t xml:space="preserve">8.2 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148"/>
        <w:ind w:firstLine="420"/>
        <w:spacing w:before="0" w:after="0"/>
        <w:rPr>
          <w:rFonts w:hint="eastAsia" w:ascii="宋体" w:hAnsi="宋体" w:cs="宋体"/>
          <w:color w:val="auto"/>
          <w:szCs w:val="21"/>
          <w:highlight w:val="none"/>
        </w:rPr>
      </w:pPr>
      <w:r>
        <w:rPr>
          <w:rFonts w:hint="eastAsia" w:ascii="宋体" w:hAnsi="宋体" w:cs="宋体"/>
          <w:color w:val="auto"/>
          <w:szCs w:val="21"/>
          <w:highlight w:val="none"/>
        </w:rPr>
        <w:t xml:space="preserve">8.3 供应商需按照招标文件的要求提供《关于符合本国产品标准的声明函》（以下简称《声明函》），如不提供将不享受本国产品价格评审优惠。</w:t>
      </w:r>
      <w:r/>
    </w:p>
    <w:p>
      <w:pPr>
        <w:pStyle w:val="1148"/>
        <w:ind w:firstLine="420"/>
        <w:spacing w:before="0" w:after="0"/>
        <w:rPr>
          <w:rFonts w:hint="eastAsia" w:ascii="宋体" w:hAnsi="宋体" w:cs="宋体"/>
          <w:color w:val="auto"/>
          <w:szCs w:val="21"/>
          <w:highlight w:val="none"/>
        </w:rPr>
      </w:pPr>
      <w:r>
        <w:rPr>
          <w:rFonts w:hint="eastAsia" w:ascii="宋体" w:hAnsi="宋体" w:cs="宋体"/>
          <w:color w:val="auto"/>
          <w:szCs w:val="21"/>
          <w:highlight w:val="none"/>
        </w:rPr>
        <w:t xml:space="preserve">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148"/>
        <w:ind w:firstLine="420"/>
        <w:spacing w:before="0" w:after="0"/>
        <w:rPr>
          <w:rFonts w:hint="eastAsia" w:ascii="宋体" w:hAnsi="宋体" w:cs="宋体"/>
          <w:color w:val="auto"/>
          <w:szCs w:val="21"/>
          <w:highlight w:val="none"/>
        </w:rPr>
      </w:pPr>
      <w:r>
        <w:rPr>
          <w:rFonts w:hint="eastAsia" w:ascii="宋体" w:hAnsi="宋体" w:cs="宋体"/>
          <w:color w:val="auto"/>
          <w:szCs w:val="21"/>
          <w:highlight w:val="none"/>
        </w:rPr>
        <w:t xml:space="preserve">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148"/>
        <w:ind w:firstLine="422"/>
        <w:spacing w:before="0" w:after="0"/>
        <w:rPr>
          <w:rFonts w:hint="eastAsia" w:ascii="宋体" w:hAnsi="宋体" w:cs="宋体"/>
          <w:b/>
          <w:color w:val="auto"/>
          <w:szCs w:val="21"/>
          <w:highlight w:val="none"/>
        </w:rPr>
      </w:pPr>
      <w:r>
        <w:rPr>
          <w:rFonts w:hint="eastAsia" w:ascii="宋体" w:hAnsi="宋体" w:cs="宋体"/>
          <w:b/>
          <w:color w:val="auto"/>
          <w:szCs w:val="21"/>
          <w:highlight w:val="none"/>
        </w:rPr>
        <w:t xml:space="preserve">三、评标标准</w:t>
      </w:r>
      <w:bookmarkEnd w:id="33"/>
      <w:r/>
      <w:r/>
    </w:p>
    <w:tbl>
      <w:tblPr>
        <w:tblStyle w:val="83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16"/>
        <w:gridCol w:w="6806"/>
      </w:tblGrid>
      <w:tr>
        <w:trPr>
          <w:jc w:val="center"/>
          <w:trHeight w:val="454"/>
        </w:trPr>
        <w:tc>
          <w:tcPr>
            <w:tcW w:w="1006" w:type="pct"/>
            <w:vAlign w:val="center"/>
            <w:textDirection w:val="lrTb"/>
            <w:noWrap w:val="false"/>
          </w:tcPr>
          <w:p>
            <w:pPr>
              <w:jc w:val="center"/>
              <w:spacing w:line="360" w:lineRule="auto"/>
              <w:widowControl/>
              <w:tabs>
                <w:tab w:val="left" w:pos="1200" w:leader="none"/>
              </w:tabs>
              <w:rPr>
                <w:rFonts w:ascii="宋体" w:hAnsi="宋体" w:cs="宋体"/>
                <w:color w:val="auto"/>
                <w:szCs w:val="21"/>
                <w:highlight w:val="none"/>
              </w:rPr>
            </w:pPr>
            <w:r>
              <w:rPr>
                <w:rFonts w:hint="eastAsia" w:ascii="宋体" w:hAnsi="宋体" w:cs="宋体"/>
                <w:color w:val="auto"/>
                <w:szCs w:val="21"/>
                <w:highlight w:val="none"/>
              </w:rPr>
              <w:t xml:space="preserve">评审因素</w:t>
            </w:r>
            <w:r/>
          </w:p>
        </w:tc>
        <w:tc>
          <w:tcPr>
            <w:tcW w:w="3993" w:type="pct"/>
            <w:vAlign w:val="center"/>
            <w:textDirection w:val="lrTb"/>
            <w:noWrap w:val="false"/>
          </w:tcPr>
          <w:p>
            <w:pPr>
              <w:jc w:val="center"/>
              <w:spacing w:line="360" w:lineRule="auto"/>
              <w:widowControl/>
              <w:tabs>
                <w:tab w:val="left" w:pos="1200" w:leader="none"/>
              </w:tabs>
              <w:rPr>
                <w:rFonts w:ascii="宋体" w:hAnsi="宋体" w:cs="宋体"/>
                <w:color w:val="auto"/>
                <w:szCs w:val="21"/>
                <w:highlight w:val="none"/>
              </w:rPr>
            </w:pPr>
            <w:r>
              <w:rPr>
                <w:rFonts w:hint="eastAsia" w:ascii="宋体" w:hAnsi="宋体" w:cs="宋体"/>
                <w:color w:val="auto"/>
                <w:szCs w:val="21"/>
                <w:highlight w:val="none"/>
              </w:rPr>
              <w:t xml:space="preserve">评分标准</w:t>
            </w:r>
            <w:r/>
          </w:p>
        </w:tc>
      </w:tr>
      <w:tr>
        <w:trPr>
          <w:jc w:val="center"/>
          <w:trHeight w:val="1777"/>
        </w:trPr>
        <w:tc>
          <w:tcPr>
            <w:tcW w:w="1006" w:type="pct"/>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报价</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（10分）</w:t>
            </w:r>
            <w:r/>
          </w:p>
        </w:tc>
        <w:tc>
          <w:tcPr>
            <w:tcW w:w="3993" w:type="pct"/>
            <w:vAlign w:val="center"/>
            <w:textDirection w:val="lrTb"/>
            <w:noWrap w:val="false"/>
          </w:tcPr>
          <w:p>
            <w:pPr>
              <w:spacing w:line="360" w:lineRule="auto"/>
              <w:tabs>
                <w:tab w:val="left" w:pos="945" w:leader="none"/>
              </w:tabs>
              <w:rPr>
                <w:rFonts w:ascii="宋体" w:hAnsi="宋体" w:cs="宋体"/>
                <w:color w:val="auto"/>
                <w:szCs w:val="21"/>
                <w:highlight w:val="none"/>
              </w:rPr>
            </w:pPr>
            <w:r>
              <w:rPr>
                <w:rFonts w:hint="eastAsia" w:ascii="宋体" w:hAnsi="宋体" w:cs="宋体"/>
                <w:color w:val="auto"/>
                <w:szCs w:val="21"/>
                <w:highlight w:val="none"/>
              </w:rPr>
              <w:t xml:space="preserve">采用低价优先法计算，即满足采购文件要求且价格最低的报价为评标基准价，其供应商价格分为满分10分。其他供应商的价格分统一按照下列公式计算（计算结果四舍五入保留两位小数）：投标报价得分=（评标基准价／投标报价）×价格权值×100，结果保留两位小数。</w:t>
            </w:r>
            <w:r/>
          </w:p>
        </w:tc>
      </w:tr>
      <w:tr>
        <w:trPr>
          <w:jc w:val="center"/>
          <w:trHeight w:val="454"/>
        </w:trPr>
        <w:tc>
          <w:tcPr>
            <w:tcW w:w="1006" w:type="pct"/>
            <w:vAlign w:val="center"/>
            <w:textDirection w:val="lrTb"/>
            <w:noWrap w:val="false"/>
          </w:tcPr>
          <w:p>
            <w:pPr>
              <w:jc w:val="center"/>
              <w:spacing w:line="360" w:lineRule="auto"/>
              <w:tabs>
                <w:tab w:val="left" w:pos="403" w:leader="none"/>
              </w:tabs>
              <w:rPr>
                <w:rFonts w:ascii="宋体" w:hAnsi="宋体" w:cs="宋体"/>
                <w:color w:val="auto"/>
                <w:szCs w:val="21"/>
                <w:highlight w:val="none"/>
              </w:rPr>
            </w:pPr>
            <w:r>
              <w:rPr>
                <w:rFonts w:hint="eastAsia" w:ascii="宋体" w:hAnsi="宋体" w:cs="宋体"/>
                <w:color w:val="auto"/>
                <w:szCs w:val="21"/>
                <w:highlight w:val="none"/>
              </w:rPr>
              <w:t xml:space="preserve">业绩</w:t>
            </w:r>
            <w:r/>
          </w:p>
          <w:p>
            <w:pPr>
              <w:jc w:val="center"/>
              <w:spacing w:line="360" w:lineRule="auto"/>
              <w:tabs>
                <w:tab w:val="left" w:pos="403" w:leader="none"/>
              </w:tabs>
              <w:rPr>
                <w:rFonts w:ascii="宋体" w:hAnsi="宋体" w:cs="宋体"/>
                <w:color w:val="auto"/>
                <w:szCs w:val="21"/>
                <w:highlight w:val="none"/>
              </w:rPr>
            </w:pPr>
            <w:r>
              <w:rPr>
                <w:rFonts w:hint="eastAsia" w:ascii="宋体" w:hAnsi="宋体" w:cs="宋体"/>
                <w:color w:val="auto"/>
                <w:szCs w:val="21"/>
                <w:highlight w:val="none"/>
              </w:rPr>
              <w:t xml:space="preserve">（6分）</w:t>
            </w:r>
            <w:r/>
          </w:p>
        </w:tc>
        <w:tc>
          <w:tcPr>
            <w:tcW w:w="3993" w:type="pct"/>
            <w:vAlign w:val="center"/>
            <w:textDirection w:val="lrTb"/>
            <w:noWrap w:val="false"/>
          </w:tcPr>
          <w:p>
            <w:pPr>
              <w:spacing w:line="360" w:lineRule="auto"/>
              <w:widowControl/>
              <w:tabs>
                <w:tab w:val="left" w:pos="0" w:leader="none"/>
              </w:tabs>
              <w:rPr>
                <w:rFonts w:ascii="宋体" w:hAnsi="宋体" w:cs="宋体"/>
                <w:b/>
                <w:bCs/>
                <w:color w:val="auto"/>
                <w:szCs w:val="21"/>
                <w:highlight w:val="none"/>
              </w:rPr>
            </w:pPr>
            <w:r>
              <w:rPr>
                <w:rFonts w:hint="eastAsia" w:ascii="宋体" w:hAnsi="宋体" w:cs="宋体"/>
                <w:color w:val="auto"/>
                <w:szCs w:val="21"/>
                <w:highlight w:val="none"/>
              </w:rPr>
              <w:t xml:space="preserve">供应商202</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月1日（以合同签订日期为准）至今类似项目业绩情况：每提供1份类似业绩的得2分，最高6分。</w:t>
            </w:r>
            <w:r>
              <w:rPr>
                <w:rFonts w:hint="eastAsia" w:ascii="宋体" w:hAnsi="宋体" w:cs="宋体"/>
                <w:b/>
                <w:bCs/>
                <w:color w:val="auto"/>
                <w:szCs w:val="21"/>
                <w:highlight w:val="none"/>
              </w:rPr>
              <w:t xml:space="preserve">（投标文件中提供合同扫描件，否则不得分）</w:t>
            </w:r>
            <w:r/>
          </w:p>
        </w:tc>
      </w:tr>
      <w:tr>
        <w:trPr>
          <w:jc w:val="center"/>
          <w:trHeight w:val="454"/>
        </w:trPr>
        <w:tc>
          <w:tcPr>
            <w:tcW w:w="1006" w:type="pct"/>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体系认证</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（3分）</w:t>
            </w:r>
            <w:r/>
          </w:p>
        </w:tc>
        <w:tc>
          <w:tcPr>
            <w:tcW w:w="3993" w:type="pct"/>
            <w:vAlign w:val="center"/>
            <w:textDirection w:val="lrTb"/>
            <w:noWrap w:val="false"/>
          </w:tcPr>
          <w:p>
            <w:pPr>
              <w:spacing w:line="360" w:lineRule="auto"/>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供应商提供有效期内的环境管理体系认证、职业健康管理体系认证及质量管理体系认证证书，每提供1个得1分，最高3分。</w:t>
            </w:r>
            <w:r>
              <w:rPr>
                <w:rFonts w:hint="eastAsia" w:ascii="宋体" w:hAnsi="宋体" w:cs="宋体"/>
                <w:b/>
                <w:bCs/>
                <w:color w:val="auto"/>
                <w:szCs w:val="21"/>
                <w:highlight w:val="none"/>
              </w:rPr>
              <w:t xml:space="preserve">（投标文件中提供证书扫描件，否则对应评分项不得分。）</w:t>
            </w:r>
            <w:r/>
          </w:p>
        </w:tc>
      </w:tr>
      <w:tr>
        <w:trPr>
          <w:jc w:val="center"/>
          <w:trHeight w:val="454"/>
        </w:trPr>
        <w:tc>
          <w:tcPr>
            <w:tcW w:w="1006" w:type="pct"/>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设备配备</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rPr>
              <w:t xml:space="preserve">9</w:t>
            </w:r>
            <w:r>
              <w:rPr>
                <w:rFonts w:hint="eastAsia" w:ascii="宋体" w:hAnsi="宋体" w:cs="宋体"/>
                <w:color w:val="auto"/>
                <w:szCs w:val="21"/>
                <w:highlight w:val="none"/>
              </w:rPr>
              <w:t xml:space="preserve">分）</w:t>
            </w:r>
            <w:r/>
          </w:p>
        </w:tc>
        <w:tc>
          <w:tcPr>
            <w:tcW w:w="3993" w:type="pct"/>
            <w:vAlign w:val="center"/>
            <w:textDirection w:val="lrTb"/>
            <w:noWrap w:val="false"/>
          </w:tcPr>
          <w:p>
            <w:pPr>
              <w:spacing w:line="360" w:lineRule="auto"/>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1、供应商具备洗涤龙的，每有1条得2分，最高得4分。</w:t>
            </w:r>
            <w:r/>
          </w:p>
          <w:p>
            <w:pPr>
              <w:spacing w:line="360" w:lineRule="auto"/>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2、供应商具有工作人员工作服、婴儿、感染等织物隔离洗涤专机的（前进后出），每有一台得</w:t>
            </w:r>
            <w:r>
              <w:rPr>
                <w:rFonts w:ascii="宋体" w:hAnsi="宋体" w:cs="宋体"/>
                <w:color w:val="auto"/>
                <w:szCs w:val="21"/>
                <w:highlight w:val="none"/>
              </w:rPr>
              <w:t xml:space="preserve">1</w:t>
            </w:r>
            <w:r>
              <w:rPr>
                <w:rFonts w:hint="eastAsia" w:ascii="宋体" w:hAnsi="宋体" w:cs="宋体"/>
                <w:color w:val="auto"/>
                <w:szCs w:val="21"/>
                <w:highlight w:val="none"/>
              </w:rPr>
              <w:t xml:space="preserve">分，本项最高得</w:t>
            </w:r>
            <w:r>
              <w:rPr>
                <w:rFonts w:ascii="宋体" w:hAnsi="宋体" w:cs="宋体"/>
                <w:color w:val="auto"/>
                <w:szCs w:val="21"/>
                <w:highlight w:val="none"/>
              </w:rPr>
              <w:t xml:space="preserve">3</w:t>
            </w:r>
            <w:r>
              <w:rPr>
                <w:rFonts w:hint="eastAsia" w:ascii="宋体" w:hAnsi="宋体" w:cs="宋体"/>
                <w:color w:val="auto"/>
                <w:szCs w:val="21"/>
                <w:highlight w:val="none"/>
              </w:rPr>
              <w:t xml:space="preserve">分。</w:t>
            </w:r>
            <w:r/>
          </w:p>
          <w:p>
            <w:pPr>
              <w:pStyle w:val="1071"/>
              <w:ind w:firstLine="0"/>
              <w:spacing w:line="360" w:lineRule="auto"/>
              <w:rPr>
                <w:rFonts w:hAnsi="宋体" w:cs="宋体"/>
                <w:color w:val="auto"/>
                <w:sz w:val="21"/>
                <w:szCs w:val="21"/>
                <w:highlight w:val="none"/>
              </w:rPr>
            </w:pPr>
            <w:r>
              <w:rPr>
                <w:rFonts w:hint="eastAsia" w:hAnsi="宋体" w:cs="宋体"/>
                <w:color w:val="auto"/>
                <w:sz w:val="21"/>
                <w:szCs w:val="21"/>
                <w:highlight w:val="none"/>
              </w:rPr>
              <w:t xml:space="preserve">3、供应商具备软水处理设备</w:t>
            </w:r>
            <w:r>
              <w:rPr>
                <w:rFonts w:hint="eastAsia" w:hAnsi="宋体" w:cs="宋体"/>
                <w:color w:val="auto"/>
                <w:sz w:val="21"/>
                <w:szCs w:val="21"/>
                <w:highlight w:val="none"/>
                <w:lang w:eastAsia="zh-CN"/>
              </w:rPr>
              <w:t xml:space="preserve">并承诺使用软水洗涤</w:t>
            </w:r>
            <w:r>
              <w:rPr>
                <w:rFonts w:hint="eastAsia" w:hAnsi="宋体" w:cs="宋体"/>
                <w:color w:val="auto"/>
                <w:sz w:val="21"/>
                <w:szCs w:val="21"/>
                <w:highlight w:val="none"/>
              </w:rPr>
              <w:t xml:space="preserve">，得2分。</w:t>
            </w:r>
            <w:r/>
          </w:p>
          <w:p>
            <w:pPr>
              <w:jc w:val="left"/>
              <w:spacing w:line="360" w:lineRule="auto"/>
              <w:tabs>
                <w:tab w:val="left" w:pos="120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（投标文件中提供彩色清晰现场照片、购买</w:t>
            </w:r>
            <w:r>
              <w:rPr>
                <w:rFonts w:hint="eastAsia" w:ascii="宋体" w:hAnsi="宋体" w:cs="宋体"/>
                <w:b/>
                <w:bCs/>
                <w:color w:val="auto"/>
                <w:szCs w:val="21"/>
                <w:highlight w:val="none"/>
                <w:lang w:eastAsia="zh-CN"/>
              </w:rPr>
              <w:t xml:space="preserve">相应设备</w:t>
            </w:r>
            <w:r>
              <w:rPr>
                <w:rFonts w:hint="eastAsia" w:ascii="宋体" w:hAnsi="宋体" w:cs="宋体"/>
                <w:b/>
                <w:bCs/>
                <w:color w:val="auto"/>
                <w:szCs w:val="21"/>
                <w:highlight w:val="none"/>
              </w:rPr>
              <w:t xml:space="preserve">合同或租赁合同并加盖供应商电子公章，否则不得分）</w:t>
            </w:r>
            <w:r/>
          </w:p>
        </w:tc>
      </w:tr>
      <w:tr>
        <w:trPr>
          <w:jc w:val="center"/>
          <w:trHeight w:val="454"/>
        </w:trPr>
        <w:tc>
          <w:tcPr>
            <w:tcW w:w="1006" w:type="pct"/>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洗涤场地</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（5分）</w:t>
            </w:r>
            <w:r/>
          </w:p>
        </w:tc>
        <w:tc>
          <w:tcPr>
            <w:tcW w:w="3993" w:type="pct"/>
            <w:vAlign w:val="center"/>
            <w:textDirection w:val="lrTb"/>
            <w:noWrap w:val="false"/>
          </w:tcPr>
          <w:p>
            <w:pPr>
              <w:pStyle w:val="1071"/>
              <w:numPr>
                <w:ilvl w:val="0"/>
                <w:numId w:val="0"/>
              </w:numPr>
              <w:spacing w:line="360" w:lineRule="auto"/>
              <w:rPr>
                <w:rFonts w:hAnsi="宋体" w:cs="宋体"/>
                <w:color w:val="auto"/>
                <w:sz w:val="21"/>
                <w:szCs w:val="21"/>
                <w:highlight w:val="none"/>
              </w:rPr>
            </w:pPr>
            <w:r>
              <w:rPr>
                <w:rFonts w:hint="eastAsia" w:hAnsi="宋体" w:cs="宋体"/>
                <w:color w:val="auto"/>
                <w:sz w:val="21"/>
                <w:szCs w:val="21"/>
                <w:highlight w:val="none"/>
                <w:lang w:val="en-US" w:eastAsia="zh-CN"/>
              </w:rPr>
              <w:t xml:space="preserve">1、</w:t>
            </w:r>
            <w:r>
              <w:rPr>
                <w:rFonts w:hint="eastAsia" w:hAnsi="宋体" w:cs="宋体"/>
                <w:color w:val="auto"/>
                <w:sz w:val="21"/>
                <w:szCs w:val="21"/>
                <w:highlight w:val="none"/>
              </w:rPr>
              <w:t xml:space="preserve">洗涤场所洁区污区分离，两区之间设有完全隔离屏障得3分；</w:t>
            </w:r>
            <w:r/>
          </w:p>
          <w:p>
            <w:pPr>
              <w:pStyle w:val="1071"/>
              <w:numPr>
                <w:ilvl w:val="0"/>
                <w:numId w:val="0"/>
              </w:numPr>
              <w:spacing w:line="360" w:lineRule="auto"/>
              <w:rPr>
                <w:rFonts w:hAnsi="宋体" w:cs="宋体"/>
                <w:color w:val="auto"/>
                <w:sz w:val="21"/>
                <w:szCs w:val="21"/>
                <w:highlight w:val="none"/>
              </w:rPr>
            </w:pPr>
            <w:r>
              <w:rPr>
                <w:rFonts w:hint="eastAsia" w:hAnsi="宋体" w:cs="宋体"/>
                <w:color w:val="auto"/>
                <w:sz w:val="21"/>
                <w:szCs w:val="21"/>
                <w:highlight w:val="none"/>
                <w:lang w:val="en-US" w:eastAsia="zh-CN"/>
              </w:rPr>
              <w:t xml:space="preserve">2、</w:t>
            </w:r>
            <w:r>
              <w:rPr>
                <w:rFonts w:hint="eastAsia" w:hAnsi="宋体" w:cs="宋体"/>
                <w:color w:val="auto"/>
                <w:sz w:val="21"/>
                <w:szCs w:val="21"/>
                <w:highlight w:val="none"/>
              </w:rPr>
              <w:t xml:space="preserve">洁区设有烘干区、熨烫区、折叠区得1分；</w:t>
            </w:r>
            <w:r/>
          </w:p>
          <w:p>
            <w:pPr>
              <w:numPr>
                <w:ilvl w:val="0"/>
                <w:numId w:val="0"/>
              </w:numPr>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污区设有织物接收分拣区、洗涤区得1分；</w:t>
            </w:r>
            <w:r/>
          </w:p>
          <w:p>
            <w:pPr>
              <w:pStyle w:val="1071"/>
              <w:ind w:firstLine="0"/>
              <w:spacing w:line="360" w:lineRule="auto"/>
              <w:rPr>
                <w:rFonts w:hAnsi="宋体" w:cs="宋体"/>
                <w:color w:val="auto"/>
                <w:sz w:val="21"/>
                <w:szCs w:val="21"/>
                <w:highlight w:val="none"/>
              </w:rPr>
            </w:pPr>
            <w:r>
              <w:rPr>
                <w:rFonts w:hint="eastAsia" w:hAnsi="宋体" w:cs="宋体"/>
                <w:b/>
                <w:bCs/>
                <w:color w:val="auto"/>
                <w:sz w:val="21"/>
                <w:szCs w:val="21"/>
                <w:highlight w:val="none"/>
              </w:rPr>
              <w:t xml:space="preserve">（投标文件中提供彩色清晰现场照片及平面图）</w:t>
            </w:r>
            <w:r/>
          </w:p>
        </w:tc>
      </w:tr>
      <w:tr>
        <w:trPr>
          <w:jc w:val="center"/>
          <w:trHeight w:val="454"/>
        </w:trPr>
        <w:tc>
          <w:tcPr>
            <w:tcW w:w="1006"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人员配置情况</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tc>
        <w:tc>
          <w:tcPr>
            <w:tcW w:w="3993" w:type="pct"/>
            <w:vAlign w:val="center"/>
            <w:textDirection w:val="lrTb"/>
            <w:noWrap w:val="false"/>
          </w:tcPr>
          <w:p>
            <w:pPr>
              <w:jc w:val="left"/>
              <w:spacing w:line="360" w:lineRule="auto"/>
              <w:tabs>
                <w:tab w:val="left" w:pos="1200" w:leader="none"/>
              </w:tabs>
              <w:rPr>
                <w:rFonts w:ascii="宋体" w:hAnsi="宋体" w:cs="宋体"/>
                <w:color w:val="auto"/>
                <w:szCs w:val="21"/>
                <w:highlight w:val="none"/>
              </w:rPr>
            </w:pPr>
            <w:r>
              <w:rPr>
                <w:rFonts w:hint="eastAsia" w:ascii="宋体" w:hAnsi="宋体" w:cs="宋体"/>
                <w:color w:val="auto"/>
                <w:szCs w:val="21"/>
                <w:highlight w:val="none"/>
              </w:rPr>
              <w:t xml:space="preserve">1、项目负责人：具备</w:t>
            </w:r>
            <w:r>
              <w:rPr>
                <w:rFonts w:hint="eastAsia" w:ascii="宋体" w:hAnsi="宋体" w:cs="宋体"/>
                <w:color w:val="auto"/>
                <w:szCs w:val="21"/>
                <w:highlight w:val="none"/>
              </w:rPr>
              <w:t xml:space="preserve">洗涤</w:t>
            </w:r>
            <w:r>
              <w:rPr>
                <w:rFonts w:hint="eastAsia" w:ascii="宋体" w:hAnsi="宋体" w:cs="宋体"/>
                <w:color w:val="auto"/>
                <w:szCs w:val="21"/>
                <w:highlight w:val="none"/>
                <w:lang w:val="en-US" w:eastAsia="zh-CN"/>
              </w:rPr>
              <w:t xml:space="preserve">类</w:t>
            </w:r>
            <w:r>
              <w:rPr>
                <w:rFonts w:hint="eastAsia" w:ascii="宋体" w:hAnsi="宋体" w:cs="宋体"/>
                <w:color w:val="auto"/>
                <w:szCs w:val="21"/>
                <w:highlight w:val="none"/>
              </w:rPr>
              <w:t xml:space="preserve">职业技能证书得</w:t>
            </w:r>
            <w:r>
              <w:rPr>
                <w:rFonts w:ascii="宋体" w:hAnsi="宋体" w:cs="宋体"/>
                <w:color w:val="auto"/>
                <w:szCs w:val="21"/>
                <w:highlight w:val="none"/>
              </w:rPr>
              <w:t xml:space="preserve">1</w:t>
            </w:r>
            <w:r>
              <w:rPr>
                <w:rFonts w:hint="eastAsia" w:ascii="宋体" w:hAnsi="宋体" w:cs="宋体"/>
                <w:color w:val="auto"/>
                <w:szCs w:val="21"/>
                <w:highlight w:val="none"/>
              </w:rPr>
              <w:t xml:space="preserve">分，项目负责人本科及以上学历得2分，大专学历得1分；最高得</w:t>
            </w:r>
            <w:r>
              <w:rPr>
                <w:rFonts w:ascii="宋体" w:hAnsi="宋体" w:cs="宋体"/>
                <w:color w:val="auto"/>
                <w:szCs w:val="21"/>
                <w:highlight w:val="none"/>
              </w:rPr>
              <w:t xml:space="preserve">3</w:t>
            </w:r>
            <w:r>
              <w:rPr>
                <w:rFonts w:hint="eastAsia" w:ascii="宋体" w:hAnsi="宋体" w:cs="宋体"/>
                <w:color w:val="auto"/>
                <w:szCs w:val="21"/>
                <w:highlight w:val="none"/>
              </w:rPr>
              <w:t xml:space="preserve">分；</w:t>
            </w:r>
            <w:r>
              <w:rPr>
                <w:rFonts w:hint="eastAsia" w:ascii="宋体" w:hAnsi="宋体" w:cs="宋体"/>
                <w:b/>
                <w:bCs/>
                <w:color w:val="auto"/>
                <w:szCs w:val="21"/>
                <w:highlight w:val="none"/>
              </w:rPr>
              <w:t xml:space="preserve">（投标文件中提供人员证书，劳动合同或供应商为其缴纳的近3个月任意</w:t>
            </w:r>
            <w:r>
              <w:rPr>
                <w:rFonts w:hint="eastAsia" w:ascii="宋体" w:hAnsi="宋体" w:cs="宋体"/>
                <w:b/>
                <w:bCs/>
                <w:color w:val="auto"/>
                <w:szCs w:val="21"/>
                <w:highlight w:val="none"/>
                <w:lang w:val="en-US" w:eastAsia="zh-CN"/>
              </w:rPr>
              <w:t xml:space="preserve">1</w:t>
            </w:r>
            <w:r>
              <w:rPr>
                <w:rFonts w:hint="eastAsia" w:ascii="宋体" w:hAnsi="宋体" w:cs="宋体"/>
                <w:b/>
                <w:bCs/>
                <w:color w:val="auto"/>
                <w:szCs w:val="21"/>
                <w:highlight w:val="none"/>
              </w:rPr>
              <w:t xml:space="preserve">月的社保证明扫描件，否则不得分）</w:t>
            </w:r>
            <w:r/>
          </w:p>
          <w:p>
            <w:pPr>
              <w:jc w:val="left"/>
              <w:spacing w:line="360" w:lineRule="auto"/>
              <w:tabs>
                <w:tab w:val="left" w:pos="1200" w:leader="none"/>
              </w:tabs>
              <w:rPr>
                <w:rFonts w:ascii="宋体" w:hAnsi="宋体" w:cs="宋体"/>
                <w:color w:val="auto"/>
                <w:szCs w:val="21"/>
                <w:highlight w:val="none"/>
              </w:rPr>
            </w:pPr>
            <w:r>
              <w:rPr>
                <w:rFonts w:hint="eastAsia" w:ascii="宋体" w:hAnsi="宋体" w:cs="宋体"/>
                <w:color w:val="auto"/>
                <w:szCs w:val="21"/>
                <w:highlight w:val="none"/>
              </w:rPr>
              <w:t xml:space="preserve">2、其他人员：具备</w:t>
            </w:r>
            <w:r>
              <w:rPr>
                <w:rFonts w:hint="eastAsia" w:ascii="宋体" w:hAnsi="宋体" w:cs="宋体"/>
                <w:color w:val="auto"/>
                <w:szCs w:val="21"/>
                <w:highlight w:val="none"/>
              </w:rPr>
              <w:t xml:space="preserve">洗涤</w:t>
            </w:r>
            <w:r>
              <w:rPr>
                <w:rFonts w:hint="eastAsia" w:ascii="宋体" w:hAnsi="宋体" w:cs="宋体"/>
                <w:color w:val="auto"/>
                <w:szCs w:val="21"/>
                <w:highlight w:val="none"/>
                <w:lang w:val="en-US" w:eastAsia="zh-CN"/>
              </w:rPr>
              <w:t xml:space="preserve">类</w:t>
            </w:r>
            <w:r>
              <w:rPr>
                <w:rFonts w:hint="eastAsia" w:ascii="宋体" w:hAnsi="宋体" w:cs="宋体"/>
                <w:color w:val="auto"/>
                <w:szCs w:val="21"/>
                <w:highlight w:val="none"/>
              </w:rPr>
              <w:t xml:space="preserve">职业技能证书，每提供1人得</w:t>
            </w:r>
            <w:r>
              <w:rPr>
                <w:rFonts w:ascii="宋体" w:hAnsi="宋体" w:cs="宋体"/>
                <w:color w:val="auto"/>
                <w:szCs w:val="21"/>
                <w:highlight w:val="none"/>
              </w:rPr>
              <w:t xml:space="preserve">1</w:t>
            </w:r>
            <w:r>
              <w:rPr>
                <w:rFonts w:hint="eastAsia" w:ascii="宋体" w:hAnsi="宋体" w:cs="宋体"/>
                <w:color w:val="auto"/>
                <w:szCs w:val="21"/>
                <w:highlight w:val="none"/>
              </w:rPr>
              <w:t xml:space="preserve">分，最高得</w:t>
            </w:r>
            <w:r>
              <w:rPr>
                <w:rFonts w:ascii="宋体" w:hAnsi="宋体" w:cs="宋体"/>
                <w:color w:val="auto"/>
                <w:szCs w:val="21"/>
                <w:highlight w:val="none"/>
              </w:rPr>
              <w:t xml:space="preserve">2</w:t>
            </w:r>
            <w:r>
              <w:rPr>
                <w:rFonts w:hint="eastAsia" w:ascii="宋体" w:hAnsi="宋体" w:cs="宋体"/>
                <w:color w:val="auto"/>
                <w:szCs w:val="21"/>
                <w:highlight w:val="none"/>
              </w:rPr>
              <w:t xml:space="preserve">分。</w:t>
            </w:r>
            <w:r>
              <w:rPr>
                <w:rFonts w:hint="eastAsia" w:ascii="宋体" w:hAnsi="宋体" w:cs="宋体"/>
                <w:b/>
                <w:bCs/>
                <w:color w:val="auto"/>
                <w:szCs w:val="21"/>
                <w:highlight w:val="none"/>
              </w:rPr>
              <w:t xml:space="preserve">（投标文件中提供人员证书，劳动合同或供应商为其缴纳的近3个月任意</w:t>
            </w:r>
            <w:r>
              <w:rPr>
                <w:rFonts w:hint="eastAsia" w:ascii="宋体" w:hAnsi="宋体" w:cs="宋体"/>
                <w:b/>
                <w:bCs/>
                <w:color w:val="auto"/>
                <w:szCs w:val="21"/>
                <w:highlight w:val="none"/>
                <w:lang w:val="en-US" w:eastAsia="zh-CN"/>
              </w:rPr>
              <w:t xml:space="preserve">1</w:t>
            </w:r>
            <w:r>
              <w:rPr>
                <w:rFonts w:hint="eastAsia" w:ascii="宋体" w:hAnsi="宋体" w:cs="宋体"/>
                <w:b/>
                <w:bCs/>
                <w:color w:val="auto"/>
                <w:szCs w:val="21"/>
                <w:highlight w:val="none"/>
              </w:rPr>
              <w:t xml:space="preserve">月的社保证明扫描件，否则不得分）</w:t>
            </w:r>
            <w:r/>
          </w:p>
        </w:tc>
      </w:tr>
      <w:tr>
        <w:trPr>
          <w:jc w:val="center"/>
          <w:trHeight w:val="454"/>
        </w:trPr>
        <w:tc>
          <w:tcPr>
            <w:tcW w:w="1006" w:type="pct"/>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检测报告</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（6分）</w:t>
            </w:r>
            <w:r/>
          </w:p>
        </w:tc>
        <w:tc>
          <w:tcPr>
            <w:tcW w:w="3993" w:type="pct"/>
            <w:vAlign w:val="center"/>
            <w:textDirection w:val="lrTb"/>
            <w:noWrap w:val="false"/>
          </w:tcPr>
          <w:p>
            <w:pPr>
              <w:spacing w:line="360" w:lineRule="auto"/>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供应商提供近一年内国家认可的检测机构出具的“医用纺织品检测报告”</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带有CMA或CNAS标识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w:t>
            </w:r>
            <w:bookmarkStart w:id="41" w:name="_GoBack"/>
            <w:r/>
            <w:bookmarkEnd w:id="41"/>
            <w:r>
              <w:rPr>
                <w:rFonts w:hint="eastAsia" w:ascii="宋体" w:hAnsi="宋体" w:cs="宋体"/>
                <w:color w:val="auto"/>
                <w:szCs w:val="21"/>
                <w:highlight w:val="none"/>
              </w:rPr>
              <w:t xml:space="preserve">检测项目需包括PH值、空气/桌面/手表面、细菌总数/大肠杆菌。PH值检测报告、空气、桌面、手检测报告、细菌总数、大肠杆菌检测报告，每有一项报告得2分，本项最高得6分。</w:t>
            </w:r>
            <w:r/>
          </w:p>
          <w:p>
            <w:pPr>
              <w:spacing w:line="360" w:lineRule="auto"/>
              <w:tabs>
                <w:tab w:val="left" w:pos="0" w:leader="none"/>
              </w:tabs>
              <w:rPr>
                <w:rFonts w:ascii="宋体" w:hAnsi="宋体" w:cs="宋体"/>
                <w:color w:val="auto"/>
                <w:szCs w:val="21"/>
                <w:highlight w:val="none"/>
              </w:rPr>
            </w:pPr>
            <w:r>
              <w:rPr>
                <w:rFonts w:hint="eastAsia" w:ascii="宋体" w:hAnsi="宋体" w:cs="宋体"/>
                <w:b/>
                <w:bCs/>
                <w:color w:val="auto"/>
                <w:szCs w:val="21"/>
                <w:highlight w:val="none"/>
              </w:rPr>
              <w:t xml:space="preserve">（投标文件中提供上述检测报告扫描件并加盖供应商电子公章，否则不得分。）</w:t>
            </w:r>
            <w:r/>
          </w:p>
        </w:tc>
      </w:tr>
      <w:tr>
        <w:trPr>
          <w:jc w:val="center"/>
          <w:trHeight w:val="454"/>
        </w:trPr>
        <w:tc>
          <w:tcPr>
            <w:tcW w:w="1006" w:type="pct"/>
            <w:vAlign w:val="center"/>
            <w:textDirection w:val="lrTb"/>
            <w:noWrap w:val="false"/>
          </w:tcPr>
          <w:p>
            <w:pPr>
              <w:jc w:val="center"/>
              <w:spacing w:line="360" w:lineRule="auto"/>
              <w:tabs>
                <w:tab w:val="left" w:pos="426" w:leader="none"/>
              </w:tabs>
              <w:rPr>
                <w:rFonts w:ascii="宋体" w:hAnsi="宋体" w:cs="宋体"/>
                <w:color w:val="auto"/>
                <w:szCs w:val="21"/>
                <w:highlight w:val="none"/>
              </w:rPr>
            </w:pPr>
            <w:r>
              <w:rPr>
                <w:rFonts w:hint="eastAsia" w:ascii="宋体" w:hAnsi="宋体" w:cs="宋体"/>
                <w:color w:val="auto"/>
                <w:szCs w:val="21"/>
                <w:highlight w:val="none"/>
              </w:rPr>
              <w:t xml:space="preserve">整体服务方案</w:t>
            </w:r>
            <w:r/>
          </w:p>
          <w:p>
            <w:pPr>
              <w:jc w:val="center"/>
              <w:spacing w:line="360" w:lineRule="auto"/>
              <w:tabs>
                <w:tab w:val="left" w:pos="426" w:leader="none"/>
              </w:tabs>
              <w:rPr>
                <w:rFonts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2</w:t>
            </w:r>
            <w:r>
              <w:rPr>
                <w:rFonts w:hint="eastAsia" w:ascii="宋体" w:hAnsi="宋体" w:cs="宋体"/>
                <w:color w:val="auto"/>
                <w:szCs w:val="21"/>
                <w:highlight w:val="none"/>
              </w:rPr>
              <w:t xml:space="preserve">分）</w:t>
            </w:r>
            <w:r/>
          </w:p>
        </w:tc>
        <w:tc>
          <w:tcPr>
            <w:tcW w:w="3993" w:type="pct"/>
            <w:vAlign w:val="center"/>
            <w:textDirection w:val="lrTb"/>
            <w:noWrap w:val="false"/>
          </w:tcPr>
          <w:p>
            <w:pPr>
              <w:pStyle w:val="915"/>
              <w:numPr>
                <w:ilvl w:val="0"/>
                <w:numId w:val="8"/>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服务理念及目标（</w:t>
            </w:r>
            <w:r>
              <w:rPr>
                <w:rFonts w:ascii="宋体" w:hAnsi="宋体" w:cs="宋体"/>
                <w:bCs/>
                <w:color w:val="auto"/>
                <w:szCs w:val="21"/>
                <w:highlight w:val="none"/>
              </w:rPr>
              <w:t xml:space="preserve">6</w:t>
            </w:r>
            <w:r>
              <w:rPr>
                <w:rFonts w:hint="eastAsia" w:ascii="宋体" w:hAnsi="宋体" w:cs="宋体"/>
                <w:bCs/>
                <w:color w:val="auto"/>
                <w:szCs w:val="21"/>
                <w:highlight w:val="none"/>
              </w:rPr>
              <w:t xml:space="preserve">分）</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描述清晰明确、内容健全、可行性强的得</w:t>
            </w:r>
            <w:r>
              <w:rPr>
                <w:rFonts w:ascii="宋体" w:hAnsi="宋体" w:cs="宋体"/>
                <w:bCs/>
                <w:color w:val="auto"/>
                <w:szCs w:val="21"/>
                <w:highlight w:val="none"/>
              </w:rPr>
              <w:t xml:space="preserve">6</w:t>
            </w:r>
            <w:r>
              <w:rPr>
                <w:rFonts w:hint="eastAsia" w:ascii="宋体" w:hAnsi="宋体" w:cs="宋体"/>
                <w:bCs/>
                <w:color w:val="auto"/>
                <w:szCs w:val="21"/>
                <w:highlight w:val="none"/>
              </w:rPr>
              <w:t xml:space="preserve">分；内容表述较为清晰、内容较为健全、较可行的得</w:t>
            </w:r>
            <w:r>
              <w:rPr>
                <w:rFonts w:ascii="宋体" w:hAnsi="宋体" w:cs="宋体"/>
                <w:bCs/>
                <w:color w:val="auto"/>
                <w:szCs w:val="21"/>
                <w:highlight w:val="none"/>
              </w:rPr>
              <w:t xml:space="preserve">4</w:t>
            </w:r>
            <w:r>
              <w:rPr>
                <w:rFonts w:hint="eastAsia" w:ascii="宋体" w:hAnsi="宋体" w:cs="宋体"/>
                <w:bCs/>
                <w:color w:val="auto"/>
                <w:szCs w:val="21"/>
                <w:highlight w:val="none"/>
              </w:rPr>
              <w:t xml:space="preserve">分；内容表述一般、安排基本合理的得</w:t>
            </w:r>
            <w:r>
              <w:rPr>
                <w:rFonts w:ascii="宋体" w:hAnsi="宋体" w:cs="宋体"/>
                <w:bCs/>
                <w:color w:val="auto"/>
                <w:szCs w:val="21"/>
                <w:highlight w:val="none"/>
              </w:rPr>
              <w:t xml:space="preserve">2</w:t>
            </w:r>
            <w:r>
              <w:rPr>
                <w:rFonts w:hint="eastAsia" w:ascii="宋体" w:hAnsi="宋体" w:cs="宋体"/>
                <w:bCs/>
                <w:color w:val="auto"/>
                <w:szCs w:val="21"/>
                <w:highlight w:val="none"/>
              </w:rPr>
              <w:t xml:space="preserve">分；未作说明、内容表述模糊，安排无逻辑的不得分。</w:t>
            </w:r>
            <w:r/>
          </w:p>
          <w:p>
            <w:pPr>
              <w:pStyle w:val="915"/>
              <w:numPr>
                <w:ilvl w:val="0"/>
                <w:numId w:val="8"/>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服务范围、内容及相关标准、措施（</w:t>
            </w:r>
            <w:r>
              <w:rPr>
                <w:rFonts w:ascii="宋体" w:hAnsi="宋体" w:cs="宋体"/>
                <w:bCs/>
                <w:color w:val="auto"/>
                <w:szCs w:val="21"/>
                <w:highlight w:val="none"/>
              </w:rPr>
              <w:t xml:space="preserve">6</w:t>
            </w:r>
            <w:r>
              <w:rPr>
                <w:rFonts w:hint="eastAsia" w:ascii="宋体" w:hAnsi="宋体" w:cs="宋体"/>
                <w:bCs/>
                <w:color w:val="auto"/>
                <w:szCs w:val="21"/>
                <w:highlight w:val="none"/>
              </w:rPr>
              <w:t xml:space="preserve">分）</w:t>
            </w:r>
            <w:r/>
          </w:p>
          <w:p>
            <w:pPr>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措施内容描述清晰明确、内容健全、可行性强的得</w:t>
            </w:r>
            <w:r>
              <w:rPr>
                <w:rFonts w:ascii="宋体" w:hAnsi="宋体" w:cs="宋体"/>
                <w:bCs/>
                <w:color w:val="auto"/>
                <w:szCs w:val="21"/>
                <w:highlight w:val="none"/>
              </w:rPr>
              <w:t xml:space="preserve">6</w:t>
            </w:r>
            <w:r>
              <w:rPr>
                <w:rFonts w:hint="eastAsia" w:ascii="宋体" w:hAnsi="宋体" w:cs="宋体"/>
                <w:bCs/>
                <w:color w:val="auto"/>
                <w:szCs w:val="21"/>
                <w:highlight w:val="none"/>
              </w:rPr>
              <w:t xml:space="preserve">分；内容表述较为清晰、内容较为健全、较可行的得</w:t>
            </w:r>
            <w:r>
              <w:rPr>
                <w:rFonts w:ascii="宋体" w:hAnsi="宋体" w:cs="宋体"/>
                <w:bCs/>
                <w:color w:val="auto"/>
                <w:szCs w:val="21"/>
                <w:highlight w:val="none"/>
              </w:rPr>
              <w:t xml:space="preserve">4</w:t>
            </w:r>
            <w:r>
              <w:rPr>
                <w:rFonts w:hint="eastAsia" w:ascii="宋体" w:hAnsi="宋体" w:cs="宋体"/>
                <w:bCs/>
                <w:color w:val="auto"/>
                <w:szCs w:val="21"/>
                <w:highlight w:val="none"/>
              </w:rPr>
              <w:t xml:space="preserve">分；内容表述一般、安排基本合理的得</w:t>
            </w:r>
            <w:r>
              <w:rPr>
                <w:rFonts w:ascii="宋体" w:hAnsi="宋体" w:cs="宋体"/>
                <w:bCs/>
                <w:color w:val="auto"/>
                <w:szCs w:val="21"/>
                <w:highlight w:val="none"/>
              </w:rPr>
              <w:t xml:space="preserve">2</w:t>
            </w:r>
            <w:r>
              <w:rPr>
                <w:rFonts w:hint="eastAsia" w:ascii="宋体" w:hAnsi="宋体" w:cs="宋体"/>
                <w:bCs/>
                <w:color w:val="auto"/>
                <w:szCs w:val="21"/>
                <w:highlight w:val="none"/>
              </w:rPr>
              <w:t xml:space="preserve">分；未作说明、内容表述模糊，安排无逻辑的不得分。</w:t>
            </w:r>
            <w:r/>
          </w:p>
        </w:tc>
      </w:tr>
      <w:tr>
        <w:trPr>
          <w:jc w:val="center"/>
          <w:trHeight w:val="454"/>
        </w:trPr>
        <w:tc>
          <w:tcPr>
            <w:tcW w:w="1006" w:type="pct"/>
            <w:vAlign w:val="center"/>
            <w:textDirection w:val="lrTb"/>
            <w:noWrap w:val="false"/>
          </w:tcPr>
          <w:p>
            <w:pPr>
              <w:jc w:val="center"/>
              <w:spacing w:line="360" w:lineRule="auto"/>
              <w:tabs>
                <w:tab w:val="left" w:pos="426"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操作规程和质量控制方案</w:t>
            </w:r>
            <w:r/>
          </w:p>
          <w:p>
            <w:pPr>
              <w:jc w:val="center"/>
              <w:spacing w:line="360" w:lineRule="auto"/>
              <w:tabs>
                <w:tab w:val="left" w:pos="426" w:leader="none"/>
              </w:tabs>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16</w:t>
            </w:r>
            <w:r>
              <w:rPr>
                <w:rFonts w:hint="eastAsia" w:ascii="宋体" w:hAnsi="宋体" w:cs="宋体"/>
                <w:color w:val="auto"/>
                <w:szCs w:val="21"/>
                <w:highlight w:val="none"/>
              </w:rPr>
              <w:t xml:space="preserve">分）</w:t>
            </w:r>
            <w:r/>
          </w:p>
        </w:tc>
        <w:tc>
          <w:tcPr>
            <w:tcW w:w="3993" w:type="pct"/>
            <w:vAlign w:val="center"/>
            <w:textDirection w:val="lrTb"/>
            <w:noWrap w:val="false"/>
          </w:tcPr>
          <w:p>
            <w:pPr>
              <w:pStyle w:val="915"/>
              <w:numPr>
                <w:ilvl w:val="0"/>
                <w:numId w:val="9"/>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被服回收、交接、洗涤、消毒等操作规程（</w:t>
            </w:r>
            <w:r>
              <w:rPr>
                <w:rFonts w:hint="eastAsia" w:ascii="宋体" w:hAnsi="宋体" w:cs="宋体"/>
                <w:bCs/>
                <w:color w:val="auto"/>
                <w:szCs w:val="21"/>
                <w:highlight w:val="none"/>
                <w:lang w:val="en-US" w:eastAsia="zh-CN"/>
              </w:rPr>
              <w:t xml:space="preserve">8</w:t>
            </w:r>
            <w:r>
              <w:rPr>
                <w:rFonts w:hint="eastAsia" w:ascii="宋体" w:hAnsi="宋体" w:cs="宋体"/>
                <w:bCs/>
                <w:color w:val="auto"/>
                <w:szCs w:val="21"/>
                <w:highlight w:val="none"/>
              </w:rPr>
              <w:t xml:space="preserve">分）</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操作流程描述清晰明确、内容健全、可行性强的得</w:t>
            </w:r>
            <w:r>
              <w:rPr>
                <w:rFonts w:hint="eastAsia" w:ascii="宋体" w:hAnsi="宋体" w:cs="宋体"/>
                <w:bCs/>
                <w:color w:val="auto"/>
                <w:szCs w:val="21"/>
                <w:highlight w:val="none"/>
                <w:lang w:val="en-US" w:eastAsia="zh-CN"/>
              </w:rPr>
              <w:t xml:space="preserve">8</w:t>
            </w:r>
            <w:r>
              <w:rPr>
                <w:rFonts w:hint="eastAsia" w:ascii="宋体" w:hAnsi="宋体" w:cs="宋体"/>
                <w:bCs/>
                <w:color w:val="auto"/>
                <w:szCs w:val="21"/>
                <w:highlight w:val="none"/>
              </w:rPr>
              <w:t xml:space="preserve">分；内容表述较为清晰、内容较为健全、较可行的得</w:t>
            </w:r>
            <w:r>
              <w:rPr>
                <w:rFonts w:hint="eastAsia" w:ascii="宋体" w:hAnsi="宋体" w:cs="宋体"/>
                <w:bCs/>
                <w:color w:val="auto"/>
                <w:szCs w:val="21"/>
                <w:highlight w:val="none"/>
                <w:lang w:val="en-US" w:eastAsia="zh-CN"/>
              </w:rPr>
              <w:t xml:space="preserve">5</w:t>
            </w:r>
            <w:r>
              <w:rPr>
                <w:rFonts w:hint="eastAsia" w:ascii="宋体" w:hAnsi="宋体" w:cs="宋体"/>
                <w:bCs/>
                <w:color w:val="auto"/>
                <w:szCs w:val="21"/>
                <w:highlight w:val="none"/>
              </w:rPr>
              <w:t xml:space="preserve">分；内容表述一般、安排基本合理的得</w:t>
            </w:r>
            <w:r>
              <w:rPr>
                <w:rFonts w:ascii="宋体" w:hAnsi="宋体" w:cs="宋体"/>
                <w:bCs/>
                <w:color w:val="auto"/>
                <w:szCs w:val="21"/>
                <w:highlight w:val="none"/>
              </w:rPr>
              <w:t xml:space="preserve">2</w:t>
            </w:r>
            <w:r>
              <w:rPr>
                <w:rFonts w:hint="eastAsia" w:ascii="宋体" w:hAnsi="宋体" w:cs="宋体"/>
                <w:bCs/>
                <w:color w:val="auto"/>
                <w:szCs w:val="21"/>
                <w:highlight w:val="none"/>
              </w:rPr>
              <w:t xml:space="preserve">分；未作说明、内容表述模糊，安排无逻辑的不得分。</w:t>
            </w:r>
            <w:r/>
          </w:p>
          <w:p>
            <w:pPr>
              <w:pStyle w:val="915"/>
              <w:numPr>
                <w:ilvl w:val="0"/>
                <w:numId w:val="9"/>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被服回收、交接、洗涤、消毒的质量控制管理方案（</w:t>
            </w:r>
            <w:r>
              <w:rPr>
                <w:rFonts w:hint="eastAsia" w:ascii="宋体" w:hAnsi="宋体" w:cs="宋体"/>
                <w:bCs/>
                <w:color w:val="auto"/>
                <w:szCs w:val="21"/>
                <w:highlight w:val="none"/>
                <w:lang w:val="en-US" w:eastAsia="zh-CN"/>
              </w:rPr>
              <w:t xml:space="preserve">8</w:t>
            </w:r>
            <w:r>
              <w:rPr>
                <w:rFonts w:hint="eastAsia" w:ascii="宋体" w:hAnsi="宋体" w:cs="宋体"/>
                <w:bCs/>
                <w:color w:val="auto"/>
                <w:szCs w:val="21"/>
                <w:highlight w:val="none"/>
              </w:rPr>
              <w:t xml:space="preserve">分）</w:t>
            </w:r>
            <w:r/>
          </w:p>
          <w:p>
            <w:pPr>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方案内容描述清晰明确、内容健全、可行性强的得</w:t>
            </w:r>
            <w:r>
              <w:rPr>
                <w:rFonts w:hint="eastAsia" w:ascii="宋体" w:hAnsi="宋体" w:cs="宋体"/>
                <w:bCs/>
                <w:color w:val="auto"/>
                <w:szCs w:val="21"/>
                <w:highlight w:val="none"/>
                <w:lang w:val="en-US" w:eastAsia="zh-CN"/>
              </w:rPr>
              <w:t xml:space="preserve">8</w:t>
            </w:r>
            <w:r>
              <w:rPr>
                <w:rFonts w:hint="eastAsia" w:ascii="宋体" w:hAnsi="宋体" w:cs="宋体"/>
                <w:bCs/>
                <w:color w:val="auto"/>
                <w:szCs w:val="21"/>
                <w:highlight w:val="none"/>
              </w:rPr>
              <w:t xml:space="preserve">分；内容表述较为清晰、内容较为健全、较可行的得</w:t>
            </w:r>
            <w:r>
              <w:rPr>
                <w:rFonts w:hint="eastAsia" w:ascii="宋体" w:hAnsi="宋体" w:cs="宋体"/>
                <w:bCs/>
                <w:color w:val="auto"/>
                <w:szCs w:val="21"/>
                <w:highlight w:val="none"/>
                <w:lang w:val="en-US" w:eastAsia="zh-CN"/>
              </w:rPr>
              <w:t xml:space="preserve">5</w:t>
            </w:r>
            <w:r>
              <w:rPr>
                <w:rFonts w:hint="eastAsia" w:ascii="宋体" w:hAnsi="宋体" w:cs="宋体"/>
                <w:bCs/>
                <w:color w:val="auto"/>
                <w:szCs w:val="21"/>
                <w:highlight w:val="none"/>
              </w:rPr>
              <w:t xml:space="preserve">分；内容表述一般、安排基本合理的得</w:t>
            </w:r>
            <w:r>
              <w:rPr>
                <w:rFonts w:ascii="宋体" w:hAnsi="宋体" w:cs="宋体"/>
                <w:bCs/>
                <w:color w:val="auto"/>
                <w:szCs w:val="21"/>
                <w:highlight w:val="none"/>
              </w:rPr>
              <w:t xml:space="preserve">2</w:t>
            </w:r>
            <w:r>
              <w:rPr>
                <w:rFonts w:hint="eastAsia" w:ascii="宋体" w:hAnsi="宋体" w:cs="宋体"/>
                <w:bCs/>
                <w:color w:val="auto"/>
                <w:szCs w:val="21"/>
                <w:highlight w:val="none"/>
              </w:rPr>
              <w:t xml:space="preserve">分；未作说明、内容表述模糊，安排无逻辑的不得分。</w:t>
            </w:r>
            <w:r/>
          </w:p>
        </w:tc>
      </w:tr>
      <w:tr>
        <w:trPr>
          <w:jc w:val="center"/>
          <w:trHeight w:val="454"/>
        </w:trPr>
        <w:tc>
          <w:tcPr>
            <w:tcW w:w="1006" w:type="pct"/>
            <w:vAlign w:val="center"/>
            <w:textDirection w:val="lrTb"/>
            <w:noWrap w:val="false"/>
          </w:tcPr>
          <w:p>
            <w:pPr>
              <w:jc w:val="center"/>
              <w:spacing w:line="360" w:lineRule="auto"/>
              <w:tabs>
                <w:tab w:val="left" w:pos="426"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组织架构、位职责分工</w:t>
            </w:r>
            <w:r/>
          </w:p>
          <w:p>
            <w:pPr>
              <w:jc w:val="center"/>
              <w:spacing w:line="360" w:lineRule="auto"/>
              <w:tabs>
                <w:tab w:val="left" w:pos="426" w:leader="none"/>
              </w:tabs>
              <w:rPr>
                <w:rFonts w:ascii="宋体" w:hAnsi="宋体" w:cs="宋体"/>
                <w:bCs/>
                <w:color w:val="auto"/>
                <w:szCs w:val="21"/>
                <w:highlight w:val="none"/>
              </w:rPr>
            </w:pPr>
            <w:r>
              <w:rPr>
                <w:rFonts w:hint="eastAsia" w:ascii="宋体" w:hAnsi="宋体" w:cs="宋体"/>
                <w:bCs/>
                <w:color w:val="auto"/>
                <w:szCs w:val="21"/>
                <w:highlight w:val="none"/>
              </w:rPr>
              <w:t xml:space="preserve">（</w:t>
            </w:r>
            <w:r>
              <w:rPr>
                <w:rFonts w:ascii="宋体" w:hAnsi="宋体" w:cs="宋体"/>
                <w:bCs/>
                <w:color w:val="auto"/>
                <w:szCs w:val="21"/>
                <w:highlight w:val="none"/>
              </w:rPr>
              <w:t xml:space="preserve">12</w:t>
            </w:r>
            <w:r>
              <w:rPr>
                <w:rFonts w:hint="eastAsia" w:ascii="宋体" w:hAnsi="宋体" w:cs="宋体"/>
                <w:bCs/>
                <w:color w:val="auto"/>
                <w:szCs w:val="21"/>
                <w:highlight w:val="none"/>
              </w:rPr>
              <w:t xml:space="preserve">分）</w:t>
            </w:r>
            <w:r/>
          </w:p>
        </w:tc>
        <w:tc>
          <w:tcPr>
            <w:tcW w:w="3993" w:type="pct"/>
            <w:textDirection w:val="lrTb"/>
            <w:noWrap w:val="false"/>
          </w:tcPr>
          <w:p>
            <w:pPr>
              <w:pStyle w:val="915"/>
              <w:numPr>
                <w:ilvl w:val="0"/>
                <w:numId w:val="10"/>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供应商的整体组织架构（</w:t>
            </w:r>
            <w:r>
              <w:rPr>
                <w:rFonts w:ascii="宋体" w:hAnsi="宋体" w:cs="宋体"/>
                <w:bCs/>
                <w:color w:val="auto"/>
                <w:szCs w:val="21"/>
                <w:highlight w:val="none"/>
              </w:rPr>
              <w:t xml:space="preserve">6</w:t>
            </w:r>
            <w:r>
              <w:rPr>
                <w:rFonts w:hint="eastAsia" w:ascii="宋体" w:hAnsi="宋体" w:cs="宋体"/>
                <w:bCs/>
                <w:color w:val="auto"/>
                <w:szCs w:val="21"/>
                <w:highlight w:val="none"/>
              </w:rPr>
              <w:t xml:space="preserve">分）</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岗位分工内容描述清晰明确、内容健全、可行性强的得</w:t>
            </w:r>
            <w:r>
              <w:rPr>
                <w:rFonts w:ascii="宋体" w:hAnsi="宋体" w:cs="宋体"/>
                <w:bCs/>
                <w:color w:val="auto"/>
                <w:szCs w:val="21"/>
                <w:highlight w:val="none"/>
              </w:rPr>
              <w:t xml:space="preserve">6</w:t>
            </w:r>
            <w:r>
              <w:rPr>
                <w:rFonts w:hint="eastAsia" w:ascii="宋体" w:hAnsi="宋体" w:cs="宋体"/>
                <w:bCs/>
                <w:color w:val="auto"/>
                <w:szCs w:val="21"/>
                <w:highlight w:val="none"/>
              </w:rPr>
              <w:t xml:space="preserve">分；内容表述较为清晰、内容较为健全、较可行的得</w:t>
            </w:r>
            <w:r>
              <w:rPr>
                <w:rFonts w:ascii="宋体" w:hAnsi="宋体" w:cs="宋体"/>
                <w:bCs/>
                <w:color w:val="auto"/>
                <w:szCs w:val="21"/>
                <w:highlight w:val="none"/>
              </w:rPr>
              <w:t xml:space="preserve">4</w:t>
            </w:r>
            <w:r>
              <w:rPr>
                <w:rFonts w:hint="eastAsia" w:ascii="宋体" w:hAnsi="宋体" w:cs="宋体"/>
                <w:bCs/>
                <w:color w:val="auto"/>
                <w:szCs w:val="21"/>
                <w:highlight w:val="none"/>
              </w:rPr>
              <w:t xml:space="preserve">分；内容表述一般、安排基本合理的得</w:t>
            </w:r>
            <w:r>
              <w:rPr>
                <w:rFonts w:ascii="宋体" w:hAnsi="宋体" w:cs="宋体"/>
                <w:bCs/>
                <w:color w:val="auto"/>
                <w:szCs w:val="21"/>
                <w:highlight w:val="none"/>
              </w:rPr>
              <w:t xml:space="preserve">2</w:t>
            </w:r>
            <w:r>
              <w:rPr>
                <w:rFonts w:hint="eastAsia" w:ascii="宋体" w:hAnsi="宋体" w:cs="宋体"/>
                <w:bCs/>
                <w:color w:val="auto"/>
                <w:szCs w:val="21"/>
                <w:highlight w:val="none"/>
              </w:rPr>
              <w:t xml:space="preserve">分；未作说明、内容表述模糊，安排无逻辑的不得分。</w:t>
            </w:r>
            <w:r/>
          </w:p>
          <w:p>
            <w:pPr>
              <w:pStyle w:val="915"/>
              <w:numPr>
                <w:ilvl w:val="0"/>
                <w:numId w:val="10"/>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人员的岗位职责分工（</w:t>
            </w:r>
            <w:r>
              <w:rPr>
                <w:rFonts w:ascii="宋体" w:hAnsi="宋体" w:cs="宋体"/>
                <w:bCs/>
                <w:color w:val="auto"/>
                <w:szCs w:val="21"/>
                <w:highlight w:val="none"/>
              </w:rPr>
              <w:t xml:space="preserve">6</w:t>
            </w:r>
            <w:r>
              <w:rPr>
                <w:rFonts w:hint="eastAsia" w:ascii="宋体" w:hAnsi="宋体" w:cs="宋体"/>
                <w:bCs/>
                <w:color w:val="auto"/>
                <w:szCs w:val="21"/>
                <w:highlight w:val="none"/>
              </w:rPr>
              <w:t xml:space="preserve">分）</w:t>
            </w:r>
            <w:r/>
          </w:p>
          <w:p>
            <w:pPr>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岗位分工内容描述清晰明确、内容健全、可行性强的得</w:t>
            </w:r>
            <w:r>
              <w:rPr>
                <w:rFonts w:ascii="宋体" w:hAnsi="宋体" w:cs="宋体"/>
                <w:bCs/>
                <w:color w:val="auto"/>
                <w:szCs w:val="21"/>
                <w:highlight w:val="none"/>
              </w:rPr>
              <w:t xml:space="preserve">6</w:t>
            </w:r>
            <w:r>
              <w:rPr>
                <w:rFonts w:hint="eastAsia" w:ascii="宋体" w:hAnsi="宋体" w:cs="宋体"/>
                <w:bCs/>
                <w:color w:val="auto"/>
                <w:szCs w:val="21"/>
                <w:highlight w:val="none"/>
              </w:rPr>
              <w:t xml:space="preserve">分；内容表述较为清晰、内容较为健全、较可行的得</w:t>
            </w:r>
            <w:r>
              <w:rPr>
                <w:rFonts w:ascii="宋体" w:hAnsi="宋体" w:cs="宋体"/>
                <w:bCs/>
                <w:color w:val="auto"/>
                <w:szCs w:val="21"/>
                <w:highlight w:val="none"/>
              </w:rPr>
              <w:t xml:space="preserve">4</w:t>
            </w:r>
            <w:r>
              <w:rPr>
                <w:rFonts w:hint="eastAsia" w:ascii="宋体" w:hAnsi="宋体" w:cs="宋体"/>
                <w:bCs/>
                <w:color w:val="auto"/>
                <w:szCs w:val="21"/>
                <w:highlight w:val="none"/>
              </w:rPr>
              <w:t xml:space="preserve">分；内容表述一般、安排基本合理的得</w:t>
            </w:r>
            <w:r>
              <w:rPr>
                <w:rFonts w:ascii="宋体" w:hAnsi="宋体" w:cs="宋体"/>
                <w:bCs/>
                <w:color w:val="auto"/>
                <w:szCs w:val="21"/>
                <w:highlight w:val="none"/>
              </w:rPr>
              <w:t xml:space="preserve">2</w:t>
            </w:r>
            <w:r>
              <w:rPr>
                <w:rFonts w:hint="eastAsia" w:ascii="宋体" w:hAnsi="宋体" w:cs="宋体"/>
                <w:bCs/>
                <w:color w:val="auto"/>
                <w:szCs w:val="21"/>
                <w:highlight w:val="none"/>
              </w:rPr>
              <w:t xml:space="preserve">分；未作说明、内容表述模糊，安排无逻辑的不得分。</w:t>
            </w:r>
            <w:r/>
          </w:p>
        </w:tc>
      </w:tr>
      <w:tr>
        <w:trPr>
          <w:jc w:val="center"/>
          <w:trHeight w:val="454"/>
        </w:trPr>
        <w:tc>
          <w:tcPr>
            <w:tcW w:w="1006" w:type="pct"/>
            <w:vAlign w:val="center"/>
            <w:textDirection w:val="lrTb"/>
            <w:noWrap w:val="false"/>
          </w:tcPr>
          <w:p>
            <w:pPr>
              <w:jc w:val="center"/>
              <w:spacing w:line="360" w:lineRule="auto"/>
              <w:tabs>
                <w:tab w:val="left" w:pos="426"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特殊情况应急预案及措施</w:t>
            </w:r>
            <w:r/>
          </w:p>
          <w:p>
            <w:pPr>
              <w:jc w:val="center"/>
              <w:spacing w:line="360" w:lineRule="auto"/>
              <w:tabs>
                <w:tab w:val="left" w:pos="426" w:leader="none"/>
              </w:tabs>
              <w:rPr>
                <w:rFonts w:ascii="宋体" w:hAnsi="宋体" w:cs="宋体"/>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rPr>
              <w:t xml:space="preserve">12</w:t>
            </w:r>
            <w:r>
              <w:rPr>
                <w:rFonts w:hint="eastAsia" w:ascii="宋体" w:hAnsi="宋体" w:cs="宋体"/>
                <w:color w:val="auto"/>
                <w:szCs w:val="21"/>
                <w:highlight w:val="none"/>
              </w:rPr>
              <w:t xml:space="preserve">分）</w:t>
            </w:r>
            <w:r/>
          </w:p>
        </w:tc>
        <w:tc>
          <w:tcPr>
            <w:tcW w:w="3993" w:type="pct"/>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方案内容具体详细，措施可操作性强，针对性强的得</w:t>
            </w:r>
            <w:r>
              <w:rPr>
                <w:rFonts w:ascii="宋体" w:hAnsi="宋体" w:cs="宋体"/>
                <w:bCs/>
                <w:color w:val="auto"/>
                <w:szCs w:val="21"/>
                <w:highlight w:val="none"/>
              </w:rPr>
              <w:t xml:space="preserve">12</w:t>
            </w:r>
            <w:r>
              <w:rPr>
                <w:rFonts w:hint="eastAsia" w:ascii="宋体" w:hAnsi="宋体" w:cs="宋体"/>
                <w:bCs/>
                <w:color w:val="auto"/>
                <w:szCs w:val="21"/>
                <w:highlight w:val="none"/>
              </w:rPr>
              <w:t xml:space="preserve">分；方案内容较具体，措施可操作性一般，较有针对性的得</w:t>
            </w:r>
            <w:r>
              <w:rPr>
                <w:rFonts w:ascii="宋体" w:hAnsi="宋体" w:cs="宋体"/>
                <w:bCs/>
                <w:color w:val="auto"/>
                <w:szCs w:val="21"/>
                <w:highlight w:val="none"/>
              </w:rPr>
              <w:t xml:space="preserve">8</w:t>
            </w:r>
            <w:r>
              <w:rPr>
                <w:rFonts w:hint="eastAsia" w:ascii="宋体" w:hAnsi="宋体" w:cs="宋体"/>
                <w:bCs/>
                <w:color w:val="auto"/>
                <w:szCs w:val="21"/>
                <w:highlight w:val="none"/>
              </w:rPr>
              <w:t xml:space="preserve">分；方案内容简略，措施简单，针对性不明显的得</w:t>
            </w:r>
            <w:r>
              <w:rPr>
                <w:rFonts w:ascii="宋体" w:hAnsi="宋体" w:cs="宋体"/>
                <w:bCs/>
                <w:color w:val="auto"/>
                <w:szCs w:val="21"/>
                <w:highlight w:val="none"/>
              </w:rPr>
              <w:t xml:space="preserve">4</w:t>
            </w:r>
            <w:r>
              <w:rPr>
                <w:rFonts w:hint="eastAsia" w:ascii="宋体" w:hAnsi="宋体" w:cs="宋体"/>
                <w:bCs/>
                <w:color w:val="auto"/>
                <w:szCs w:val="21"/>
                <w:highlight w:val="none"/>
              </w:rPr>
              <w:t xml:space="preserve">分；不提供的不得分。</w:t>
            </w:r>
            <w:r/>
          </w:p>
        </w:tc>
      </w:tr>
      <w:tr>
        <w:trPr>
          <w:jc w:val="center"/>
          <w:trHeight w:val="454"/>
        </w:trPr>
        <w:tc>
          <w:tcPr>
            <w:tcW w:w="1006" w:type="pct"/>
            <w:vAlign w:val="center"/>
            <w:textDirection w:val="lrTb"/>
            <w:noWrap w:val="false"/>
          </w:tcPr>
          <w:p>
            <w:pPr>
              <w:jc w:val="center"/>
              <w:spacing w:line="360" w:lineRule="auto"/>
              <w:tabs>
                <w:tab w:val="left" w:pos="426"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服务响应与反馈承诺</w:t>
            </w:r>
            <w:r/>
          </w:p>
          <w:p>
            <w:pPr>
              <w:jc w:val="center"/>
              <w:spacing w:line="360" w:lineRule="auto"/>
              <w:tabs>
                <w:tab w:val="left" w:pos="426" w:leader="none"/>
              </w:tabs>
              <w:rPr>
                <w:rFonts w:ascii="宋体" w:hAnsi="宋体" w:cs="宋体"/>
                <w:bCs/>
                <w:color w:val="auto"/>
                <w:szCs w:val="21"/>
                <w:highlight w:val="none"/>
              </w:rPr>
            </w:pPr>
            <w:r>
              <w:rPr>
                <w:rFonts w:hint="eastAsia" w:ascii="宋体" w:hAnsi="宋体" w:cs="宋体"/>
                <w:bCs/>
                <w:color w:val="auto"/>
                <w:szCs w:val="21"/>
                <w:highlight w:val="none"/>
              </w:rPr>
              <w:t xml:space="preserve">（</w:t>
            </w:r>
            <w:r>
              <w:rPr>
                <w:rFonts w:ascii="宋体" w:hAnsi="宋体" w:cs="宋体"/>
                <w:bCs/>
                <w:color w:val="auto"/>
                <w:szCs w:val="21"/>
                <w:highlight w:val="none"/>
              </w:rPr>
              <w:t xml:space="preserve">4</w:t>
            </w:r>
            <w:r>
              <w:rPr>
                <w:rFonts w:hint="eastAsia" w:ascii="宋体" w:hAnsi="宋体" w:cs="宋体"/>
                <w:bCs/>
                <w:color w:val="auto"/>
                <w:szCs w:val="21"/>
                <w:highlight w:val="none"/>
              </w:rPr>
              <w:t xml:space="preserve">分）</w:t>
            </w:r>
            <w:r/>
          </w:p>
        </w:tc>
        <w:tc>
          <w:tcPr>
            <w:tcW w:w="3993" w:type="pct"/>
            <w:textDirection w:val="lrTb"/>
            <w:noWrap w:val="false"/>
          </w:tcPr>
          <w:p>
            <w:pPr>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投标供应商针对本项目的采购需求，如采购人有需要能够在</w:t>
            </w:r>
            <w:r>
              <w:rPr>
                <w:rFonts w:ascii="宋体" w:hAnsi="宋体" w:cs="宋体"/>
                <w:bCs/>
                <w:color w:val="auto"/>
                <w:szCs w:val="21"/>
                <w:highlight w:val="none"/>
              </w:rPr>
              <w:t xml:space="preserve">30</w:t>
            </w:r>
            <w:r>
              <w:rPr>
                <w:rFonts w:hint="eastAsia" w:ascii="宋体" w:hAnsi="宋体" w:cs="宋体"/>
                <w:bCs/>
                <w:color w:val="auto"/>
                <w:szCs w:val="21"/>
                <w:highlight w:val="none"/>
              </w:rPr>
              <w:t xml:space="preserve">分钟内进行响应，并提出反馈意见的，提供承诺书（格式自拟）得</w:t>
            </w:r>
            <w:r>
              <w:rPr>
                <w:rFonts w:ascii="宋体" w:hAnsi="宋体" w:cs="宋体"/>
                <w:bCs/>
                <w:color w:val="auto"/>
                <w:szCs w:val="21"/>
                <w:highlight w:val="none"/>
              </w:rPr>
              <w:t xml:space="preserve">4</w:t>
            </w:r>
            <w:r>
              <w:rPr>
                <w:rFonts w:hint="eastAsia" w:ascii="宋体" w:hAnsi="宋体" w:cs="宋体"/>
                <w:bCs/>
                <w:color w:val="auto"/>
                <w:szCs w:val="21"/>
                <w:highlight w:val="none"/>
              </w:rPr>
              <w:t xml:space="preserve">分；能够在</w:t>
            </w:r>
            <w:r>
              <w:rPr>
                <w:rFonts w:ascii="宋体" w:hAnsi="宋体" w:cs="宋体"/>
                <w:bCs/>
                <w:color w:val="auto"/>
                <w:szCs w:val="21"/>
                <w:highlight w:val="none"/>
              </w:rPr>
              <w:t xml:space="preserve">60</w:t>
            </w:r>
            <w:r>
              <w:rPr>
                <w:rFonts w:hint="eastAsia" w:ascii="宋体" w:hAnsi="宋体" w:cs="宋体"/>
                <w:bCs/>
                <w:color w:val="auto"/>
                <w:szCs w:val="21"/>
                <w:highlight w:val="none"/>
              </w:rPr>
              <w:t xml:space="preserve">分钟内进行响应，并提出反馈意见的，提供承诺书（格式自拟）得2分；能够在</w:t>
            </w:r>
            <w:r>
              <w:rPr>
                <w:rFonts w:ascii="宋体" w:hAnsi="宋体" w:cs="宋体"/>
                <w:bCs/>
                <w:color w:val="auto"/>
                <w:szCs w:val="21"/>
                <w:highlight w:val="none"/>
              </w:rPr>
              <w:t xml:space="preserve">90</w:t>
            </w:r>
            <w:r>
              <w:rPr>
                <w:rFonts w:hint="eastAsia" w:ascii="宋体" w:hAnsi="宋体" w:cs="宋体"/>
                <w:bCs/>
                <w:color w:val="auto"/>
                <w:szCs w:val="21"/>
                <w:highlight w:val="none"/>
              </w:rPr>
              <w:t xml:space="preserve">分钟内进行响应，并提出反馈意见的，提供承诺书（格式自拟）得1分；未提供承诺书的不得分。</w:t>
            </w:r>
            <w:r/>
          </w:p>
        </w:tc>
      </w:tr>
    </w:tbl>
    <w:p>
      <w:pPr>
        <w:pStyle w:val="821"/>
        <w:jc w:val="center"/>
        <w:rPr>
          <w:rFonts w:hint="eastAsia" w:ascii="宋体" w:hAnsi="宋体"/>
          <w:color w:val="auto"/>
          <w:highlight w:val="none"/>
        </w:rPr>
      </w:pPr>
      <w:r>
        <w:rPr>
          <w:rFonts w:hint="eastAsia" w:ascii="宋体" w:hAnsi="宋体"/>
          <w:color w:val="auto"/>
          <w:highlight w:val="none"/>
        </w:rPr>
      </w:r>
      <w:r/>
    </w:p>
    <w:p>
      <w:pPr>
        <w:rPr>
          <w:color w:val="auto"/>
          <w:highlight w:val="none"/>
        </w:rPr>
        <w:sectPr>
          <w:headerReference w:type="default" r:id="rId10"/>
          <w:footerReference w:type="default" r:id="rId13"/>
          <w:footnotePr/>
          <w:endnotePr/>
          <w:type w:val="nextPage"/>
          <w:pgSz w:w="11906" w:h="16838" w:orient="portrait"/>
          <w:pgMar w:top="1440" w:right="1800" w:bottom="1440" w:left="1800" w:header="851" w:footer="992" w:gutter="0"/>
          <w:cols w:num="1" w:sep="0" w:space="720" w:equalWidth="1"/>
          <w:docGrid w:linePitch="360"/>
        </w:sectPr>
      </w:pPr>
      <w:r>
        <w:rPr>
          <w:color w:val="auto"/>
          <w:highlight w:val="none"/>
        </w:rPr>
      </w:r>
      <w:r/>
    </w:p>
    <w:p>
      <w:pPr>
        <w:pStyle w:val="821"/>
        <w:jc w:val="center"/>
        <w:rPr>
          <w:rFonts w:hint="eastAsia" w:ascii="宋体" w:hAnsi="宋体"/>
          <w:color w:val="auto"/>
          <w:highlight w:val="none"/>
        </w:rPr>
      </w:pPr>
      <w:r>
        <w:rPr>
          <w:rFonts w:hint="eastAsia" w:ascii="宋体" w:hAnsi="宋体"/>
          <w:color w:val="auto"/>
          <w:highlight w:val="none"/>
        </w:rPr>
        <w:t xml:space="preserve">第六章 投标文件格式 </w:t>
      </w:r>
      <w:r/>
    </w:p>
    <w:p>
      <w:pPr>
        <w:rPr>
          <w:rFonts w:ascii="黑体" w:eastAsia="黑体"/>
          <w:bCs/>
          <w:color w:val="auto"/>
          <w:sz w:val="44"/>
          <w:highlight w:val="none"/>
        </w:rPr>
      </w:pPr>
      <w:r>
        <w:rPr>
          <w:rFonts w:ascii="黑体" w:eastAsia="黑体"/>
          <w:bCs/>
          <w:color w:val="auto"/>
          <w:sz w:val="44"/>
          <w:highlight w:val="none"/>
        </w:rPr>
      </w:r>
      <w:r/>
    </w:p>
    <w:p>
      <w:pPr>
        <w:jc w:val="center"/>
        <w:rPr>
          <w:rFonts w:hint="eastAsia" w:ascii="宋体" w:hAnsi="宋体"/>
          <w:b/>
          <w:color w:val="auto"/>
          <w:sz w:val="72"/>
          <w:highlight w:val="none"/>
        </w:rPr>
      </w:pPr>
      <w:r>
        <w:rPr>
          <w:rFonts w:hint="eastAsia" w:ascii="宋体" w:hAnsi="宋体"/>
          <w:b/>
          <w:color w:val="auto"/>
          <w:sz w:val="72"/>
          <w:highlight w:val="none"/>
        </w:rPr>
        <w:t xml:space="preserve">投  标  文  件</w:t>
      </w:r>
      <w:r/>
    </w:p>
    <w:p>
      <w:pPr>
        <w:jc w:val="center"/>
        <w:rPr>
          <w:rFonts w:hint="eastAsia" w:ascii="宋体" w:hAnsi="宋体"/>
          <w:b/>
          <w:color w:val="auto"/>
          <w:sz w:val="72"/>
          <w:highlight w:val="none"/>
        </w:rPr>
      </w:pPr>
      <w:r>
        <w:rPr>
          <w:rFonts w:hint="eastAsia" w:ascii="宋体" w:hAnsi="宋体"/>
          <w:b/>
          <w:color w:val="auto"/>
          <w:sz w:val="72"/>
          <w:highlight w:val="none"/>
        </w:rPr>
      </w:r>
      <w:r/>
    </w:p>
    <w:p>
      <w:pPr>
        <w:jc w:val="center"/>
        <w:rPr>
          <w:rFonts w:hint="eastAsia" w:ascii="宋体" w:hAnsi="宋体"/>
          <w:b/>
          <w:color w:val="auto"/>
          <w:sz w:val="72"/>
          <w:highlight w:val="none"/>
        </w:rPr>
      </w:pPr>
      <w:r>
        <w:rPr>
          <w:rFonts w:hint="eastAsia" w:ascii="宋体" w:hAnsi="宋体"/>
          <w:b/>
          <w:color w:val="auto"/>
          <w:sz w:val="72"/>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ind w:firstLine="1084"/>
        <w:rPr>
          <w:rFonts w:hint="eastAsia"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hint="eastAsia" w:ascii="宋体" w:hAnsi="宋体"/>
          <w:b/>
          <w:color w:val="auto"/>
          <w:sz w:val="36"/>
          <w:highlight w:val="none"/>
          <w:u w:val="single"/>
        </w:rPr>
      </w:pPr>
      <w:r>
        <w:rPr>
          <w:rFonts w:hint="eastAsia" w:ascii="宋体" w:hAnsi="宋体"/>
          <w:b/>
          <w:color w:val="auto"/>
          <w:sz w:val="36"/>
          <w:highlight w:val="none"/>
        </w:rPr>
        <w:t xml:space="preserve">招 标 编 号：</w:t>
      </w:r>
      <w:r>
        <w:rPr>
          <w:rFonts w:hint="eastAsia" w:ascii="宋体" w:hAnsi="宋体"/>
          <w:b/>
          <w:color w:val="auto"/>
          <w:sz w:val="36"/>
          <w:highlight w:val="none"/>
          <w:u w:val="single"/>
        </w:rPr>
        <w:t xml:space="preserve">               </w:t>
      </w:r>
      <w:r/>
    </w:p>
    <w:p>
      <w:pPr>
        <w:rPr>
          <w:rFonts w:hint="eastAsia"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rPr>
          <w:rFonts w:hint="eastAsia"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ind w:firstLine="1084"/>
        <w:rPr>
          <w:rFonts w:hint="eastAsia" w:ascii="宋体" w:hAnsi="宋体"/>
          <w:b/>
          <w:color w:val="auto"/>
          <w:sz w:val="36"/>
          <w:highlight w:val="none"/>
        </w:rPr>
      </w:pPr>
      <w:r>
        <w:rPr>
          <w:rFonts w:hint="eastAsia" w:ascii="宋体" w:hAnsi="宋体"/>
          <w:b/>
          <w:color w:val="auto"/>
          <w:sz w:val="36"/>
          <w:highlight w:val="none"/>
        </w:rPr>
        <w:t xml:space="preserve">投  标  人：</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（电子签章）</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br w:type="page" w:clear="all"/>
      </w:r>
      <w:r>
        <w:rPr>
          <w:rFonts w:hint="eastAsia" w:ascii="宋体" w:hAnsi="宋体"/>
          <w:b/>
          <w:bCs/>
          <w:color w:val="auto"/>
          <w:sz w:val="32"/>
          <w:szCs w:val="32"/>
          <w:highlight w:val="none"/>
        </w:rPr>
        <w:t xml:space="preserve">投标主要文件目录</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rPr>
          <w:rFonts w:hint="eastAsia" w:ascii="宋体" w:hAnsi="宋体"/>
          <w:color w:val="auto"/>
          <w:sz w:val="24"/>
          <w:highlight w:val="none"/>
        </w:rPr>
      </w:pPr>
      <w:r>
        <w:rPr>
          <w:rFonts w:hint="eastAsia" w:ascii="宋体" w:hAnsi="宋体"/>
          <w:color w:val="auto"/>
          <w:sz w:val="24"/>
          <w:highlight w:val="none"/>
        </w:rPr>
        <w:t xml:space="preserve">二、符合性审查响应对照表</w:t>
      </w:r>
      <w:r/>
    </w:p>
    <w:p>
      <w:pPr>
        <w:ind w:left="480"/>
        <w:spacing w:line="360" w:lineRule="auto"/>
        <w:rPr>
          <w:rFonts w:hint="eastAsia"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spacing w:line="360" w:lineRule="auto"/>
        <w:rPr>
          <w:rFonts w:hint="eastAsia" w:ascii="宋体" w:hAnsi="宋体"/>
          <w:b/>
          <w:bCs/>
          <w:color w:val="auto"/>
          <w:sz w:val="24"/>
          <w:highlight w:val="none"/>
        </w:rPr>
      </w:pPr>
      <w:r>
        <w:rPr>
          <w:rFonts w:hint="eastAsia" w:ascii="宋体" w:hAnsi="宋体"/>
          <w:color w:val="auto"/>
          <w:sz w:val="24"/>
          <w:highlight w:val="none"/>
        </w:rPr>
        <w:t xml:space="preserve">四、</w:t>
      </w:r>
      <w:r>
        <w:rPr>
          <w:rFonts w:hint="eastAsia" w:ascii="宋体" w:hAnsi="宋体"/>
          <w:i/>
          <w:color w:val="auto"/>
          <w:sz w:val="24"/>
          <w:highlight w:val="none"/>
          <w:u w:val="single"/>
        </w:rPr>
        <w:t xml:space="preserve">开标一览表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五</w:t>
      </w:r>
      <w:r>
        <w:rPr>
          <w:rFonts w:hint="eastAsia" w:ascii="宋体" w:hAnsi="宋体" w:cs="Courier New"/>
          <w:color w:val="auto"/>
          <w:sz w:val="24"/>
          <w:szCs w:val="24"/>
          <w:highlight w:val="none"/>
        </w:rPr>
        <w:t xml:space="preserve">、</w:t>
      </w:r>
      <w:r>
        <w:rPr>
          <w:rFonts w:hint="eastAsia" w:ascii="宋体" w:hAnsi="宋体"/>
          <w:color w:val="auto"/>
          <w:sz w:val="24"/>
          <w:szCs w:val="24"/>
          <w:highlight w:val="none"/>
        </w:rPr>
        <w:t xml:space="preserve">技术参数响应及偏离表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六</w:t>
      </w:r>
      <w:r>
        <w:rPr>
          <w:rFonts w:hint="eastAsia" w:ascii="宋体" w:hAnsi="宋体"/>
          <w:color w:val="auto"/>
          <w:sz w:val="24"/>
          <w:highlight w:val="none"/>
        </w:rPr>
        <w:t xml:space="preserve">、商务条款响应及偏离表</w:t>
      </w:r>
      <w:r/>
    </w:p>
    <w:p>
      <w:pPr>
        <w:ind w:firstLine="480"/>
        <w:spacing w:line="360" w:lineRule="auto"/>
        <w:rPr>
          <w:color w:val="auto"/>
          <w:sz w:val="36"/>
          <w:szCs w:val="36"/>
          <w:highlight w:val="none"/>
        </w:rPr>
      </w:pPr>
      <w:r>
        <w:rPr>
          <w:rFonts w:hint="eastAsia" w:ascii="宋体" w:hAnsi="宋体"/>
          <w:color w:val="auto"/>
          <w:sz w:val="24"/>
          <w:highlight w:val="none"/>
          <w:lang w:val="en-US" w:eastAsia="zh-CN"/>
        </w:rPr>
        <w:t xml:space="preserve">七</w:t>
      </w:r>
      <w:r>
        <w:rPr>
          <w:rFonts w:hint="eastAsia" w:ascii="宋体" w:hAnsi="宋体"/>
          <w:color w:val="auto"/>
          <w:sz w:val="24"/>
          <w:highlight w:val="none"/>
        </w:rPr>
        <w:t xml:space="preserve">、其他 （投标人认为有必要提供的声明和文件，如有自拟并自行添加）</w:t>
      </w:r>
      <w:r/>
    </w:p>
    <w:p>
      <w:pPr>
        <w:contextualSpacing/>
        <w:jc w:val="center"/>
        <w:rPr>
          <w:rFonts w:hint="eastAsia" w:ascii="宋体" w:hAnsi="宋体"/>
          <w:b/>
          <w:color w:val="auto"/>
          <w:sz w:val="72"/>
          <w:highlight w:val="none"/>
        </w:rPr>
      </w:pPr>
      <w:r>
        <w:rPr>
          <w:rFonts w:hint="eastAsia" w:ascii="宋体" w:hAnsi="宋体"/>
          <w:b/>
          <w:color w:val="auto"/>
          <w:sz w:val="72"/>
          <w:highlight w:val="none"/>
        </w:rPr>
      </w:r>
      <w:r/>
    </w:p>
    <w:p>
      <w:pPr>
        <w:contextualSpacing/>
        <w:jc w:val="center"/>
        <w:spacing w:line="600" w:lineRule="exact"/>
        <w:rPr>
          <w:rFonts w:hint="eastAsia" w:ascii="宋体" w:hAnsi="宋体"/>
          <w:b/>
          <w:color w:val="auto"/>
          <w:sz w:val="72"/>
          <w:highlight w:val="none"/>
        </w:rPr>
      </w:pPr>
      <w:r>
        <w:rPr>
          <w:rFonts w:hint="eastAsia" w:ascii="宋体" w:hAnsi="宋体"/>
          <w:b/>
          <w:color w:val="auto"/>
          <w:sz w:val="72"/>
          <w:highlight w:val="none"/>
        </w:rPr>
      </w:r>
      <w:r/>
    </w:p>
    <w:p>
      <w:pPr>
        <w:contextualSpacing/>
        <w:jc w:val="center"/>
        <w:spacing w:line="600" w:lineRule="exact"/>
        <w:rPr>
          <w:rFonts w:hint="eastAsia" w:ascii="宋体" w:hAnsi="宋体"/>
          <w:b/>
          <w:color w:val="auto"/>
          <w:sz w:val="72"/>
          <w:highlight w:val="none"/>
        </w:rPr>
      </w:pPr>
      <w:r>
        <w:rPr>
          <w:rFonts w:hint="eastAsia" w:ascii="宋体" w:hAnsi="宋体"/>
          <w:b/>
          <w:color w:val="auto"/>
          <w:sz w:val="72"/>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822"/>
        <w:numPr>
          <w:ilvl w:val="0"/>
          <w:numId w:val="0"/>
        </w:numPr>
        <w:jc w:val="center"/>
        <w:rPr>
          <w:rFonts w:hint="eastAsia" w:ascii="宋体" w:hAnsi="宋体"/>
          <w:b w:val="0"/>
          <w:color w:val="auto"/>
          <w:sz w:val="32"/>
          <w:szCs w:val="32"/>
          <w:highlight w:val="none"/>
        </w:rPr>
      </w:pPr>
      <w:r>
        <w:rPr>
          <w:rFonts w:hint="eastAsia" w:ascii="宋体" w:hAnsi="宋体"/>
          <w:color w:val="auto"/>
          <w:sz w:val="32"/>
          <w:szCs w:val="32"/>
          <w:highlight w:val="none"/>
        </w:rPr>
        <w:br w:type="page" w:clear="all"/>
      </w:r>
      <w:r>
        <w:rPr>
          <w:rFonts w:hint="eastAsia" w:ascii="宋体" w:hAnsi="宋体"/>
          <w:bCs w:val="0"/>
          <w:color w:val="auto"/>
          <w:sz w:val="32"/>
          <w:szCs w:val="32"/>
          <w:highlight w:val="none"/>
        </w:rPr>
        <w:t xml:space="preserve">一、资格审查响应对照表</w:t>
      </w:r>
      <w:r/>
    </w:p>
    <w:tbl>
      <w:tblPr>
        <w:tblStyle w:val="831"/>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资格审查响应内容</w:t>
            </w:r>
            <w:r/>
          </w:p>
        </w:tc>
        <w:tc>
          <w:tcPr>
            <w:tcW w:w="2158" w:type="dxa"/>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r>
      <w:tr>
        <w:trPr>
          <w:trHeight w:val="335"/>
        </w:trPr>
        <w:tc>
          <w:tcPr>
            <w:gridSpan w:val="3"/>
            <w:tcW w:w="8251" w:type="dxa"/>
            <w:vAlign w:val="center"/>
            <w:textDirection w:val="lrTb"/>
            <w:noWrap w:val="false"/>
          </w:tcPr>
          <w:p>
            <w:pPr>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通用资格条件</w:t>
            </w:r>
            <w:r/>
          </w:p>
        </w:tc>
      </w:tr>
      <w:tr>
        <w:trPr>
          <w:trHeight w:val="761"/>
        </w:trPr>
        <w:tc>
          <w:tcPr>
            <w:tcW w:w="646"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color w:val="auto"/>
                <w:szCs w:val="21"/>
                <w:highlight w:val="none"/>
              </w:rPr>
              <w:t xml:space="preserve">1</w:t>
            </w:r>
            <w:r/>
          </w:p>
        </w:tc>
        <w:tc>
          <w:tcPr>
            <w:tcW w:w="5447" w:type="dxa"/>
            <w:vAlign w:val="center"/>
            <w:textDirection w:val="lrTb"/>
            <w:noWrap w:val="false"/>
          </w:tcPr>
          <w:p>
            <w:pPr>
              <w:spacing w:line="360" w:lineRule="auto"/>
              <w:rPr>
                <w:rFonts w:hint="eastAsia" w:ascii="宋体" w:hAnsi="宋体"/>
                <w:iCs/>
                <w:color w:val="auto"/>
                <w:szCs w:val="21"/>
                <w:highlight w:val="none"/>
              </w:rPr>
            </w:pPr>
            <w:r>
              <w:rPr>
                <w:rFonts w:hint="eastAsia" w:ascii="宋体" w:hAnsi="宋体" w:cs="宋体"/>
                <w:color w:val="auto"/>
                <w:szCs w:val="21"/>
                <w:highlight w:val="none"/>
              </w:rPr>
              <w:t xml:space="preserve">法人或者其他组织的营业执照等证明文件，自然人的身份证明</w:t>
            </w:r>
            <w:r>
              <w:rPr>
                <w:rFonts w:hint="eastAsia" w:ascii="宋体" w:hAnsi="宋体"/>
                <w:color w:val="auto"/>
                <w:szCs w:val="21"/>
                <w:highlight w:val="none"/>
              </w:rPr>
              <w:t xml:space="preserve">（身份证为正、反面）</w:t>
            </w:r>
            <w:r/>
          </w:p>
        </w:tc>
        <w:tc>
          <w:tcPr>
            <w:tcW w:w="2158" w:type="dxa"/>
            <w:vAlign w:val="center"/>
            <w:textDirection w:val="lrTb"/>
            <w:noWrap w:val="false"/>
          </w:tcPr>
          <w:p>
            <w:pPr>
              <w:rPr>
                <w:rFonts w:hint="eastAsia" w:ascii="宋体" w:hAnsi="宋体"/>
                <w:b/>
                <w:color w:val="auto"/>
                <w:szCs w:val="21"/>
                <w:highlight w:val="none"/>
              </w:rPr>
            </w:pPr>
            <w:r>
              <w:rPr>
                <w:rFonts w:hint="eastAsia" w:ascii="宋体" w:hAnsi="宋体"/>
                <w:b/>
                <w:color w:val="auto"/>
                <w:szCs w:val="21"/>
                <w:highlight w:val="none"/>
              </w:rPr>
            </w:r>
            <w:r/>
          </w:p>
        </w:tc>
      </w:tr>
      <w:tr>
        <w:trPr>
          <w:trHeight w:val="585"/>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5447" w:type="dxa"/>
            <w:vAlign w:val="center"/>
            <w:textDirection w:val="lrTb"/>
            <w:noWrap w:val="false"/>
          </w:tcPr>
          <w:p>
            <w:pPr>
              <w:spacing w:line="360" w:lineRule="auto"/>
              <w:rPr>
                <w:rFonts w:hint="eastAsia" w:ascii="宋体" w:hAnsi="宋体"/>
                <w:color w:val="auto"/>
                <w:szCs w:val="21"/>
                <w:highlight w:val="none"/>
              </w:rPr>
            </w:pPr>
            <w:r>
              <w:rPr>
                <w:rFonts w:hint="eastAsia" w:ascii="宋体" w:hAnsi="宋体" w:cs="宋体"/>
                <w:color w:val="auto"/>
                <w:szCs w:val="21"/>
                <w:highlight w:val="none"/>
              </w:rPr>
              <w:t xml:space="preserve">依法缴纳职工社会保障资金的证明材料</w:t>
            </w:r>
            <w:r>
              <w:rPr>
                <w:rFonts w:hint="eastAsia" w:ascii="宋体" w:hAnsi="宋体" w:cs="宋体"/>
                <w:b/>
                <w:bCs/>
                <w:color w:val="auto"/>
                <w:szCs w:val="21"/>
                <w:highlight w:val="none"/>
              </w:rPr>
              <w:t xml:space="preserve">(税务、银行或社会保险基金管理部门出具的提交投标文件截止时间前一年内至少一个月缴纳职工社会保障资金的缴款凭证或缴款证明)（投标人依法享受缓缴、免缴的提供证明材料）</w:t>
            </w:r>
            <w:r/>
          </w:p>
        </w:tc>
        <w:tc>
          <w:tcPr>
            <w:tcW w:w="215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585"/>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5447" w:type="dxa"/>
            <w:vAlign w:val="center"/>
            <w:textDirection w:val="lrTb"/>
            <w:noWrap w:val="false"/>
          </w:tcPr>
          <w:p>
            <w:pPr>
              <w:spacing w:line="360" w:lineRule="auto"/>
              <w:rPr>
                <w:rFonts w:hint="eastAsia" w:ascii="宋体" w:hAnsi="宋体"/>
                <w:color w:val="auto"/>
                <w:szCs w:val="21"/>
                <w:highlight w:val="none"/>
              </w:rPr>
            </w:pPr>
            <w:r>
              <w:rPr>
                <w:rFonts w:hint="eastAsia" w:ascii="宋体" w:hAnsi="宋体" w:cs="宋体"/>
                <w:color w:val="auto"/>
                <w:szCs w:val="21"/>
                <w:highlight w:val="none"/>
              </w:rPr>
              <w:t xml:space="preserve">投标人提交投标文件截止时间前一年内至少一个月依法纳税的缴款凭证</w:t>
            </w:r>
            <w:r>
              <w:rPr>
                <w:rFonts w:hint="eastAsia" w:ascii="宋体" w:hAnsi="宋体" w:cs="宋体"/>
                <w:b/>
                <w:bCs/>
                <w:color w:val="auto"/>
                <w:szCs w:val="21"/>
                <w:highlight w:val="none"/>
              </w:rPr>
              <w:t xml:space="preserve">（投标人依法享受缓缴、免缴的提供证明材料）</w:t>
            </w:r>
            <w:r/>
          </w:p>
        </w:tc>
        <w:tc>
          <w:tcPr>
            <w:tcW w:w="215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417"/>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5447" w:type="dxa"/>
            <w:vAlign w:val="center"/>
            <w:textDirection w:val="lrTb"/>
            <w:noWrap w:val="false"/>
          </w:tcPr>
          <w:p>
            <w:pPr>
              <w:spacing w:line="360" w:lineRule="auto"/>
              <w:rPr>
                <w:rFonts w:hint="eastAsia" w:ascii="宋体" w:hAnsi="宋体"/>
                <w:iCs/>
                <w:color w:val="auto"/>
                <w:szCs w:val="21"/>
                <w:highlight w:val="none"/>
              </w:rPr>
            </w:pPr>
            <w:r>
              <w:rPr>
                <w:rFonts w:hint="eastAsia" w:ascii="宋体" w:hAnsi="宋体" w:cs="宋体"/>
                <w:color w:val="auto"/>
                <w:szCs w:val="21"/>
                <w:highlight w:val="none"/>
              </w:rPr>
            </w:r>
            <w:r>
              <w:rPr>
                <w:rFonts w:ascii="Arial" w:hAnsi="Arial" w:eastAsia="Arial" w:cs="Arial"/>
                <w:i w:val="0"/>
                <w:iCs w:val="0"/>
                <w:color w:val="000000"/>
                <w:sz w:val="21"/>
                <w:highlight w:val="none"/>
                <w:u w:val="none"/>
              </w:rPr>
              <w:t xml:space="preserve">上一年度的财务报告</w:t>
            </w:r>
            <w:r>
              <w:rPr>
                <w:rFonts w:ascii="Arial" w:hAnsi="Arial" w:eastAsia="Arial" w:cs="Arial"/>
                <w:b/>
                <w:bCs/>
                <w:i w:val="0"/>
                <w:iCs w:val="0"/>
                <w:color w:val="000000"/>
                <w:sz w:val="21"/>
                <w:highlight w:val="none"/>
                <w:u w:val="none"/>
              </w:rPr>
              <w:t xml:space="preserve">（成立不满一年不需提供）</w:t>
            </w:r>
            <w:r>
              <w:rPr>
                <w:rFonts w:hint="eastAsia" w:ascii="宋体" w:hAnsi="宋体" w:cs="宋体"/>
                <w:i w:val="0"/>
                <w:iCs w:val="0"/>
                <w:color w:val="auto"/>
                <w:szCs w:val="21"/>
                <w:highlight w:val="none"/>
                <w:u w:val="none"/>
              </w:rPr>
            </w:r>
            <w:r/>
          </w:p>
        </w:tc>
        <w:tc>
          <w:tcPr>
            <w:tcW w:w="215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780"/>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5447" w:type="dxa"/>
            <w:vAlign w:val="center"/>
            <w:textDirection w:val="lrTb"/>
            <w:noWrap w:val="false"/>
          </w:tcPr>
          <w:p>
            <w:pPr>
              <w:spacing w:line="360" w:lineRule="auto"/>
              <w:rPr>
                <w:rFonts w:hint="eastAsia" w:ascii="宋体" w:hAnsi="宋体"/>
                <w:iCs/>
                <w:color w:val="auto"/>
                <w:szCs w:val="21"/>
                <w:highlight w:val="none"/>
              </w:rPr>
            </w:pPr>
            <w:r>
              <w:rPr>
                <w:rFonts w:hint="eastAsia" w:ascii="宋体" w:hAnsi="宋体" w:cs="宋体"/>
                <w:color w:val="auto"/>
                <w:szCs w:val="21"/>
                <w:highlight w:val="none"/>
              </w:rPr>
              <w:t xml:space="preserve">具备履行合同所必需的设备和专业技术能力的证明材料</w:t>
            </w:r>
            <w:r/>
          </w:p>
        </w:tc>
        <w:tc>
          <w:tcPr>
            <w:tcW w:w="215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780"/>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W w:w="5447" w:type="dxa"/>
            <w:vAlign w:val="center"/>
            <w:textDirection w:val="lrTb"/>
            <w:noWrap w:val="false"/>
          </w:tcPr>
          <w:p>
            <w:pPr>
              <w:spacing w:line="360" w:lineRule="auto"/>
              <w:rPr>
                <w:rFonts w:hint="eastAsia" w:ascii="宋体" w:hAnsi="宋体"/>
                <w:iCs/>
                <w:color w:val="auto"/>
                <w:szCs w:val="21"/>
                <w:highlight w:val="none"/>
              </w:rPr>
            </w:pPr>
            <w:r>
              <w:rPr>
                <w:rFonts w:hint="eastAsia" w:ascii="宋体" w:hAnsi="宋体" w:cs="宋体"/>
                <w:color w:val="auto"/>
                <w:szCs w:val="21"/>
                <w:highlight w:val="none"/>
              </w:rPr>
              <w:t xml:space="preserve"> 参加本次政府采购活动前3年内在经营活动中没有重大违法记录的书面声明</w:t>
            </w:r>
            <w:r/>
          </w:p>
        </w:tc>
        <w:tc>
          <w:tcPr>
            <w:tcW w:w="215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780"/>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W w:w="544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未被“信用中国”网站（www.creditchina.gov.cn）、“中国政府采购网"(www.ccgp.gov.cn)列入失信被执行人、重大税收违法案.件当事人名单、政府采购严重违法失信行为记录名单</w:t>
            </w:r>
            <w:r/>
          </w:p>
        </w:tc>
        <w:tc>
          <w:tcPr>
            <w:tcW w:w="215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780"/>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W w:w="544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供应商信用承诺函</w:t>
            </w:r>
            <w:r/>
          </w:p>
        </w:tc>
        <w:tc>
          <w:tcPr>
            <w:tcW w:w="215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90"/>
        </w:trPr>
        <w:tc>
          <w:tcPr>
            <w:gridSpan w:val="3"/>
            <w:tcW w:w="8251"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400"/>
        </w:trPr>
        <w:tc>
          <w:tcPr>
            <w:tcW w:w="64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tcW w:w="5447" w:type="dxa"/>
            <w:vAlign w:val="center"/>
            <w:textDirection w:val="lrTb"/>
            <w:noWrap w:val="false"/>
          </w:tcPr>
          <w:p>
            <w:pPr>
              <w:spacing w:line="360" w:lineRule="auto"/>
              <w:rPr>
                <w:rFonts w:hint="eastAsia" w:ascii="宋体" w:hAnsi="宋体" w:cs="宋体"/>
                <w:bCs/>
                <w:i w:val="0"/>
                <w:iCs/>
                <w:color w:val="auto"/>
                <w:highlight w:val="none"/>
                <w:u w:val="none"/>
              </w:rPr>
            </w:pPr>
            <w:r>
              <w:rPr>
                <w:rFonts w:hint="eastAsia" w:ascii="宋体" w:hAnsi="宋体" w:cs="宋体"/>
                <w:bCs/>
                <w:i w:val="0"/>
                <w:iCs/>
                <w:color w:val="auto"/>
                <w:highlight w:val="none"/>
                <w:u w:val="none"/>
              </w:rPr>
              <w:t xml:space="preserve">根据《政府采购促进中小企业发展管理办法》的规定，本项目专门面向中小企业采购，供应商投标时须提供《中小企业声明函》，《中小企业声明函》不符合要求或未提供的，响应文件无效。</w:t>
            </w:r>
            <w:r/>
          </w:p>
          <w:p>
            <w:pPr>
              <w:jc w:val="left"/>
              <w:spacing w:line="360" w:lineRule="auto"/>
              <w:rPr>
                <w:rFonts w:hint="eastAsia" w:ascii="宋体" w:hAnsi="宋体" w:cs="宋体"/>
                <w:bCs/>
                <w:color w:val="auto"/>
                <w:highlight w:val="none"/>
                <w:u w:val="single"/>
              </w:rPr>
            </w:pPr>
            <w:r>
              <w:rPr>
                <w:rFonts w:hint="eastAsia" w:ascii="宋体" w:hAnsi="宋体" w:cs="宋体"/>
                <w:color w:val="auto"/>
                <w:szCs w:val="21"/>
                <w:highlight w:val="none"/>
              </w:rPr>
              <w:t xml:space="preserve">本项目采购标的按中小企业划分标准所属行业区分为：其他未列明行业（中小微企业划型标准网http://www.ccgp.gov.cn/zcfg/mof/201310/t20131029_3587674.htm）。</w:t>
            </w:r>
            <w:r/>
          </w:p>
        </w:tc>
        <w:tc>
          <w:tcPr>
            <w:tcW w:w="215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383"/>
        </w:trPr>
        <w:tc>
          <w:tcPr>
            <w:gridSpan w:val="3"/>
            <w:tcW w:w="8251"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特定资格条件</w:t>
            </w:r>
            <w:r/>
          </w:p>
        </w:tc>
      </w:tr>
      <w:tr>
        <w:trPr>
          <w:trHeight w:val="389"/>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c>
          <w:tcPr>
            <w:tcW w:w="5447" w:type="dxa"/>
            <w:vAlign w:val="center"/>
            <w:textDirection w:val="lrTb"/>
            <w:noWrap w:val="false"/>
          </w:tcPr>
          <w:p>
            <w:pPr>
              <w:spacing w:line="360" w:lineRule="auto"/>
              <w:rPr>
                <w:rFonts w:hint="eastAsia" w:ascii="宋体" w:hAnsi="宋体" w:eastAsia="宋体" w:cs="宋体"/>
                <w:iCs/>
                <w:color w:val="auto"/>
                <w:szCs w:val="21"/>
                <w:highlight w:val="none"/>
                <w:lang w:eastAsia="zh-CN"/>
              </w:rPr>
            </w:pPr>
            <w:r>
              <w:rPr>
                <w:rFonts w:hint="eastAsia" w:ascii="宋体" w:hAnsi="宋体" w:cs="宋体"/>
                <w:iCs/>
                <w:color w:val="auto"/>
                <w:szCs w:val="21"/>
                <w:highlight w:val="none"/>
                <w:lang w:val="en-US" w:eastAsia="zh-CN"/>
              </w:rPr>
              <w:t xml:space="preserve">无</w:t>
            </w:r>
            <w:r/>
          </w:p>
        </w:tc>
        <w:tc>
          <w:tcPr>
            <w:tcW w:w="215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400"/>
        </w:trPr>
        <w:tc>
          <w:tcPr>
            <w:gridSpan w:val="3"/>
            <w:tcW w:w="8251" w:type="dxa"/>
            <w:vAlign w:val="center"/>
            <w:textDirection w:val="lrTb"/>
            <w:noWrap w:val="false"/>
          </w:tcPr>
          <w:p>
            <w:pPr>
              <w:jc w:val="left"/>
              <w:rPr>
                <w:rFonts w:hint="eastAsia" w:ascii="宋体" w:hAnsi="宋体" w:cs="宋体"/>
                <w:color w:val="auto"/>
                <w:szCs w:val="21"/>
                <w:highlight w:val="none"/>
              </w:rPr>
            </w:pPr>
            <w:r>
              <w:rPr>
                <w:rFonts w:hint="eastAsia" w:ascii="宋体" w:hAnsi="宋体" w:cs="宋体"/>
                <w:b/>
                <w:color w:val="auto"/>
                <w:szCs w:val="21"/>
                <w:highlight w:val="none"/>
              </w:rPr>
              <w:t xml:space="preserve">其他</w:t>
            </w:r>
            <w:r/>
          </w:p>
        </w:tc>
      </w:tr>
      <w:tr>
        <w:trPr>
          <w:trHeight w:val="400"/>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11</w:t>
            </w:r>
            <w:r/>
          </w:p>
        </w:tc>
        <w:tc>
          <w:tcPr>
            <w:tcW w:w="5447" w:type="dxa"/>
            <w:vAlign w:val="center"/>
            <w:textDirection w:val="lrTb"/>
            <w:noWrap w:val="false"/>
          </w:tcPr>
          <w:p>
            <w:pPr>
              <w:jc w:val="left"/>
              <w:spacing w:line="0" w:lineRule="atLeast"/>
              <w:rPr>
                <w:rFonts w:hint="eastAsia" w:ascii="宋体" w:hAnsi="宋体"/>
                <w:iCs/>
                <w:color w:val="auto"/>
                <w:szCs w:val="21"/>
                <w:highlight w:val="none"/>
              </w:rPr>
            </w:pPr>
            <w:r>
              <w:rPr>
                <w:rFonts w:hint="eastAsia" w:ascii="宋体" w:hAnsi="宋体"/>
                <w:iCs/>
                <w:color w:val="auto"/>
                <w:szCs w:val="21"/>
                <w:highlight w:val="none"/>
              </w:rPr>
              <w:t xml:space="preserve">投标函</w:t>
            </w:r>
            <w:r/>
          </w:p>
        </w:tc>
        <w:tc>
          <w:tcPr>
            <w:tcW w:w="215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400"/>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12</w:t>
            </w:r>
            <w:r/>
          </w:p>
        </w:tc>
        <w:tc>
          <w:tcPr>
            <w:tcW w:w="5447" w:type="dxa"/>
            <w:vAlign w:val="center"/>
            <w:textDirection w:val="lrTb"/>
            <w:noWrap w:val="false"/>
          </w:tcPr>
          <w:p>
            <w:pPr>
              <w:jc w:val="left"/>
              <w:spacing w:line="0" w:lineRule="atLeast"/>
              <w:rPr>
                <w:rFonts w:hint="eastAsia" w:ascii="宋体" w:hAnsi="宋体"/>
                <w:iCs/>
                <w:color w:val="auto"/>
                <w:szCs w:val="21"/>
                <w:highlight w:val="none"/>
              </w:rPr>
            </w:pPr>
            <w:r>
              <w:rPr>
                <w:rFonts w:hint="eastAsia" w:ascii="宋体" w:hAnsi="宋体"/>
                <w:iCs/>
                <w:color w:val="auto"/>
                <w:szCs w:val="21"/>
                <w:highlight w:val="none"/>
              </w:rPr>
              <w:t xml:space="preserve">法人授权书</w:t>
            </w:r>
            <w:r/>
          </w:p>
        </w:tc>
        <w:tc>
          <w:tcPr>
            <w:tcW w:w="215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bl>
    <w:p>
      <w:pPr>
        <w:ind w:firstLine="1476"/>
        <w:spacing w:before="156" w:after="156" w:line="360" w:lineRule="auto"/>
        <w:rPr>
          <w:rFonts w:hint="eastAsia" w:ascii="宋体" w:hAnsi="宋体"/>
          <w:b/>
          <w:bCs/>
          <w:color w:val="auto"/>
          <w:highlight w:val="none"/>
        </w:rPr>
      </w:pPr>
      <w:r>
        <w:rPr>
          <w:rFonts w:hint="eastAsia" w:ascii="宋体" w:hAnsi="宋体"/>
          <w:b/>
          <w:bCs/>
          <w:color w:val="auto"/>
          <w:highlight w:val="none"/>
        </w:rPr>
        <w:br w:type="page" w:clear="all"/>
      </w:r>
      <w:r>
        <w:rPr>
          <w:rFonts w:hint="eastAsia" w:ascii="宋体" w:hAnsi="宋体"/>
          <w:b/>
          <w:bCs/>
          <w:color w:val="auto"/>
          <w:highlight w:val="none"/>
        </w:rPr>
        <w:t xml:space="preserve">具备履行合同所必需的设备和专业技术能力的书面声明</w:t>
      </w:r>
      <w:r/>
    </w:p>
    <w:p>
      <w:pPr>
        <w:ind w:firstLine="492"/>
        <w:spacing w:line="460" w:lineRule="exact"/>
        <w:rPr>
          <w:rFonts w:hint="eastAsia" w:ascii="宋体" w:hAnsi="宋体"/>
          <w:bCs/>
          <w:color w:val="auto"/>
          <w:szCs w:val="21"/>
          <w:highlight w:val="none"/>
        </w:rPr>
      </w:pPr>
      <w:r>
        <w:rPr>
          <w:rFonts w:hint="eastAsia" w:ascii="宋体" w:hAnsi="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auto"/>
          <w:szCs w:val="21"/>
          <w:highlight w:val="none"/>
        </w:rPr>
      </w:pPr>
      <w:r>
        <w:rPr>
          <w:rFonts w:hint="eastAsia" w:ascii="宋体" w:hAnsi="宋体"/>
          <w:bCs/>
          <w:color w:val="auto"/>
          <w:szCs w:val="21"/>
          <w:highlight w:val="none"/>
        </w:rPr>
        <w:t xml:space="preserve">主要设备有：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ind w:firstLine="492"/>
        <w:spacing w:line="460" w:lineRule="exact"/>
        <w:rPr>
          <w:rFonts w:hint="eastAsia" w:ascii="宋体" w:hAnsi="宋体"/>
          <w:bCs/>
          <w:color w:val="auto"/>
          <w:szCs w:val="21"/>
          <w:highlight w:val="none"/>
        </w:rPr>
      </w:pPr>
      <w:r>
        <w:rPr>
          <w:rFonts w:hint="eastAsia" w:ascii="宋体" w:hAnsi="宋体"/>
          <w:bCs/>
          <w:color w:val="auto"/>
          <w:szCs w:val="21"/>
          <w:highlight w:val="none"/>
        </w:rPr>
        <w:t xml:space="preserve">主要专业技术能力有：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ascii="宋体" w:hAnsi="宋体"/>
          <w:b/>
          <w:color w:val="auto"/>
          <w:sz w:val="36"/>
          <w:highlight w:val="none"/>
        </w:rPr>
        <w:br w:type="page" w:clear="all"/>
      </w:r>
      <w:r/>
    </w:p>
    <w:p>
      <w:pPr>
        <w:jc w:val="center"/>
        <w:spacing w:line="360" w:lineRule="auto"/>
        <w:rPr>
          <w:rFonts w:hint="eastAsia" w:ascii="宋体" w:hAnsi="宋体"/>
          <w:b/>
          <w:bCs/>
          <w:color w:val="auto"/>
          <w:highlight w:val="none"/>
        </w:rPr>
      </w:pPr>
      <w:r>
        <w:rPr>
          <w:rFonts w:hint="eastAsia" w:ascii="宋体" w:hAnsi="宋体"/>
          <w:b/>
          <w:bCs/>
          <w:color w:val="auto"/>
          <w:highlight w:val="none"/>
        </w:rPr>
        <w:t xml:space="preserve">参加本次政府采购活动前 3 年内在经营活动中没有重大违法记录的书面声明</w:t>
      </w:r>
      <w:r/>
    </w:p>
    <w:p>
      <w:pPr>
        <w:spacing w:line="360" w:lineRule="auto"/>
        <w:rPr>
          <w:rFonts w:hint="eastAsia" w:ascii="宋体" w:hAnsi="宋体"/>
          <w:color w:val="auto"/>
          <w:highlight w:val="none"/>
        </w:rPr>
      </w:pPr>
      <w:r>
        <w:rPr>
          <w:rFonts w:hint="eastAsia" w:ascii="宋体" w:hAnsi="宋体"/>
          <w:color w:val="auto"/>
          <w:highlight w:val="none"/>
        </w:rPr>
      </w:r>
      <w:r/>
    </w:p>
    <w:p>
      <w:pPr>
        <w:jc w:val="center"/>
        <w:spacing w:after="312" w:line="360" w:lineRule="auto"/>
        <w:rPr>
          <w:rFonts w:hint="eastAsia" w:ascii="宋体" w:hAnsi="宋体"/>
          <w:b/>
          <w:bCs/>
          <w:color w:val="auto"/>
          <w:highlight w:val="none"/>
        </w:rPr>
      </w:pPr>
      <w:r>
        <w:rPr>
          <w:rFonts w:hint="eastAsia" w:ascii="宋体" w:hAnsi="宋体"/>
          <w:b/>
          <w:bCs/>
          <w:color w:val="auto"/>
          <w:highlight w:val="none"/>
        </w:rPr>
        <w:t xml:space="preserve">声  明</w:t>
      </w:r>
      <w:r/>
    </w:p>
    <w:p>
      <w:pPr>
        <w:spacing w:line="360" w:lineRule="auto"/>
        <w:rPr>
          <w:rFonts w:hint="eastAsia" w:ascii="宋体" w:hAnsi="宋体"/>
          <w:bCs/>
          <w:color w:val="auto"/>
          <w:highlight w:val="none"/>
        </w:rPr>
      </w:pPr>
      <w:r>
        <w:rPr>
          <w:rFonts w:hint="eastAsia" w:ascii="宋体" w:hAnsi="宋体"/>
          <w:b/>
          <w:bCs/>
          <w:color w:val="auto"/>
          <w:highlight w:val="none"/>
        </w:rPr>
        <w:t xml:space="preserve">    </w:t>
      </w:r>
      <w:r>
        <w:rPr>
          <w:rFonts w:hint="eastAsia" w:ascii="宋体" w:hAnsi="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bCs/>
          <w:color w:val="auto"/>
          <w:highlight w:val="none"/>
        </w:rPr>
      </w:pPr>
      <w:r>
        <w:rPr>
          <w:rFonts w:hint="eastAsia" w:ascii="宋体" w:hAnsi="宋体"/>
          <w:bCs/>
          <w:color w:val="auto"/>
          <w:highlight w:val="none"/>
        </w:rPr>
        <w:t xml:space="preserve">                               供应商名称（公章）：</w:t>
      </w:r>
      <w:r/>
    </w:p>
    <w:p>
      <w:pPr>
        <w:spacing w:line="360" w:lineRule="auto"/>
        <w:rPr>
          <w:rFonts w:hint="eastAsia" w:ascii="宋体" w:hAnsi="宋体"/>
          <w:bCs/>
          <w:color w:val="auto"/>
          <w:highlight w:val="none"/>
        </w:rPr>
      </w:pPr>
      <w:r>
        <w:rPr>
          <w:rFonts w:hint="eastAsia" w:ascii="宋体" w:hAnsi="宋体"/>
          <w:bCs/>
          <w:color w:val="auto"/>
          <w:highlight w:val="none"/>
        </w:rPr>
        <w:t xml:space="preserve">                               法定代表人签章：_______________________</w:t>
      </w:r>
      <w:r/>
    </w:p>
    <w:p>
      <w:pPr>
        <w:spacing w:line="360" w:lineRule="auto"/>
        <w:rPr>
          <w:rFonts w:hint="eastAsia" w:ascii="宋体" w:hAnsi="宋体"/>
          <w:bCs/>
          <w:color w:val="auto"/>
          <w:highlight w:val="none"/>
        </w:rPr>
      </w:pPr>
      <w:r>
        <w:rPr>
          <w:rFonts w:hint="eastAsia" w:ascii="宋体" w:hAnsi="宋体"/>
          <w:bCs/>
          <w:color w:val="auto"/>
          <w:highlight w:val="none"/>
        </w:rPr>
        <w:t xml:space="preserve">                               日期：______年    月    日</w:t>
      </w:r>
      <w:r/>
    </w:p>
    <w:p>
      <w:pPr>
        <w:jc w:val="center"/>
        <w:spacing w:line="360" w:lineRule="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rPr>
          <w:rFonts w:hint="eastAsia" w:ascii="宋体" w:hAnsi="宋体"/>
          <w:b/>
          <w:bCs/>
          <w:color w:val="auto"/>
          <w:highlight w:val="none"/>
        </w:rPr>
      </w:pPr>
      <w:r>
        <w:rPr>
          <w:rFonts w:hint="eastAsia" w:ascii="宋体" w:hAnsi="宋体"/>
          <w:b/>
          <w:bCs/>
          <w:color w:val="auto"/>
          <w:highlight w:val="none"/>
        </w:rPr>
      </w:r>
      <w:r/>
    </w:p>
    <w:p>
      <w:pPr>
        <w:jc w:val="center"/>
        <w:spacing w:line="500" w:lineRule="exact"/>
        <w:rPr>
          <w:rFonts w:hint="eastAsia" w:ascii="宋体" w:hAnsi="宋体"/>
          <w:b/>
          <w:color w:val="auto"/>
          <w:szCs w:val="21"/>
          <w:highlight w:val="none"/>
        </w:rPr>
      </w:pPr>
      <w:r>
        <w:rPr>
          <w:rFonts w:hint="eastAsia" w:ascii="宋体" w:hAnsi="宋体"/>
          <w:b/>
          <w:bCs/>
          <w:color w:val="auto"/>
          <w:highlight w:val="none"/>
        </w:rPr>
        <w:br w:type="page" w:clear="all"/>
      </w:r>
      <w:r>
        <w:rPr>
          <w:rFonts w:hint="eastAsia" w:ascii="宋体" w:hAnsi="宋体"/>
          <w:b/>
          <w:color w:val="auto"/>
          <w:szCs w:val="21"/>
          <w:highlight w:val="none"/>
        </w:rPr>
        <w:t xml:space="preserve">供应商信用承诺书</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承诺主体名称：</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统一社会信用代码：</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八、在“信用中国”和“中国政府采购网”网站中无违法违规、较重或严重失信记录；</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p>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　　　　　　　　　　                     承诺单位（签章）：           </w:t>
      </w:r>
      <w:r/>
    </w:p>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　　　　　　　　　   　  法定代表人（负责人）：</w:t>
      </w:r>
      <w:r/>
    </w:p>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　　　　　　　　　      　年    月    日</w:t>
      </w:r>
      <w:r/>
    </w:p>
    <w:p>
      <w:pPr>
        <w:jc w:val="center"/>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rPr>
          <w:rFonts w:hint="eastAsia" w:ascii="宋体" w:hAnsi="宋体"/>
          <w:b/>
          <w:bCs/>
          <w:color w:val="auto"/>
          <w:highlight w:val="none"/>
        </w:rPr>
      </w:pPr>
      <w:r>
        <w:rPr>
          <w:rFonts w:hint="eastAsia" w:ascii="宋体" w:hAnsi="宋体"/>
          <w:b/>
          <w:bCs/>
          <w:color w:val="auto"/>
          <w:highlight w:val="none"/>
        </w:rPr>
        <w:br w:type="page" w:clear="all"/>
      </w:r>
      <w:r>
        <w:rPr>
          <w:rFonts w:hint="eastAsia" w:ascii="宋体" w:hAnsi="宋体"/>
          <w:b/>
          <w:bCs/>
          <w:color w:val="auto"/>
          <w:highlight w:val="none"/>
        </w:rPr>
        <w:t xml:space="preserve">投标函格式</w:t>
      </w:r>
      <w:r/>
    </w:p>
    <w:p>
      <w:pPr>
        <w:pStyle w:val="1148"/>
        <w:spacing w:before="0" w:after="0"/>
        <w:rPr>
          <w:rFonts w:hint="eastAsia" w:ascii="宋体" w:hAnsi="宋体"/>
          <w:color w:val="auto"/>
          <w:szCs w:val="21"/>
          <w:highlight w:val="none"/>
        </w:rPr>
      </w:pPr>
      <w:r>
        <w:rPr>
          <w:rFonts w:hint="eastAsia" w:ascii="宋体" w:hAnsi="宋体"/>
          <w:color w:val="auto"/>
          <w:szCs w:val="21"/>
          <w:highlight w:val="none"/>
        </w:rPr>
        <w:t xml:space="preserve">致：江苏唯诚建设咨询有限公司</w:t>
      </w:r>
      <w:r/>
    </w:p>
    <w:p>
      <w:pPr>
        <w:pStyle w:val="1148"/>
        <w:ind w:firstLine="420"/>
        <w:spacing w:before="0" w:after="0"/>
        <w:rPr>
          <w:rFonts w:hint="eastAsia" w:ascii="宋体" w:hAnsi="宋体"/>
          <w:color w:val="auto"/>
          <w:szCs w:val="21"/>
          <w:highlight w:val="none"/>
        </w:rPr>
      </w:pPr>
      <w:r>
        <w:rPr>
          <w:rFonts w:hint="eastAsia" w:ascii="宋体" w:hAnsi="宋体"/>
          <w:color w:val="auto"/>
          <w:szCs w:val="21"/>
          <w:highlight w:val="none"/>
        </w:rPr>
        <w:t xml:space="preserve">根据贵方的</w:t>
      </w:r>
      <w:r>
        <w:rPr>
          <w:rFonts w:hint="eastAsia" w:ascii="宋体" w:hAnsi="宋体"/>
          <w:color w:val="auto"/>
          <w:szCs w:val="21"/>
          <w:highlight w:val="none"/>
          <w:lang w:eastAsia="zh-CN"/>
        </w:rPr>
        <w:t xml:space="preserve">JSZC-321000-JSWC-G2026-0018</w:t>
      </w:r>
      <w:r>
        <w:rPr>
          <w:rFonts w:hint="eastAsia" w:ascii="宋体" w:hAnsi="宋体"/>
          <w:color w:val="auto"/>
          <w:szCs w:val="21"/>
          <w:highlight w:val="none"/>
        </w:rPr>
        <w:t xml:space="preserve">号招标文件，正式授权下述签字人____(姓名)代表我方____________（投标人的名称），全权处理本次项目投标的有关事宜。</w:t>
      </w:r>
      <w:r/>
    </w:p>
    <w:p>
      <w:pPr>
        <w:pStyle w:val="1148"/>
        <w:ind w:firstLine="420"/>
        <w:spacing w:before="0" w:after="0"/>
        <w:rPr>
          <w:rFonts w:hint="eastAsia" w:ascii="宋体" w:hAnsi="宋体"/>
          <w:color w:val="auto"/>
          <w:szCs w:val="21"/>
          <w:highlight w:val="none"/>
        </w:rPr>
      </w:pPr>
      <w:r>
        <w:rPr>
          <w:rFonts w:hint="eastAsia" w:ascii="宋体" w:hAnsi="宋体"/>
          <w:color w:val="auto"/>
          <w:szCs w:val="21"/>
          <w:highlight w:val="none"/>
        </w:rPr>
        <w:t xml:space="preserve">据此函，__________签字人（姓名）兹宣布同意如下：</w:t>
      </w:r>
      <w:r/>
    </w:p>
    <w:p>
      <w:pPr>
        <w:pStyle w:val="1148"/>
        <w:ind w:firstLine="420"/>
        <w:spacing w:before="0" w:after="0"/>
        <w:rPr>
          <w:rFonts w:hint="eastAsia" w:ascii="宋体" w:hAnsi="宋体"/>
          <w:color w:val="auto"/>
          <w:szCs w:val="21"/>
          <w:highlight w:val="none"/>
        </w:rPr>
      </w:pPr>
      <w:r>
        <w:rPr>
          <w:rFonts w:hint="eastAsia" w:ascii="宋体" w:hAnsi="宋体"/>
          <w:color w:val="auto"/>
          <w:szCs w:val="21"/>
          <w:highlight w:val="none"/>
        </w:rPr>
        <w:t xml:space="preserve">1.按招标文件规定的各项要求，向买方提供所需货物与服务。</w:t>
      </w:r>
      <w:r/>
    </w:p>
    <w:p>
      <w:pPr>
        <w:pStyle w:val="1148"/>
        <w:ind w:firstLine="420"/>
        <w:spacing w:before="0" w:after="0"/>
        <w:rPr>
          <w:rFonts w:hint="eastAsia" w:ascii="宋体" w:hAnsi="宋体"/>
          <w:color w:val="auto"/>
          <w:szCs w:val="21"/>
          <w:highlight w:val="none"/>
        </w:rPr>
      </w:pPr>
      <w:r>
        <w:rPr>
          <w:rFonts w:hint="eastAsia" w:ascii="宋体" w:hAnsi="宋体"/>
          <w:color w:val="auto"/>
          <w:szCs w:val="21"/>
          <w:highlight w:val="none"/>
        </w:rPr>
        <w:t xml:space="preserve">2.我们完全理解贵方不一定将合同授予最低报价的投标人。</w:t>
      </w:r>
      <w:r/>
    </w:p>
    <w:p>
      <w:pPr>
        <w:pStyle w:val="1148"/>
        <w:ind w:firstLine="420"/>
        <w:spacing w:before="0" w:after="0"/>
        <w:rPr>
          <w:rFonts w:hint="eastAsia" w:ascii="宋体" w:hAnsi="宋体"/>
          <w:color w:val="auto"/>
          <w:szCs w:val="21"/>
          <w:highlight w:val="none"/>
        </w:rPr>
      </w:pPr>
      <w:r>
        <w:rPr>
          <w:rFonts w:hint="eastAsia" w:ascii="宋体" w:hAnsi="宋体"/>
          <w:color w:val="auto"/>
          <w:szCs w:val="21"/>
          <w:highlight w:val="none"/>
        </w:rPr>
        <w:t xml:space="preserve">3.我们已详细审核全部招标文件及其有效补充文件，我们知道必须放弃提出含糊不清或误解问题的权利。</w:t>
      </w:r>
      <w:r/>
    </w:p>
    <w:p>
      <w:pPr>
        <w:pStyle w:val="1148"/>
        <w:ind w:firstLine="420"/>
        <w:spacing w:before="0" w:after="0"/>
        <w:rPr>
          <w:rFonts w:hint="eastAsia" w:ascii="宋体" w:hAnsi="宋体"/>
          <w:color w:val="auto"/>
          <w:szCs w:val="21"/>
          <w:highlight w:val="none"/>
        </w:rPr>
      </w:pPr>
      <w:r>
        <w:rPr>
          <w:rFonts w:hint="eastAsia" w:ascii="宋体" w:hAnsi="宋体"/>
          <w:color w:val="auto"/>
          <w:szCs w:val="21"/>
          <w:highlight w:val="none"/>
        </w:rPr>
        <w:t xml:space="preserve">4.我们同意从规定的开标日期起遵循本投标文件，并在规定的投标有效期期满之前均具有约束力。</w:t>
      </w:r>
      <w:r/>
    </w:p>
    <w:p>
      <w:pPr>
        <w:pStyle w:val="1148"/>
        <w:ind w:firstLine="420"/>
        <w:spacing w:before="0" w:after="0"/>
        <w:rPr>
          <w:rFonts w:hint="eastAsia" w:ascii="宋体" w:hAnsi="宋体"/>
          <w:color w:val="auto"/>
          <w:szCs w:val="21"/>
          <w:highlight w:val="none"/>
        </w:rPr>
      </w:pPr>
      <w:r>
        <w:rPr>
          <w:rFonts w:hint="eastAsia" w:ascii="宋体" w:hAnsi="宋体"/>
          <w:color w:val="auto"/>
          <w:szCs w:val="21"/>
          <w:highlight w:val="none"/>
        </w:rPr>
        <w:t xml:space="preserve">5.同意向贵方提供贵方可能另外要求的与投标有关的任何证据或资料，并保证我方已提供和将要提供的文件是真实的、准确的。</w:t>
      </w:r>
      <w:r/>
    </w:p>
    <w:p>
      <w:pPr>
        <w:pStyle w:val="1148"/>
        <w:ind w:firstLine="420"/>
        <w:spacing w:before="0" w:after="0"/>
        <w:rPr>
          <w:rFonts w:hint="eastAsia" w:ascii="宋体" w:hAnsi="宋体"/>
          <w:color w:val="auto"/>
          <w:szCs w:val="21"/>
          <w:highlight w:val="none"/>
        </w:rPr>
      </w:pPr>
      <w:r>
        <w:rPr>
          <w:rFonts w:hint="eastAsia" w:ascii="宋体" w:hAnsi="宋体"/>
          <w:color w:val="auto"/>
          <w:szCs w:val="21"/>
          <w:highlight w:val="none"/>
        </w:rPr>
        <w:t xml:space="preserve">6.一旦我方中标,我方将根据招标文件的规定，严格履行合同的责任和义务,并保证在招标文件规定的时间完成项目，交付买方验收、使用。</w:t>
      </w:r>
      <w:r/>
    </w:p>
    <w:p>
      <w:pPr>
        <w:pStyle w:val="1148"/>
        <w:ind w:left="425" w:firstLine="105"/>
        <w:spacing w:before="0" w:after="0"/>
        <w:rPr>
          <w:rFonts w:hint="eastAsia" w:ascii="宋体" w:hAnsi="宋体"/>
          <w:color w:val="auto"/>
          <w:szCs w:val="21"/>
          <w:highlight w:val="none"/>
        </w:rPr>
      </w:pPr>
      <w:r>
        <w:rPr>
          <w:rFonts w:hint="eastAsia" w:ascii="宋体" w:hAnsi="宋体"/>
          <w:color w:val="auto"/>
          <w:szCs w:val="21"/>
          <w:highlight w:val="none"/>
        </w:rPr>
        <w:t xml:space="preserve">7.与本投标有关的正式通讯地址为：</w:t>
      </w:r>
      <w:r/>
    </w:p>
    <w:p>
      <w:pPr>
        <w:pStyle w:val="1148"/>
        <w:ind w:firstLine="478"/>
        <w:spacing w:before="0" w:after="0"/>
        <w:rPr>
          <w:rFonts w:hint="eastAsia" w:ascii="宋体" w:hAnsi="宋体"/>
          <w:color w:val="auto"/>
          <w:szCs w:val="21"/>
          <w:highlight w:val="none"/>
        </w:rPr>
      </w:pPr>
      <w:r>
        <w:rPr>
          <w:rFonts w:hint="eastAsia" w:ascii="宋体" w:hAnsi="宋体"/>
          <w:color w:val="auto"/>
          <w:szCs w:val="21"/>
          <w:highlight w:val="none"/>
        </w:rPr>
        <w:t xml:space="preserve">地 址：</w:t>
      </w:r>
      <w:r/>
    </w:p>
    <w:p>
      <w:pPr>
        <w:pStyle w:val="1148"/>
        <w:ind w:firstLine="478"/>
        <w:spacing w:before="0" w:after="0"/>
        <w:rPr>
          <w:rFonts w:hint="eastAsia" w:ascii="宋体" w:hAnsi="宋体"/>
          <w:color w:val="auto"/>
          <w:szCs w:val="21"/>
          <w:highlight w:val="none"/>
        </w:rPr>
      </w:pPr>
      <w:r>
        <w:rPr>
          <w:rFonts w:hint="eastAsia" w:ascii="宋体" w:hAnsi="宋体"/>
          <w:color w:val="auto"/>
          <w:szCs w:val="21"/>
          <w:highlight w:val="none"/>
        </w:rPr>
        <w:t xml:space="preserve">邮 编：</w:t>
      </w:r>
      <w:r/>
    </w:p>
    <w:p>
      <w:pPr>
        <w:pStyle w:val="1148"/>
        <w:ind w:firstLine="478"/>
        <w:spacing w:before="0" w:after="0"/>
        <w:rPr>
          <w:rFonts w:hint="eastAsia" w:ascii="宋体" w:hAnsi="宋体"/>
          <w:color w:val="auto"/>
          <w:szCs w:val="21"/>
          <w:highlight w:val="none"/>
        </w:rPr>
      </w:pPr>
      <w:r>
        <w:rPr>
          <w:rFonts w:hint="eastAsia" w:ascii="宋体" w:hAnsi="宋体"/>
          <w:color w:val="auto"/>
          <w:szCs w:val="21"/>
          <w:highlight w:val="none"/>
        </w:rPr>
        <w:t xml:space="preserve">电 话： </w:t>
      </w:r>
      <w:r/>
    </w:p>
    <w:p>
      <w:pPr>
        <w:pStyle w:val="1148"/>
        <w:ind w:firstLine="478"/>
        <w:spacing w:before="0" w:after="0"/>
        <w:rPr>
          <w:rFonts w:hint="eastAsia" w:ascii="宋体" w:hAnsi="宋体"/>
          <w:color w:val="auto"/>
          <w:szCs w:val="21"/>
          <w:highlight w:val="none"/>
        </w:rPr>
      </w:pPr>
      <w:r>
        <w:rPr>
          <w:rFonts w:hint="eastAsia" w:ascii="宋体" w:hAnsi="宋体"/>
          <w:color w:val="auto"/>
          <w:szCs w:val="21"/>
          <w:highlight w:val="none"/>
        </w:rPr>
        <w:t xml:space="preserve">传 真： </w:t>
      </w:r>
      <w:r/>
    </w:p>
    <w:p>
      <w:pPr>
        <w:pStyle w:val="1148"/>
        <w:ind w:firstLine="478"/>
        <w:spacing w:before="0" w:after="0"/>
        <w:rPr>
          <w:rFonts w:hint="eastAsia" w:ascii="宋体" w:hAnsi="宋体"/>
          <w:color w:val="auto"/>
          <w:szCs w:val="21"/>
          <w:highlight w:val="none"/>
        </w:rPr>
      </w:pPr>
      <w:r>
        <w:rPr>
          <w:rFonts w:hint="eastAsia" w:ascii="宋体" w:hAnsi="宋体"/>
          <w:color w:val="auto"/>
          <w:szCs w:val="21"/>
          <w:highlight w:val="none"/>
        </w:rPr>
        <w:t xml:space="preserve">投标人开户行：</w:t>
      </w:r>
      <w:r/>
    </w:p>
    <w:p>
      <w:pPr>
        <w:pStyle w:val="1148"/>
        <w:ind w:firstLine="478"/>
        <w:spacing w:before="0" w:after="0"/>
        <w:rPr>
          <w:rFonts w:hint="eastAsia" w:ascii="宋体" w:hAnsi="宋体"/>
          <w:color w:val="auto"/>
          <w:szCs w:val="21"/>
          <w:highlight w:val="none"/>
        </w:rPr>
      </w:pPr>
      <w:r>
        <w:rPr>
          <w:rFonts w:hint="eastAsia" w:ascii="宋体" w:hAnsi="宋体"/>
          <w:color w:val="auto"/>
          <w:szCs w:val="21"/>
          <w:highlight w:val="none"/>
        </w:rPr>
        <w:t xml:space="preserve">账 户： </w:t>
      </w:r>
      <w:r/>
    </w:p>
    <w:p>
      <w:pPr>
        <w:pStyle w:val="1148"/>
        <w:ind w:firstLine="478"/>
        <w:spacing w:before="0" w:after="0"/>
        <w:rPr>
          <w:rFonts w:hint="eastAsia" w:ascii="宋体" w:hAnsi="宋体"/>
          <w:color w:val="auto"/>
          <w:szCs w:val="21"/>
          <w:highlight w:val="none"/>
        </w:rPr>
      </w:pPr>
      <w:r>
        <w:rPr>
          <w:rFonts w:hint="eastAsia" w:ascii="宋体" w:hAnsi="宋体"/>
          <w:color w:val="auto"/>
          <w:szCs w:val="21"/>
          <w:highlight w:val="none"/>
        </w:rPr>
        <w:t xml:space="preserve">行 号：</w:t>
      </w:r>
      <w:r/>
    </w:p>
    <w:p>
      <w:pPr>
        <w:pStyle w:val="1148"/>
        <w:ind w:firstLine="478"/>
        <w:spacing w:before="0" w:after="0"/>
        <w:rPr>
          <w:rFonts w:hint="eastAsia" w:ascii="宋体" w:hAnsi="宋体"/>
          <w:color w:val="auto"/>
          <w:szCs w:val="21"/>
          <w:highlight w:val="none"/>
        </w:rPr>
      </w:pPr>
      <w:r>
        <w:rPr>
          <w:rFonts w:hint="eastAsia" w:ascii="宋体" w:hAnsi="宋体"/>
          <w:color w:val="auto"/>
          <w:szCs w:val="21"/>
          <w:highlight w:val="none"/>
        </w:rPr>
        <w:t xml:space="preserve">日 期：________年____月____日</w:t>
      </w:r>
      <w:r/>
    </w:p>
    <w:p>
      <w:pPr>
        <w:contextualSpacing/>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rPr>
          <w:rFonts w:hint="eastAsia" w:ascii="宋体" w:hAnsi="宋体"/>
          <w:b/>
          <w:color w:val="auto"/>
          <w:szCs w:val="21"/>
          <w:highlight w:val="none"/>
        </w:rPr>
      </w:pPr>
      <w:r>
        <w:rPr>
          <w:rFonts w:hint="eastAsia" w:ascii="宋体" w:hAnsi="宋体"/>
          <w:b/>
          <w:color w:val="auto"/>
          <w:sz w:val="32"/>
          <w:szCs w:val="32"/>
          <w:highlight w:val="none"/>
        </w:rPr>
        <w:br w:type="page" w:clear="all"/>
      </w:r>
      <w:r>
        <w:rPr>
          <w:rFonts w:hint="eastAsia" w:ascii="宋体" w:hAnsi="宋体"/>
          <w:b/>
          <w:color w:val="auto"/>
          <w:szCs w:val="21"/>
          <w:highlight w:val="none"/>
        </w:rPr>
        <w:t xml:space="preserve">法人授权书</w:t>
      </w:r>
      <w:r/>
    </w:p>
    <w:p>
      <w:pPr>
        <w:pStyle w:val="1155"/>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本授权书声明：</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（投标人名称）授权</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1155"/>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本授权书于</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日起生效，特此声明。</w:t>
      </w:r>
      <w:r/>
    </w:p>
    <w:p>
      <w:pPr>
        <w:pStyle w:val="1155"/>
        <w:ind w:firstLine="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    </w:t>
      </w:r>
      <w:r/>
    </w:p>
    <w:p>
      <w:pPr>
        <w:pStyle w:val="1155"/>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被授权人姓名：</w:t>
      </w:r>
      <w:r>
        <w:rPr>
          <w:rFonts w:ascii="宋体" w:hAnsi="宋体"/>
          <w:color w:val="auto"/>
          <w:sz w:val="21"/>
          <w:szCs w:val="21"/>
          <w:highlight w:val="none"/>
        </w:rPr>
        <w:t xml:space="preserve">_______________________</w:t>
      </w:r>
      <w:r>
        <w:rPr>
          <w:rFonts w:hint="eastAsia" w:ascii="宋体" w:hAnsi="宋体"/>
          <w:color w:val="auto"/>
          <w:sz w:val="21"/>
          <w:szCs w:val="21"/>
          <w:highlight w:val="none"/>
        </w:rPr>
        <w:t xml:space="preserve">     </w:t>
      </w:r>
      <w:r/>
    </w:p>
    <w:p>
      <w:pPr>
        <w:pStyle w:val="1155"/>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rPr>
        <w:t xml:space="preserve">联系电话（手机）：</w:t>
      </w:r>
      <w:r>
        <w:rPr>
          <w:rFonts w:hint="eastAsia" w:ascii="宋体" w:hAnsi="宋体"/>
          <w:color w:val="auto"/>
          <w:sz w:val="21"/>
          <w:szCs w:val="21"/>
          <w:highlight w:val="none"/>
          <w:u w:val="single"/>
        </w:rPr>
        <w:t xml:space="preserve">                   </w:t>
      </w:r>
      <w:r/>
    </w:p>
    <w:p>
      <w:pPr>
        <w:pStyle w:val="1155"/>
        <w:ind w:firstLine="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w:t>
      </w:r>
      <w:r>
        <w:rPr>
          <w:rFonts w:ascii="宋体" w:hAnsi="宋体"/>
          <w:color w:val="auto"/>
          <w:sz w:val="21"/>
          <w:szCs w:val="21"/>
          <w:highlight w:val="none"/>
        </w:rPr>
        <w:t xml:space="preserve">___________________________</w:t>
      </w:r>
      <w:r/>
    </w:p>
    <w:p>
      <w:pPr>
        <w:pStyle w:val="1155"/>
        <w:ind w:firstLine="420"/>
        <w:spacing w:line="360" w:lineRule="auto"/>
        <w:rPr>
          <w:color w:val="auto"/>
          <w:sz w:val="21"/>
          <w:szCs w:val="21"/>
          <w:highlight w:val="none"/>
          <w:u w:val="single"/>
        </w:rPr>
      </w:pPr>
      <w:r>
        <w:rPr>
          <w:rFonts w:hint="eastAsia"/>
          <w:color w:val="auto"/>
          <w:sz w:val="21"/>
          <w:szCs w:val="21"/>
          <w:highlight w:val="none"/>
        </w:rPr>
        <w:t xml:space="preserve">单位地址：</w:t>
      </w:r>
      <w:r>
        <w:rPr>
          <w:color w:val="auto"/>
          <w:sz w:val="21"/>
          <w:szCs w:val="21"/>
          <w:highlight w:val="none"/>
          <w:u w:val="single"/>
        </w:rPr>
        <w:t xml:space="preserve">                           </w:t>
      </w:r>
      <w:r/>
    </w:p>
    <w:p>
      <w:pPr>
        <w:pStyle w:val="1155"/>
        <w:ind w:firstLine="420"/>
        <w:spacing w:line="360" w:lineRule="auto"/>
        <w:rPr>
          <w:color w:val="auto"/>
          <w:sz w:val="21"/>
          <w:szCs w:val="21"/>
          <w:highlight w:val="none"/>
        </w:rPr>
      </w:pPr>
      <w:r>
        <w:rPr>
          <w:rFonts w:hint="eastAsia"/>
          <w:color w:val="auto"/>
          <w:sz w:val="21"/>
          <w:szCs w:val="21"/>
          <w:highlight w:val="none"/>
        </w:rPr>
        <w:t xml:space="preserve">日期：</w:t>
      </w:r>
      <w:r>
        <w:rPr>
          <w:color w:val="auto"/>
          <w:sz w:val="21"/>
          <w:szCs w:val="21"/>
          <w:highlight w:val="none"/>
          <w:u w:val="single"/>
        </w:rPr>
        <w:t xml:space="preserve">                               </w:t>
      </w:r>
      <w:r>
        <w:rPr>
          <w:color w:val="auto"/>
          <w:sz w:val="21"/>
          <w:szCs w:val="21"/>
          <w:highlight w:val="none"/>
        </w:rPr>
        <w:t xml:space="preserve"> </w:t>
      </w:r>
      <w:r/>
    </w:p>
    <w:p>
      <w:pPr>
        <w:spacing w:line="460" w:lineRule="exact"/>
        <w:rPr>
          <w:rFonts w:hint="eastAsia" w:ascii="宋体" w:hAnsi="宋体"/>
          <w:bCs/>
          <w:color w:val="auto"/>
          <w:highlight w:val="none"/>
        </w:rPr>
      </w:pPr>
      <w:r>
        <w:rPr>
          <w:rFonts w:hint="eastAsia" w:ascii="宋体" w:hAnsi="宋体"/>
          <w:bCs/>
          <w:color w:val="auto"/>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ind w:firstLine="420"/>
        <w:spacing w:line="460" w:lineRule="exact"/>
        <w:rPr>
          <w:rFonts w:hint="eastAsia" w:ascii="宋体" w:hAnsi="宋体"/>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color w:val="auto"/>
          <w:highlight w:val="none"/>
        </w:rPr>
        <w:t xml:space="preserve">被授权人身份证复印</w:t>
      </w:r>
      <w:r/>
    </w:p>
    <w:p>
      <w:pPr>
        <w:pStyle w:val="822"/>
        <w:numPr>
          <w:ilvl w:val="0"/>
          <w:numId w:val="0"/>
        </w:numPr>
        <w:jc w:val="center"/>
        <w:spacing w:before="260" w:after="260" w:line="416" w:lineRule="auto"/>
        <w:rPr>
          <w:rFonts w:hint="eastAsia" w:ascii="宋体" w:hAnsi="宋体"/>
          <w:bCs w:val="0"/>
          <w:color w:val="auto"/>
          <w:sz w:val="32"/>
          <w:szCs w:val="32"/>
          <w:highlight w:val="none"/>
        </w:rPr>
      </w:pPr>
      <w:r>
        <w:rPr>
          <w:rFonts w:hint="eastAsia" w:ascii="宋体" w:hAnsi="宋体"/>
          <w:bCs w:val="0"/>
          <w:color w:val="auto"/>
          <w:sz w:val="32"/>
          <w:szCs w:val="32"/>
          <w:highlight w:val="none"/>
        </w:rPr>
        <w:t xml:space="preserve">二、符合性审查响应对照表</w:t>
      </w:r>
      <w:r/>
    </w:p>
    <w:tbl>
      <w:tblPr>
        <w:tblStyle w:val="831"/>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82"/>
        </w:trPr>
        <w:tc>
          <w:tcPr>
            <w:tcW w:w="605"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111"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符合性审查响应内容</w:t>
            </w:r>
            <w:r/>
          </w:p>
        </w:tc>
        <w:tc>
          <w:tcPr>
            <w:tcW w:w="1575" w:type="dxa"/>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228"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05"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1</w:t>
            </w:r>
            <w:r/>
          </w:p>
        </w:tc>
        <w:tc>
          <w:tcPr>
            <w:tcW w:w="5111" w:type="dxa"/>
            <w:vAlign w:val="center"/>
            <w:textDirection w:val="lrTb"/>
            <w:noWrap w:val="false"/>
          </w:tcPr>
          <w:p>
            <w:pPr>
              <w:spacing w:line="0" w:lineRule="atLeast"/>
              <w:rPr>
                <w:rFonts w:hint="eastAsia" w:ascii="宋体" w:hAnsi="宋体"/>
                <w:iCs/>
                <w:color w:val="auto"/>
                <w:szCs w:val="21"/>
                <w:highlight w:val="none"/>
              </w:rPr>
            </w:pPr>
            <w:r>
              <w:rPr>
                <w:rFonts w:hint="eastAsia" w:ascii="宋体" w:hAnsi="宋体"/>
                <w:iCs/>
                <w:color w:val="auto"/>
                <w:szCs w:val="21"/>
                <w:highlight w:val="none"/>
              </w:rPr>
              <w:t xml:space="preserve">采购需求中必须满足的实质性要求（即加斜体下划线内容，每条详细列出）</w:t>
            </w:r>
            <w:r/>
          </w:p>
        </w:tc>
        <w:tc>
          <w:tcPr>
            <w:tcW w:w="1575" w:type="dxa"/>
            <w:vAlign w:val="center"/>
            <w:textDirection w:val="lrTb"/>
            <w:noWrap w:val="false"/>
          </w:tcPr>
          <w:p>
            <w:pPr>
              <w:rPr>
                <w:rFonts w:hint="eastAsia" w:ascii="宋体" w:hAnsi="宋体"/>
                <w:b/>
                <w:color w:val="auto"/>
                <w:szCs w:val="21"/>
                <w:highlight w:val="none"/>
              </w:rPr>
            </w:pPr>
            <w:r>
              <w:rPr>
                <w:rFonts w:hint="eastAsia" w:ascii="宋体" w:hAnsi="宋体"/>
                <w:b/>
                <w:color w:val="auto"/>
                <w:szCs w:val="21"/>
                <w:highlight w:val="none"/>
              </w:rPr>
            </w:r>
            <w:r/>
          </w:p>
        </w:tc>
        <w:tc>
          <w:tcPr>
            <w:tcW w:w="1228" w:type="dxa"/>
            <w:vAlign w:val="center"/>
            <w:textDirection w:val="lrTb"/>
            <w:noWrap w:val="false"/>
          </w:tcPr>
          <w:p>
            <w:pPr>
              <w:rPr>
                <w:rFonts w:hint="eastAsia" w:ascii="宋体" w:hAnsi="宋体"/>
                <w:b/>
                <w:color w:val="auto"/>
                <w:szCs w:val="21"/>
                <w:highlight w:val="none"/>
              </w:rPr>
            </w:pPr>
            <w:r>
              <w:rPr>
                <w:rFonts w:hint="eastAsia" w:ascii="宋体" w:hAnsi="宋体"/>
                <w:b/>
                <w:color w:val="auto"/>
                <w:szCs w:val="21"/>
                <w:highlight w:val="none"/>
              </w:rPr>
            </w:r>
            <w:r/>
          </w:p>
        </w:tc>
      </w:tr>
      <w:tr>
        <w:trPr>
          <w:trHeight w:val="585"/>
        </w:trPr>
        <w:tc>
          <w:tcPr>
            <w:tcW w:w="60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2</w:t>
            </w:r>
            <w:r/>
          </w:p>
        </w:tc>
        <w:tc>
          <w:tcPr>
            <w:tcW w:w="5111" w:type="dxa"/>
            <w:vAlign w:val="center"/>
            <w:textDirection w:val="lrTb"/>
            <w:noWrap w:val="false"/>
          </w:tcPr>
          <w:p>
            <w:pPr>
              <w:spacing w:line="0" w:lineRule="atLeast"/>
              <w:rPr>
                <w:rFonts w:hint="eastAsia" w:ascii="宋体" w:hAnsi="宋体"/>
                <w:iCs/>
                <w:color w:val="auto"/>
                <w:szCs w:val="21"/>
                <w:highlight w:val="none"/>
              </w:rPr>
            </w:pPr>
            <w:r>
              <w:rPr>
                <w:rFonts w:hint="eastAsia" w:ascii="宋体" w:hAnsi="宋体"/>
                <w:iCs/>
                <w:color w:val="auto"/>
                <w:szCs w:val="21"/>
                <w:highlight w:val="none"/>
              </w:rPr>
            </w:r>
            <w:r/>
          </w:p>
        </w:tc>
        <w:tc>
          <w:tcPr>
            <w:tcW w:w="1575"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22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585"/>
        </w:trPr>
        <w:tc>
          <w:tcPr>
            <w:tcW w:w="60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3</w:t>
            </w:r>
            <w:r/>
          </w:p>
        </w:tc>
        <w:tc>
          <w:tcPr>
            <w:tcW w:w="5111" w:type="dxa"/>
            <w:vAlign w:val="center"/>
            <w:textDirection w:val="lrTb"/>
            <w:noWrap w:val="false"/>
          </w:tcPr>
          <w:p>
            <w:pPr>
              <w:spacing w:line="0" w:lineRule="atLeast"/>
              <w:rPr>
                <w:rFonts w:hint="eastAsia" w:ascii="宋体" w:hAnsi="宋体"/>
                <w:iCs/>
                <w:color w:val="auto"/>
                <w:szCs w:val="21"/>
                <w:highlight w:val="none"/>
              </w:rPr>
            </w:pPr>
            <w:r>
              <w:rPr>
                <w:rFonts w:hint="eastAsia" w:ascii="宋体" w:hAnsi="宋体"/>
                <w:iCs/>
                <w:color w:val="auto"/>
                <w:szCs w:val="21"/>
                <w:highlight w:val="none"/>
              </w:rPr>
            </w:r>
            <w:r/>
          </w:p>
        </w:tc>
        <w:tc>
          <w:tcPr>
            <w:tcW w:w="1575"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22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417"/>
        </w:trPr>
        <w:tc>
          <w:tcPr>
            <w:tcW w:w="60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4</w:t>
            </w:r>
            <w:r/>
          </w:p>
        </w:tc>
        <w:tc>
          <w:tcPr>
            <w:tcW w:w="5111" w:type="dxa"/>
            <w:vAlign w:val="center"/>
            <w:textDirection w:val="lrTb"/>
            <w:noWrap w:val="false"/>
          </w:tcPr>
          <w:p>
            <w:pPr>
              <w:spacing w:line="0" w:lineRule="atLeast"/>
              <w:rPr>
                <w:rFonts w:hint="eastAsia" w:ascii="宋体" w:hAnsi="宋体"/>
                <w:iCs/>
                <w:color w:val="auto"/>
                <w:szCs w:val="21"/>
                <w:highlight w:val="none"/>
              </w:rPr>
            </w:pPr>
            <w:r>
              <w:rPr>
                <w:rFonts w:hint="eastAsia" w:ascii="宋体" w:hAnsi="宋体"/>
                <w:iCs/>
                <w:color w:val="auto"/>
                <w:szCs w:val="21"/>
                <w:highlight w:val="none"/>
              </w:rPr>
            </w:r>
            <w:r/>
          </w:p>
        </w:tc>
        <w:tc>
          <w:tcPr>
            <w:tcW w:w="1575"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22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780"/>
        </w:trPr>
        <w:tc>
          <w:tcPr>
            <w:tcW w:w="60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5</w:t>
            </w:r>
            <w:r/>
          </w:p>
        </w:tc>
        <w:tc>
          <w:tcPr>
            <w:tcW w:w="5111" w:type="dxa"/>
            <w:vAlign w:val="center"/>
            <w:textDirection w:val="lrTb"/>
            <w:noWrap w:val="false"/>
          </w:tcPr>
          <w:p>
            <w:pPr>
              <w:spacing w:line="0" w:lineRule="atLeast"/>
              <w:rPr>
                <w:rFonts w:hint="eastAsia" w:ascii="宋体" w:hAnsi="宋体"/>
                <w:iCs/>
                <w:color w:val="auto"/>
                <w:szCs w:val="21"/>
                <w:highlight w:val="none"/>
              </w:rPr>
            </w:pPr>
            <w:r>
              <w:rPr>
                <w:rFonts w:ascii="宋体" w:hAnsi="宋体"/>
                <w:iCs/>
                <w:color w:val="auto"/>
                <w:szCs w:val="21"/>
                <w:highlight w:val="none"/>
              </w:rPr>
              <w:t xml:space="preserve">……</w:t>
            </w:r>
            <w:r/>
          </w:p>
        </w:tc>
        <w:tc>
          <w:tcPr>
            <w:tcW w:w="1575"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22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bl>
    <w:p>
      <w:pPr>
        <w:contextualSpacing/>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822"/>
        <w:numPr>
          <w:ilvl w:val="0"/>
          <w:numId w:val="0"/>
        </w:numPr>
        <w:jc w:val="center"/>
        <w:spacing w:before="260" w:after="260" w:line="416" w:lineRule="auto"/>
        <w:rPr>
          <w:rFonts w:hint="eastAsia" w:ascii="宋体" w:hAnsi="宋体"/>
          <w:bCs w:val="0"/>
          <w:color w:val="auto"/>
          <w:sz w:val="32"/>
          <w:szCs w:val="32"/>
          <w:highlight w:val="none"/>
        </w:rPr>
      </w:pPr>
      <w:r>
        <w:rPr>
          <w:rFonts w:hint="eastAsia" w:ascii="宋体" w:hAnsi="宋体"/>
          <w:bCs w:val="0"/>
          <w:color w:val="auto"/>
          <w:sz w:val="32"/>
          <w:szCs w:val="32"/>
          <w:highlight w:val="none"/>
        </w:rPr>
        <w:t xml:space="preserve">三、非实质性响应对照表</w:t>
      </w:r>
      <w:r/>
    </w:p>
    <w:tbl>
      <w:tblPr>
        <w:tblStyle w:val="831"/>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82"/>
        </w:trPr>
        <w:tc>
          <w:tcPr>
            <w:tcW w:w="605"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111"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非实质性响应内容</w:t>
            </w:r>
            <w:r/>
          </w:p>
        </w:tc>
        <w:tc>
          <w:tcPr>
            <w:tcW w:w="1575" w:type="dxa"/>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228" w:type="dxa"/>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05"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1</w:t>
            </w:r>
            <w:r/>
          </w:p>
        </w:tc>
        <w:tc>
          <w:tcPr>
            <w:tcW w:w="5111" w:type="dxa"/>
            <w:vAlign w:val="center"/>
            <w:textDirection w:val="lrTb"/>
            <w:noWrap w:val="false"/>
          </w:tcPr>
          <w:p>
            <w:pPr>
              <w:spacing w:line="0" w:lineRule="atLeast"/>
              <w:rPr>
                <w:rFonts w:hint="eastAsia" w:ascii="宋体" w:hAnsi="宋体"/>
                <w:iCs/>
                <w:color w:val="auto"/>
                <w:szCs w:val="21"/>
                <w:highlight w:val="none"/>
              </w:rPr>
            </w:pPr>
            <w:r>
              <w:rPr>
                <w:rFonts w:hint="eastAsia" w:ascii="宋体" w:hAnsi="宋体"/>
                <w:color w:val="auto"/>
                <w:szCs w:val="21"/>
                <w:highlight w:val="none"/>
              </w:rPr>
              <w:t xml:space="preserve">《企业声明函》</w:t>
            </w:r>
            <w:r/>
          </w:p>
        </w:tc>
        <w:tc>
          <w:tcPr>
            <w:tcW w:w="1575" w:type="dxa"/>
            <w:vAlign w:val="center"/>
            <w:textDirection w:val="lrTb"/>
            <w:noWrap w:val="false"/>
          </w:tcPr>
          <w:p>
            <w:pPr>
              <w:rPr>
                <w:rFonts w:hint="eastAsia" w:ascii="宋体" w:hAnsi="宋体"/>
                <w:b/>
                <w:color w:val="auto"/>
                <w:szCs w:val="21"/>
                <w:highlight w:val="none"/>
              </w:rPr>
            </w:pPr>
            <w:r>
              <w:rPr>
                <w:rFonts w:hint="eastAsia" w:ascii="宋体" w:hAnsi="宋体"/>
                <w:b/>
                <w:color w:val="auto"/>
                <w:szCs w:val="21"/>
                <w:highlight w:val="none"/>
              </w:rPr>
            </w:r>
            <w:r/>
          </w:p>
        </w:tc>
        <w:tc>
          <w:tcPr>
            <w:tcW w:w="1228" w:type="dxa"/>
            <w:vAlign w:val="center"/>
            <w:textDirection w:val="lrTb"/>
            <w:noWrap w:val="false"/>
          </w:tcPr>
          <w:p>
            <w:pPr>
              <w:rPr>
                <w:rFonts w:hint="eastAsia" w:ascii="宋体" w:hAnsi="宋体"/>
                <w:b/>
                <w:color w:val="auto"/>
                <w:szCs w:val="21"/>
                <w:highlight w:val="none"/>
              </w:rPr>
            </w:pPr>
            <w:r>
              <w:rPr>
                <w:rFonts w:hint="eastAsia" w:ascii="宋体" w:hAnsi="宋体"/>
                <w:b/>
                <w:color w:val="auto"/>
                <w:szCs w:val="21"/>
                <w:highlight w:val="none"/>
              </w:rPr>
            </w:r>
            <w:r/>
          </w:p>
        </w:tc>
      </w:tr>
      <w:tr>
        <w:trPr>
          <w:trHeight w:val="585"/>
        </w:trPr>
        <w:tc>
          <w:tcPr>
            <w:tcW w:w="60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2</w:t>
            </w:r>
            <w:r/>
          </w:p>
        </w:tc>
        <w:tc>
          <w:tcPr>
            <w:tcW w:w="5111" w:type="dxa"/>
            <w:vAlign w:val="center"/>
            <w:textDirection w:val="lrTb"/>
            <w:noWrap w:val="false"/>
          </w:tcPr>
          <w:p>
            <w:pPr>
              <w:spacing w:line="0" w:lineRule="atLeast"/>
              <w:rPr>
                <w:rFonts w:hint="eastAsia" w:ascii="宋体" w:hAnsi="宋体"/>
                <w:iCs/>
                <w:color w:val="auto"/>
                <w:szCs w:val="21"/>
                <w:highlight w:val="none"/>
              </w:rPr>
            </w:pPr>
            <w:r>
              <w:rPr>
                <w:rFonts w:hint="eastAsia" w:ascii="宋体" w:hAnsi="宋体"/>
                <w:color w:val="auto"/>
                <w:szCs w:val="21"/>
                <w:highlight w:val="none"/>
              </w:rPr>
              <w:t xml:space="preserve">《残疾人福利性单位声明函》</w:t>
            </w:r>
            <w:r/>
          </w:p>
        </w:tc>
        <w:tc>
          <w:tcPr>
            <w:tcW w:w="1575"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22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780"/>
        </w:trPr>
        <w:tc>
          <w:tcPr>
            <w:tcW w:w="60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3</w:t>
            </w:r>
            <w:r/>
          </w:p>
        </w:tc>
        <w:tc>
          <w:tcPr>
            <w:tcW w:w="5111" w:type="dxa"/>
            <w:vAlign w:val="center"/>
            <w:textDirection w:val="lrTb"/>
            <w:noWrap w:val="false"/>
          </w:tcPr>
          <w:p>
            <w:pPr>
              <w:spacing w:line="0" w:lineRule="atLeast"/>
              <w:rPr>
                <w:rFonts w:hint="eastAsia" w:ascii="宋体" w:hAnsi="宋体"/>
                <w:iCs/>
                <w:color w:val="auto"/>
                <w:szCs w:val="21"/>
                <w:highlight w:val="none"/>
              </w:rPr>
            </w:pPr>
            <w:r>
              <w:rPr>
                <w:rFonts w:ascii="宋体" w:hAnsi="宋体"/>
                <w:iCs/>
                <w:color w:val="auto"/>
                <w:szCs w:val="21"/>
                <w:highlight w:val="none"/>
              </w:rPr>
              <w:t xml:space="preserve">……</w:t>
            </w:r>
            <w:r/>
          </w:p>
        </w:tc>
        <w:tc>
          <w:tcPr>
            <w:tcW w:w="1575"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22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bl>
    <w:p>
      <w:pPr>
        <w:contextualSpacing/>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rPr>
          <w:color w:val="auto"/>
          <w:highlight w:val="none"/>
        </w:rPr>
      </w:pPr>
      <w:r>
        <w:rPr>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center"/>
        <w:spacing w:before="312" w:after="312" w:line="360" w:lineRule="auto"/>
        <w:rPr>
          <w:b/>
          <w:bCs/>
          <w:color w:val="auto"/>
          <w:highlight w:val="none"/>
        </w:rPr>
      </w:pPr>
      <w:r>
        <w:rPr>
          <w:b/>
          <w:bCs/>
          <w:color w:val="auto"/>
          <w:highlight w:val="none"/>
        </w:rPr>
      </w:r>
      <w:r/>
    </w:p>
    <w:p>
      <w:pPr>
        <w:jc w:val="center"/>
        <w:spacing w:before="312" w:after="312"/>
        <w:rPr>
          <w:rFonts w:hint="eastAsia" w:ascii="宋体" w:hAnsi="宋体" w:cs="宋体"/>
          <w:b/>
          <w:bCs/>
          <w:color w:val="auto"/>
          <w:highlight w:val="none"/>
        </w:rPr>
      </w:pPr>
      <w:r>
        <w:rPr>
          <w:rFonts w:hint="eastAsia"/>
          <w:b/>
          <w:bCs/>
          <w:color w:val="auto"/>
          <w:highlight w:val="none"/>
        </w:rPr>
        <w:br w:type="page" w:clear="all"/>
      </w:r>
      <w:r>
        <w:rPr>
          <w:rFonts w:hint="eastAsia" w:ascii="宋体" w:hAnsi="宋体" w:cs="宋体"/>
          <w:b/>
          <w:bCs/>
          <w:color w:val="auto"/>
          <w:highlight w:val="none"/>
        </w:rPr>
        <w:t xml:space="preserve">中小企业声明函（货物）</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本公司（联合体）郑重声明，根据《政府采购促进中小企业发展管理办法》（财库﹝2020﹞46 号）的规定，本公司（联合体）参加</w:t>
      </w:r>
      <w:r>
        <w:rPr>
          <w:rFonts w:hint="eastAsia" w:ascii="宋体" w:hAnsi="宋体" w:cs="宋体"/>
          <w:color w:val="auto"/>
          <w:highlight w:val="none"/>
          <w:u w:val="single"/>
        </w:rPr>
        <w:t xml:space="preserve">（单位名称）</w:t>
      </w:r>
      <w:r>
        <w:rPr>
          <w:rFonts w:hint="eastAsia" w:ascii="宋体" w:hAnsi="宋体" w:cs="宋体"/>
          <w:color w:val="auto"/>
          <w:highlight w:val="none"/>
        </w:rPr>
        <w:t xml:space="preserve">的</w:t>
      </w:r>
      <w:r>
        <w:rPr>
          <w:rFonts w:hint="eastAsia" w:ascii="宋体" w:hAnsi="宋体" w:cs="宋体"/>
          <w:color w:val="auto"/>
          <w:highlight w:val="none"/>
          <w:u w:val="single"/>
        </w:rPr>
        <w:t xml:space="preserve">（项目名称）</w:t>
      </w:r>
      <w:r>
        <w:rPr>
          <w:rFonts w:hint="eastAsia" w:ascii="宋体" w:hAnsi="宋体" w:cs="宋体"/>
          <w:color w:val="auto"/>
          <w:highlight w:val="none"/>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1. </w:t>
      </w: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hint="eastAsia" w:ascii="宋体" w:hAnsi="宋体" w:cs="宋体"/>
          <w:b/>
          <w:color w:val="auto"/>
          <w:highlight w:val="none"/>
          <w:u w:val="single"/>
        </w:rPr>
        <w:t xml:space="preserve">其他未列明行业</w:t>
      </w:r>
      <w:r>
        <w:rPr>
          <w:rFonts w:hint="eastAsia" w:ascii="宋体" w:hAnsi="宋体" w:cs="宋体"/>
          <w:color w:val="auto"/>
          <w:highlight w:val="none"/>
        </w:rPr>
        <w:t xml:space="preserve">；制造商为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hint="eastAsia" w:ascii="宋体" w:hAnsi="宋体" w:cs="宋体"/>
          <w:color w:val="auto"/>
          <w:spacing w:val="-1"/>
          <w:highlight w:val="none"/>
          <w:vertAlign w:val="superscript"/>
        </w:rPr>
        <w:t xml:space="preserve">1</w:t>
      </w:r>
      <w:r>
        <w:rPr>
          <w:rFonts w:hint="eastAsia" w:ascii="宋体" w:hAnsi="宋体" w:cs="宋体"/>
          <w:color w:val="auto"/>
          <w:spacing w:val="-1"/>
          <w:highlight w:val="none"/>
          <w:vertAlign w:val="superscript"/>
        </w:rPr>
        <w:fldChar w:fldCharType="end"/>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（中型企业、小型企业、微型企业）；</w:t>
      </w:r>
      <w:r/>
    </w:p>
    <w:p>
      <w:pPr>
        <w:ind w:firstLine="420"/>
        <w:jc w:val="left"/>
        <w:spacing w:line="360" w:lineRule="auto"/>
        <w:rPr>
          <w:rFonts w:hint="eastAsia" w:ascii="宋体" w:hAnsi="宋体" w:cs="宋体"/>
          <w:color w:val="auto"/>
          <w:highlight w:val="none"/>
          <w:u w:val="single"/>
        </w:rPr>
      </w:pPr>
      <w:r>
        <w:rPr>
          <w:rFonts w:hint="eastAsia" w:ascii="宋体" w:hAnsi="宋体" w:cs="宋体"/>
          <w:color w:val="auto"/>
          <w:highlight w:val="none"/>
        </w:rPr>
        <w:t xml:space="preserve">2. </w:t>
      </w: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hint="eastAsia" w:ascii="宋体" w:hAnsi="宋体" w:cs="宋体"/>
          <w:b/>
          <w:color w:val="auto"/>
          <w:highlight w:val="none"/>
          <w:u w:val="single"/>
        </w:rPr>
        <w:t xml:space="preserve">其他未列明行业</w:t>
      </w:r>
      <w:r>
        <w:rPr>
          <w:rFonts w:hint="eastAsia" w:ascii="宋体" w:hAnsi="宋体" w:cs="宋体"/>
          <w:color w:val="auto"/>
          <w:highlight w:val="none"/>
        </w:rPr>
        <w:t xml:space="preserve">；制造商为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万元，属于</w:t>
      </w:r>
      <w:r>
        <w:rPr>
          <w:rFonts w:hint="eastAsia" w:ascii="宋体" w:hAnsi="宋体" w:cs="宋体"/>
          <w:color w:val="auto"/>
          <w:highlight w:val="none"/>
          <w:u w:val="single"/>
        </w:rPr>
        <w:t xml:space="preserve">（中型企业、小型企业、微型企业）；</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本企业对上述声明内容的真实性负责。如有虚假，将依法承担相应责任。</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注：1、供应商如不提供此声明函，价格将不做相应扣除。</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    2、企业声明函请完整填写，中标后将公示。</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r>
      <w:r/>
    </w:p>
    <w:p>
      <w:pPr>
        <w:jc w:val="left"/>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                                       企业名称（盖章）：</w:t>
      </w:r>
      <w:r/>
    </w:p>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                             日 期：</w:t>
      </w:r>
      <w:r/>
    </w:p>
    <w:p>
      <w:pPr>
        <w:jc w:val="left"/>
        <w:rPr>
          <w:rFonts w:hint="eastAsia" w:ascii="宋体" w:hAnsi="宋体" w:cs="宋体"/>
          <w:color w:val="auto"/>
          <w:highlight w:val="none"/>
        </w:rPr>
      </w:pPr>
      <w:r>
        <w:rPr>
          <w:rFonts w:hint="eastAsia" w:ascii="宋体" w:hAnsi="宋体" w:cs="宋体"/>
          <w:color w:val="auto"/>
          <w:highlight w:val="none"/>
        </w:rPr>
      </w:r>
      <w:r/>
    </w:p>
    <w:p>
      <w:pPr>
        <w:jc w:val="left"/>
        <w:rPr>
          <w:rFonts w:hint="eastAsia" w:ascii="宋体" w:hAnsi="宋体" w:cs="宋体"/>
          <w:color w:val="auto"/>
          <w:highlight w:val="none"/>
        </w:rPr>
      </w:pPr>
      <w:r>
        <w:rPr>
          <w:rFonts w:hint="eastAsia" w:ascii="宋体" w:hAnsi="宋体" w:cs="宋体"/>
          <w:color w:val="auto"/>
          <w:highlight w:val="none"/>
        </w:rPr>
      </w:r>
      <w:r/>
    </w:p>
    <w:p>
      <w:pPr>
        <w:jc w:val="left"/>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t xml:space="preserve">1从业人员、营业收入、资产总额填报上一年度数据，无上一年度数据的新成立企业可不填报。</w:t>
      </w:r>
      <w:r/>
    </w:p>
    <w:p>
      <w:pPr>
        <w:jc w:val="left"/>
        <w:rPr>
          <w:rFonts w:hint="eastAsia" w:ascii="宋体" w:hAnsi="宋体" w:cs="宋体"/>
          <w:color w:val="auto"/>
          <w:highlight w:val="none"/>
        </w:rPr>
      </w:pPr>
      <w:r>
        <w:rPr>
          <w:rFonts w:hint="eastAsia" w:ascii="宋体" w:hAnsi="宋体" w:cs="宋体"/>
          <w:color w:val="auto"/>
          <w:highlight w:val="none"/>
        </w:rPr>
      </w:r>
      <w:r/>
    </w:p>
    <w:p>
      <w:pPr>
        <w:jc w:val="left"/>
        <w:rPr>
          <w:rFonts w:hint="eastAsia" w:ascii="宋体" w:hAnsi="宋体" w:cs="宋体"/>
          <w:color w:val="auto"/>
          <w:highlight w:val="none"/>
        </w:rPr>
      </w:pPr>
      <w:r>
        <w:rPr>
          <w:rFonts w:hint="eastAsia" w:ascii="宋体" w:hAnsi="宋体" w:cs="宋体"/>
          <w:color w:val="auto"/>
          <w:highlight w:val="none"/>
        </w:rPr>
      </w:r>
      <w:r/>
    </w:p>
    <w:p>
      <w:pPr>
        <w:jc w:val="center"/>
        <w:spacing w:before="312" w:after="312" w:line="360" w:lineRule="auto"/>
        <w:rPr>
          <w:color w:val="auto"/>
          <w:highlight w:val="none"/>
        </w:rPr>
      </w:pPr>
      <w:r>
        <w:rPr>
          <w:color w:val="auto"/>
          <w:highlight w:val="none"/>
        </w:rPr>
        <w:t xml:space="preserve"> </w:t>
      </w:r>
      <w:r/>
    </w:p>
    <w:p>
      <w:pPr>
        <w:rPr>
          <w:rFonts w:hint="eastAsia" w:ascii="宋体" w:hAnsi="宋体"/>
          <w:b/>
          <w:bCs/>
          <w:color w:val="auto"/>
          <w:highlight w:val="none"/>
        </w:rPr>
      </w:pPr>
      <w:r>
        <w:rPr>
          <w:rFonts w:hint="eastAsia" w:ascii="宋体" w:hAnsi="宋体"/>
          <w:b/>
          <w:bCs/>
          <w:color w:val="auto"/>
          <w:highlight w:val="none"/>
        </w:rPr>
        <w:br w:type="page" w:clear="all"/>
      </w:r>
      <w:r/>
    </w:p>
    <w:p>
      <w:pPr>
        <w:jc w:val="center"/>
        <w:rPr>
          <w:color w:val="auto"/>
          <w:highlight w:val="none"/>
        </w:rPr>
      </w:pPr>
      <w:r>
        <w:rPr>
          <w:rFonts w:hint="eastAsia" w:ascii="宋体" w:hAnsi="宋体"/>
          <w:b/>
          <w:bCs/>
          <w:color w:val="auto"/>
          <w:highlight w:val="none"/>
        </w:rPr>
        <w:t xml:space="preserve">残疾人福利性单位声明函</w:t>
      </w:r>
      <w:r/>
    </w:p>
    <w:p>
      <w:pPr>
        <w:ind w:firstLine="420"/>
        <w:spacing w:line="588" w:lineRule="exact"/>
        <w:rPr>
          <w:rFonts w:hint="eastAsia"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hint="eastAsia"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圆整（￥：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588" w:lineRule="exact"/>
        <w:rPr>
          <w:rFonts w:hint="eastAsia"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8"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588" w:lineRule="exact"/>
        <w:rPr>
          <w:rFonts w:hint="eastAsia" w:ascii="宋体" w:hAnsi="宋体"/>
          <w:color w:val="auto"/>
          <w:szCs w:val="21"/>
          <w:highlight w:val="none"/>
        </w:rPr>
      </w:pPr>
      <w:r>
        <w:rPr>
          <w:rFonts w:hint="eastAsia" w:ascii="宋体" w:hAnsi="宋体"/>
          <w:color w:val="auto"/>
          <w:szCs w:val="21"/>
          <w:highlight w:val="none"/>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44"/>
        <w:jc w:val="center"/>
        <w:spacing w:line="588" w:lineRule="exact"/>
        <w:tabs>
          <w:tab w:val="left" w:pos="4860" w:leader="none"/>
        </w:tabs>
        <w:rPr>
          <w:rFonts w:hint="eastAsia"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供应商全称（盖章）：</w:t>
      </w:r>
      <w:r/>
    </w:p>
    <w:p>
      <w:pPr>
        <w:ind w:right="1560" w:firstLine="420"/>
        <w:jc w:val="center"/>
        <w:spacing w:line="588" w:lineRule="exact"/>
        <w:tabs>
          <w:tab w:val="left" w:pos="4860" w:leader="none"/>
        </w:tabs>
        <w:rPr>
          <w:rFonts w:hint="eastAsia" w:ascii="宋体" w:hAnsi="宋体"/>
          <w:color w:val="auto"/>
          <w:szCs w:val="21"/>
          <w:highlight w:val="none"/>
        </w:rPr>
      </w:pPr>
      <w:r>
        <w:rPr>
          <w:rFonts w:hint="eastAsia" w:ascii="宋体" w:hAnsi="宋体"/>
          <w:color w:val="auto"/>
          <w:szCs w:val="21"/>
          <w:highlight w:val="none"/>
        </w:rPr>
        <w:t xml:space="preserve">                              日  期：</w:t>
      </w:r>
      <w:r/>
    </w:p>
    <w:p>
      <w:pPr>
        <w:pStyle w:val="822"/>
        <w:numPr>
          <w:ilvl w:val="0"/>
          <w:numId w:val="0"/>
        </w:numPr>
        <w:jc w:val="center"/>
        <w:spacing w:line="360" w:lineRule="auto"/>
        <w:widowControl/>
        <w:rPr>
          <w:rFonts w:hint="eastAsia" w:ascii="宋体" w:hAnsi="宋体" w:cs="微软雅黑"/>
          <w:bCs w:val="0"/>
          <w:color w:val="auto"/>
          <w:sz w:val="21"/>
          <w:szCs w:val="21"/>
          <w:highlight w:val="none"/>
        </w:rPr>
        <w:sectPr>
          <w:headerReference w:type="default" r:id="rId11"/>
          <w:footerReference w:type="default" r:id="rId14"/>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微软雅黑"/>
          <w:bCs w:val="0"/>
          <w:color w:val="auto"/>
          <w:sz w:val="21"/>
          <w:szCs w:val="21"/>
          <w:highlight w:val="none"/>
        </w:rPr>
      </w:r>
      <w:r/>
    </w:p>
    <w:p>
      <w:pPr>
        <w:pStyle w:val="822"/>
        <w:numPr>
          <w:ilvl w:val="0"/>
          <w:numId w:val="0"/>
        </w:numPr>
        <w:jc w:val="center"/>
        <w:spacing w:line="360" w:lineRule="auto"/>
        <w:widowControl/>
        <w:rPr>
          <w:rFonts w:hint="eastAsia" w:ascii="宋体" w:hAnsi="宋体"/>
          <w:color w:val="auto"/>
          <w:sz w:val="21"/>
          <w:szCs w:val="21"/>
          <w:highlight w:val="none"/>
        </w:rPr>
      </w:pPr>
      <w:r>
        <w:rPr>
          <w:rFonts w:hint="eastAsia" w:ascii="宋体" w:hAnsi="宋体" w:cs="微软雅黑"/>
          <w:bCs w:val="0"/>
          <w:color w:val="auto"/>
          <w:sz w:val="21"/>
          <w:szCs w:val="21"/>
          <w:highlight w:val="none"/>
        </w:rPr>
        <w:t xml:space="preserve">中小微企业划型标准</w:t>
      </w:r>
      <w:r/>
    </w:p>
    <w:p>
      <w:pPr>
        <w:pStyle w:val="862"/>
        <w:ind w:firstLine="420"/>
        <w:spacing w:before="300" w:after="452" w:line="360" w:lineRule="auto"/>
        <w:widowControl/>
        <w:rPr>
          <w:rFonts w:hint="eastAsia" w:ascii="宋体" w:hAnsi="宋体"/>
          <w:color w:val="auto"/>
          <w:sz w:val="21"/>
          <w:szCs w:val="21"/>
          <w:highlight w:val="none"/>
        </w:rPr>
      </w:pPr>
      <w:r>
        <w:rPr>
          <w:rStyle w:val="868"/>
          <w:rFonts w:hint="eastAsia" w:ascii="宋体" w:hAnsi="宋体" w:cs="仿宋"/>
          <w:color w:val="auto"/>
          <w:sz w:val="21"/>
          <w:szCs w:val="21"/>
          <w:highlight w:val="none"/>
        </w:rPr>
        <w:t xml:space="preserve">中小微企业划型标准如下：</w:t>
      </w:r>
      <w:r/>
    </w:p>
    <w:tbl>
      <w:tblPr>
        <w:tblStyle w:val="831"/>
        <w:tblW w:w="9130" w:type="dxa"/>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58"/>
        <w:gridCol w:w="1728"/>
        <w:gridCol w:w="787"/>
        <w:gridCol w:w="1967"/>
        <w:gridCol w:w="1966"/>
        <w:gridCol w:w="1224"/>
      </w:tblGrid>
      <w:tr>
        <w:trPr>
          <w:jc w:val="cente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13"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62"/>
              <w:jc w:val="center"/>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62"/>
              <w:jc w:val="center"/>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62"/>
              <w:jc w:val="center"/>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微型</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textDirection w:val="lrTb"/>
            <w:noWrap w:val="false"/>
          </w:tcPr>
          <w:p>
            <w:pPr>
              <w:pStyle w:val="862"/>
              <w:jc w:val="center"/>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62"/>
              <w:jc w:val="center"/>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62"/>
              <w:jc w:val="center"/>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62"/>
              <w:jc w:val="center"/>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b/>
                <w:bCs/>
                <w:color w:val="auto"/>
                <w:szCs w:val="21"/>
                <w:highlight w:val="none"/>
              </w:rPr>
            </w:pPr>
            <w:r>
              <w:rPr>
                <w:rFonts w:hint="eastAsia"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62"/>
              <w:jc w:val="center"/>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62"/>
              <w:jc w:val="center"/>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62"/>
              <w:jc w:val="center"/>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b/>
                <w:bCs/>
                <w:color w:val="auto"/>
                <w:szCs w:val="21"/>
                <w:highlight w:val="none"/>
              </w:rPr>
            </w:pPr>
            <w:r>
              <w:rPr>
                <w:rFonts w:hint="eastAsia"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62"/>
              <w:jc w:val="center"/>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Z＜300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62"/>
              <w:jc w:val="center"/>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62"/>
              <w:jc w:val="center"/>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X＜5</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b/>
                <w:bCs/>
                <w:color w:val="auto"/>
                <w:szCs w:val="21"/>
                <w:highlight w:val="none"/>
              </w:rPr>
            </w:pPr>
            <w:r>
              <w:rPr>
                <w:rFonts w:hint="eastAsia"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62"/>
              <w:jc w:val="center"/>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Y＜1000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62"/>
              <w:jc w:val="center"/>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62"/>
              <w:jc w:val="center"/>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b/>
                <w:bCs/>
                <w:color w:val="auto"/>
                <w:szCs w:val="21"/>
                <w:highlight w:val="none"/>
              </w:rPr>
            </w:pPr>
            <w:r>
              <w:rPr>
                <w:rFonts w:hint="eastAsia"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62"/>
              <w:jc w:val="center"/>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62"/>
              <w:jc w:val="center"/>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62"/>
              <w:jc w:val="center"/>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b/>
                <w:bCs/>
                <w:color w:val="auto"/>
                <w:szCs w:val="21"/>
                <w:highlight w:val="none"/>
              </w:rPr>
            </w:pPr>
            <w:r>
              <w:rPr>
                <w:rFonts w:hint="eastAsia"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62"/>
              <w:jc w:val="center"/>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Y＜200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62"/>
              <w:jc w:val="center"/>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62"/>
              <w:jc w:val="center"/>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b/>
                <w:bCs/>
                <w:color w:val="auto"/>
                <w:szCs w:val="21"/>
                <w:highlight w:val="none"/>
              </w:rPr>
            </w:pPr>
            <w:r>
              <w:rPr>
                <w:rFonts w:hint="eastAsia"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62"/>
              <w:jc w:val="center"/>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62"/>
              <w:jc w:val="center"/>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62"/>
              <w:jc w:val="center"/>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b/>
                <w:bCs/>
                <w:color w:val="auto"/>
                <w:szCs w:val="21"/>
                <w:highlight w:val="none"/>
              </w:rPr>
            </w:pPr>
            <w:r>
              <w:rPr>
                <w:rFonts w:hint="eastAsia"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62"/>
              <w:jc w:val="center"/>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62"/>
              <w:jc w:val="center"/>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62"/>
              <w:jc w:val="center"/>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b/>
                <w:bCs/>
                <w:color w:val="auto"/>
                <w:szCs w:val="21"/>
                <w:highlight w:val="none"/>
              </w:rPr>
            </w:pPr>
            <w:r>
              <w:rPr>
                <w:rFonts w:hint="eastAsia"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62"/>
              <w:jc w:val="center"/>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62"/>
              <w:jc w:val="center"/>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62"/>
              <w:jc w:val="center"/>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b/>
                <w:bCs/>
                <w:color w:val="auto"/>
                <w:szCs w:val="21"/>
                <w:highlight w:val="none"/>
              </w:rPr>
            </w:pPr>
            <w:r>
              <w:rPr>
                <w:rFonts w:hint="eastAsia"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62"/>
              <w:jc w:val="center"/>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62"/>
              <w:jc w:val="center"/>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62"/>
              <w:jc w:val="center"/>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b/>
                <w:bCs/>
                <w:color w:val="auto"/>
                <w:szCs w:val="21"/>
                <w:highlight w:val="none"/>
              </w:rPr>
            </w:pPr>
            <w:r>
              <w:rPr>
                <w:rFonts w:hint="eastAsia"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62"/>
              <w:jc w:val="center"/>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62"/>
              <w:jc w:val="center"/>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62"/>
              <w:jc w:val="center"/>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b/>
                <w:bCs/>
                <w:color w:val="auto"/>
                <w:szCs w:val="21"/>
                <w:highlight w:val="none"/>
              </w:rPr>
            </w:pPr>
            <w:r>
              <w:rPr>
                <w:rFonts w:hint="eastAsia"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62"/>
              <w:jc w:val="center"/>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62"/>
              <w:jc w:val="center"/>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62"/>
              <w:jc w:val="center"/>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b/>
                <w:bCs/>
                <w:color w:val="auto"/>
                <w:szCs w:val="21"/>
                <w:highlight w:val="none"/>
              </w:rPr>
            </w:pPr>
            <w:r>
              <w:rPr>
                <w:rFonts w:hint="eastAsia"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62"/>
              <w:jc w:val="center"/>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Y＜2000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62"/>
              <w:jc w:val="center"/>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62"/>
              <w:jc w:val="center"/>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b/>
                <w:bCs/>
                <w:color w:val="auto"/>
                <w:szCs w:val="21"/>
                <w:highlight w:val="none"/>
              </w:rPr>
            </w:pPr>
            <w:r>
              <w:rPr>
                <w:rFonts w:hint="eastAsia"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62"/>
              <w:jc w:val="center"/>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Y＜500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62"/>
              <w:jc w:val="center"/>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62"/>
              <w:jc w:val="center"/>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b/>
                <w:bCs/>
                <w:color w:val="auto"/>
                <w:szCs w:val="21"/>
                <w:highlight w:val="none"/>
              </w:rPr>
            </w:pPr>
            <w:r>
              <w:rPr>
                <w:rFonts w:hint="eastAsia"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62"/>
              <w:jc w:val="center"/>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textDirection w:val="lrTb"/>
            <w:noWrap w:val="false"/>
          </w:tcPr>
          <w:p>
            <w:pPr>
              <w:pStyle w:val="862"/>
              <w:jc w:val="center"/>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62"/>
              <w:jc w:val="center"/>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62"/>
              <w:spacing w:line="360" w:lineRule="auto"/>
              <w:widowControl/>
              <w:rPr>
                <w:rFonts w:hint="eastAsia" w:ascii="宋体" w:hAnsi="宋体"/>
                <w:b/>
                <w:bCs/>
                <w:color w:val="auto"/>
                <w:sz w:val="21"/>
                <w:szCs w:val="21"/>
                <w:highlight w:val="none"/>
              </w:rPr>
            </w:pPr>
            <w:r>
              <w:rPr>
                <w:rStyle w:val="868"/>
                <w:rFonts w:hint="eastAsia" w:ascii="宋体" w:hAnsi="宋体" w:cs="仿宋"/>
                <w:color w:val="auto"/>
                <w:sz w:val="21"/>
                <w:szCs w:val="21"/>
                <w:highlight w:val="none"/>
              </w:rPr>
              <w:t xml:space="preserve">X＜10</w:t>
            </w:r>
            <w:r/>
          </w:p>
        </w:tc>
      </w:tr>
    </w:tbl>
    <w:p>
      <w:pPr>
        <w:pStyle w:val="862"/>
        <w:ind w:firstLine="462"/>
        <w:spacing w:before="300" w:after="452" w:line="360" w:lineRule="auto"/>
        <w:widowControl/>
        <w:rPr>
          <w:rStyle w:val="868"/>
          <w:rFonts w:hint="eastAsia" w:ascii="宋体" w:hAnsi="宋体" w:cs="仿宋"/>
          <w:color w:val="auto"/>
          <w:sz w:val="21"/>
          <w:szCs w:val="21"/>
          <w:highlight w:val="none"/>
        </w:rPr>
      </w:pPr>
      <w:r>
        <w:rPr>
          <w:rStyle w:val="868"/>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rPr>
          <w:rFonts w:hint="eastAsia" w:ascii="宋体" w:hAnsi="宋体" w:cs="Arial"/>
          <w:b/>
          <w:bCs/>
          <w:color w:val="auto"/>
          <w:highlight w:val="none"/>
        </w:rPr>
      </w:pPr>
      <w:r>
        <w:rPr>
          <w:rFonts w:hint="eastAsia" w:ascii="宋体" w:hAnsi="宋体" w:cs="Arial"/>
          <w:b/>
          <w:bCs/>
          <w:color w:val="auto"/>
          <w:highlight w:val="none"/>
        </w:rPr>
        <w:br w:type="page" w:clear="all"/>
      </w:r>
      <w:r/>
    </w:p>
    <w:p>
      <w:pPr>
        <w:jc w:val="center"/>
        <w:rPr>
          <w:rFonts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b/>
          <w:color w:val="auto"/>
          <w:sz w:val="24"/>
          <w:szCs w:val="24"/>
          <w:highlight w:val="none"/>
        </w:rPr>
        <w:t xml:space="preserve">关于符合本国产品标准的声明函（采购包号：**）</w:t>
      </w:r>
      <w:r/>
    </w:p>
    <w:p>
      <w:pPr>
        <w:pStyle w:val="862"/>
        <w:ind w:firstLine="420"/>
        <w:spacing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862"/>
        <w:ind w:firstLine="420"/>
        <w:spacing w:line="0" w:lineRule="atLeast"/>
        <w:rPr>
          <w:rFonts w:ascii="方正魏碑_GBK" w:hAnsi="方正魏碑_GBK" w:eastAsia="方正魏碑_GBK" w:cs="方正魏碑_GBK"/>
          <w:color w:val="auto"/>
          <w:szCs w:val="24"/>
          <w:highlight w:val="none"/>
        </w:rPr>
      </w:pPr>
      <w:r>
        <w:rPr>
          <w:rFonts w:hint="eastAsia" w:ascii="方正魏碑_GBK" w:hAnsi="方正魏碑_GBK" w:eastAsia="方正魏碑_GBK" w:cs="方正魏碑_GBK"/>
          <w:color w:val="auto"/>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62"/>
        <w:ind w:firstLine="420"/>
        <w:spacing w:before="30" w:after="30" w:line="0" w:lineRule="atLeast"/>
        <w:rPr>
          <w:rFonts w:ascii="方正魏碑_GBK" w:hAnsi="方正魏碑_GBK" w:eastAsia="方正魏碑_GBK" w:cs="方正魏碑_GBK"/>
          <w:color w:val="auto"/>
          <w:szCs w:val="24"/>
          <w:highlight w:val="none"/>
        </w:rPr>
      </w:pPr>
      <w:r>
        <w:rPr>
          <w:rFonts w:hint="eastAsia" w:ascii="方正魏碑_GBK" w:hAnsi="方正魏碑_GBK" w:eastAsia="方正魏碑_GBK" w:cs="方正魏碑_GBK"/>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5" name="直接箭头连接符 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59264;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5926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7" name="直接箭头连接符 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59264;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8" name="直接箭头连接符 9"/>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59264;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9" name="直接箭头连接符 1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59264;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10" name="直接箭头连接符 1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11"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59264;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2"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Cs w:val="24"/>
          <w:highlight w:val="none"/>
          <w:shd w:val="clear" w:color="auto" w:fill="ffffff"/>
        </w:rPr>
        <w:t xml:space="preserve">1.</w:t>
      </w:r>
      <w:r>
        <w:rPr>
          <w:rStyle w:val="872"/>
          <w:rFonts w:hint="eastAsia" w:ascii="方正魏碑_GBK" w:hAnsi="方正魏碑_GBK" w:eastAsia="方正魏碑_GBK" w:cs="方正魏碑_GBK"/>
          <w:i w:val="0"/>
          <w:color w:val="auto"/>
          <w:sz w:val="24"/>
          <w:szCs w:val="24"/>
          <w:highlight w:val="none"/>
          <w:u w:val="single"/>
          <w:shd w:val="clear" w:color="auto" w:fill="ffffff"/>
        </w:rPr>
        <w:t xml:space="preserve">（产品名称1）</w:t>
      </w:r>
      <w:r>
        <w:rPr>
          <w:rStyle w:val="872"/>
          <w:rFonts w:hint="eastAsia" w:ascii="方正魏碑_GBK" w:hAnsi="方正魏碑_GBK" w:eastAsia="方正魏碑_GBK" w:cs="方正魏碑_GBK"/>
          <w:i w:val="0"/>
          <w:color w:val="auto"/>
          <w:sz w:val="24"/>
          <w:szCs w:val="24"/>
          <w:highlight w:val="none"/>
          <w:shd w:val="clear" w:color="auto" w:fill="ffffff"/>
          <w:vertAlign w:val="superscript"/>
        </w:rPr>
        <w:t xml:space="preserve">1</w:t>
      </w:r>
      <w:r>
        <w:rPr>
          <w:rFonts w:hint="eastAsia" w:ascii="方正魏碑_GBK" w:hAnsi="方正魏碑_GBK" w:eastAsia="方正魏碑_GBK" w:cs="方正魏碑_GBK"/>
          <w:color w:val="auto"/>
          <w:szCs w:val="24"/>
          <w:highlight w:val="none"/>
          <w:shd w:val="clear" w:color="auto" w:fill="ffffff"/>
        </w:rPr>
        <w:t xml:space="preserve">，生产厂为</w:t>
      </w:r>
      <w:r>
        <w:rPr>
          <w:rStyle w:val="872"/>
          <w:rFonts w:hint="eastAsia" w:ascii="方正魏碑_GBK" w:hAnsi="方正魏碑_GBK" w:eastAsia="方正魏碑_GBK" w:cs="方正魏碑_GBK"/>
          <w:i w:val="0"/>
          <w:color w:val="auto"/>
          <w:sz w:val="24"/>
          <w:szCs w:val="24"/>
          <w:highlight w:val="none"/>
          <w:u w:val="single"/>
          <w:shd w:val="clear" w:color="auto" w:fill="ffffff"/>
        </w:rPr>
        <w:t xml:space="preserve">（厂名）</w:t>
      </w:r>
      <w:r>
        <w:rPr>
          <w:rStyle w:val="872"/>
          <w:rFonts w:hint="eastAsia" w:ascii="方正魏碑_GBK" w:hAnsi="方正魏碑_GBK" w:eastAsia="方正魏碑_GBK" w:cs="方正魏碑_GBK"/>
          <w:i w:val="0"/>
          <w:color w:val="auto"/>
          <w:sz w:val="24"/>
          <w:szCs w:val="24"/>
          <w:highlight w:val="none"/>
          <w:shd w:val="clear" w:color="auto" w:fill="ffffff"/>
          <w:vertAlign w:val="superscript"/>
        </w:rPr>
        <w:t xml:space="preserve">2</w:t>
      </w:r>
      <w:r>
        <w:rPr>
          <w:rFonts w:hint="eastAsia" w:ascii="方正魏碑_GBK" w:hAnsi="方正魏碑_GBK" w:eastAsia="方正魏碑_GBK" w:cs="方正魏碑_GBK"/>
          <w:color w:val="auto"/>
          <w:szCs w:val="24"/>
          <w:highlight w:val="none"/>
          <w:shd w:val="clear" w:color="auto" w:fill="ffffff"/>
        </w:rPr>
        <w:t xml:space="preserve">，厂址为</w:t>
      </w:r>
      <w:r>
        <w:rPr>
          <w:rStyle w:val="872"/>
          <w:rFonts w:hint="eastAsia" w:ascii="方正魏碑_GBK" w:hAnsi="方正魏碑_GBK" w:eastAsia="方正魏碑_GBK" w:cs="方正魏碑_GBK"/>
          <w:i w:val="0"/>
          <w:color w:val="auto"/>
          <w:sz w:val="24"/>
          <w:szCs w:val="24"/>
          <w:highlight w:val="none"/>
          <w:u w:val="single"/>
          <w:shd w:val="clear" w:color="auto" w:fill="ffffff"/>
        </w:rPr>
        <w:t xml:space="preserve">（生产厂址）</w:t>
      </w:r>
      <w:r>
        <w:rPr>
          <w:rFonts w:hint="eastAsia" w:ascii="方正魏碑_GBK" w:hAnsi="方正魏碑_GBK" w:eastAsia="方正魏碑_GBK" w:cs="方正魏碑_GBK"/>
          <w:color w:val="auto"/>
          <w:szCs w:val="24"/>
          <w:highlight w:val="none"/>
          <w:shd w:val="clear" w:color="auto" w:fill="ffffff"/>
        </w:rPr>
        <w:t xml:space="preserve">。</w:t>
      </w:r>
      <w:r>
        <w:rPr>
          <w:rFonts w:hint="eastAsia" w:ascii="方正魏碑_GBK" w:hAnsi="方正魏碑_GBK" w:eastAsia="方正魏碑_GBK" w:cs="方正魏碑_GBK"/>
          <w:color w:val="auto"/>
          <w:szCs w:val="24"/>
          <w:highlight w:val="none"/>
          <w:u w:val="single"/>
          <w:shd w:val="clear" w:color="auto" w:fill="ffffff"/>
        </w:rPr>
        <w:t xml:space="preserve"> </w:t>
      </w:r>
      <w:r>
        <w:rPr>
          <w:rStyle w:val="872"/>
          <w:rFonts w:hint="eastAsia" w:ascii="方正魏碑_GBK" w:hAnsi="方正魏碑_GBK" w:eastAsia="方正魏碑_GBK" w:cs="方正魏碑_GBK"/>
          <w:i w:val="0"/>
          <w:color w:val="auto"/>
          <w:sz w:val="24"/>
          <w:szCs w:val="24"/>
          <w:highlight w:val="none"/>
          <w:u w:val="single"/>
          <w:shd w:val="clear" w:color="auto" w:fill="ffffff"/>
        </w:rPr>
        <w:t xml:space="preserve">（产品名称1） </w:t>
      </w:r>
      <w:r>
        <w:rPr>
          <w:rFonts w:hint="eastAsia" w:ascii="方正魏碑_GBK" w:hAnsi="方正魏碑_GBK" w:eastAsia="方正魏碑_GBK" w:cs="方正魏碑_GBK"/>
          <w:color w:val="auto"/>
          <w:szCs w:val="24"/>
          <w:highlight w:val="none"/>
          <w:shd w:val="clear" w:color="auto" w:fill="ffffff"/>
        </w:rPr>
        <w:t xml:space="preserve">的中国境内生产的组件成本占比≥</w:t>
      </w:r>
      <w:r>
        <w:rPr>
          <w:rStyle w:val="872"/>
          <w:rFonts w:hint="eastAsia" w:ascii="方正魏碑_GBK" w:hAnsi="方正魏碑_GBK" w:eastAsia="方正魏碑_GBK" w:cs="方正魏碑_GBK"/>
          <w:i w:val="0"/>
          <w:color w:val="auto"/>
          <w:sz w:val="24"/>
          <w:szCs w:val="24"/>
          <w:highlight w:val="none"/>
          <w:u w:val="single"/>
          <w:shd w:val="clear" w:color="auto" w:fill="ffffff"/>
        </w:rPr>
        <w:t xml:space="preserve">（规定</w:t>
      </w:r>
      <w:r>
        <w:rPr>
          <w:rStyle w:val="872"/>
          <w:rFonts w:ascii="方正魏碑_GBK" w:hAnsi="方正魏碑_GBK" w:eastAsia="方正魏碑_GBK" w:cs="方正魏碑_GBK"/>
          <w:i w:val="0"/>
          <w:color w:val="auto"/>
          <w:sz w:val="24"/>
          <w:szCs w:val="24"/>
          <w:highlight w:val="none"/>
          <w:u w:val="single"/>
          <w:shd w:val="clear" w:color="auto" w:fill="ffffff"/>
        </w:rPr>
        <w:t xml:space="preserve">比例</w:t>
      </w:r>
      <w:r>
        <w:rPr>
          <w:rStyle w:val="872"/>
          <w:rFonts w:hint="eastAsia" w:ascii="方正魏碑_GBK" w:hAnsi="方正魏碑_GBK" w:eastAsia="方正魏碑_GBK" w:cs="方正魏碑_GBK"/>
          <w:i w:val="0"/>
          <w:color w:val="auto"/>
          <w:sz w:val="24"/>
          <w:szCs w:val="24"/>
          <w:highlight w:val="none"/>
          <w:u w:val="single"/>
          <w:shd w:val="clear" w:color="auto" w:fill="ffffff"/>
        </w:rPr>
        <w:t xml:space="preserve">）</w:t>
      </w:r>
      <w:r>
        <w:rPr>
          <w:rStyle w:val="872"/>
          <w:rFonts w:hint="eastAsia" w:ascii="方正魏碑_GBK" w:hAnsi="方正魏碑_GBK" w:eastAsia="方正魏碑_GBK" w:cs="方正魏碑_GBK"/>
          <w:i w:val="0"/>
          <w:color w:val="auto"/>
          <w:sz w:val="24"/>
          <w:szCs w:val="24"/>
          <w:highlight w:val="none"/>
          <w:shd w:val="clear" w:color="auto" w:fill="ffffff"/>
          <w:vertAlign w:val="superscript"/>
        </w:rPr>
        <w:t xml:space="preserve">3</w:t>
      </w:r>
      <w:r>
        <w:rPr>
          <w:rFonts w:hint="eastAsia" w:ascii="方正魏碑_GBK" w:hAnsi="方正魏碑_GBK" w:eastAsia="方正魏碑_GBK" w:cs="方正魏碑_GBK"/>
          <w:color w:val="auto"/>
          <w:szCs w:val="24"/>
          <w:highlight w:val="none"/>
          <w:shd w:val="clear" w:color="auto" w:fill="ffffff"/>
        </w:rPr>
        <w:t xml:space="preserve">。</w:t>
      </w:r>
      <w:r>
        <w:rPr>
          <w:rStyle w:val="872"/>
          <w:rFonts w:hint="eastAsia" w:ascii="方正魏碑_GBK" w:hAnsi="方正魏碑_GBK" w:eastAsia="方正魏碑_GBK" w:cs="方正魏碑_GBK"/>
          <w:i w:val="0"/>
          <w:color w:val="auto"/>
          <w:sz w:val="24"/>
          <w:szCs w:val="24"/>
          <w:highlight w:val="none"/>
          <w:u w:val="single"/>
          <w:shd w:val="clear" w:color="auto" w:fill="ffffff"/>
        </w:rPr>
        <w:t xml:space="preserve">（产品名称1）</w:t>
      </w:r>
      <w:r>
        <w:rPr>
          <w:rFonts w:hint="eastAsia" w:ascii="方正魏碑_GBK" w:hAnsi="方正魏碑_GBK" w:eastAsia="方正魏碑_GBK" w:cs="方正魏碑_GBK"/>
          <w:color w:val="auto"/>
          <w:szCs w:val="24"/>
          <w:highlight w:val="none"/>
          <w:shd w:val="clear" w:color="auto" w:fill="ffffff"/>
        </w:rPr>
        <w:t xml:space="preserve">的</w:t>
      </w:r>
      <w:r>
        <w:rPr>
          <w:rStyle w:val="872"/>
          <w:rFonts w:hint="eastAsia" w:ascii="方正魏碑_GBK" w:hAnsi="方正魏碑_GBK" w:eastAsia="方正魏碑_GBK" w:cs="方正魏碑_GBK"/>
          <w:i w:val="0"/>
          <w:color w:val="auto"/>
          <w:sz w:val="24"/>
          <w:szCs w:val="24"/>
          <w:highlight w:val="none"/>
          <w:u w:val="single"/>
          <w:shd w:val="clear" w:color="auto" w:fill="ffffff"/>
        </w:rPr>
        <w:t xml:space="preserve">（关键</w:t>
      </w:r>
      <w:r>
        <w:rPr>
          <w:rStyle w:val="872"/>
          <w:rFonts w:ascii="方正魏碑_GBK" w:hAnsi="方正魏碑_GBK" w:eastAsia="方正魏碑_GBK" w:cs="方正魏碑_GBK"/>
          <w:i w:val="0"/>
          <w:color w:val="auto"/>
          <w:sz w:val="24"/>
          <w:szCs w:val="24"/>
          <w:highlight w:val="none"/>
          <w:u w:val="single"/>
          <w:shd w:val="clear" w:color="auto" w:fill="ffffff"/>
        </w:rPr>
        <w:t xml:space="preserve">组件</w:t>
      </w:r>
      <w:r>
        <w:rPr>
          <w:rStyle w:val="872"/>
          <w:rFonts w:hint="eastAsia" w:ascii="方正魏碑_GBK" w:hAnsi="方正魏碑_GBK" w:eastAsia="方正魏碑_GBK" w:cs="方正魏碑_GBK"/>
          <w:i w:val="0"/>
          <w:color w:val="auto"/>
          <w:sz w:val="24"/>
          <w:szCs w:val="24"/>
          <w:highlight w:val="none"/>
          <w:u w:val="single"/>
          <w:shd w:val="clear" w:color="auto" w:fill="ffffff"/>
        </w:rPr>
        <w:t xml:space="preserve">）</w:t>
      </w:r>
      <w:r>
        <w:rPr>
          <w:rStyle w:val="872"/>
          <w:rFonts w:hint="eastAsia" w:ascii="方正魏碑_GBK" w:hAnsi="方正魏碑_GBK" w:eastAsia="方正魏碑_GBK" w:cs="方正魏碑_GBK"/>
          <w:i w:val="0"/>
          <w:color w:val="auto"/>
          <w:sz w:val="24"/>
          <w:szCs w:val="24"/>
          <w:highlight w:val="none"/>
          <w:shd w:val="clear" w:color="auto" w:fill="ffffff"/>
          <w:vertAlign w:val="superscript"/>
        </w:rPr>
        <w:t xml:space="preserve">4</w:t>
      </w:r>
      <w:r>
        <w:rPr>
          <w:rFonts w:hint="eastAsia" w:ascii="方正魏碑_GBK" w:hAnsi="方正魏碑_GBK" w:eastAsia="方正魏碑_GBK" w:cs="方正魏碑_GBK"/>
          <w:color w:val="auto"/>
          <w:szCs w:val="24"/>
          <w:highlight w:val="none"/>
          <w:shd w:val="clear" w:color="auto" w:fill="ffffff"/>
        </w:rPr>
        <w:t xml:space="preserve">在中国境内生产。</w:t>
      </w:r>
      <w:r>
        <w:rPr>
          <w:rStyle w:val="872"/>
          <w:rFonts w:hint="eastAsia" w:ascii="方正魏碑_GBK" w:hAnsi="方正魏碑_GBK" w:eastAsia="方正魏碑_GBK" w:cs="方正魏碑_GBK"/>
          <w:i w:val="0"/>
          <w:color w:val="auto"/>
          <w:sz w:val="24"/>
          <w:szCs w:val="24"/>
          <w:highlight w:val="none"/>
          <w:u w:val="single"/>
          <w:shd w:val="clear" w:color="auto" w:fill="ffffff"/>
        </w:rPr>
        <w:t xml:space="preserve">（产品名称1）</w:t>
      </w:r>
      <w:r>
        <w:rPr>
          <w:rFonts w:hint="eastAsia" w:ascii="方正魏碑_GBK" w:hAnsi="方正魏碑_GBK" w:eastAsia="方正魏碑_GBK" w:cs="方正魏碑_GBK"/>
          <w:color w:val="auto"/>
          <w:szCs w:val="24"/>
          <w:highlight w:val="none"/>
          <w:shd w:val="clear" w:color="auto" w:fill="ffffff"/>
        </w:rPr>
        <w:t xml:space="preserve">的</w:t>
      </w:r>
      <w:r>
        <w:rPr>
          <w:rStyle w:val="872"/>
          <w:rFonts w:hint="eastAsia" w:ascii="方正魏碑_GBK" w:hAnsi="方正魏碑_GBK" w:eastAsia="方正魏碑_GBK" w:cs="方正魏碑_GBK"/>
          <w:i w:val="0"/>
          <w:color w:val="auto"/>
          <w:sz w:val="24"/>
          <w:szCs w:val="24"/>
          <w:highlight w:val="none"/>
          <w:u w:val="single"/>
          <w:shd w:val="clear" w:color="auto" w:fill="ffffff"/>
        </w:rPr>
        <w:t xml:space="preserve">（关键工序）</w:t>
      </w:r>
      <w:r>
        <w:rPr>
          <w:rStyle w:val="872"/>
          <w:rFonts w:hint="eastAsia" w:ascii="方正魏碑_GBK" w:hAnsi="方正魏碑_GBK" w:eastAsia="方正魏碑_GBK" w:cs="方正魏碑_GBK"/>
          <w:i w:val="0"/>
          <w:color w:val="auto"/>
          <w:sz w:val="24"/>
          <w:szCs w:val="24"/>
          <w:highlight w:val="none"/>
          <w:shd w:val="clear" w:color="auto" w:fill="ffffff"/>
          <w:vertAlign w:val="superscript"/>
        </w:rPr>
        <w:t xml:space="preserve">5</w:t>
      </w:r>
      <w:r>
        <w:rPr>
          <w:rFonts w:hint="eastAsia" w:ascii="方正魏碑_GBK" w:hAnsi="方正魏碑_GBK" w:eastAsia="方正魏碑_GBK" w:cs="方正魏碑_GBK"/>
          <w:color w:val="auto"/>
          <w:szCs w:val="24"/>
          <w:highlight w:val="none"/>
          <w:shd w:val="clear" w:color="auto" w:fill="ffffff"/>
        </w:rPr>
        <w:t xml:space="preserve">在中国境内完成。</w:t>
      </w:r>
      <w:r/>
    </w:p>
    <w:p>
      <w:pPr>
        <w:pStyle w:val="862"/>
        <w:ind w:firstLine="420"/>
        <w:spacing w:before="30" w:after="30" w:line="0" w:lineRule="atLeast"/>
        <w:rPr>
          <w:rFonts w:ascii="方正魏碑_GBK" w:hAnsi="方正魏碑_GBK" w:eastAsia="方正魏碑_GBK" w:cs="方正魏碑_GBK"/>
          <w:color w:val="auto"/>
          <w:szCs w:val="24"/>
          <w:highlight w:val="none"/>
        </w:rPr>
      </w:pPr>
      <w:r>
        <w:rPr>
          <w:rFonts w:hint="eastAsia" w:ascii="方正魏碑_GBK" w:hAnsi="方正魏碑_GBK" w:eastAsia="方正魏碑_GBK" w:cs="方正魏碑_GBK"/>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3" name="直接箭头连接符 15"/>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5926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5926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5" name="直接箭头连接符 1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59264;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6" name="直接箭头连接符 18"/>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59264;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7" name="直接箭头连接符 2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5926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8" name="直接箭头连接符 19"/>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59264;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9" name="直接箭头连接符 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59264;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20"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59264;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Cs w:val="24"/>
          <w:highlight w:val="none"/>
          <w:shd w:val="clear" w:color="auto" w:fill="ffffff"/>
        </w:rPr>
        <w:t xml:space="preserve">2.</w:t>
      </w:r>
      <w:r>
        <w:rPr>
          <w:rStyle w:val="872"/>
          <w:rFonts w:hint="eastAsia" w:ascii="方正魏碑_GBK" w:hAnsi="方正魏碑_GBK" w:eastAsia="方正魏碑_GBK" w:cs="方正魏碑_GBK"/>
          <w:i w:val="0"/>
          <w:color w:val="auto"/>
          <w:sz w:val="24"/>
          <w:szCs w:val="24"/>
          <w:highlight w:val="none"/>
          <w:u w:val="single"/>
          <w:shd w:val="clear" w:color="auto" w:fill="ffffff"/>
        </w:rPr>
        <w:t xml:space="preserve">（产品名称2）</w:t>
      </w:r>
      <w:r>
        <w:rPr>
          <w:rFonts w:hint="eastAsia" w:ascii="方正魏碑_GBK" w:hAnsi="方正魏碑_GBK" w:eastAsia="方正魏碑_GBK" w:cs="方正魏碑_GBK"/>
          <w:color w:val="auto"/>
          <w:szCs w:val="24"/>
          <w:highlight w:val="none"/>
          <w:shd w:val="clear" w:color="auto" w:fill="ffffff"/>
        </w:rPr>
        <w:t xml:space="preserve">，生产厂为</w:t>
      </w:r>
      <w:r>
        <w:rPr>
          <w:rStyle w:val="872"/>
          <w:rFonts w:hint="eastAsia" w:ascii="方正魏碑_GBK" w:hAnsi="方正魏碑_GBK" w:eastAsia="方正魏碑_GBK" w:cs="方正魏碑_GBK"/>
          <w:i w:val="0"/>
          <w:color w:val="auto"/>
          <w:sz w:val="24"/>
          <w:szCs w:val="24"/>
          <w:highlight w:val="none"/>
          <w:u w:val="single"/>
          <w:shd w:val="clear" w:color="auto" w:fill="ffffff"/>
        </w:rPr>
        <w:t xml:space="preserve">（厂名）</w:t>
      </w:r>
      <w:r>
        <w:rPr>
          <w:rFonts w:hint="eastAsia" w:ascii="方正魏碑_GBK" w:hAnsi="方正魏碑_GBK" w:eastAsia="方正魏碑_GBK" w:cs="方正魏碑_GBK"/>
          <w:color w:val="auto"/>
          <w:szCs w:val="24"/>
          <w:highlight w:val="none"/>
          <w:shd w:val="clear" w:color="auto" w:fill="ffffff"/>
        </w:rPr>
        <w:t xml:space="preserve">，厂址为</w:t>
      </w:r>
      <w:r>
        <w:rPr>
          <w:rStyle w:val="872"/>
          <w:rFonts w:hint="eastAsia" w:ascii="方正魏碑_GBK" w:hAnsi="方正魏碑_GBK" w:eastAsia="方正魏碑_GBK" w:cs="方正魏碑_GBK"/>
          <w:i w:val="0"/>
          <w:color w:val="auto"/>
          <w:sz w:val="24"/>
          <w:szCs w:val="24"/>
          <w:highlight w:val="none"/>
          <w:u w:val="single"/>
          <w:shd w:val="clear" w:color="auto" w:fill="ffffff"/>
        </w:rPr>
        <w:t xml:space="preserve">（生产厂址）</w:t>
      </w:r>
      <w:r>
        <w:rPr>
          <w:rFonts w:hint="eastAsia" w:ascii="方正魏碑_GBK" w:hAnsi="方正魏碑_GBK" w:eastAsia="方正魏碑_GBK" w:cs="方正魏碑_GBK"/>
          <w:color w:val="auto"/>
          <w:szCs w:val="24"/>
          <w:highlight w:val="none"/>
          <w:shd w:val="clear" w:color="auto" w:fill="ffffff"/>
        </w:rPr>
        <w:t xml:space="preserve">。</w:t>
      </w:r>
      <w:r>
        <w:rPr>
          <w:rStyle w:val="872"/>
          <w:rFonts w:hint="eastAsia" w:ascii="方正魏碑_GBK" w:hAnsi="方正魏碑_GBK" w:eastAsia="方正魏碑_GBK" w:cs="方正魏碑_GBK"/>
          <w:i w:val="0"/>
          <w:color w:val="auto"/>
          <w:sz w:val="24"/>
          <w:szCs w:val="24"/>
          <w:highlight w:val="none"/>
          <w:u w:val="single"/>
          <w:shd w:val="clear" w:color="auto" w:fill="ffffff"/>
        </w:rPr>
        <w:t xml:space="preserve">（产品名称2）</w:t>
      </w:r>
      <w:r>
        <w:rPr>
          <w:rFonts w:hint="eastAsia" w:ascii="方正魏碑_GBK" w:hAnsi="方正魏碑_GBK" w:eastAsia="方正魏碑_GBK" w:cs="方正魏碑_GBK"/>
          <w:color w:val="auto"/>
          <w:szCs w:val="24"/>
          <w:highlight w:val="none"/>
          <w:shd w:val="clear" w:color="auto" w:fill="ffffff"/>
        </w:rPr>
        <w:t xml:space="preserve">的中国境内生产的组件成本占比≥</w:t>
      </w:r>
      <w:r>
        <w:rPr>
          <w:rStyle w:val="872"/>
          <w:rFonts w:hint="eastAsia" w:ascii="方正魏碑_GBK" w:hAnsi="方正魏碑_GBK" w:eastAsia="方正魏碑_GBK" w:cs="方正魏碑_GBK"/>
          <w:i w:val="0"/>
          <w:color w:val="auto"/>
          <w:sz w:val="24"/>
          <w:szCs w:val="24"/>
          <w:highlight w:val="none"/>
          <w:u w:val="single"/>
          <w:shd w:val="clear" w:color="auto" w:fill="ffffff"/>
        </w:rPr>
        <w:t xml:space="preserve">（规定</w:t>
      </w:r>
      <w:r>
        <w:rPr>
          <w:rStyle w:val="872"/>
          <w:rFonts w:ascii="方正魏碑_GBK" w:hAnsi="方正魏碑_GBK" w:eastAsia="方正魏碑_GBK" w:cs="方正魏碑_GBK"/>
          <w:i w:val="0"/>
          <w:color w:val="auto"/>
          <w:sz w:val="24"/>
          <w:szCs w:val="24"/>
          <w:highlight w:val="none"/>
          <w:u w:val="single"/>
          <w:shd w:val="clear" w:color="auto" w:fill="ffffff"/>
        </w:rPr>
        <w:t xml:space="preserve">比例</w:t>
      </w:r>
      <w:r>
        <w:rPr>
          <w:rStyle w:val="872"/>
          <w:rFonts w:hint="eastAsia" w:ascii="方正魏碑_GBK" w:hAnsi="方正魏碑_GBK" w:eastAsia="方正魏碑_GBK" w:cs="方正魏碑_GBK"/>
          <w:i w:val="0"/>
          <w:color w:val="auto"/>
          <w:sz w:val="24"/>
          <w:szCs w:val="24"/>
          <w:highlight w:val="none"/>
          <w:u w:val="single"/>
          <w:shd w:val="clear" w:color="auto" w:fill="ffffff"/>
        </w:rPr>
        <w:t xml:space="preserve">）</w:t>
      </w:r>
      <w:r>
        <w:rPr>
          <w:rFonts w:hint="eastAsia" w:ascii="方正魏碑_GBK" w:hAnsi="方正魏碑_GBK" w:eastAsia="方正魏碑_GBK" w:cs="方正魏碑_GBK"/>
          <w:color w:val="auto"/>
          <w:szCs w:val="24"/>
          <w:highlight w:val="none"/>
          <w:shd w:val="clear" w:color="auto" w:fill="ffffff"/>
        </w:rPr>
        <w:t xml:space="preserve">。</w:t>
      </w:r>
      <w:r>
        <w:rPr>
          <w:rStyle w:val="872"/>
          <w:rFonts w:hint="eastAsia" w:ascii="方正魏碑_GBK" w:hAnsi="方正魏碑_GBK" w:eastAsia="方正魏碑_GBK" w:cs="方正魏碑_GBK"/>
          <w:i w:val="0"/>
          <w:color w:val="auto"/>
          <w:sz w:val="24"/>
          <w:szCs w:val="24"/>
          <w:highlight w:val="none"/>
          <w:u w:val="single"/>
          <w:shd w:val="clear" w:color="auto" w:fill="ffffff"/>
        </w:rPr>
        <w:t xml:space="preserve">（产品名称2）</w:t>
      </w:r>
      <w:r>
        <w:rPr>
          <w:rFonts w:hint="eastAsia" w:ascii="方正魏碑_GBK" w:hAnsi="方正魏碑_GBK" w:eastAsia="方正魏碑_GBK" w:cs="方正魏碑_GBK"/>
          <w:color w:val="auto"/>
          <w:szCs w:val="24"/>
          <w:highlight w:val="none"/>
          <w:shd w:val="clear" w:color="auto" w:fill="ffffff"/>
        </w:rPr>
        <w:t xml:space="preserve">的</w:t>
      </w:r>
      <w:r>
        <w:rPr>
          <w:rStyle w:val="872"/>
          <w:rFonts w:hint="eastAsia" w:ascii="方正魏碑_GBK" w:hAnsi="方正魏碑_GBK" w:eastAsia="方正魏碑_GBK" w:cs="方正魏碑_GBK"/>
          <w:i w:val="0"/>
          <w:color w:val="auto"/>
          <w:sz w:val="24"/>
          <w:szCs w:val="24"/>
          <w:highlight w:val="none"/>
          <w:u w:val="single"/>
          <w:shd w:val="clear" w:color="auto" w:fill="ffffff"/>
        </w:rPr>
        <w:t xml:space="preserve">（关键</w:t>
      </w:r>
      <w:r>
        <w:rPr>
          <w:rStyle w:val="872"/>
          <w:rFonts w:ascii="方正魏碑_GBK" w:hAnsi="方正魏碑_GBK" w:eastAsia="方正魏碑_GBK" w:cs="方正魏碑_GBK"/>
          <w:i w:val="0"/>
          <w:color w:val="auto"/>
          <w:sz w:val="24"/>
          <w:szCs w:val="24"/>
          <w:highlight w:val="none"/>
          <w:u w:val="single"/>
          <w:shd w:val="clear" w:color="auto" w:fill="ffffff"/>
        </w:rPr>
        <w:t xml:space="preserve">组件</w:t>
      </w:r>
      <w:r>
        <w:rPr>
          <w:rStyle w:val="872"/>
          <w:rFonts w:hint="eastAsia" w:ascii="方正魏碑_GBK" w:hAnsi="方正魏碑_GBK" w:eastAsia="方正魏碑_GBK" w:cs="方正魏碑_GBK"/>
          <w:i w:val="0"/>
          <w:color w:val="auto"/>
          <w:sz w:val="24"/>
          <w:szCs w:val="24"/>
          <w:highlight w:val="none"/>
          <w:u w:val="single"/>
          <w:shd w:val="clear" w:color="auto" w:fill="ffffff"/>
        </w:rPr>
        <w:t xml:space="preserve">）</w:t>
      </w:r>
      <w:r>
        <w:rPr>
          <w:rFonts w:hint="eastAsia" w:ascii="方正魏碑_GBK" w:hAnsi="方正魏碑_GBK" w:eastAsia="方正魏碑_GBK" w:cs="方正魏碑_GBK"/>
          <w:color w:val="auto"/>
          <w:szCs w:val="24"/>
          <w:highlight w:val="none"/>
          <w:shd w:val="clear" w:color="auto" w:fill="ffffff"/>
        </w:rPr>
        <w:t xml:space="preserve">在中国境内生产。</w:t>
      </w:r>
      <w:r>
        <w:rPr>
          <w:rStyle w:val="872"/>
          <w:rFonts w:hint="eastAsia" w:ascii="方正魏碑_GBK" w:hAnsi="方正魏碑_GBK" w:eastAsia="方正魏碑_GBK" w:cs="方正魏碑_GBK"/>
          <w:i w:val="0"/>
          <w:color w:val="auto"/>
          <w:sz w:val="24"/>
          <w:szCs w:val="24"/>
          <w:highlight w:val="none"/>
          <w:u w:val="single"/>
          <w:shd w:val="clear" w:color="auto" w:fill="ffffff"/>
        </w:rPr>
        <w:t xml:space="preserve">（产品名称1）</w:t>
      </w:r>
      <w:r>
        <w:rPr>
          <w:rFonts w:hint="eastAsia" w:ascii="方正魏碑_GBK" w:hAnsi="方正魏碑_GBK" w:eastAsia="方正魏碑_GBK" w:cs="方正魏碑_GBK"/>
          <w:color w:val="auto"/>
          <w:szCs w:val="24"/>
          <w:highlight w:val="none"/>
          <w:shd w:val="clear" w:color="auto" w:fill="ffffff"/>
        </w:rPr>
        <w:t xml:space="preserve">的</w:t>
      </w:r>
      <w:r>
        <w:rPr>
          <w:rStyle w:val="872"/>
          <w:rFonts w:hint="eastAsia" w:ascii="方正魏碑_GBK" w:hAnsi="方正魏碑_GBK" w:eastAsia="方正魏碑_GBK" w:cs="方正魏碑_GBK"/>
          <w:i w:val="0"/>
          <w:color w:val="auto"/>
          <w:sz w:val="24"/>
          <w:szCs w:val="24"/>
          <w:highlight w:val="none"/>
          <w:u w:val="single"/>
          <w:shd w:val="clear" w:color="auto" w:fill="ffffff"/>
        </w:rPr>
        <w:t xml:space="preserve">（关键工序）</w:t>
      </w:r>
      <w:r>
        <w:rPr>
          <w:rFonts w:hint="eastAsia" w:ascii="方正魏碑_GBK" w:hAnsi="方正魏碑_GBK" w:eastAsia="方正魏碑_GBK" w:cs="方正魏碑_GBK"/>
          <w:color w:val="auto"/>
          <w:szCs w:val="24"/>
          <w:highlight w:val="none"/>
          <w:shd w:val="clear" w:color="auto" w:fill="ffffff"/>
        </w:rPr>
        <w:t xml:space="preserve">在中国境内完成。</w:t>
      </w:r>
      <w:r/>
    </w:p>
    <w:p>
      <w:pPr>
        <w:pStyle w:val="862"/>
        <w:ind w:firstLine="420"/>
        <w:spacing w:before="30" w:after="30" w:line="0" w:lineRule="atLeast"/>
        <w:rPr>
          <w:rFonts w:ascii="方正魏碑_GBK" w:hAnsi="方正魏碑_GBK" w:eastAsia="方正魏碑_GBK" w:cs="方正魏碑_GBK"/>
          <w:color w:val="auto"/>
          <w:szCs w:val="24"/>
          <w:highlight w:val="none"/>
        </w:rPr>
      </w:pPr>
      <w:r>
        <w:rPr>
          <w:rFonts w:hint="eastAsia" w:ascii="方正魏碑_GBK" w:hAnsi="方正魏碑_GBK" w:eastAsia="方正魏碑_GBK" w:cs="方正魏碑_GBK"/>
          <w:color w:val="auto"/>
          <w:szCs w:val="24"/>
          <w:highlight w:val="none"/>
          <w:shd w:val="clear" w:color="auto" w:fill="ffffff"/>
        </w:rPr>
        <w:t xml:space="preserve">……</w:t>
      </w:r>
      <w:r/>
    </w:p>
    <w:p>
      <w:pPr>
        <w:pStyle w:val="862"/>
        <w:ind w:firstLine="420"/>
        <w:spacing w:before="30" w:after="30" w:line="0" w:lineRule="atLeast"/>
        <w:rPr>
          <w:rFonts w:ascii="方正魏碑_GBK" w:hAnsi="方正魏碑_GBK" w:eastAsia="方正魏碑_GBK" w:cs="方正魏碑_GBK"/>
          <w:color w:val="auto"/>
          <w:szCs w:val="24"/>
          <w:highlight w:val="none"/>
        </w:rPr>
      </w:pPr>
      <w:r>
        <w:rPr>
          <w:rFonts w:hint="eastAsia" w:ascii="方正魏碑_GBK" w:hAnsi="方正魏碑_GBK" w:eastAsia="方正魏碑_GBK" w:cs="方正魏碑_GBK"/>
          <w:color w:val="auto"/>
          <w:szCs w:val="24"/>
          <w:highlight w:val="none"/>
          <w:shd w:val="clear" w:color="auto" w:fill="ffffff"/>
        </w:rPr>
        <w:t xml:space="preserve">本公司（单位）对上述声明内容的真实性负责。如有虚假，愿承担相应法律责任。</w:t>
      </w:r>
      <w:r/>
    </w:p>
    <w:p>
      <w:pPr>
        <w:pStyle w:val="862"/>
        <w:spacing w:before="30" w:after="30" w:line="0" w:lineRule="atLeast"/>
        <w:rPr>
          <w:rFonts w:ascii="方正魏碑_GBK" w:hAnsi="方正魏碑_GBK" w:eastAsia="方正魏碑_GBK" w:cs="方正魏碑_GBK"/>
          <w:color w:val="auto"/>
          <w:szCs w:val="24"/>
          <w:highlight w:val="none"/>
        </w:rPr>
      </w:pPr>
      <w:r>
        <w:rPr>
          <w:rFonts w:ascii="方正魏碑_GBK" w:hAnsi="方正魏碑_GBK" w:eastAsia="方正魏碑_GBK" w:cs="方正魏碑_GBK"/>
          <w:color w:val="auto"/>
          <w:szCs w:val="24"/>
          <w:highlight w:val="none"/>
        </w:rPr>
      </w:r>
      <w:r/>
    </w:p>
    <w:p>
      <w:pPr>
        <w:pStyle w:val="862"/>
        <w:ind w:right="480" w:firstLine="3720"/>
        <w:spacing w:before="30" w:after="30" w:line="0" w:lineRule="atLeast"/>
        <w:rPr>
          <w:rFonts w:ascii="方正魏碑_GBK" w:hAnsi="方正魏碑_GBK" w:eastAsia="方正魏碑_GBK" w:cs="方正魏碑_GBK"/>
          <w:color w:val="auto"/>
          <w:szCs w:val="24"/>
          <w:highlight w:val="none"/>
        </w:rPr>
      </w:pPr>
      <w:r>
        <w:rPr>
          <w:rFonts w:hint="eastAsia" w:ascii="方正魏碑_GBK" w:hAnsi="方正魏碑_GBK" w:eastAsia="方正魏碑_GBK" w:cs="方正魏碑_GBK"/>
          <w:color w:val="auto"/>
          <w:szCs w:val="24"/>
          <w:highlight w:val="none"/>
          <w:shd w:val="clear" w:color="auto" w:fill="ffffff"/>
        </w:rPr>
        <w:t xml:space="preserve">公司（单位）名称（盖章）：　        </w:t>
      </w:r>
      <w:r/>
    </w:p>
    <w:p>
      <w:pPr>
        <w:pStyle w:val="862"/>
        <w:jc w:val="center"/>
        <w:spacing w:before="30" w:after="30" w:line="0" w:lineRule="atLeast"/>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szCs w:val="24"/>
          <w:highlight w:val="none"/>
          <w:shd w:val="clear" w:color="auto" w:fill="ffffff"/>
        </w:rPr>
        <w:t xml:space="preserve">                    </w:t>
      </w:r>
      <w:r>
        <w:rPr>
          <w:rFonts w:ascii="方正魏碑_GBK" w:hAnsi="方正魏碑_GBK" w:eastAsia="方正魏碑_GBK" w:cs="方正魏碑_GBK"/>
          <w:color w:val="auto"/>
          <w:szCs w:val="24"/>
          <w:highlight w:val="none"/>
          <w:shd w:val="clear" w:color="auto" w:fill="ffffff"/>
        </w:rPr>
        <w:t xml:space="preserve">            </w:t>
      </w:r>
      <w:r>
        <w:rPr>
          <w:rFonts w:hint="eastAsia" w:ascii="方正魏碑_GBK" w:hAnsi="方正魏碑_GBK" w:eastAsia="方正魏碑_GBK" w:cs="方正魏碑_GBK"/>
          <w:color w:val="auto"/>
          <w:szCs w:val="24"/>
          <w:highlight w:val="none"/>
          <w:shd w:val="clear" w:color="auto" w:fill="ffffff"/>
        </w:rPr>
        <w:t xml:space="preserve">日期：　   年　  月　  日    </w:t>
      </w:r>
      <w:r>
        <w:rPr>
          <w:rFonts w:hint="eastAsia" w:ascii="方正魏碑_GBK" w:hAnsi="方正魏碑_GBK" w:eastAsia="方正魏碑_GBK" w:cs="方正魏碑_GBK"/>
          <w:color w:val="auto"/>
          <w:highlight w:val="none"/>
          <w:shd w:val="clear" w:color="auto" w:fill="ffffff"/>
        </w:rPr>
        <w:t xml:space="preserve">     </w:t>
      </w:r>
      <w:r/>
    </w:p>
    <w:p>
      <w:pPr>
        <w:pStyle w:val="862"/>
        <w:spacing w:before="30" w:after="30" w:line="0" w:lineRule="atLeast"/>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__________________</w:t>
      </w:r>
      <w:r/>
    </w:p>
    <w:p>
      <w:pPr>
        <w:pStyle w:val="862"/>
        <w:spacing w:before="30" w:after="30" w:line="0" w:lineRule="atLeast"/>
        <w:rPr>
          <w:rFonts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1.产品如有型号，请在“产品名称”栏一并填写。</w:t>
      </w:r>
      <w:r/>
    </w:p>
    <w:p>
      <w:pPr>
        <w:pStyle w:val="862"/>
        <w:spacing w:before="30" w:after="30" w:line="0" w:lineRule="atLeast"/>
        <w:rPr>
          <w:rFonts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2.生产厂名与厂址应与生产厂营业执照载明的相关信息保持一致。</w:t>
      </w:r>
      <w:r/>
    </w:p>
    <w:p>
      <w:pPr>
        <w:pStyle w:val="862"/>
        <w:spacing w:before="30" w:after="30" w:line="0" w:lineRule="atLeast"/>
        <w:rPr>
          <w:rFonts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3.该产品的中国境内生产的组件成本占比相关要求实施前，“规定比例”栏可不填，下同。</w:t>
      </w:r>
      <w:r/>
    </w:p>
    <w:p>
      <w:pPr>
        <w:pStyle w:val="862"/>
        <w:spacing w:before="30" w:after="30" w:line="0" w:lineRule="atLeast"/>
        <w:rPr>
          <w:rFonts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4.该产品的关键组件要求实施前，“关键组件”栏可不填，下同。</w:t>
      </w:r>
      <w:r/>
    </w:p>
    <w:p>
      <w:pPr>
        <w:pStyle w:val="862"/>
        <w:spacing w:before="30" w:after="3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5.该产品的关键工序要求实施前，“关键工序”栏可不填，下同。</w:t>
      </w:r>
      <w:r/>
    </w:p>
    <w:p>
      <w:pPr>
        <w:pStyle w:val="862"/>
        <w:spacing w:before="30" w:after="3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6.用斜线划除的地方无需填写。</w:t>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pStyle w:val="823"/>
        <w:numPr>
          <w:ilvl w:val="0"/>
          <w:numId w:val="0"/>
        </w:numPr>
        <w:jc w:val="center"/>
        <w:rPr>
          <w:rFonts w:hint="eastAsia" w:ascii="宋体" w:hAnsi="宋体"/>
          <w:b w:val="0"/>
          <w:color w:val="auto"/>
          <w:sz w:val="32"/>
          <w:highlight w:val="none"/>
        </w:rPr>
      </w:pPr>
      <w:r>
        <w:rPr>
          <w:rStyle w:val="868"/>
          <w:rFonts w:cs="仿宋"/>
          <w:b w:val="0"/>
          <w:bCs w:val="0"/>
          <w:color w:val="auto"/>
          <w:sz w:val="21"/>
          <w:szCs w:val="21"/>
          <w:highlight w:val="none"/>
        </w:rPr>
        <w:br w:type="page" w:clear="all"/>
      </w:r>
      <w:r>
        <w:rPr>
          <w:rFonts w:hint="eastAsia" w:ascii="宋体" w:hAnsi="宋体"/>
          <w:b w:val="0"/>
          <w:color w:val="auto"/>
          <w:sz w:val="32"/>
          <w:highlight w:val="none"/>
        </w:rPr>
        <w:t xml:space="preserve">四、开标一览表</w:t>
      </w:r>
      <w:r/>
    </w:p>
    <w:p>
      <w:pPr>
        <w:ind w:firstLine="480"/>
        <w:spacing w:line="360" w:lineRule="auto"/>
        <w:rPr>
          <w:color w:val="auto"/>
          <w:szCs w:val="21"/>
          <w:highlight w:val="none"/>
        </w:rPr>
      </w:pPr>
      <w:r>
        <w:rPr>
          <w:rFonts w:hint="eastAsia" w:ascii="宋体" w:hAnsi="宋体"/>
          <w:color w:val="auto"/>
          <w:szCs w:val="21"/>
          <w:highlight w:val="none"/>
        </w:rPr>
        <w:t xml:space="preserve">项目名称：</w:t>
      </w:r>
      <w:r/>
    </w:p>
    <w:p>
      <w:pPr>
        <w:ind w:firstLine="480"/>
        <w:spacing w:line="360" w:lineRule="auto"/>
        <w:rPr>
          <w:rFonts w:hint="eastAsia" w:ascii="宋体" w:hAnsi="宋体"/>
          <w:color w:val="auto"/>
          <w:szCs w:val="21"/>
          <w:highlight w:val="none"/>
        </w:rPr>
      </w:pPr>
      <w:r>
        <w:rPr>
          <w:rFonts w:hint="eastAsia" w:ascii="宋体" w:hAnsi="宋体"/>
          <w:color w:val="auto"/>
          <w:szCs w:val="21"/>
          <w:highlight w:val="none"/>
        </w:rPr>
        <w:t xml:space="preserve">项目编号：                   </w:t>
      </w:r>
      <w:r/>
    </w:p>
    <w:tbl>
      <w:tblPr>
        <w:tblStyle w:val="831"/>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6"/>
        <w:gridCol w:w="2028"/>
        <w:gridCol w:w="1457"/>
        <w:gridCol w:w="1244"/>
        <w:gridCol w:w="1340"/>
        <w:gridCol w:w="1694"/>
      </w:tblGrid>
      <w:tr>
        <w:trPr>
          <w:cantSplit/>
          <w:trHeight w:val="500"/>
        </w:trPr>
        <w:tc>
          <w:tcPr>
            <w:tcW w:w="75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highlight w:val="none"/>
              </w:rPr>
              <w:t xml:space="preserve">序号</w:t>
            </w:r>
            <w:r/>
          </w:p>
        </w:tc>
        <w:tc>
          <w:tcPr>
            <w:tcW w:w="202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highlight w:val="none"/>
              </w:rPr>
              <w:t xml:space="preserve">产品、服务名称</w:t>
            </w:r>
            <w:r/>
          </w:p>
        </w:tc>
        <w:tc>
          <w:tcPr>
            <w:tcW w:w="145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highlight w:val="none"/>
              </w:rPr>
              <w:t xml:space="preserve">分项单位</w:t>
            </w:r>
            <w:r/>
          </w:p>
        </w:tc>
        <w:tc>
          <w:tcPr>
            <w:tcW w:w="1244"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highlight w:val="none"/>
              </w:rPr>
              <w:t xml:space="preserve">数量</w:t>
            </w:r>
            <w:r/>
          </w:p>
        </w:tc>
        <w:tc>
          <w:tcPr>
            <w:tcW w:w="134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highlight w:val="none"/>
              </w:rPr>
              <w:t xml:space="preserve">单价</w:t>
            </w:r>
            <w:r/>
          </w:p>
          <w:p>
            <w:pPr>
              <w:jc w:val="center"/>
              <w:spacing w:line="360" w:lineRule="auto"/>
              <w:rPr>
                <w:rFonts w:hint="eastAsia" w:ascii="宋体" w:hAnsi="宋体" w:cs="宋体"/>
                <w:color w:val="auto"/>
                <w:szCs w:val="21"/>
                <w:highlight w:val="none"/>
              </w:rPr>
            </w:pPr>
            <w:r>
              <w:rPr>
                <w:rFonts w:hint="eastAsia" w:ascii="宋体" w:hAnsi="宋体" w:cs="宋体"/>
                <w:color w:val="auto"/>
                <w:highlight w:val="none"/>
              </w:rPr>
              <w:t xml:space="preserve">（元）</w:t>
            </w:r>
            <w:r/>
          </w:p>
        </w:tc>
        <w:tc>
          <w:tcPr>
            <w:tcW w:w="1694"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单项合计价</w:t>
            </w:r>
            <w:r/>
          </w:p>
          <w:p>
            <w:pPr>
              <w:jc w:val="center"/>
              <w:spacing w:line="360" w:lineRule="auto"/>
              <w:rPr>
                <w:rFonts w:hint="eastAsia" w:ascii="宋体" w:hAnsi="宋体" w:cs="宋体"/>
                <w:color w:val="auto"/>
                <w:szCs w:val="21"/>
                <w:highlight w:val="none"/>
              </w:rPr>
            </w:pPr>
            <w:r>
              <w:rPr>
                <w:rFonts w:hint="eastAsia" w:ascii="宋体" w:hAnsi="宋体" w:cs="宋体"/>
                <w:color w:val="auto"/>
                <w:highlight w:val="none"/>
              </w:rPr>
              <w:t xml:space="preserve">（元）</w:t>
            </w:r>
            <w:r/>
          </w:p>
        </w:tc>
      </w:tr>
      <w:tr>
        <w:trPr>
          <w:cantSplit/>
          <w:trHeight w:val="500"/>
        </w:trPr>
        <w:tc>
          <w:tcPr>
            <w:tcW w:w="756" w:type="dxa"/>
            <w:vAlign w:val="center"/>
            <w:textDirection w:val="lrTb"/>
            <w:noWrap w:val="false"/>
          </w:tcPr>
          <w:p>
            <w:pPr>
              <w:jc w:val="center"/>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p>
        </w:tc>
        <w:tc>
          <w:tcPr>
            <w:tcW w:w="2028" w:type="dxa"/>
            <w:vAlign w:val="center"/>
            <w:textDirection w:val="lrTb"/>
            <w:noWrap w:val="false"/>
          </w:tcPr>
          <w:p>
            <w:pPr>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洗涤服务</w:t>
            </w:r>
            <w:r/>
          </w:p>
        </w:tc>
        <w:tc>
          <w:tcPr>
            <w:tcW w:w="1457" w:type="dxa"/>
            <w:vAlign w:val="center"/>
            <w:textDirection w:val="lrTb"/>
            <w:noWrap w:val="false"/>
          </w:tcPr>
          <w:p>
            <w:pPr>
              <w:jc w:val="center"/>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件</w:t>
            </w:r>
            <w:r/>
          </w:p>
        </w:tc>
        <w:tc>
          <w:tcPr>
            <w:tcW w:w="1244" w:type="dxa"/>
            <w:vAlign w:val="center"/>
            <w:textDirection w:val="lrTb"/>
            <w:noWrap w:val="false"/>
          </w:tcPr>
          <w:p>
            <w:pPr>
              <w:jc w:val="center"/>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p>
        </w:tc>
        <w:tc>
          <w:tcPr>
            <w:tcW w:w="134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94"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00"/>
        </w:trPr>
        <w:tc>
          <w:tcPr>
            <w:gridSpan w:val="3"/>
            <w:tcW w:w="424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highlight w:val="none"/>
                <w:lang w:val="en-US" w:eastAsia="zh-CN"/>
              </w:rPr>
              <w:t xml:space="preserve">单价</w:t>
            </w:r>
            <w:r>
              <w:rPr>
                <w:rFonts w:hint="eastAsia" w:ascii="宋体" w:hAnsi="宋体" w:cs="宋体"/>
                <w:color w:val="auto"/>
                <w:highlight w:val="none"/>
              </w:rPr>
              <w:t xml:space="preserve">报价</w:t>
            </w:r>
            <w:r/>
          </w:p>
        </w:tc>
        <w:tc>
          <w:tcPr>
            <w:gridSpan w:val="3"/>
            <w:tcW w:w="4278"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highlight w:val="none"/>
              </w:rPr>
              <w:t xml:space="preserve">人民币（大写）：</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圆整</w:t>
            </w:r>
            <w:r/>
          </w:p>
          <w:p>
            <w:pPr>
              <w:spacing w:line="360" w:lineRule="auto"/>
              <w:rPr>
                <w:rFonts w:hint="eastAsia" w:ascii="宋体" w:hAnsi="宋体" w:cs="宋体"/>
                <w:color w:val="auto"/>
                <w:szCs w:val="21"/>
                <w:highlight w:val="none"/>
                <w:u w:val="single"/>
              </w:rPr>
            </w:pPr>
            <w:r>
              <w:rPr>
                <w:rFonts w:hint="eastAsia" w:ascii="宋体" w:hAnsi="宋体" w:cs="宋体"/>
                <w:color w:val="auto"/>
                <w:highlight w:val="none"/>
              </w:rPr>
              <w:t xml:space="preserve">￥：</w:t>
            </w:r>
            <w:r>
              <w:rPr>
                <w:rFonts w:hint="eastAsia" w:ascii="宋体" w:hAnsi="宋体" w:cs="宋体"/>
                <w:color w:val="auto"/>
                <w:highlight w:val="none"/>
                <w:u w:val="single"/>
              </w:rPr>
              <w:t xml:space="preserve">           </w:t>
            </w:r>
            <w:r/>
          </w:p>
        </w:tc>
      </w:tr>
    </w:tbl>
    <w:p>
      <w:pPr>
        <w:rPr>
          <w:rFonts w:hint="eastAsia" w:ascii="宋体" w:hAnsi="宋体"/>
          <w:color w:val="auto"/>
          <w:szCs w:val="21"/>
          <w:highlight w:val="none"/>
        </w:rPr>
      </w:pPr>
      <w:r>
        <w:rPr>
          <w:rFonts w:hint="eastAsia" w:ascii="宋体" w:hAnsi="宋体"/>
          <w:color w:val="auto"/>
          <w:szCs w:val="21"/>
          <w:highlight w:val="none"/>
        </w:rPr>
      </w:r>
      <w:r/>
    </w:p>
    <w:p>
      <w:pPr>
        <w:ind w:firstLine="480"/>
        <w:rPr>
          <w:rFonts w:hint="eastAsia" w:ascii="宋体" w:hAnsi="宋体"/>
          <w:color w:val="auto"/>
          <w:szCs w:val="21"/>
          <w:highlight w:val="none"/>
        </w:rPr>
      </w:pPr>
      <w:r>
        <w:rPr>
          <w:rFonts w:hint="eastAsia" w:ascii="宋体" w:hAnsi="宋体"/>
          <w:color w:val="auto"/>
          <w:szCs w:val="21"/>
          <w:highlight w:val="none"/>
        </w:rPr>
        <w:t xml:space="preserve">                                              日期：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pStyle w:val="822"/>
        <w:numPr>
          <w:ilvl w:val="0"/>
          <w:numId w:val="0"/>
        </w:numPr>
        <w:ind w:left="2100"/>
        <w:jc w:val="both"/>
        <w:rPr>
          <w:rFonts w:hint="eastAsia" w:ascii="宋体" w:hAnsi="宋体"/>
          <w:bCs w:val="0"/>
          <w:color w:val="auto"/>
          <w:sz w:val="32"/>
          <w:szCs w:val="32"/>
          <w:highlight w:val="none"/>
        </w:rPr>
      </w:pPr>
      <w:r>
        <w:rPr>
          <w:rFonts w:hint="eastAsia" w:ascii="宋体" w:hAnsi="宋体"/>
          <w:bCs w:val="0"/>
          <w:color w:val="auto"/>
          <w:sz w:val="32"/>
          <w:szCs w:val="32"/>
          <w:highlight w:val="none"/>
        </w:rPr>
      </w:r>
      <w:r/>
    </w:p>
    <w:p>
      <w:pPr>
        <w:pStyle w:val="832"/>
        <w:ind w:firstLine="640"/>
        <w:rPr>
          <w:rFonts w:hint="eastAsia" w:ascii="宋体" w:hAnsi="宋体"/>
          <w:color w:val="auto"/>
          <w:sz w:val="32"/>
          <w:szCs w:val="32"/>
          <w:highlight w:val="none"/>
        </w:rPr>
      </w:pPr>
      <w:r>
        <w:rPr>
          <w:rFonts w:hint="eastAsia" w:ascii="宋体" w:hAnsi="宋体"/>
          <w:color w:val="auto"/>
          <w:sz w:val="32"/>
          <w:szCs w:val="32"/>
          <w:highlight w:val="none"/>
        </w:rPr>
      </w:r>
      <w:r/>
    </w:p>
    <w:p>
      <w:pPr>
        <w:jc w:val="left"/>
        <w:widowControl/>
        <w:rPr>
          <w:rFonts w:hint="eastAsia" w:ascii="宋体" w:hAnsi="宋体" w:cs="宋体"/>
          <w:b/>
          <w:bCs/>
          <w:color w:val="auto"/>
          <w:szCs w:val="21"/>
          <w:highlight w:val="none"/>
        </w:rPr>
      </w:pPr>
      <w:r>
        <w:rPr>
          <w:rFonts w:hint="eastAsia" w:ascii="宋体" w:hAnsi="宋体"/>
          <w:color w:val="auto"/>
          <w:sz w:val="32"/>
          <w:szCs w:val="32"/>
          <w:highlight w:val="none"/>
        </w:rPr>
        <w:br w:type="page" w:clear="all"/>
      </w:r>
      <w:r/>
    </w:p>
    <w:p>
      <w:pPr>
        <w:pStyle w:val="822"/>
        <w:numPr>
          <w:ilvl w:val="0"/>
          <w:numId w:val="0"/>
        </w:numPr>
        <w:jc w:val="center"/>
        <w:spacing w:before="260" w:after="260" w:line="416" w:lineRule="auto"/>
        <w:rPr>
          <w:rFonts w:hint="eastAsia" w:ascii="宋体" w:hAnsi="宋体"/>
          <w:bCs w:val="0"/>
          <w:color w:val="auto"/>
          <w:sz w:val="32"/>
          <w:szCs w:val="32"/>
          <w:highlight w:val="none"/>
        </w:rPr>
      </w:pPr>
      <w:r>
        <w:rPr>
          <w:rFonts w:hint="eastAsia" w:ascii="宋体" w:hAnsi="宋体" w:cs="Arial"/>
          <w:b/>
          <w:bCs/>
          <w:color w:val="auto"/>
          <w:highlight w:val="none"/>
          <w:lang w:val="en-US" w:eastAsia="zh-CN"/>
        </w:rPr>
        <w:t xml:space="preserve">五</w:t>
      </w:r>
      <w:r>
        <w:rPr>
          <w:rFonts w:hint="eastAsia" w:ascii="宋体" w:hAnsi="宋体"/>
          <w:bCs w:val="0"/>
          <w:color w:val="auto"/>
          <w:sz w:val="32"/>
          <w:szCs w:val="32"/>
          <w:highlight w:val="none"/>
        </w:rPr>
        <w:t xml:space="preserve">、技术参数响应及偏离表</w:t>
      </w:r>
      <w:r/>
    </w:p>
    <w:tbl>
      <w:tblPr>
        <w:tblStyle w:val="831"/>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4"/>
        <w:gridCol w:w="2650"/>
        <w:gridCol w:w="2650"/>
        <w:gridCol w:w="1215"/>
        <w:gridCol w:w="1090"/>
      </w:tblGrid>
      <w:tr>
        <w:trPr>
          <w:cantSplit/>
        </w:trPr>
        <w:tc>
          <w:tcPr>
            <w:tcW w:w="914"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序号</w:t>
            </w:r>
            <w:r/>
          </w:p>
        </w:tc>
        <w:tc>
          <w:tcPr>
            <w:tcW w:w="265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招标要求</w:t>
            </w:r>
            <w:r/>
          </w:p>
        </w:tc>
        <w:tc>
          <w:tcPr>
            <w:tcW w:w="265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投标响应</w:t>
            </w:r>
            <w:r/>
          </w:p>
        </w:tc>
        <w:tc>
          <w:tcPr>
            <w:tcW w:w="121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超出、符合或偏离</w:t>
            </w:r>
            <w:r/>
          </w:p>
        </w:tc>
        <w:tc>
          <w:tcPr>
            <w:tcW w:w="109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证明材料</w:t>
            </w:r>
            <w:r/>
          </w:p>
        </w:tc>
      </w:tr>
      <w:tr>
        <w:trPr>
          <w:cantSplit/>
          <w:trHeight w:val="640"/>
        </w:trPr>
        <w:tc>
          <w:tcPr>
            <w:tcW w:w="914"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15"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09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914"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15"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09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914"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15"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09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914"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15"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09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914"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15"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09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914"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15"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09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914"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15"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09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914"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15"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09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bl>
    <w:p>
      <w:pPr>
        <w:rPr>
          <w:rFonts w:hint="eastAsia" w:ascii="宋体" w:hAnsi="宋体"/>
          <w:color w:val="auto"/>
          <w:sz w:val="24"/>
          <w:szCs w:val="24"/>
          <w:highlight w:val="none"/>
        </w:rPr>
      </w:pPr>
      <w:r>
        <w:rPr>
          <w:rFonts w:hint="eastAsia" w:ascii="宋体" w:hAnsi="宋体"/>
          <w:color w:val="auto"/>
          <w:sz w:val="24"/>
          <w:szCs w:val="24"/>
          <w:highlight w:val="none"/>
        </w:rPr>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注：1、按照基本技术要求详细填列。</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2、行数不够，可自行添加。</w:t>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rPr>
          <w:rFonts w:ascii="黑体" w:hAnsi="Arial" w:eastAsia="黑体"/>
          <w:color w:val="auto"/>
          <w:sz w:val="32"/>
          <w:highlight w:val="none"/>
        </w:rPr>
      </w:pPr>
      <w:r>
        <w:rPr>
          <w:rFonts w:ascii="黑体" w:hAnsi="Arial" w:eastAsia="黑体"/>
          <w:color w:val="auto"/>
          <w:sz w:val="32"/>
          <w:highlight w:val="none"/>
        </w:rPr>
      </w:r>
      <w:r/>
    </w:p>
    <w:p>
      <w:pPr>
        <w:rPr>
          <w:rFonts w:ascii="黑体" w:hAnsi="Arial" w:eastAsia="黑体"/>
          <w:color w:val="auto"/>
          <w:sz w:val="32"/>
          <w:highlight w:val="none"/>
        </w:rPr>
      </w:pPr>
      <w:r>
        <w:rPr>
          <w:rFonts w:ascii="黑体" w:hAnsi="Arial" w:eastAsia="黑体"/>
          <w:color w:val="auto"/>
          <w:sz w:val="32"/>
          <w:highlight w:val="none"/>
        </w:rPr>
      </w:r>
      <w:r/>
    </w:p>
    <w:p>
      <w:pPr>
        <w:jc w:val="center"/>
        <w:rPr>
          <w:rFonts w:hint="eastAsia" w:ascii="宋体" w:hAnsi="宋体"/>
          <w:color w:val="auto"/>
          <w:sz w:val="32"/>
          <w:szCs w:val="32"/>
          <w:highlight w:val="none"/>
        </w:rPr>
      </w:pPr>
      <w:r>
        <w:rPr>
          <w:rFonts w:hint="eastAsia" w:ascii="黑体" w:hAnsi="Arial" w:eastAsia="黑体"/>
          <w:color w:val="auto"/>
          <w:sz w:val="32"/>
          <w:highlight w:val="none"/>
        </w:rPr>
        <w:br w:type="page" w:clear="all"/>
      </w:r>
      <w:bookmarkStart w:id="34" w:name="_Hlt26955054"/>
      <w:r/>
      <w:bookmarkEnd w:id="34"/>
      <w:r/>
      <w:bookmarkStart w:id="35" w:name="_Toc113352363"/>
      <w:r>
        <w:rPr>
          <w:rFonts w:hint="eastAsia" w:ascii="宋体" w:hAnsi="宋体"/>
          <w:b/>
          <w:color w:val="auto"/>
          <w:sz w:val="32"/>
          <w:szCs w:val="32"/>
          <w:highlight w:val="none"/>
          <w:lang w:val="en-US" w:eastAsia="zh-CN"/>
        </w:rPr>
        <w:t xml:space="preserve">六</w:t>
      </w:r>
      <w:r>
        <w:rPr>
          <w:rFonts w:hint="eastAsia" w:ascii="宋体" w:hAnsi="宋体"/>
          <w:b/>
          <w:color w:val="auto"/>
          <w:sz w:val="32"/>
          <w:szCs w:val="32"/>
          <w:highlight w:val="none"/>
        </w:rPr>
        <w:t xml:space="preserve">、商务条款响应及偏离表</w:t>
      </w:r>
      <w:bookmarkEnd w:id="35"/>
      <w:r/>
      <w:r/>
    </w:p>
    <w:tbl>
      <w:tblPr>
        <w:tblStyle w:val="831"/>
        <w:tblW w:w="8519"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557"/>
        <w:gridCol w:w="2379"/>
        <w:gridCol w:w="1747"/>
        <w:gridCol w:w="2836"/>
      </w:tblGrid>
      <w:tr>
        <w:trPr>
          <w:trHeight w:val="567"/>
        </w:trPr>
        <w:tc>
          <w:tcPr>
            <w:tcBorders>
              <w:top w:val="single" w:color="auto" w:sz="4" w:space="0"/>
              <w:left w:val="single" w:color="auto" w:sz="4" w:space="0"/>
              <w:bottom w:val="single" w:color="auto" w:sz="4" w:space="0"/>
              <w:right w:val="single" w:color="auto" w:sz="4" w:space="0"/>
            </w:tcBorders>
            <w:tcW w:w="1557" w:type="dxa"/>
            <w:textDirection w:val="lrTb"/>
            <w:noWrap w:val="false"/>
          </w:tcPr>
          <w:p>
            <w:pPr>
              <w:jc w:val="center"/>
              <w:spacing w:before="156"/>
              <w:rPr>
                <w:rFonts w:hint="eastAsia" w:ascii="仿宋_GB2312" w:hAnsi="宋体" w:eastAsia="仿宋_GB2312"/>
                <w:color w:val="auto"/>
                <w:szCs w:val="21"/>
                <w:highlight w:val="none"/>
              </w:rPr>
            </w:pPr>
            <w:r>
              <w:rPr>
                <w:rFonts w:hint="eastAsia" w:ascii="仿宋_GB2312" w:hAnsi="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379" w:type="dxa"/>
            <w:textDirection w:val="lrTb"/>
            <w:noWrap w:val="false"/>
          </w:tcPr>
          <w:p>
            <w:pPr>
              <w:jc w:val="center"/>
              <w:spacing w:before="156"/>
              <w:rPr>
                <w:rFonts w:hint="eastAsia" w:ascii="仿宋_GB2312" w:hAnsi="宋体" w:eastAsia="仿宋_GB2312"/>
                <w:color w:val="auto"/>
                <w:szCs w:val="21"/>
                <w:highlight w:val="none"/>
              </w:rPr>
            </w:pPr>
            <w:r>
              <w:rPr>
                <w:rFonts w:hint="eastAsia" w:ascii="仿宋_GB2312" w:hAnsi="宋体"/>
                <w:color w:val="auto"/>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747" w:type="dxa"/>
            <w:textDirection w:val="lrTb"/>
            <w:noWrap w:val="false"/>
          </w:tcPr>
          <w:p>
            <w:pPr>
              <w:jc w:val="center"/>
              <w:spacing w:before="156"/>
              <w:rPr>
                <w:rFonts w:hint="eastAsia"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836" w:type="dxa"/>
            <w:textDirection w:val="lrTb"/>
            <w:noWrap w:val="false"/>
          </w:tcPr>
          <w:p>
            <w:pPr>
              <w:jc w:val="center"/>
              <w:spacing w:before="156"/>
              <w:rPr>
                <w:rFonts w:hint="eastAsia" w:ascii="仿宋_GB2312" w:hAnsi="宋体" w:eastAsia="仿宋_GB2312"/>
                <w:color w:val="auto"/>
                <w:szCs w:val="21"/>
                <w:highlight w:val="none"/>
              </w:rPr>
            </w:pPr>
            <w:r>
              <w:rPr>
                <w:rFonts w:hint="eastAsia" w:ascii="仿宋_GB2312" w:hAnsi="宋体"/>
                <w:color w:val="auto"/>
                <w:szCs w:val="21"/>
                <w:highlight w:val="none"/>
              </w:rPr>
              <w:t xml:space="preserve">投标人的承诺或说明</w:t>
            </w:r>
            <w:r/>
          </w:p>
        </w:tc>
      </w:tr>
      <w:tr>
        <w:trPr>
          <w:trHeight w:val="567"/>
        </w:trPr>
        <w:tc>
          <w:tcPr>
            <w:tcBorders>
              <w:top w:val="single" w:color="auto" w:sz="4" w:space="0"/>
              <w:left w:val="single" w:color="auto" w:sz="4" w:space="0"/>
              <w:bottom w:val="single" w:color="auto" w:sz="4" w:space="0"/>
              <w:right w:val="single" w:color="auto" w:sz="4" w:space="0"/>
            </w:tcBorders>
            <w:tcW w:w="1557" w:type="dxa"/>
            <w:textDirection w:val="lrTb"/>
            <w:noWrap w:val="false"/>
          </w:tcPr>
          <w:p>
            <w:pPr>
              <w:jc w:val="center"/>
              <w:spacing w:before="156"/>
              <w:rPr>
                <w:rFonts w:hint="eastAsia" w:ascii="仿宋_GB2312" w:hAnsi="宋体" w:eastAsia="仿宋_GB2312"/>
                <w:color w:val="auto"/>
                <w:szCs w:val="21"/>
                <w:highlight w:val="none"/>
              </w:rPr>
            </w:pPr>
            <w:r>
              <w:rPr>
                <w:rFonts w:hint="eastAsia" w:ascii="仿宋_GB2312"/>
                <w:color w:val="auto"/>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2379" w:type="dxa"/>
            <w:textDirection w:val="lrTb"/>
            <w:noWrap w:val="false"/>
          </w:tcPr>
          <w:p>
            <w:pPr>
              <w:jc w:val="center"/>
              <w:spacing w:before="156"/>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textDirection w:val="lrTb"/>
            <w:noWrap w:val="false"/>
          </w:tcPr>
          <w:p>
            <w:pPr>
              <w:ind w:left="43"/>
              <w:jc w:val="center"/>
              <w:spacing w:before="156"/>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textDirection w:val="lrTb"/>
            <w:noWrap w:val="false"/>
          </w:tcPr>
          <w:p>
            <w:pPr>
              <w:ind w:left="43"/>
              <w:jc w:val="center"/>
              <w:spacing w:before="156"/>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textDirection w:val="lrTb"/>
            <w:noWrap w:val="false"/>
          </w:tcPr>
          <w:p>
            <w:pPr>
              <w:jc w:val="center"/>
              <w:spacing w:before="156"/>
              <w:rPr>
                <w:rFonts w:ascii="仿宋_GB2312"/>
                <w:color w:val="auto"/>
                <w:szCs w:val="21"/>
                <w:highlight w:val="none"/>
              </w:rPr>
            </w:pPr>
            <w:r>
              <w:rPr>
                <w:rFonts w:hint="eastAsia" w:ascii="仿宋_GB2312"/>
                <w:color w:val="auto"/>
                <w:szCs w:val="21"/>
                <w:highlight w:val="none"/>
              </w:rPr>
              <w:t xml:space="preserve">交货方式</w:t>
            </w:r>
            <w:r/>
          </w:p>
        </w:tc>
        <w:tc>
          <w:tcPr>
            <w:tcBorders>
              <w:top w:val="single" w:color="auto" w:sz="4" w:space="0"/>
              <w:left w:val="single" w:color="auto" w:sz="4" w:space="0"/>
              <w:bottom w:val="single" w:color="auto" w:sz="4" w:space="0"/>
              <w:right w:val="single" w:color="auto" w:sz="4" w:space="0"/>
            </w:tcBorders>
            <w:tcW w:w="2379" w:type="dxa"/>
            <w:textDirection w:val="lrTb"/>
            <w:noWrap w:val="false"/>
          </w:tcPr>
          <w:p>
            <w:pPr>
              <w:spacing w:before="156"/>
              <w:rPr>
                <w:rFonts w:hint="eastAsia" w:ascii="仿宋_GB2312" w:hAnsi="宋体"/>
                <w:color w:val="auto"/>
                <w:szCs w:val="21"/>
                <w:highlight w:val="none"/>
              </w:rPr>
            </w:pPr>
            <w:r>
              <w:rPr>
                <w:rFonts w:hint="eastAsia"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textDirection w:val="lrTb"/>
            <w:noWrap w:val="false"/>
          </w:tcPr>
          <w:p>
            <w:pPr>
              <w:ind w:left="43"/>
              <w:jc w:val="center"/>
              <w:spacing w:before="156"/>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textDirection w:val="lrTb"/>
            <w:noWrap w:val="false"/>
          </w:tcPr>
          <w:p>
            <w:pPr>
              <w:ind w:left="43"/>
              <w:jc w:val="center"/>
              <w:spacing w:before="156"/>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textDirection w:val="lrTb"/>
            <w:noWrap w:val="false"/>
          </w:tcPr>
          <w:p>
            <w:pPr>
              <w:jc w:val="center"/>
              <w:spacing w:before="156"/>
              <w:rPr>
                <w:rFonts w:ascii="仿宋_GB2312"/>
                <w:color w:val="auto"/>
                <w:szCs w:val="21"/>
                <w:highlight w:val="none"/>
              </w:rPr>
            </w:pPr>
            <w:r>
              <w:rPr>
                <w:rFonts w:hint="eastAsia" w:ascii="仿宋_GB2312"/>
                <w:color w:val="auto"/>
                <w:szCs w:val="21"/>
                <w:highlight w:val="none"/>
              </w:rPr>
              <w:t xml:space="preserve">交货地点</w:t>
            </w:r>
            <w:r/>
          </w:p>
        </w:tc>
        <w:tc>
          <w:tcPr>
            <w:tcBorders>
              <w:top w:val="single" w:color="auto" w:sz="4" w:space="0"/>
              <w:left w:val="single" w:color="auto" w:sz="4" w:space="0"/>
              <w:bottom w:val="single" w:color="auto" w:sz="4" w:space="0"/>
              <w:right w:val="single" w:color="auto" w:sz="4" w:space="0"/>
            </w:tcBorders>
            <w:tcW w:w="2379" w:type="dxa"/>
            <w:textDirection w:val="lrTb"/>
            <w:noWrap w:val="false"/>
          </w:tcPr>
          <w:p>
            <w:pPr>
              <w:spacing w:before="156"/>
              <w:rPr>
                <w:rFonts w:hint="eastAsia" w:ascii="仿宋_GB2312" w:hAnsi="宋体"/>
                <w:color w:val="auto"/>
                <w:szCs w:val="21"/>
                <w:highlight w:val="none"/>
              </w:rPr>
            </w:pPr>
            <w:r>
              <w:rPr>
                <w:rFonts w:hint="eastAsia"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textDirection w:val="lrTb"/>
            <w:noWrap w:val="false"/>
          </w:tcPr>
          <w:p>
            <w:pPr>
              <w:ind w:left="43"/>
              <w:jc w:val="center"/>
              <w:spacing w:before="156"/>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textDirection w:val="lrTb"/>
            <w:noWrap w:val="false"/>
          </w:tcPr>
          <w:p>
            <w:pPr>
              <w:ind w:left="43"/>
              <w:jc w:val="center"/>
              <w:spacing w:before="156"/>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textDirection w:val="lrTb"/>
            <w:noWrap w:val="false"/>
          </w:tcPr>
          <w:p>
            <w:pPr>
              <w:jc w:val="center"/>
              <w:spacing w:before="156"/>
              <w:rPr>
                <w:rFonts w:hint="eastAsia" w:ascii="仿宋_GB2312" w:hAnsi="宋体" w:eastAsia="仿宋_GB2312"/>
                <w:color w:val="auto"/>
                <w:szCs w:val="21"/>
                <w:highlight w:val="none"/>
              </w:rPr>
            </w:pPr>
            <w:r>
              <w:rPr>
                <w:rFonts w:hint="eastAsia" w:ascii="仿宋_GB2312" w:hAnsi="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379" w:type="dxa"/>
            <w:textDirection w:val="lrTb"/>
            <w:noWrap w:val="false"/>
          </w:tcPr>
          <w:p>
            <w:pPr>
              <w:spacing w:before="156"/>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textDirection w:val="lrTb"/>
            <w:noWrap w:val="false"/>
          </w:tcPr>
          <w:p>
            <w:pPr>
              <w:jc w:val="center"/>
              <w:spacing w:before="156"/>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textDirection w:val="lrTb"/>
            <w:noWrap w:val="false"/>
          </w:tcPr>
          <w:p>
            <w:pPr>
              <w:jc w:val="center"/>
              <w:spacing w:before="156"/>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textDirection w:val="lrTb"/>
            <w:noWrap w:val="false"/>
          </w:tcPr>
          <w:p>
            <w:pPr>
              <w:jc w:val="center"/>
              <w:spacing w:before="156"/>
              <w:rPr>
                <w:rFonts w:hint="eastAsia" w:ascii="仿宋_GB2312" w:hAnsi="宋体" w:eastAsia="仿宋_GB2312"/>
                <w:color w:val="auto"/>
                <w:szCs w:val="21"/>
                <w:highlight w:val="none"/>
              </w:rPr>
            </w:pPr>
            <w:r>
              <w:rPr>
                <w:rFonts w:hint="eastAsia" w:ascii="仿宋_GB2312" w:hAnsi="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379" w:type="dxa"/>
            <w:textDirection w:val="lrTb"/>
            <w:noWrap w:val="false"/>
          </w:tcPr>
          <w:p>
            <w:pPr>
              <w:jc w:val="center"/>
              <w:spacing w:before="156"/>
              <w:rPr>
                <w:rFonts w:hint="eastAsia" w:ascii="仿宋_GB2312" w:hAnsi="宋体" w:eastAsia="仿宋_GB2312"/>
                <w:color w:val="auto"/>
                <w:szCs w:val="21"/>
                <w:highlight w:val="none"/>
              </w:rPr>
            </w:pPr>
            <w:r>
              <w:rPr>
                <w:rFonts w:ascii="仿宋_GB2312" w:hAnsi="宋体" w:eastAsia="仿宋_GB2312"/>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747" w:type="dxa"/>
            <w:textDirection w:val="lrTb"/>
            <w:noWrap w:val="false"/>
          </w:tcPr>
          <w:p>
            <w:pPr>
              <w:jc w:val="center"/>
              <w:spacing w:before="156"/>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textDirection w:val="lrTb"/>
            <w:noWrap w:val="false"/>
          </w:tcPr>
          <w:p>
            <w:pPr>
              <w:jc w:val="center"/>
              <w:spacing w:before="156"/>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r>
    </w:tbl>
    <w:p>
      <w:pPr>
        <w:spacing w:line="480" w:lineRule="auto"/>
        <w:rPr>
          <w:rFonts w:ascii="仿宋_GB2312" w:hAnsi="Arial"/>
          <w:color w:val="auto"/>
          <w:sz w:val="30"/>
          <w:highlight w:val="none"/>
        </w:rPr>
      </w:pPr>
      <w:r>
        <w:rPr>
          <w:rFonts w:ascii="仿宋_GB2312" w:hAnsi="Arial"/>
          <w:color w:val="auto"/>
          <w:sz w:val="30"/>
          <w:highlight w:val="none"/>
        </w:rPr>
      </w:r>
      <w:r/>
    </w:p>
    <w:p>
      <w:pPr>
        <w:pStyle w:val="832"/>
        <w:ind w:firstLine="480"/>
        <w:rPr>
          <w:rFonts w:hint="eastAsia" w:ascii="宋体" w:hAnsi="宋体"/>
          <w:color w:val="auto"/>
          <w:sz w:val="24"/>
          <w:highlight w:val="none"/>
        </w:rPr>
      </w:pPr>
      <w:r/>
      <w:bookmarkStart w:id="36" w:name="_Hlt26671374"/>
      <w:r/>
      <w:bookmarkEnd w:id="36"/>
      <w:r/>
      <w:bookmarkStart w:id="37" w:name="_Hlt26609389"/>
      <w:r/>
      <w:bookmarkEnd w:id="37"/>
      <w:r/>
      <w:bookmarkStart w:id="38" w:name="_Hlt26955066"/>
      <w:r/>
      <w:bookmarkEnd w:id="38"/>
      <w:r/>
      <w:bookmarkStart w:id="39" w:name="_Toc462564146"/>
      <w:r/>
      <w:r/>
    </w:p>
    <w:p>
      <w:pPr>
        <w:pStyle w:val="832"/>
        <w:ind w:firstLine="480"/>
        <w:rPr>
          <w:rFonts w:hint="eastAsia" w:ascii="宋体" w:hAnsi="宋体"/>
          <w:color w:val="auto"/>
          <w:sz w:val="24"/>
          <w:highlight w:val="none"/>
        </w:rPr>
      </w:pPr>
      <w:r>
        <w:rPr>
          <w:rFonts w:hint="eastAsia" w:ascii="宋体" w:hAnsi="宋体"/>
          <w:color w:val="auto"/>
          <w:sz w:val="24"/>
          <w:highlight w:val="none"/>
        </w:rPr>
      </w:r>
      <w:r/>
    </w:p>
    <w:p>
      <w:pPr>
        <w:pStyle w:val="832"/>
        <w:ind w:firstLine="480"/>
        <w:rPr>
          <w:rFonts w:hint="eastAsia" w:ascii="宋体" w:hAnsi="宋体"/>
          <w:color w:val="auto"/>
          <w:sz w:val="24"/>
          <w:highlight w:val="none"/>
        </w:rPr>
      </w:pPr>
      <w:r>
        <w:rPr>
          <w:rFonts w:hint="eastAsia" w:ascii="宋体" w:hAnsi="宋体"/>
          <w:color w:val="auto"/>
          <w:sz w:val="24"/>
          <w:highlight w:val="none"/>
        </w:rPr>
      </w:r>
      <w:r/>
    </w:p>
    <w:p>
      <w:pPr>
        <w:pStyle w:val="832"/>
        <w:ind w:firstLine="480"/>
        <w:rPr>
          <w:rFonts w:hint="eastAsia" w:ascii="宋体" w:hAnsi="宋体"/>
          <w:color w:val="auto"/>
          <w:sz w:val="24"/>
          <w:highlight w:val="none"/>
        </w:rPr>
      </w:pPr>
      <w:r>
        <w:rPr>
          <w:rFonts w:hint="eastAsia" w:ascii="宋体" w:hAnsi="宋体"/>
          <w:color w:val="auto"/>
          <w:sz w:val="24"/>
          <w:highlight w:val="none"/>
        </w:rPr>
      </w:r>
      <w:r/>
    </w:p>
    <w:p>
      <w:pPr>
        <w:pStyle w:val="832"/>
        <w:ind w:firstLine="480"/>
        <w:rPr>
          <w:rFonts w:hint="eastAsia" w:ascii="宋体" w:hAnsi="宋体"/>
          <w:color w:val="auto"/>
          <w:sz w:val="24"/>
          <w:highlight w:val="none"/>
        </w:rPr>
      </w:pPr>
      <w:r>
        <w:rPr>
          <w:rFonts w:hint="eastAsia" w:ascii="宋体" w:hAnsi="宋体"/>
          <w:color w:val="auto"/>
          <w:sz w:val="24"/>
          <w:highlight w:val="none"/>
        </w:rPr>
        <w:t xml:space="preserve">.</w:t>
      </w:r>
      <w:r/>
    </w:p>
    <w:p>
      <w:pPr>
        <w:pStyle w:val="832"/>
        <w:ind w:firstLine="480"/>
        <w:rPr>
          <w:rFonts w:hint="eastAsia" w:ascii="宋体" w:hAnsi="宋体"/>
          <w:color w:val="auto"/>
          <w:sz w:val="24"/>
          <w:highlight w:val="none"/>
        </w:rPr>
      </w:pPr>
      <w:r>
        <w:rPr>
          <w:rFonts w:hint="eastAsia" w:ascii="宋体" w:hAnsi="宋体"/>
          <w:color w:val="auto"/>
          <w:sz w:val="24"/>
          <w:highlight w:val="none"/>
        </w:rPr>
      </w:r>
      <w:r/>
    </w:p>
    <w:p>
      <w:pPr>
        <w:pStyle w:val="832"/>
        <w:ind w:firstLine="643"/>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832"/>
        <w:ind w:firstLine="480"/>
        <w:rPr>
          <w:rFonts w:hint="eastAsia" w:ascii="宋体" w:hAnsi="宋体"/>
          <w:color w:val="auto"/>
          <w:sz w:val="24"/>
          <w:highlight w:val="none"/>
        </w:rPr>
      </w:pPr>
      <w:r>
        <w:rPr>
          <w:rFonts w:hint="eastAsia" w:ascii="宋体" w:hAnsi="宋体"/>
          <w:b/>
          <w:color w:val="auto"/>
          <w:sz w:val="32"/>
          <w:szCs w:val="32"/>
          <w:highlight w:val="none"/>
        </w:rPr>
        <w:br w:type="page" w:clear="all"/>
      </w:r>
      <w:bookmarkEnd w:id="39"/>
      <w:r/>
      <w:r/>
    </w:p>
    <w:p>
      <w:pPr>
        <w:pStyle w:val="832"/>
        <w:ind w:firstLine="480"/>
        <w:rPr>
          <w:rFonts w:hint="eastAsia" w:ascii="宋体" w:hAnsi="宋体"/>
          <w:color w:val="auto"/>
          <w:sz w:val="24"/>
          <w:highlight w:val="none"/>
        </w:rPr>
      </w:pPr>
      <w:r>
        <w:rPr>
          <w:rFonts w:hint="eastAsia" w:ascii="宋体" w:hAnsi="宋体"/>
          <w:color w:val="auto"/>
          <w:sz w:val="24"/>
          <w:highlight w:val="none"/>
        </w:rPr>
      </w:r>
      <w:r/>
    </w:p>
    <w:p>
      <w:pPr>
        <w:jc w:val="center"/>
        <w:widowControl/>
        <w:rPr>
          <w:rFonts w:hint="eastAsia" w:ascii="宋体" w:hAnsi="宋体"/>
          <w:b/>
          <w:color w:val="auto"/>
          <w:highlight w:val="none"/>
        </w:rPr>
      </w:pPr>
      <w:r/>
      <w:bookmarkStart w:id="40" w:name="_格式2__法定代表人授权书"/>
      <w:r/>
      <w:bookmarkEnd w:id="40"/>
      <w:r>
        <w:rPr>
          <w:rFonts w:hint="eastAsia" w:ascii="宋体" w:hAnsi="宋体"/>
          <w:b/>
          <w:color w:val="auto"/>
          <w:highlight w:val="none"/>
        </w:rPr>
        <w:t xml:space="preserve">主要标的信息（中标后将公示）</w:t>
      </w:r>
      <w:r/>
    </w:p>
    <w:p>
      <w:pPr>
        <w:spacing w:after="312" w:line="360" w:lineRule="auto"/>
        <w:rPr>
          <w:rFonts w:hint="eastAsia" w:ascii="宋体" w:hAnsi="宋体"/>
          <w:b/>
          <w:color w:val="auto"/>
          <w:highlight w:val="none"/>
        </w:rPr>
      </w:pPr>
      <w:r>
        <w:rPr>
          <w:rFonts w:hint="eastAsia" w:ascii="宋体" w:hAnsi="宋体"/>
          <w:color w:val="auto"/>
          <w:highlight w:val="none"/>
        </w:rPr>
        <w:t xml:space="preserve">投标人全称：</w:t>
      </w:r>
      <w:r/>
    </w:p>
    <w:tbl>
      <w:tblPr>
        <w:tblStyle w:val="831"/>
        <w:tblW w:w="8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327"/>
        <w:gridCol w:w="4193"/>
      </w:tblGrid>
      <w:tr>
        <w:trPr>
          <w:trHeight w:val="567"/>
        </w:trPr>
        <w:tc>
          <w:tcPr>
            <w:tcW w:w="4327" w:type="dxa"/>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货物类</w:t>
            </w:r>
            <w:r/>
          </w:p>
        </w:tc>
        <w:tc>
          <w:tcPr>
            <w:tcW w:w="4193" w:type="dxa"/>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服务类</w:t>
            </w:r>
            <w:r/>
          </w:p>
        </w:tc>
      </w:tr>
      <w:tr>
        <w:trPr>
          <w:trHeight w:val="567"/>
        </w:trPr>
        <w:tc>
          <w:tcPr>
            <w:tcW w:w="4327" w:type="dxa"/>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单价：</w:t>
            </w:r>
            <w:r/>
          </w:p>
        </w:tc>
        <w:tc>
          <w:tcPr>
            <w:tcW w:w="4193" w:type="dxa"/>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hint="eastAsia"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hint="eastAsia"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服务标准：</w:t>
            </w:r>
            <w:r/>
          </w:p>
        </w:tc>
      </w:tr>
    </w:tbl>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w:panose1 w:val="05000000000000000000"/>
  </w:font>
  <w:font w:name="Arial Unicode MS">
    <w:panose1 w:val="020B0604020202020204"/>
  </w:font>
  <w:font w:name="Symbol">
    <w:panose1 w:val="05050102010706020507"/>
  </w:font>
  <w:font w:name="等线">
    <w:panose1 w:val="02010600030101010101"/>
  </w:font>
  <w:font w:name="仿宋">
    <w:panose1 w:val="02010609060101010101"/>
  </w:font>
  <w:font w:name="等线 Light">
    <w:panose1 w:val="02010600030101010101"/>
  </w:font>
  <w:font w:name="Tahoma">
    <w:panose1 w:val="020B0604030504040204"/>
  </w:font>
  <w:font w:name="Courier New">
    <w:panose1 w:val="02070309020205020404"/>
  </w:font>
  <w:font w:name="楷体_GB2312">
    <w:panose1 w:val="02010609060101010101"/>
  </w:font>
  <w:font w:name="Consolas">
    <w:panose1 w:val="020B0609020204030204"/>
  </w:font>
  <w:font w:name="Cambria">
    <w:panose1 w:val="02040503050406030204"/>
  </w:font>
  <w:font w:name="Calibri">
    <w:panose1 w:val="020F0502020204030204"/>
  </w:font>
  <w:font w:name="微软雅黑">
    <w:panose1 w:val="020B0503020204020204"/>
  </w:font>
  <w:font w:name="宋体_GB2312">
    <w:panose1 w:val="02010600030101010101"/>
  </w:font>
  <w:font w:name="Verdana">
    <w:panose1 w:val="020B0604030504040204"/>
  </w:font>
  <w:font w:name="仿宋_GB2312">
    <w:panose1 w:val="02010609060101010101"/>
  </w:font>
  <w:font w:name="幼圆">
    <w:panose1 w:val="02010509060101010101"/>
  </w:font>
  <w:font w:name="黑体">
    <w:panose1 w:val="02010609060101010101"/>
  </w:font>
  <w:font w:name="Arial">
    <w:panose1 w:val="020B0604020202020204"/>
  </w:font>
  <w:font w:name="宋体">
    <w:panose1 w:val="02010600030101010101"/>
  </w:font>
  <w:font w:name="Wingdings 2">
    <w:panose1 w:val="05020102010507070707"/>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jc w:val="center"/>
      <w:rPr>
        <w:rFonts w:ascii="宋体_GB2312" w:eastAsia="宋体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04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8"/>
                            <w:jc w:val="cente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- 2 -</w:t>
                          </w:r>
                          <w:r>
                            <w:rPr>
                              <w:rFonts w:ascii="宋体_GB2312" w:eastAsia="宋体_GB2312"/>
                            </w:rP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8"/>
                      <w:jc w:val="cente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- 2 -</w:t>
                    </w:r>
                    <w:r>
                      <w:rPr>
                        <w:rFonts w:ascii="宋体_GB2312" w:eastAsia="宋体_GB2312"/>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8"/>
                            <w:jc w:val="center"/>
                          </w:pPr>
                          <w:r>
                            <w:fldChar w:fldCharType="begin"/>
                          </w:r>
                          <w:r>
                            <w:instrText xml:space="preserve">PAGE   \* MERGEFORMAT</w:instrText>
                          </w:r>
                          <w:r>
                            <w:fldChar w:fldCharType="separate"/>
                          </w:r>
                          <w:r>
                            <w:rPr>
                              <w:lang w:val="zh-CN"/>
                            </w:rPr>
                            <w:t xml:space="preserve">-</w:t>
                          </w:r>
                          <w:r>
                            <w:t xml:space="preserve"> 39 -</w:t>
                          </w:r>
                          <w:r>
                            <w:rPr>
                              <w:lang w:val="zh-CN"/>
                            </w:rP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8"/>
                      <w:jc w:val="center"/>
                    </w:pPr>
                    <w:r>
                      <w:fldChar w:fldCharType="begin"/>
                    </w:r>
                    <w:r>
                      <w:instrText xml:space="preserve">PAGE   \* MERGEFORMAT</w:instrText>
                    </w:r>
                    <w:r>
                      <w:fldChar w:fldCharType="separate"/>
                    </w:r>
                    <w:r>
                      <w:rPr>
                        <w:lang w:val="zh-CN"/>
                      </w:rPr>
                      <w:t xml:space="preserve">-</w:t>
                    </w:r>
                    <w:r>
                      <w:t xml:space="preserve"> 39 -</w:t>
                    </w:r>
                    <w:r>
                      <w:rPr>
                        <w:lang w:val="zh-CN"/>
                      </w:rPr>
                      <w:fldChar w:fldCharType="end"/>
                    </w:r>
                    <w:r/>
                  </w:p>
                </w:txbxContent>
              </v:textbox>
            </v:shape>
          </w:pict>
        </mc:Fallback>
      </mc:AlternateContent>
    </w:r>
    <w:r/>
  </w:p>
  <w:p>
    <w:pPr>
      <w:pStyle w:val="84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仿宋_GB2312" w:eastAsia="仿宋_GB2312"/>
        <w:b/>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05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center"/>
                            <w:rPr>
                              <w:bCs/>
                              <w:sz w:val="18"/>
                              <w:szCs w:val="18"/>
                            </w:rPr>
                          </w:pPr>
                          <w:r>
                            <w:rPr>
                              <w:rFonts w:ascii="仿宋_GB2312" w:eastAsia="仿宋_GB2312"/>
                              <w:bCs/>
                              <w:sz w:val="18"/>
                              <w:szCs w:val="18"/>
                            </w:rPr>
                            <w:fldChar w:fldCharType="begin"/>
                          </w:r>
                          <w:r>
                            <w:rPr>
                              <w:rFonts w:ascii="仿宋_GB2312" w:eastAsia="仿宋_GB2312"/>
                              <w:bCs/>
                              <w:sz w:val="18"/>
                              <w:szCs w:val="18"/>
                            </w:rPr>
                            <w:instrText xml:space="preserve">PAGE  </w:instrText>
                          </w:r>
                          <w:r>
                            <w:rPr>
                              <w:rFonts w:ascii="仿宋_GB2312" w:eastAsia="仿宋_GB2312"/>
                              <w:bCs/>
                              <w:sz w:val="18"/>
                              <w:szCs w:val="18"/>
                            </w:rPr>
                            <w:fldChar w:fldCharType="separate"/>
                          </w:r>
                          <w:r>
                            <w:rPr>
                              <w:rFonts w:ascii="仿宋_GB2312" w:eastAsia="仿宋_GB2312"/>
                              <w:bCs/>
                              <w:sz w:val="18"/>
                              <w:szCs w:val="18"/>
                            </w:rPr>
                            <w:t xml:space="preserve">- 75 -</w:t>
                          </w:r>
                          <w:r>
                            <w:rPr>
                              <w:rFonts w:ascii="仿宋_GB2312" w:eastAsia="仿宋_GB2312"/>
                              <w:bCs/>
                              <w:sz w:val="18"/>
                              <w:szCs w:val="18"/>
                            </w:rP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center"/>
                      <w:rPr>
                        <w:bCs/>
                        <w:sz w:val="18"/>
                        <w:szCs w:val="18"/>
                      </w:rPr>
                    </w:pPr>
                    <w:r>
                      <w:rPr>
                        <w:rFonts w:ascii="仿宋_GB2312" w:eastAsia="仿宋_GB2312"/>
                        <w:bCs/>
                        <w:sz w:val="18"/>
                        <w:szCs w:val="18"/>
                      </w:rPr>
                      <w:fldChar w:fldCharType="begin"/>
                    </w:r>
                    <w:r>
                      <w:rPr>
                        <w:rFonts w:ascii="仿宋_GB2312" w:eastAsia="仿宋_GB2312"/>
                        <w:bCs/>
                        <w:sz w:val="18"/>
                        <w:szCs w:val="18"/>
                      </w:rPr>
                      <w:instrText xml:space="preserve">PAGE  </w:instrText>
                    </w:r>
                    <w:r>
                      <w:rPr>
                        <w:rFonts w:ascii="仿宋_GB2312" w:eastAsia="仿宋_GB2312"/>
                        <w:bCs/>
                        <w:sz w:val="18"/>
                        <w:szCs w:val="18"/>
                      </w:rPr>
                      <w:fldChar w:fldCharType="separate"/>
                    </w:r>
                    <w:r>
                      <w:rPr>
                        <w:rFonts w:ascii="仿宋_GB2312" w:eastAsia="仿宋_GB2312"/>
                        <w:bCs/>
                        <w:sz w:val="18"/>
                        <w:szCs w:val="18"/>
                      </w:rPr>
                      <w:t xml:space="preserve">- 75 -</w:t>
                    </w:r>
                    <w:r>
                      <w:rPr>
                        <w:rFonts w:ascii="仿宋_GB2312" w:eastAsia="仿宋_GB2312"/>
                        <w:bCs/>
                        <w:sz w:val="18"/>
                        <w:szCs w:val="1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pPr>
    <w:r>
      <w:rPr>
        <w:rFonts w:hint="eastAsia" w:ascii="宋体" w:hAnsi="宋体" w:cs="宋体"/>
        <w:lang w:eastAsia="zh-CN"/>
      </w:rPr>
      <w:t xml:space="preserve">JSZC-321000-JSWC-G2026-0018</w:t>
    </w:r>
    <w:r>
      <w:rPr>
        <w:rFonts w:hint="eastAsia" w:ascii="宋体" w:hAnsi="宋体" w:cs="宋体"/>
      </w:rPr>
      <w:t xml:space="preserve">号</w:t>
    </w:r>
    <w:r>
      <w:rPr>
        <w:rFonts w:hint="eastAsia"/>
      </w:rPr>
      <w:t xml:space="preserve">                                      江苏唯诚建设咨询有限公司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pPr>
    <w:r>
      <w:rPr>
        <w:rFonts w:hint="eastAsia" w:ascii="宋体" w:hAnsi="宋体" w:cs="宋体"/>
        <w:lang w:eastAsia="zh-CN"/>
      </w:rPr>
      <w:t xml:space="preserve">JSZC-321000-JSWC-G2026-0018</w:t>
    </w:r>
    <w:r>
      <w:rPr>
        <w:rFonts w:hint="eastAsia" w:ascii="宋体" w:hAnsi="宋体" w:cs="宋体"/>
      </w:rPr>
      <w:t xml:space="preserve">号</w:t>
    </w:r>
    <w:r>
      <w:rPr>
        <w:rFonts w:hint="eastAsia"/>
      </w:rPr>
      <w:t xml:space="preserve">                                      江苏唯诚建设咨询有限公司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pBdr>
        <w:bottom w:val="single" w:color="auto" w:sz="4" w:space="1"/>
      </w:pBdr>
    </w:pPr>
    <w:r>
      <w:rPr>
        <w:rFonts w:hint="eastAsia"/>
        <w:lang w:eastAsia="zh-CN"/>
      </w:rPr>
      <w:t xml:space="preserve">JSZC-321000-JSWC-G2026-0018</w:t>
    </w:r>
    <w:r>
      <w:rPr>
        <w:rFonts w:hint="eastAsia"/>
      </w:rPr>
      <w:t xml:space="preserve">号                                      江苏唯诚建设咨询有限公司</w:t>
    </w:r>
    <w:r/>
  </w:p>
  <w:p>
    <w:pPr>
      <w:pStyle w:val="850"/>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300" w:hanging="420"/>
      </w:pPr>
      <w:rPr>
        <w:rFonts w:hint="eastAsia" w:ascii="黑体" w:eastAsia="黑体"/>
        <w:b w:val="0"/>
        <w:sz w:val="36"/>
        <w:lang w:val="en-US"/>
      </w:rPr>
    </w:lvl>
    <w:lvl w:ilvl="1">
      <w:start w:val="1"/>
      <w:numFmt w:val="decimal"/>
      <w:pStyle w:val="1149"/>
      <w:isLgl/>
      <w:suff w:val="tab"/>
      <w:lvlText w:val="%1.%2"/>
      <w:lvlJc w:val="left"/>
      <w:pPr>
        <w:ind w:left="0" w:firstLine="0"/>
        <w:tabs>
          <w:tab w:val="left" w:pos="851" w:leader="none"/>
        </w:tabs>
      </w:pPr>
    </w:lvl>
    <w:lvl w:ilvl="2">
      <w:start w:val="1"/>
      <w:numFmt w:val="decimal"/>
      <w:pStyle w:val="1133"/>
      <w:isLgl/>
      <w:suff w:val="tab"/>
      <w:lvlText w:val="%1.%2.%3"/>
      <w:lvlJc w:val="left"/>
      <w:pPr>
        <w:ind w:left="0" w:firstLine="0"/>
        <w:tabs>
          <w:tab w:val="left" w:pos="851" w:leader="none"/>
        </w:tabs>
      </w:pPr>
      <w:rPr>
        <w:color w:val="000000"/>
      </w:rPr>
    </w:lvl>
    <w:lvl w:ilvl="3">
      <w:start w:val="1"/>
      <w:numFmt w:val="decimal"/>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1">
    <w:multiLevelType w:val="hybridMultilevel"/>
    <w:lvl w:ilvl="0">
      <w:start w:val="1"/>
      <w:numFmt w:val="bullet"/>
      <w:pStyle w:val="1129"/>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2">
    <w:multiLevelType w:val="hybridMultilevel"/>
    <w:lvl w:ilvl="0">
      <w:start w:val="1"/>
      <w:numFmt w:val="bullet"/>
      <w:pStyle w:val="906"/>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tab"/>
      <w:lvlText w:val="%1、"/>
      <w:lvlJc w:val="left"/>
      <w:pPr>
        <w:ind w:left="431" w:hanging="431"/>
      </w:pPr>
      <w:rPr>
        <w:rFonts w:hint="default" w:cs="Times New Roman"/>
        <w:b/>
        <w:i w:val="0"/>
        <w:iCs w:val="0"/>
        <w:caps w:val="0"/>
        <w:strike w:val="0"/>
        <w:spacing w:val="0"/>
        <w:position w:val="0"/>
        <w:sz w:val="21"/>
        <w:szCs w:val="32"/>
        <w:u w:val="none"/>
        <w:vertAlign w:val="baseline"/>
      </w:rPr>
    </w:lvl>
    <w:lvl w:ilvl="1">
      <w:start w:val="1"/>
      <w:numFmt w:val="decimal"/>
      <w:pStyle w:val="822"/>
      <w:isLgl w:val="false"/>
      <w:suff w:val="space"/>
      <w:lvlText w:val="%1.%2"/>
      <w:lvlJc w:val="left"/>
      <w:pPr>
        <w:ind w:left="851" w:hanging="567"/>
      </w:pPr>
      <w:rPr>
        <w:rFonts w:hint="default" w:ascii="Arial" w:hAnsi="Arial" w:eastAsia="黑体"/>
        <w:b/>
        <w:i w:val="0"/>
        <w:sz w:val="28"/>
        <w:szCs w:val="28"/>
      </w:rPr>
    </w:lvl>
    <w:lvl w:ilvl="2">
      <w:start w:val="1"/>
      <w:numFmt w:val="decimal"/>
      <w:pStyle w:val="823"/>
      <w:isLgl w:val="false"/>
      <w:suff w:val="space"/>
      <w:lvlText w:val="%1.%2.%3"/>
      <w:lvlJc w:val="left"/>
      <w:pPr>
        <w:ind w:left="720" w:hanging="720"/>
      </w:pPr>
      <w:rPr>
        <w:rFonts w:hint="default" w:ascii="Arial" w:hAnsi="Arial" w:eastAsia="黑体"/>
        <w:b/>
        <w:i w:val="0"/>
        <w:sz w:val="28"/>
        <w:szCs w:val="28"/>
      </w:rPr>
    </w:lvl>
    <w:lvl w:ilvl="3">
      <w:start w:val="1"/>
      <w:numFmt w:val="decimal"/>
      <w:isLgl w:val="false"/>
      <w:suff w:val="space"/>
      <w:lvlText w:val="%1.%2.%3.%4"/>
      <w:lvlJc w:val="left"/>
      <w:pPr>
        <w:ind w:left="864" w:hanging="864"/>
      </w:pPr>
      <w:rPr>
        <w:rFonts w:hint="default" w:ascii="Arial" w:hAnsi="Arial" w:eastAsia="黑体"/>
        <w:b/>
        <w:i w:val="0"/>
        <w:sz w:val="30"/>
        <w:szCs w:val="30"/>
      </w:rPr>
    </w:lvl>
    <w:lvl w:ilvl="4">
      <w:start w:val="1"/>
      <w:numFmt w:val="decimal"/>
      <w:isLgl w:val="false"/>
      <w:suff w:val="space"/>
      <w:lvlText w:val="%1.%2.%3.%4.%5"/>
      <w:lvlJc w:val="left"/>
      <w:pPr>
        <w:ind w:left="1008" w:hanging="1008"/>
      </w:pPr>
      <w:rPr>
        <w:rFonts w:hint="default" w:ascii="Arial" w:hAnsi="Arial" w:eastAsia="黑体"/>
        <w:b/>
        <w:i w:val="0"/>
        <w:sz w:val="28"/>
        <w:szCs w:val="28"/>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4">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japaneseCounting"/>
      <w:pStyle w:val="1139"/>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1064"/>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3"/>
  </w:num>
  <w:num w:numId="2">
    <w:abstractNumId w:val="2"/>
  </w:num>
  <w:num w:numId="3">
    <w:abstractNumId w:val="8"/>
  </w:num>
  <w:num w:numId="4">
    <w:abstractNumId w:val="1"/>
  </w:num>
  <w:num w:numId="5">
    <w:abstractNumId w:val="0"/>
  </w:num>
  <w:num w:numId="6">
    <w:abstractNumId w:val="5"/>
  </w:num>
  <w:num w:numId="7">
    <w:abstractNumId w:val="7"/>
  </w:num>
  <w:num w:numId="8">
    <w:abstractNumId w:val="4"/>
  </w:num>
  <w:num w:numId="9">
    <w:abstractNumId w:val="6"/>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00">
    <w:name w:val="Plain Table 1"/>
    <w:basedOn w:val="8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1">
    <w:name w:val="Plain Table 2"/>
    <w:basedOn w:val="8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2">
    <w:name w:val="Plain Table 3"/>
    <w:basedOn w:val="8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3">
    <w:name w:val="Plain Table 4"/>
    <w:basedOn w:val="8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4">
    <w:name w:val="Plain Table 5"/>
    <w:basedOn w:val="8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5">
    <w:name w:val="Grid Table 1 Light"/>
    <w:basedOn w:val="8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6">
    <w:name w:val="Grid Table 2"/>
    <w:basedOn w:val="8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7">
    <w:name w:val="Grid Table 3"/>
    <w:basedOn w:val="8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4"/>
    <w:basedOn w:val="8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9">
    <w:name w:val="Grid Table 5 Dark"/>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0">
    <w:name w:val="Grid Table 6 Colorful"/>
    <w:basedOn w:val="8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1">
    <w:name w:val="Grid Table 7 Colorful"/>
    <w:basedOn w:val="8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2">
    <w:name w:val="List Table 1 Light"/>
    <w:basedOn w:val="8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3">
    <w:name w:val="List Table 2"/>
    <w:basedOn w:val="8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4">
    <w:name w:val="List Table 3"/>
    <w:basedOn w:val="8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4"/>
    <w:basedOn w:val="8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5 Dark"/>
    <w:basedOn w:val="8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6 Colorful"/>
    <w:basedOn w:val="8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8">
    <w:name w:val="List Table 7 Colorful"/>
    <w:basedOn w:val="8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19">
    <w:name w:val="TOC Heading"/>
    <w:uiPriority w:val="39"/>
    <w:unhideWhenUsed/>
  </w:style>
  <w:style w:type="paragraph" w:styleId="820"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821">
    <w:name w:val="Heading 1"/>
    <w:basedOn w:val="820"/>
    <w:next w:val="820"/>
    <w:link w:val="1042"/>
    <w:uiPriority w:val="9"/>
    <w:qFormat/>
    <w:pPr>
      <w:keepLines/>
      <w:keepNext/>
      <w:spacing w:before="340" w:after="330" w:line="578" w:lineRule="auto"/>
      <w:outlineLvl w:val="0"/>
    </w:pPr>
    <w:rPr>
      <w:b/>
      <w:bCs/>
      <w:sz w:val="44"/>
      <w:szCs w:val="44"/>
    </w:rPr>
  </w:style>
  <w:style w:type="paragraph" w:styleId="822">
    <w:name w:val="Heading 2"/>
    <w:basedOn w:val="820"/>
    <w:next w:val="832"/>
    <w:link w:val="1043"/>
    <w:uiPriority w:val="9"/>
    <w:qFormat/>
    <w:pPr>
      <w:numPr>
        <w:ilvl w:val="1"/>
        <w:numId w:val="1"/>
      </w:numPr>
      <w:jc w:val="left"/>
      <w:keepLines/>
      <w:keepNext/>
      <w:spacing w:before="312" w:after="312"/>
      <w:outlineLvl w:val="1"/>
    </w:pPr>
    <w:rPr>
      <w:rFonts w:ascii="Arial" w:hAnsi="Arial"/>
      <w:b/>
      <w:bCs/>
      <w:sz w:val="28"/>
      <w:szCs w:val="36"/>
    </w:rPr>
  </w:style>
  <w:style w:type="paragraph" w:styleId="823">
    <w:name w:val="Heading 3"/>
    <w:basedOn w:val="820"/>
    <w:next w:val="820"/>
    <w:link w:val="1045"/>
    <w:uiPriority w:val="0"/>
    <w:qFormat/>
    <w:pPr>
      <w:numPr>
        <w:ilvl w:val="2"/>
        <w:numId w:val="1"/>
      </w:numPr>
      <w:jc w:val="left"/>
      <w:keepLines/>
      <w:keepNext/>
      <w:spacing w:before="312" w:after="312"/>
      <w:outlineLvl w:val="2"/>
    </w:pPr>
    <w:rPr>
      <w:rFonts w:ascii="Arial" w:hAnsi="Arial" w:eastAsia="黑体"/>
      <w:b/>
      <w:bCs/>
      <w:sz w:val="30"/>
      <w:szCs w:val="32"/>
    </w:rPr>
  </w:style>
  <w:style w:type="paragraph" w:styleId="824">
    <w:name w:val="Heading 4"/>
    <w:basedOn w:val="820"/>
    <w:next w:val="820"/>
    <w:link w:val="1046"/>
    <w:uiPriority w:val="0"/>
    <w:qFormat/>
    <w:pPr>
      <w:spacing w:before="280" w:after="290" w:line="377" w:lineRule="auto"/>
      <w:outlineLvl w:val="3"/>
    </w:pPr>
    <w:rPr>
      <w:rFonts w:ascii="Arial" w:hAnsi="Arial" w:eastAsia="黑体"/>
      <w:b/>
      <w:bCs/>
      <w:sz w:val="28"/>
      <w:szCs w:val="28"/>
    </w:rPr>
  </w:style>
  <w:style w:type="paragraph" w:styleId="825">
    <w:name w:val="Heading 5"/>
    <w:basedOn w:val="820"/>
    <w:next w:val="820"/>
    <w:link w:val="1047"/>
    <w:uiPriority w:val="0"/>
    <w:qFormat/>
    <w:pPr>
      <w:keepLines/>
      <w:keepNext/>
      <w:spacing w:before="280" w:after="290" w:line="376" w:lineRule="auto"/>
      <w:outlineLvl w:val="4"/>
    </w:pPr>
    <w:rPr>
      <w:rFonts w:ascii="Calibri" w:hAnsi="Calibri"/>
      <w:b/>
      <w:bCs/>
      <w:sz w:val="28"/>
      <w:szCs w:val="28"/>
    </w:rPr>
  </w:style>
  <w:style w:type="paragraph" w:styleId="826">
    <w:name w:val="Heading 6"/>
    <w:basedOn w:val="820"/>
    <w:next w:val="820"/>
    <w:link w:val="1048"/>
    <w:uiPriority w:val="0"/>
    <w:qFormat/>
    <w:pPr>
      <w:ind w:left="1152" w:hanging="1152"/>
      <w:keepLines/>
      <w:keepNext/>
      <w:spacing w:before="240" w:after="64" w:line="320" w:lineRule="auto"/>
      <w:outlineLvl w:val="5"/>
    </w:pPr>
    <w:rPr>
      <w:rFonts w:ascii="Cambria" w:hAnsi="Cambria"/>
      <w:b/>
      <w:bCs/>
      <w:sz w:val="24"/>
      <w:szCs w:val="24"/>
    </w:rPr>
  </w:style>
  <w:style w:type="paragraph" w:styleId="827">
    <w:name w:val="Heading 7"/>
    <w:basedOn w:val="820"/>
    <w:next w:val="820"/>
    <w:link w:val="1049"/>
    <w:uiPriority w:val="0"/>
    <w:qFormat/>
    <w:pPr>
      <w:ind w:left="1296" w:hanging="1296"/>
      <w:keepLines/>
      <w:keepNext/>
      <w:spacing w:before="240" w:after="64" w:line="320" w:lineRule="auto"/>
      <w:outlineLvl w:val="6"/>
    </w:pPr>
    <w:rPr>
      <w:b/>
      <w:bCs/>
      <w:sz w:val="24"/>
      <w:szCs w:val="24"/>
    </w:rPr>
  </w:style>
  <w:style w:type="paragraph" w:styleId="828">
    <w:name w:val="Heading 8"/>
    <w:basedOn w:val="820"/>
    <w:next w:val="820"/>
    <w:link w:val="1050"/>
    <w:uiPriority w:val="0"/>
    <w:qFormat/>
    <w:pPr>
      <w:ind w:left="1440" w:hanging="1440"/>
      <w:keepLines/>
      <w:keepNext/>
      <w:spacing w:before="240" w:after="64" w:line="320" w:lineRule="auto"/>
      <w:outlineLvl w:val="7"/>
    </w:pPr>
    <w:rPr>
      <w:rFonts w:ascii="Cambria" w:hAnsi="Cambria"/>
      <w:sz w:val="24"/>
      <w:szCs w:val="24"/>
    </w:rPr>
  </w:style>
  <w:style w:type="paragraph" w:styleId="829">
    <w:name w:val="Heading 9"/>
    <w:basedOn w:val="820"/>
    <w:next w:val="820"/>
    <w:link w:val="1051"/>
    <w:uiPriority w:val="0"/>
    <w:qFormat/>
    <w:pPr>
      <w:ind w:left="1584" w:hanging="1584"/>
      <w:keepLines/>
      <w:keepNext/>
      <w:spacing w:before="240" w:after="64" w:line="320" w:lineRule="auto"/>
      <w:outlineLvl w:val="8"/>
    </w:pPr>
    <w:rPr>
      <w:rFonts w:ascii="Cambria" w:hAnsi="Cambria"/>
      <w:sz w:val="20"/>
      <w:szCs w:val="21"/>
    </w:rPr>
  </w:style>
  <w:style w:type="character" w:styleId="830" w:default="1">
    <w:name w:val="Default Paragraph Font"/>
    <w:uiPriority w:val="1"/>
    <w:semiHidden/>
    <w:unhideWhenUsed/>
    <w:qFormat/>
  </w:style>
  <w:style w:type="table" w:styleId="831" w:default="1">
    <w:name w:val="Normal Table"/>
    <w:uiPriority w:val="99"/>
    <w:semiHidden/>
    <w:unhideWhenUsed/>
    <w:qFormat/>
    <w:tblPr>
      <w:tblCellMar>
        <w:left w:w="108" w:type="dxa"/>
        <w:top w:w="0" w:type="dxa"/>
        <w:right w:w="108" w:type="dxa"/>
        <w:bottom w:w="0" w:type="dxa"/>
      </w:tblCellMar>
    </w:tblPr>
  </w:style>
  <w:style w:type="paragraph" w:styleId="832">
    <w:name w:val="Normal Indent"/>
    <w:basedOn w:val="820"/>
    <w:link w:val="1044"/>
    <w:uiPriority w:val="0"/>
    <w:unhideWhenUsed/>
    <w:qFormat/>
    <w:pPr>
      <w:ind w:firstLine="420"/>
    </w:pPr>
  </w:style>
  <w:style w:type="paragraph" w:styleId="833">
    <w:name w:val="toc 7"/>
    <w:basedOn w:val="820"/>
    <w:next w:val="820"/>
    <w:uiPriority w:val="39"/>
    <w:unhideWhenUsed/>
    <w:qFormat/>
    <w:pPr>
      <w:ind w:left="1701"/>
      <w:spacing w:after="57"/>
    </w:pPr>
  </w:style>
  <w:style w:type="paragraph" w:styleId="834">
    <w:name w:val="Caption"/>
    <w:basedOn w:val="820"/>
    <w:next w:val="820"/>
    <w:uiPriority w:val="0"/>
    <w:qFormat/>
    <w:rPr>
      <w:rFonts w:ascii="Arial" w:hAnsi="Arial" w:eastAsia="黑体"/>
      <w:sz w:val="20"/>
    </w:rPr>
  </w:style>
  <w:style w:type="paragraph" w:styleId="835">
    <w:name w:val="Document Map"/>
    <w:basedOn w:val="820"/>
    <w:link w:val="1052"/>
    <w:uiPriority w:val="0"/>
    <w:qFormat/>
    <w:rPr>
      <w:rFonts w:ascii="宋体"/>
      <w:sz w:val="18"/>
      <w:szCs w:val="18"/>
    </w:rPr>
  </w:style>
  <w:style w:type="paragraph" w:styleId="836">
    <w:name w:val="annotation text"/>
    <w:basedOn w:val="820"/>
    <w:link w:val="1053"/>
    <w:uiPriority w:val="99"/>
    <w:unhideWhenUsed/>
    <w:qFormat/>
    <w:pPr>
      <w:jc w:val="left"/>
    </w:pPr>
    <w:rPr>
      <w:sz w:val="20"/>
      <w:szCs w:val="24"/>
    </w:rPr>
  </w:style>
  <w:style w:type="paragraph" w:styleId="837">
    <w:name w:val="Body Text 3"/>
    <w:basedOn w:val="820"/>
    <w:link w:val="1054"/>
    <w:uiPriority w:val="0"/>
    <w:qFormat/>
    <w:rPr>
      <w:rFonts w:ascii="宋体"/>
      <w:sz w:val="24"/>
      <w:szCs w:val="20"/>
    </w:rPr>
  </w:style>
  <w:style w:type="paragraph" w:styleId="838">
    <w:name w:val="Body Text"/>
    <w:basedOn w:val="820"/>
    <w:link w:val="1055"/>
    <w:uiPriority w:val="0"/>
    <w:qFormat/>
    <w:rPr>
      <w:rFonts w:ascii="楷体_GB2312" w:hAnsi="Arial" w:eastAsia="楷体_GB2312"/>
      <w:sz w:val="28"/>
      <w:szCs w:val="28"/>
    </w:rPr>
  </w:style>
  <w:style w:type="paragraph" w:styleId="839">
    <w:name w:val="Body Text Indent"/>
    <w:basedOn w:val="820"/>
    <w:next w:val="820"/>
    <w:link w:val="1056"/>
    <w:uiPriority w:val="99"/>
    <w:qFormat/>
    <w:pPr>
      <w:ind w:left="420"/>
      <w:spacing w:after="120"/>
    </w:pPr>
    <w:rPr>
      <w:sz w:val="20"/>
      <w:szCs w:val="24"/>
    </w:rPr>
  </w:style>
  <w:style w:type="paragraph" w:styleId="840">
    <w:name w:val="List Bullet 2"/>
    <w:basedOn w:val="820"/>
    <w:uiPriority w:val="99"/>
    <w:unhideWhenUsed/>
    <w:qFormat/>
    <w:pPr>
      <w:ind w:left="780" w:hanging="360"/>
      <w:tabs>
        <w:tab w:val="left" w:pos="780" w:leader="none"/>
      </w:tabs>
    </w:pPr>
  </w:style>
  <w:style w:type="paragraph" w:styleId="841">
    <w:name w:val="toc 5"/>
    <w:basedOn w:val="820"/>
    <w:next w:val="820"/>
    <w:uiPriority w:val="39"/>
    <w:unhideWhenUsed/>
    <w:qFormat/>
    <w:pPr>
      <w:ind w:left="1134"/>
      <w:spacing w:after="57"/>
    </w:pPr>
  </w:style>
  <w:style w:type="paragraph" w:styleId="842">
    <w:name w:val="toc 3"/>
    <w:basedOn w:val="820"/>
    <w:next w:val="820"/>
    <w:uiPriority w:val="39"/>
    <w:unhideWhenUsed/>
    <w:qFormat/>
    <w:pPr>
      <w:ind w:left="840"/>
    </w:pPr>
    <w:rPr>
      <w:rFonts w:ascii="Calibri" w:hAnsi="Calibri"/>
    </w:rPr>
  </w:style>
  <w:style w:type="paragraph" w:styleId="843">
    <w:name w:val="Plain Text"/>
    <w:basedOn w:val="820"/>
    <w:link w:val="1057"/>
    <w:uiPriority w:val="0"/>
    <w:qFormat/>
    <w:rPr>
      <w:rFonts w:ascii="宋体" w:hAnsi="Courier New"/>
      <w:sz w:val="20"/>
      <w:szCs w:val="21"/>
    </w:rPr>
  </w:style>
  <w:style w:type="paragraph" w:styleId="844">
    <w:name w:val="toc 8"/>
    <w:basedOn w:val="820"/>
    <w:next w:val="820"/>
    <w:uiPriority w:val="39"/>
    <w:unhideWhenUsed/>
    <w:qFormat/>
    <w:pPr>
      <w:ind w:left="1984"/>
      <w:spacing w:after="57"/>
    </w:pPr>
  </w:style>
  <w:style w:type="paragraph" w:styleId="845">
    <w:name w:val="Body Text Indent 2"/>
    <w:basedOn w:val="820"/>
    <w:link w:val="1058"/>
    <w:uiPriority w:val="0"/>
    <w:qFormat/>
    <w:pPr>
      <w:ind w:firstLine="562"/>
      <w:spacing w:line="480" w:lineRule="exact"/>
    </w:pPr>
    <w:rPr>
      <w:rFonts w:ascii="楷体_GB2312" w:eastAsia="楷体_GB2312"/>
      <w:b/>
      <w:bCs/>
      <w:sz w:val="28"/>
      <w:szCs w:val="24"/>
    </w:rPr>
  </w:style>
  <w:style w:type="paragraph" w:styleId="846">
    <w:name w:val="endnote text"/>
    <w:basedOn w:val="820"/>
    <w:link w:val="1033"/>
    <w:uiPriority w:val="99"/>
    <w:semiHidden/>
    <w:unhideWhenUsed/>
    <w:qFormat/>
    <w:rPr>
      <w:sz w:val="20"/>
    </w:rPr>
  </w:style>
  <w:style w:type="paragraph" w:styleId="847">
    <w:name w:val="Balloon Text"/>
    <w:basedOn w:val="820"/>
    <w:link w:val="1059"/>
    <w:uiPriority w:val="99"/>
    <w:unhideWhenUsed/>
    <w:qFormat/>
    <w:rPr>
      <w:sz w:val="18"/>
      <w:szCs w:val="18"/>
    </w:rPr>
  </w:style>
  <w:style w:type="paragraph" w:styleId="848">
    <w:name w:val="Footer"/>
    <w:basedOn w:val="820"/>
    <w:link w:val="1060"/>
    <w:uiPriority w:val="99"/>
    <w:unhideWhenUsed/>
    <w:qFormat/>
    <w:pPr>
      <w:jc w:val="left"/>
      <w:tabs>
        <w:tab w:val="center" w:pos="4153" w:leader="none"/>
        <w:tab w:val="right" w:pos="8306" w:leader="none"/>
      </w:tabs>
    </w:pPr>
    <w:rPr>
      <w:sz w:val="18"/>
      <w:szCs w:val="18"/>
    </w:rPr>
  </w:style>
  <w:style w:type="paragraph" w:styleId="849">
    <w:name w:val="envelope return"/>
    <w:basedOn w:val="820"/>
    <w:uiPriority w:val="0"/>
    <w:qFormat/>
    <w:rPr>
      <w:rFonts w:ascii="Arial" w:hAnsi="Arial"/>
    </w:rPr>
  </w:style>
  <w:style w:type="paragraph" w:styleId="850">
    <w:name w:val="Header"/>
    <w:basedOn w:val="820"/>
    <w:link w:val="1061"/>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51">
    <w:name w:val="toc 1"/>
    <w:basedOn w:val="820"/>
    <w:next w:val="820"/>
    <w:uiPriority w:val="39"/>
    <w:unhideWhenUsed/>
    <w:qFormat/>
    <w:rPr>
      <w:rFonts w:ascii="Calibri" w:hAnsi="Calibri"/>
    </w:rPr>
  </w:style>
  <w:style w:type="paragraph" w:styleId="852">
    <w:name w:val="toc 4"/>
    <w:basedOn w:val="820"/>
    <w:next w:val="820"/>
    <w:uiPriority w:val="39"/>
    <w:unhideWhenUsed/>
    <w:qFormat/>
    <w:pPr>
      <w:ind w:left="850"/>
      <w:spacing w:after="57"/>
    </w:pPr>
  </w:style>
  <w:style w:type="paragraph" w:styleId="853">
    <w:name w:val="Subtitle"/>
    <w:basedOn w:val="820"/>
    <w:next w:val="820"/>
    <w:link w:val="918"/>
    <w:uiPriority w:val="11"/>
    <w:qFormat/>
    <w:pPr>
      <w:spacing w:before="200" w:after="200"/>
    </w:pPr>
    <w:rPr>
      <w:sz w:val="24"/>
      <w:szCs w:val="24"/>
    </w:rPr>
  </w:style>
  <w:style w:type="paragraph" w:styleId="854">
    <w:name w:val="List"/>
    <w:basedOn w:val="820"/>
    <w:uiPriority w:val="99"/>
    <w:qFormat/>
    <w:pPr>
      <w:ind w:left="200" w:hanging="200"/>
    </w:pPr>
    <w:rPr>
      <w:szCs w:val="24"/>
    </w:rPr>
  </w:style>
  <w:style w:type="paragraph" w:styleId="855">
    <w:name w:val="footnote text"/>
    <w:basedOn w:val="820"/>
    <w:link w:val="1032"/>
    <w:uiPriority w:val="99"/>
    <w:semiHidden/>
    <w:unhideWhenUsed/>
    <w:qFormat/>
    <w:pPr>
      <w:spacing w:after="40"/>
    </w:pPr>
    <w:rPr>
      <w:sz w:val="18"/>
    </w:rPr>
  </w:style>
  <w:style w:type="paragraph" w:styleId="856">
    <w:name w:val="toc 6"/>
    <w:basedOn w:val="820"/>
    <w:next w:val="820"/>
    <w:uiPriority w:val="39"/>
    <w:unhideWhenUsed/>
    <w:qFormat/>
    <w:pPr>
      <w:ind w:left="1417"/>
      <w:spacing w:after="57"/>
    </w:pPr>
  </w:style>
  <w:style w:type="paragraph" w:styleId="857">
    <w:name w:val="Body Text Indent 3"/>
    <w:basedOn w:val="820"/>
    <w:uiPriority w:val="0"/>
    <w:qFormat/>
    <w:pPr>
      <w:ind w:left="3599" w:hanging="3599"/>
    </w:pPr>
    <w:rPr>
      <w:szCs w:val="24"/>
    </w:rPr>
  </w:style>
  <w:style w:type="paragraph" w:styleId="858">
    <w:name w:val="table of figures"/>
    <w:basedOn w:val="820"/>
    <w:next w:val="820"/>
    <w:uiPriority w:val="0"/>
    <w:semiHidden/>
    <w:qFormat/>
    <w:pPr>
      <w:ind w:left="840" w:hanging="420"/>
      <w:spacing w:before="156" w:after="156"/>
    </w:pPr>
    <w:rPr>
      <w:sz w:val="24"/>
      <w:szCs w:val="24"/>
    </w:rPr>
  </w:style>
  <w:style w:type="paragraph" w:styleId="859">
    <w:name w:val="toc 2"/>
    <w:basedOn w:val="820"/>
    <w:next w:val="820"/>
    <w:uiPriority w:val="39"/>
    <w:unhideWhenUsed/>
    <w:qFormat/>
    <w:pPr>
      <w:ind w:left="420"/>
    </w:pPr>
    <w:rPr>
      <w:rFonts w:ascii="Calibri" w:hAnsi="Calibri"/>
    </w:rPr>
  </w:style>
  <w:style w:type="paragraph" w:styleId="860">
    <w:name w:val="toc 9"/>
    <w:basedOn w:val="820"/>
    <w:next w:val="820"/>
    <w:uiPriority w:val="0"/>
    <w:semiHidden/>
    <w:qFormat/>
    <w:pPr>
      <w:ind w:left="3360"/>
    </w:pPr>
  </w:style>
  <w:style w:type="paragraph" w:styleId="861">
    <w:name w:val="Body Text 2"/>
    <w:basedOn w:val="820"/>
    <w:uiPriority w:val="0"/>
    <w:qFormat/>
    <w:pPr>
      <w:spacing w:after="120" w:line="480" w:lineRule="auto"/>
    </w:pPr>
  </w:style>
  <w:style w:type="paragraph" w:styleId="862">
    <w:name w:val="Normal (Web)"/>
    <w:basedOn w:val="820"/>
    <w:uiPriority w:val="99"/>
    <w:unhideWhenUsed/>
    <w:qFormat/>
    <w:rPr>
      <w:sz w:val="24"/>
    </w:rPr>
  </w:style>
  <w:style w:type="paragraph" w:styleId="863">
    <w:name w:val="Title"/>
    <w:basedOn w:val="820"/>
    <w:next w:val="820"/>
    <w:link w:val="917"/>
    <w:uiPriority w:val="10"/>
    <w:qFormat/>
    <w:pPr>
      <w:contextualSpacing/>
      <w:spacing w:before="300" w:after="200"/>
    </w:pPr>
    <w:rPr>
      <w:sz w:val="48"/>
      <w:szCs w:val="48"/>
    </w:rPr>
  </w:style>
  <w:style w:type="paragraph" w:styleId="864">
    <w:name w:val="annotation subject"/>
    <w:basedOn w:val="836"/>
    <w:next w:val="836"/>
    <w:link w:val="1062"/>
    <w:uiPriority w:val="99"/>
    <w:unhideWhenUsed/>
    <w:qFormat/>
    <w:rPr>
      <w:b/>
      <w:bCs/>
      <w:szCs w:val="20"/>
    </w:rPr>
  </w:style>
  <w:style w:type="paragraph" w:styleId="865">
    <w:name w:val="Body Text First Indent"/>
    <w:basedOn w:val="838"/>
    <w:uiPriority w:val="0"/>
    <w:qFormat/>
    <w:pPr>
      <w:ind w:left="300" w:firstLine="420"/>
      <w:spacing w:after="120"/>
    </w:pPr>
    <w:rPr>
      <w:rFonts w:ascii="宋体" w:hAnsi="Verdana"/>
      <w:lang w:val="en-GB"/>
    </w:rPr>
  </w:style>
  <w:style w:type="paragraph" w:styleId="866">
    <w:name w:val="Body Text First Indent 2"/>
    <w:basedOn w:val="839"/>
    <w:link w:val="1063"/>
    <w:uiPriority w:val="99"/>
    <w:qFormat/>
    <w:pPr>
      <w:ind w:firstLine="420"/>
    </w:pPr>
  </w:style>
  <w:style w:type="table" w:styleId="867">
    <w:name w:val="Table Grid"/>
    <w:basedOn w:val="831"/>
    <w:uiPriority w:val="3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8">
    <w:name w:val="Strong"/>
    <w:uiPriority w:val="22"/>
    <w:qFormat/>
    <w:rPr>
      <w:rFonts w:ascii="Tahoma" w:hAnsi="Tahoma" w:eastAsia="宋体"/>
      <w:b/>
      <w:bCs/>
      <w:spacing w:val="10"/>
      <w:sz w:val="24"/>
      <w:lang w:val="en-US" w:eastAsia="zh-CN" w:bidi="ar-SA"/>
    </w:rPr>
  </w:style>
  <w:style w:type="character" w:styleId="869">
    <w:name w:val="endnote reference"/>
    <w:basedOn w:val="830"/>
    <w:uiPriority w:val="99"/>
    <w:semiHidden/>
    <w:unhideWhenUsed/>
    <w:qFormat/>
    <w:rPr>
      <w:vertAlign w:val="superscript"/>
    </w:rPr>
  </w:style>
  <w:style w:type="character" w:styleId="870">
    <w:name w:val="page number"/>
    <w:uiPriority w:val="0"/>
    <w:qFormat/>
  </w:style>
  <w:style w:type="character" w:styleId="871">
    <w:name w:val="FollowedHyperlink"/>
    <w:uiPriority w:val="99"/>
    <w:unhideWhenUsed/>
    <w:qFormat/>
    <w:rPr>
      <w:color w:val="333333"/>
      <w:u w:val="none"/>
    </w:rPr>
  </w:style>
  <w:style w:type="character" w:styleId="872">
    <w:name w:val="Emphasis"/>
    <w:basedOn w:val="830"/>
    <w:uiPriority w:val="0"/>
    <w:qFormat/>
    <w:rPr>
      <w:rFonts w:ascii="Times New Roman" w:hAnsi="Times New Roman"/>
      <w:i/>
      <w:iCs/>
      <w:sz w:val="21"/>
      <w:szCs w:val="20"/>
    </w:rPr>
  </w:style>
  <w:style w:type="character" w:styleId="873">
    <w:name w:val="HTML Definition"/>
    <w:uiPriority w:val="99"/>
    <w:unhideWhenUsed/>
    <w:qFormat/>
    <w:rPr>
      <w:i/>
    </w:rPr>
  </w:style>
  <w:style w:type="character" w:styleId="874">
    <w:name w:val="Hyperlink"/>
    <w:uiPriority w:val="99"/>
    <w:unhideWhenUsed/>
    <w:qFormat/>
    <w:rPr>
      <w:color w:val="333333"/>
      <w:u w:val="none"/>
    </w:rPr>
  </w:style>
  <w:style w:type="character" w:styleId="875">
    <w:name w:val="HTML Code"/>
    <w:uiPriority w:val="99"/>
    <w:unhideWhenUsed/>
    <w:qFormat/>
    <w:rPr>
      <w:rFonts w:ascii="Consolas" w:hAnsi="Consolas" w:eastAsia="Consolas" w:cs="Consolas"/>
      <w:color w:val="c7254e"/>
      <w:sz w:val="21"/>
      <w:szCs w:val="21"/>
      <w:shd w:val="clear" w:color="auto" w:fill="f9f2f4"/>
    </w:rPr>
  </w:style>
  <w:style w:type="character" w:styleId="876">
    <w:name w:val="annotation reference"/>
    <w:uiPriority w:val="99"/>
    <w:unhideWhenUsed/>
    <w:qFormat/>
    <w:rPr>
      <w:sz w:val="21"/>
      <w:szCs w:val="21"/>
    </w:rPr>
  </w:style>
  <w:style w:type="character" w:styleId="877">
    <w:name w:val="footnote reference"/>
    <w:basedOn w:val="830"/>
    <w:uiPriority w:val="99"/>
    <w:unhideWhenUsed/>
    <w:qFormat/>
    <w:rPr>
      <w:vertAlign w:val="superscript"/>
    </w:rPr>
  </w:style>
  <w:style w:type="character" w:styleId="878">
    <w:name w:val="HTML Keyboard"/>
    <w:uiPriority w:val="99"/>
    <w:unhideWhenUsed/>
    <w:qFormat/>
    <w:rPr>
      <w:rFonts w:hint="default" w:ascii="Consolas" w:hAnsi="Consolas" w:eastAsia="Consolas" w:cs="Consolas"/>
      <w:color w:val="ffffff"/>
      <w:sz w:val="21"/>
      <w:szCs w:val="21"/>
      <w:shd w:val="clear" w:color="auto" w:fill="333333"/>
    </w:rPr>
  </w:style>
  <w:style w:type="character" w:styleId="879">
    <w:name w:val="HTML Sample"/>
    <w:uiPriority w:val="99"/>
    <w:unhideWhenUsed/>
    <w:qFormat/>
    <w:rPr>
      <w:rFonts w:hint="default" w:ascii="Consolas" w:hAnsi="Consolas" w:eastAsia="Consolas" w:cs="Consolas"/>
      <w:sz w:val="21"/>
      <w:szCs w:val="21"/>
    </w:rPr>
  </w:style>
  <w:style w:type="character" w:styleId="880" w:customStyle="1">
    <w:name w:val="Title Char"/>
    <w:basedOn w:val="830"/>
    <w:uiPriority w:val="10"/>
    <w:qFormat/>
    <w:rPr>
      <w:sz w:val="48"/>
      <w:szCs w:val="48"/>
    </w:rPr>
  </w:style>
  <w:style w:type="character" w:styleId="881" w:customStyle="1">
    <w:name w:val="Subtitle Char"/>
    <w:basedOn w:val="830"/>
    <w:uiPriority w:val="11"/>
    <w:qFormat/>
    <w:rPr>
      <w:sz w:val="24"/>
      <w:szCs w:val="24"/>
    </w:rPr>
  </w:style>
  <w:style w:type="character" w:styleId="882" w:customStyle="1">
    <w:name w:val="Quote Char"/>
    <w:uiPriority w:val="29"/>
    <w:qFormat/>
    <w:rPr>
      <w:i/>
    </w:rPr>
  </w:style>
  <w:style w:type="character" w:styleId="883" w:customStyle="1">
    <w:name w:val="Intense Quote Char"/>
    <w:uiPriority w:val="30"/>
    <w:qFormat/>
    <w:rPr>
      <w:i/>
    </w:rPr>
  </w:style>
  <w:style w:type="table" w:styleId="884" w:customStyle="1">
    <w:name w:val="无格式表格 11"/>
    <w:basedOn w:val="83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5" w:customStyle="1">
    <w:name w:val="无格式表格 21"/>
    <w:basedOn w:val="83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6" w:customStyle="1">
    <w:name w:val="无格式表格 31"/>
    <w:basedOn w:val="83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7" w:customStyle="1">
    <w:name w:val="无格式表格 41"/>
    <w:basedOn w:val="83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8" w:customStyle="1">
    <w:name w:val="无格式表格 51"/>
    <w:basedOn w:val="83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9" w:customStyle="1">
    <w:name w:val="网格表 1 浅色1"/>
    <w:basedOn w:val="83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0" w:customStyle="1">
    <w:name w:val="网格表 21"/>
    <w:basedOn w:val="8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1" w:customStyle="1">
    <w:name w:val="网格表 31"/>
    <w:basedOn w:val="8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网格表 41"/>
    <w:basedOn w:val="83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3" w:customStyle="1">
    <w:name w:val="网格表 5 深色1"/>
    <w:basedOn w:val="8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4" w:customStyle="1">
    <w:name w:val="网格表 6 彩色1"/>
    <w:basedOn w:val="83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5" w:customStyle="1">
    <w:name w:val="网格表 7 彩色1"/>
    <w:basedOn w:val="83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6" w:customStyle="1">
    <w:name w:val="清单表 1 浅色1"/>
    <w:basedOn w:val="83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7" w:customStyle="1">
    <w:name w:val="清单表 21"/>
    <w:basedOn w:val="83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8" w:customStyle="1">
    <w:name w:val="清单表 31"/>
    <w:basedOn w:val="8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清单表 41"/>
    <w:basedOn w:val="8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0" w:customStyle="1">
    <w:name w:val="清单表 5 深色1"/>
    <w:basedOn w:val="83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清单表 6 彩色1"/>
    <w:basedOn w:val="83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2" w:customStyle="1">
    <w:name w:val="清单表 7 彩色1"/>
    <w:basedOn w:val="83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03" w:customStyle="1">
    <w:name w:val="Footnote Text Char"/>
    <w:uiPriority w:val="99"/>
    <w:qFormat/>
    <w:rPr>
      <w:sz w:val="18"/>
    </w:rPr>
  </w:style>
  <w:style w:type="character" w:styleId="904" w:customStyle="1">
    <w:name w:val="Endnote Text Char"/>
    <w:uiPriority w:val="99"/>
    <w:qFormat/>
    <w:rPr>
      <w:sz w:val="20"/>
    </w:rPr>
  </w:style>
  <w:style w:type="paragraph" w:styleId="905" w:customStyle="1">
    <w:name w:val="TOC 标题1"/>
    <w:uiPriority w:val="39"/>
    <w:unhideWhenUsed/>
    <w:qFormat/>
    <w:rPr>
      <w:rFonts w:ascii="Times New Roman" w:hAnsi="Times New Roman" w:eastAsia="宋体" w:cs="Times New Roman"/>
      <w:lang w:val="en-US" w:eastAsia="zh-CN" w:bidi="ar-SA"/>
    </w:rPr>
  </w:style>
  <w:style w:type="paragraph" w:styleId="906" w:customStyle="1">
    <w:name w:val="ListBullet21"/>
    <w:basedOn w:val="820"/>
    <w:uiPriority w:val="0"/>
    <w:qFormat/>
    <w:pPr>
      <w:numPr>
        <w:ilvl w:val="0"/>
        <w:numId w:val="2"/>
      </w:numPr>
    </w:pPr>
  </w:style>
  <w:style w:type="character" w:styleId="907" w:customStyle="1">
    <w:name w:val="Heading 1 Char"/>
    <w:basedOn w:val="830"/>
    <w:uiPriority w:val="9"/>
    <w:qFormat/>
    <w:rPr>
      <w:rFonts w:ascii="Arial" w:hAnsi="Arial" w:eastAsia="Arial" w:cs="Arial"/>
      <w:sz w:val="40"/>
      <w:szCs w:val="40"/>
    </w:rPr>
  </w:style>
  <w:style w:type="character" w:styleId="908" w:customStyle="1">
    <w:name w:val="Heading 2 Char"/>
    <w:basedOn w:val="830"/>
    <w:uiPriority w:val="9"/>
    <w:qFormat/>
    <w:rPr>
      <w:rFonts w:ascii="Arial" w:hAnsi="Arial" w:eastAsia="Arial" w:cs="Arial"/>
      <w:sz w:val="34"/>
    </w:rPr>
  </w:style>
  <w:style w:type="character" w:styleId="909" w:customStyle="1">
    <w:name w:val="Heading 3 Char"/>
    <w:basedOn w:val="830"/>
    <w:uiPriority w:val="9"/>
    <w:qFormat/>
    <w:rPr>
      <w:rFonts w:ascii="Arial" w:hAnsi="Arial" w:eastAsia="Arial" w:cs="Arial"/>
      <w:sz w:val="30"/>
      <w:szCs w:val="30"/>
    </w:rPr>
  </w:style>
  <w:style w:type="character" w:styleId="910" w:customStyle="1">
    <w:name w:val="Heading 4 Char"/>
    <w:basedOn w:val="830"/>
    <w:uiPriority w:val="9"/>
    <w:qFormat/>
    <w:rPr>
      <w:rFonts w:ascii="Arial" w:hAnsi="Arial" w:eastAsia="Arial" w:cs="Arial"/>
      <w:b/>
      <w:bCs/>
      <w:sz w:val="26"/>
      <w:szCs w:val="26"/>
    </w:rPr>
  </w:style>
  <w:style w:type="character" w:styleId="911" w:customStyle="1">
    <w:name w:val="Heading 5 Char"/>
    <w:basedOn w:val="830"/>
    <w:uiPriority w:val="9"/>
    <w:qFormat/>
    <w:rPr>
      <w:rFonts w:ascii="Arial" w:hAnsi="Arial" w:eastAsia="Arial" w:cs="Arial"/>
      <w:b/>
      <w:bCs/>
      <w:sz w:val="24"/>
      <w:szCs w:val="24"/>
    </w:rPr>
  </w:style>
  <w:style w:type="character" w:styleId="912" w:customStyle="1">
    <w:name w:val="Heading 6 Char"/>
    <w:basedOn w:val="830"/>
    <w:uiPriority w:val="9"/>
    <w:qFormat/>
    <w:rPr>
      <w:rFonts w:ascii="Arial" w:hAnsi="Arial" w:eastAsia="Arial" w:cs="Arial"/>
      <w:b/>
      <w:bCs/>
      <w:sz w:val="22"/>
      <w:szCs w:val="22"/>
    </w:rPr>
  </w:style>
  <w:style w:type="character" w:styleId="913" w:customStyle="1">
    <w:name w:val="Heading 8 Char"/>
    <w:basedOn w:val="830"/>
    <w:uiPriority w:val="9"/>
    <w:qFormat/>
    <w:rPr>
      <w:rFonts w:ascii="Arial" w:hAnsi="Arial" w:eastAsia="Arial" w:cs="Arial"/>
      <w:i/>
      <w:iCs/>
      <w:sz w:val="22"/>
      <w:szCs w:val="22"/>
    </w:rPr>
  </w:style>
  <w:style w:type="character" w:styleId="914" w:customStyle="1">
    <w:name w:val="Heading 9 Char"/>
    <w:basedOn w:val="830"/>
    <w:uiPriority w:val="9"/>
    <w:qFormat/>
    <w:rPr>
      <w:rFonts w:ascii="Arial" w:hAnsi="Arial" w:eastAsia="Arial" w:cs="Arial"/>
      <w:i/>
      <w:iCs/>
      <w:sz w:val="21"/>
      <w:szCs w:val="21"/>
    </w:rPr>
  </w:style>
  <w:style w:type="paragraph" w:styleId="915">
    <w:name w:val="List Paragraph"/>
    <w:basedOn w:val="820"/>
    <w:uiPriority w:val="34"/>
    <w:qFormat/>
    <w:pPr>
      <w:contextualSpacing/>
      <w:ind w:left="720"/>
    </w:pPr>
  </w:style>
  <w:style w:type="paragraph" w:styleId="916">
    <w:name w:val="No Spacing"/>
    <w:uiPriority w:val="1"/>
    <w:qFormat/>
    <w:rPr>
      <w:rFonts w:ascii="Times New Roman" w:hAnsi="Times New Roman" w:eastAsia="宋体" w:cs="Times New Roman"/>
      <w:lang w:val="en-US" w:eastAsia="zh-CN" w:bidi="ar-SA"/>
    </w:rPr>
  </w:style>
  <w:style w:type="character" w:styleId="917" w:customStyle="1">
    <w:name w:val="标题 字符"/>
    <w:basedOn w:val="830"/>
    <w:link w:val="863"/>
    <w:uiPriority w:val="10"/>
    <w:qFormat/>
    <w:rPr>
      <w:sz w:val="48"/>
      <w:szCs w:val="48"/>
    </w:rPr>
  </w:style>
  <w:style w:type="character" w:styleId="918" w:customStyle="1">
    <w:name w:val="副标题 字符"/>
    <w:basedOn w:val="830"/>
    <w:link w:val="853"/>
    <w:uiPriority w:val="11"/>
    <w:qFormat/>
    <w:rPr>
      <w:sz w:val="24"/>
      <w:szCs w:val="24"/>
    </w:rPr>
  </w:style>
  <w:style w:type="paragraph" w:styleId="919">
    <w:name w:val="Quote"/>
    <w:basedOn w:val="820"/>
    <w:next w:val="820"/>
    <w:link w:val="920"/>
    <w:uiPriority w:val="29"/>
    <w:qFormat/>
    <w:pPr>
      <w:ind w:left="720" w:right="720"/>
    </w:pPr>
    <w:rPr>
      <w:i/>
    </w:rPr>
  </w:style>
  <w:style w:type="character" w:styleId="920" w:customStyle="1">
    <w:name w:val="引用 字符"/>
    <w:link w:val="919"/>
    <w:uiPriority w:val="29"/>
    <w:qFormat/>
    <w:rPr>
      <w:i/>
    </w:rPr>
  </w:style>
  <w:style w:type="paragraph" w:styleId="921">
    <w:name w:val="Intense Quote"/>
    <w:basedOn w:val="820"/>
    <w:next w:val="820"/>
    <w:link w:val="9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2" w:customStyle="1">
    <w:name w:val="明显引用 字符"/>
    <w:link w:val="921"/>
    <w:uiPriority w:val="30"/>
    <w:qFormat/>
    <w:rPr>
      <w:i/>
    </w:rPr>
  </w:style>
  <w:style w:type="character" w:styleId="923" w:customStyle="1">
    <w:name w:val="Header Char"/>
    <w:basedOn w:val="830"/>
    <w:uiPriority w:val="99"/>
    <w:qFormat/>
  </w:style>
  <w:style w:type="character" w:styleId="924" w:customStyle="1">
    <w:name w:val="Footer Char"/>
    <w:basedOn w:val="830"/>
    <w:uiPriority w:val="99"/>
    <w:qFormat/>
  </w:style>
  <w:style w:type="character" w:styleId="925" w:customStyle="1">
    <w:name w:val="Caption Char"/>
    <w:uiPriority w:val="99"/>
    <w:qFormat/>
  </w:style>
  <w:style w:type="table" w:styleId="926" w:customStyle="1">
    <w:name w:val="Table Grid Light"/>
    <w:basedOn w:val="83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27" w:customStyle="1">
    <w:name w:val="Grid Table 1 Light - Accent 1"/>
    <w:basedOn w:val="83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2"/>
    <w:basedOn w:val="83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3"/>
    <w:basedOn w:val="83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4"/>
    <w:basedOn w:val="83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5"/>
    <w:basedOn w:val="83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2" w:customStyle="1">
    <w:name w:val="Grid Table 1 Light - Accent 6"/>
    <w:basedOn w:val="83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3" w:customStyle="1">
    <w:name w:val="Grid Table 2 - Accent 1"/>
    <w:basedOn w:val="83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4" w:customStyle="1">
    <w:name w:val="Grid Table 2 - Accent 2"/>
    <w:basedOn w:val="83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5" w:customStyle="1">
    <w:name w:val="Grid Table 2 - Accent 3"/>
    <w:basedOn w:val="83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6" w:customStyle="1">
    <w:name w:val="Grid Table 2 - Accent 4"/>
    <w:basedOn w:val="83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7" w:customStyle="1">
    <w:name w:val="Grid Table 2 - Accent 5"/>
    <w:basedOn w:val="83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8" w:customStyle="1">
    <w:name w:val="Grid Table 2 - Accent 6"/>
    <w:basedOn w:val="83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9" w:customStyle="1">
    <w:name w:val="Grid Table 3 - Accent 1"/>
    <w:basedOn w:val="83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2"/>
    <w:basedOn w:val="83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3"/>
    <w:basedOn w:val="83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4"/>
    <w:basedOn w:val="83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5"/>
    <w:basedOn w:val="83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6"/>
    <w:basedOn w:val="83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4 - Accent 1"/>
    <w:basedOn w:val="83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6" w:customStyle="1">
    <w:name w:val="Grid Table 4 - Accent 2"/>
    <w:basedOn w:val="83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7" w:customStyle="1">
    <w:name w:val="Grid Table 4 - Accent 3"/>
    <w:basedOn w:val="83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8" w:customStyle="1">
    <w:name w:val="Grid Table 4 - Accent 4"/>
    <w:basedOn w:val="83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9" w:customStyle="1">
    <w:name w:val="Grid Table 4 - Accent 5"/>
    <w:basedOn w:val="83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0" w:customStyle="1">
    <w:name w:val="Grid Table 4 - Accent 6"/>
    <w:basedOn w:val="83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1" w:customStyle="1">
    <w:name w:val="Grid Table 5 Dark- Accent 1"/>
    <w:basedOn w:val="8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2" w:customStyle="1">
    <w:name w:val="Grid Table 5 Dark - Accent 2"/>
    <w:basedOn w:val="8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3" w:customStyle="1">
    <w:name w:val="Grid Table 5 Dark - Accent 3"/>
    <w:basedOn w:val="8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4" w:customStyle="1">
    <w:name w:val="Grid Table 5 Dark- Accent 4"/>
    <w:basedOn w:val="8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5" w:customStyle="1">
    <w:name w:val="Grid Table 5 Dark - Accent 5"/>
    <w:basedOn w:val="8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6" w:customStyle="1">
    <w:name w:val="Grid Table 5 Dark - Accent 6"/>
    <w:basedOn w:val="8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7" w:customStyle="1">
    <w:name w:val="Grid Table 6 Colorful - Accent 1"/>
    <w:basedOn w:val="83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58" w:customStyle="1">
    <w:name w:val="Grid Table 6 Colorful - Accent 2"/>
    <w:basedOn w:val="83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59" w:customStyle="1">
    <w:name w:val="Grid Table 6 Colorful - Accent 3"/>
    <w:basedOn w:val="83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60" w:customStyle="1">
    <w:name w:val="Grid Table 6 Colorful - Accent 4"/>
    <w:basedOn w:val="83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1" w:customStyle="1">
    <w:name w:val="Grid Table 6 Colorful - Accent 5"/>
    <w:basedOn w:val="83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2" w:customStyle="1">
    <w:name w:val="Grid Table 6 Colorful - Accent 6"/>
    <w:basedOn w:val="83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3" w:customStyle="1">
    <w:name w:val="Grid Table 7 Colorful - Accent 1"/>
    <w:basedOn w:val="83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4" w:customStyle="1">
    <w:name w:val="Grid Table 7 Colorful - Accent 2"/>
    <w:basedOn w:val="83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5" w:customStyle="1">
    <w:name w:val="Grid Table 7 Colorful - Accent 3"/>
    <w:basedOn w:val="83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6" w:customStyle="1">
    <w:name w:val="Grid Table 7 Colorful - Accent 4"/>
    <w:basedOn w:val="83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7" w:customStyle="1">
    <w:name w:val="Grid Table 7 Colorful - Accent 5"/>
    <w:basedOn w:val="83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8" w:customStyle="1">
    <w:name w:val="Grid Table 7 Colorful - Accent 6"/>
    <w:basedOn w:val="83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9" w:customStyle="1">
    <w:name w:val="List Table 1 Light - Accent 1"/>
    <w:basedOn w:val="831"/>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0" w:customStyle="1">
    <w:name w:val="List Table 1 Light - Accent 2"/>
    <w:basedOn w:val="831"/>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1" w:customStyle="1">
    <w:name w:val="List Table 1 Light - Accent 3"/>
    <w:basedOn w:val="831"/>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2" w:customStyle="1">
    <w:name w:val="List Table 1 Light - Accent 4"/>
    <w:basedOn w:val="831"/>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3" w:customStyle="1">
    <w:name w:val="List Table 1 Light - Accent 5"/>
    <w:basedOn w:val="831"/>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4" w:customStyle="1">
    <w:name w:val="List Table 1 Light - Accent 6"/>
    <w:basedOn w:val="831"/>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5" w:customStyle="1">
    <w:name w:val="List Table 2 - Accent 1"/>
    <w:basedOn w:val="83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6" w:customStyle="1">
    <w:name w:val="List Table 2 - Accent 2"/>
    <w:basedOn w:val="83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7" w:customStyle="1">
    <w:name w:val="List Table 2 - Accent 3"/>
    <w:basedOn w:val="83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8" w:customStyle="1">
    <w:name w:val="List Table 2 - Accent 4"/>
    <w:basedOn w:val="83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9" w:customStyle="1">
    <w:name w:val="List Table 2 - Accent 5"/>
    <w:basedOn w:val="83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0" w:customStyle="1">
    <w:name w:val="List Table 2 - Accent 6"/>
    <w:basedOn w:val="83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1" w:customStyle="1">
    <w:name w:val="List Table 3 - Accent 1"/>
    <w:basedOn w:val="83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2" w:customStyle="1">
    <w:name w:val="List Table 3 - Accent 2"/>
    <w:basedOn w:val="83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83" w:customStyle="1">
    <w:name w:val="List Table 3 - Accent 3"/>
    <w:basedOn w:val="83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84" w:customStyle="1">
    <w:name w:val="List Table 3 - Accent 4"/>
    <w:basedOn w:val="83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5" w:customStyle="1">
    <w:name w:val="List Table 3 - Accent 5"/>
    <w:basedOn w:val="83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6" w:customStyle="1">
    <w:name w:val="List Table 3 - Accent 6"/>
    <w:basedOn w:val="83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7" w:customStyle="1">
    <w:name w:val="List Table 4 - Accent 1"/>
    <w:basedOn w:val="83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8" w:customStyle="1">
    <w:name w:val="List Table 4 - Accent 2"/>
    <w:basedOn w:val="83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9" w:customStyle="1">
    <w:name w:val="List Table 4 - Accent 3"/>
    <w:basedOn w:val="83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0" w:customStyle="1">
    <w:name w:val="List Table 4 - Accent 4"/>
    <w:basedOn w:val="83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1" w:customStyle="1">
    <w:name w:val="List Table 4 - Accent 5"/>
    <w:basedOn w:val="83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2" w:customStyle="1">
    <w:name w:val="List Table 4 - Accent 6"/>
    <w:basedOn w:val="83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3" w:customStyle="1">
    <w:name w:val="List Table 5 Dark - Accent 1"/>
    <w:basedOn w:val="83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2"/>
    <w:basedOn w:val="83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5 Dark - Accent 3"/>
    <w:basedOn w:val="83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5 Dark - Accent 4"/>
    <w:basedOn w:val="83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List Table 5 Dark - Accent 5"/>
    <w:basedOn w:val="83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8" w:customStyle="1">
    <w:name w:val="List Table 5 Dark - Accent 6"/>
    <w:basedOn w:val="83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9" w:customStyle="1">
    <w:name w:val="List Table 6 Colorful - Accent 1"/>
    <w:basedOn w:val="831"/>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00" w:customStyle="1">
    <w:name w:val="List Table 6 Colorful - Accent 2"/>
    <w:basedOn w:val="831"/>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01" w:customStyle="1">
    <w:name w:val="List Table 6 Colorful - Accent 3"/>
    <w:basedOn w:val="831"/>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02" w:customStyle="1">
    <w:name w:val="List Table 6 Colorful - Accent 4"/>
    <w:basedOn w:val="831"/>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3" w:customStyle="1">
    <w:name w:val="List Table 6 Colorful - Accent 5"/>
    <w:basedOn w:val="831"/>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4" w:customStyle="1">
    <w:name w:val="List Table 6 Colorful - Accent 6"/>
    <w:basedOn w:val="831"/>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5" w:customStyle="1">
    <w:name w:val="List Table 7 Colorful - Accent 1"/>
    <w:basedOn w:val="831"/>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6" w:customStyle="1">
    <w:name w:val="List Table 7 Colorful - Accent 2"/>
    <w:basedOn w:val="831"/>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7" w:customStyle="1">
    <w:name w:val="List Table 7 Colorful - Accent 3"/>
    <w:basedOn w:val="831"/>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8" w:customStyle="1">
    <w:name w:val="List Table 7 Colorful - Accent 4"/>
    <w:basedOn w:val="831"/>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9" w:customStyle="1">
    <w:name w:val="List Table 7 Colorful - Accent 5"/>
    <w:basedOn w:val="831"/>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0" w:customStyle="1">
    <w:name w:val="List Table 7 Colorful - Accent 6"/>
    <w:basedOn w:val="831"/>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1" w:customStyle="1">
    <w:name w:val="Lined - Accent"/>
    <w:basedOn w:val="8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2" w:customStyle="1">
    <w:name w:val="Lined - Accent 1"/>
    <w:basedOn w:val="8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3" w:customStyle="1">
    <w:name w:val="Lined - Accent 2"/>
    <w:basedOn w:val="8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4" w:customStyle="1">
    <w:name w:val="Lined - Accent 3"/>
    <w:basedOn w:val="8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5" w:customStyle="1">
    <w:name w:val="Lined - Accent 4"/>
    <w:basedOn w:val="8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6" w:customStyle="1">
    <w:name w:val="Lined - Accent 5"/>
    <w:basedOn w:val="8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7" w:customStyle="1">
    <w:name w:val="Lined - Accent 6"/>
    <w:basedOn w:val="8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8" w:customStyle="1">
    <w:name w:val="Bordered &amp; Lined - Accent"/>
    <w:basedOn w:val="83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9" w:customStyle="1">
    <w:name w:val="Bordered &amp; Lined - Accent 1"/>
    <w:basedOn w:val="83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0" w:customStyle="1">
    <w:name w:val="Bordered &amp; Lined - Accent 2"/>
    <w:basedOn w:val="831"/>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1" w:customStyle="1">
    <w:name w:val="Bordered &amp; Lined - Accent 3"/>
    <w:basedOn w:val="831"/>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2" w:customStyle="1">
    <w:name w:val="Bordered &amp; Lined - Accent 4"/>
    <w:basedOn w:val="83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3" w:customStyle="1">
    <w:name w:val="Bordered &amp; Lined - Accent 5"/>
    <w:basedOn w:val="83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4" w:customStyle="1">
    <w:name w:val="Bordered &amp; Lined - Accent 6"/>
    <w:basedOn w:val="83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5" w:customStyle="1">
    <w:name w:val="Bordered"/>
    <w:basedOn w:val="83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6" w:customStyle="1">
    <w:name w:val="Bordered - Accent 1"/>
    <w:basedOn w:val="83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7" w:customStyle="1">
    <w:name w:val="Bordered - Accent 2"/>
    <w:basedOn w:val="83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8" w:customStyle="1">
    <w:name w:val="Bordered - Accent 3"/>
    <w:basedOn w:val="83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9" w:customStyle="1">
    <w:name w:val="Bordered - Accent 4"/>
    <w:basedOn w:val="83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0" w:customStyle="1">
    <w:name w:val="Bordered - Accent 5"/>
    <w:basedOn w:val="83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1" w:customStyle="1">
    <w:name w:val="Bordered - Accent 6"/>
    <w:basedOn w:val="83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2" w:customStyle="1">
    <w:name w:val="脚注文本 字符"/>
    <w:link w:val="855"/>
    <w:uiPriority w:val="99"/>
    <w:qFormat/>
    <w:rPr>
      <w:sz w:val="18"/>
    </w:rPr>
  </w:style>
  <w:style w:type="character" w:styleId="1033" w:customStyle="1">
    <w:name w:val="尾注文本 字符"/>
    <w:link w:val="846"/>
    <w:uiPriority w:val="99"/>
    <w:qFormat/>
    <w:rPr>
      <w:sz w:val="20"/>
    </w:rPr>
  </w:style>
  <w:style w:type="paragraph" w:styleId="1034" w:customStyle="1">
    <w:name w:val="TOC 标题11"/>
    <w:uiPriority w:val="39"/>
    <w:unhideWhenUsed/>
    <w:qFormat/>
    <w:rPr>
      <w:rFonts w:ascii="Times New Roman" w:hAnsi="Times New Roman" w:eastAsia="宋体" w:cs="Times New Roman"/>
      <w:lang w:val="en-US" w:eastAsia="zh-CN" w:bidi="ar-SA"/>
    </w:rPr>
  </w:style>
  <w:style w:type="paragraph" w:styleId="1035" w:customStyle="1">
    <w:name w:val="正文（缩进）"/>
    <w:basedOn w:val="820"/>
    <w:next w:val="1036"/>
    <w:uiPriority w:val="0"/>
    <w:qFormat/>
    <w:pPr>
      <w:ind w:firstLine="480"/>
    </w:pPr>
  </w:style>
  <w:style w:type="paragraph" w:styleId="1036" w:customStyle="1">
    <w:name w:val="Char Char Char Char Char Char Char Char Char"/>
    <w:basedOn w:val="820"/>
    <w:next w:val="1037"/>
    <w:uiPriority w:val="99"/>
    <w:qFormat/>
    <w:pPr>
      <w:ind w:left="360" w:firstLine="5784"/>
    </w:pPr>
  </w:style>
  <w:style w:type="paragraph" w:styleId="1037" w:customStyle="1">
    <w:name w:val="正文文本 21"/>
    <w:basedOn w:val="820"/>
    <w:next w:val="1038"/>
    <w:uiPriority w:val="99"/>
    <w:qFormat/>
    <w:pPr>
      <w:ind w:left="720" w:firstLine="5680"/>
      <w:widowControl/>
    </w:pPr>
  </w:style>
  <w:style w:type="paragraph" w:styleId="1038" w:customStyle="1">
    <w:name w:val="默认段落字体 Para Char Char Char Char Char Char Char"/>
    <w:basedOn w:val="820"/>
    <w:next w:val="1039"/>
    <w:uiPriority w:val="99"/>
    <w:qFormat/>
    <w:pPr>
      <w:ind w:firstLine="200"/>
    </w:pPr>
    <w:rPr>
      <w:rFonts w:cs="Arial"/>
    </w:rPr>
  </w:style>
  <w:style w:type="paragraph" w:styleId="1039" w:customStyle="1">
    <w:name w:val="样式 首行缩进:  2 字符"/>
    <w:basedOn w:val="820"/>
    <w:next w:val="1040"/>
    <w:uiPriority w:val="99"/>
    <w:qFormat/>
    <w:pPr>
      <w:ind w:left="480" w:firstLine="5856"/>
      <w:spacing w:line="360" w:lineRule="auto"/>
    </w:pPr>
  </w:style>
  <w:style w:type="paragraph" w:styleId="1040" w:customStyle="1">
    <w:name w:val="样式 段后: 0.25 行"/>
    <w:basedOn w:val="820"/>
    <w:next w:val="1041"/>
    <w:uiPriority w:val="99"/>
    <w:qFormat/>
    <w:pPr>
      <w:ind w:left="420" w:firstLine="5796"/>
      <w:spacing w:line="300" w:lineRule="auto"/>
      <w:widowControl/>
    </w:pPr>
  </w:style>
  <w:style w:type="paragraph" w:styleId="1041" w:customStyle="1">
    <w:name w:val="正文 New New New New New New New New New New New New New New"/>
    <w:next w:val="860"/>
    <w:uiPriority w:val="99"/>
    <w:qFormat/>
    <w:pPr>
      <w:ind w:firstLine="2048"/>
      <w:jc w:val="both"/>
      <w:widowControl w:val="off"/>
    </w:pPr>
    <w:rPr>
      <w:rFonts w:ascii="Calibri" w:hAnsi="Calibri" w:eastAsia="宋体" w:cs="Times New Roman"/>
      <w:lang w:val="en-US" w:eastAsia="zh-CN" w:bidi="ar-SA"/>
    </w:rPr>
  </w:style>
  <w:style w:type="character" w:styleId="1042" w:customStyle="1">
    <w:name w:val="标题 1 字符"/>
    <w:link w:val="821"/>
    <w:uiPriority w:val="9"/>
    <w:qFormat/>
    <w:rPr>
      <w:b/>
      <w:bCs/>
      <w:sz w:val="44"/>
      <w:szCs w:val="44"/>
    </w:rPr>
  </w:style>
  <w:style w:type="character" w:styleId="1043" w:customStyle="1">
    <w:name w:val="标题 2 字符"/>
    <w:link w:val="822"/>
    <w:uiPriority w:val="9"/>
    <w:qFormat/>
    <w:rPr>
      <w:rFonts w:ascii="Arial" w:hAnsi="Arial" w:eastAsia="宋体" w:cs="Times New Roman"/>
      <w:b/>
      <w:bCs/>
      <w:sz w:val="28"/>
      <w:szCs w:val="36"/>
    </w:rPr>
  </w:style>
  <w:style w:type="character" w:styleId="1044" w:customStyle="1">
    <w:name w:val="正文缩进 字符"/>
    <w:link w:val="832"/>
    <w:uiPriority w:val="0"/>
    <w:qFormat/>
  </w:style>
  <w:style w:type="character" w:styleId="1045" w:customStyle="1">
    <w:name w:val="标题 3 字符"/>
    <w:link w:val="823"/>
    <w:uiPriority w:val="0"/>
    <w:qFormat/>
    <w:rPr>
      <w:rFonts w:ascii="Arial" w:hAnsi="Arial" w:eastAsia="黑体" w:cs="Times New Roman"/>
      <w:b/>
      <w:bCs/>
      <w:sz w:val="30"/>
      <w:szCs w:val="32"/>
    </w:rPr>
  </w:style>
  <w:style w:type="character" w:styleId="1046" w:customStyle="1">
    <w:name w:val="标题 4 字符"/>
    <w:link w:val="824"/>
    <w:uiPriority w:val="0"/>
    <w:qFormat/>
    <w:rPr>
      <w:rFonts w:ascii="Arial" w:hAnsi="Arial" w:eastAsia="黑体" w:cs="Arial"/>
      <w:b/>
      <w:bCs/>
      <w:sz w:val="28"/>
      <w:szCs w:val="28"/>
    </w:rPr>
  </w:style>
  <w:style w:type="character" w:styleId="1047" w:customStyle="1">
    <w:name w:val="标题 5 字符1"/>
    <w:link w:val="825"/>
    <w:uiPriority w:val="0"/>
    <w:qFormat/>
    <w:rPr>
      <w:rFonts w:ascii="Calibri" w:hAnsi="Calibri" w:eastAsia="宋体" w:cs="Times New Roman"/>
      <w:b/>
      <w:bCs/>
      <w:sz w:val="28"/>
      <w:szCs w:val="28"/>
    </w:rPr>
  </w:style>
  <w:style w:type="character" w:styleId="1048" w:customStyle="1">
    <w:name w:val="标题 6 字符"/>
    <w:link w:val="826"/>
    <w:uiPriority w:val="0"/>
    <w:qFormat/>
    <w:rPr>
      <w:rFonts w:ascii="Cambria" w:hAnsi="Cambria" w:eastAsia="宋体" w:cs="Times New Roman"/>
      <w:b/>
      <w:bCs/>
      <w:sz w:val="24"/>
      <w:szCs w:val="24"/>
    </w:rPr>
  </w:style>
  <w:style w:type="character" w:styleId="1049" w:customStyle="1">
    <w:name w:val="标题 7 字符"/>
    <w:link w:val="827"/>
    <w:uiPriority w:val="0"/>
    <w:qFormat/>
    <w:rPr>
      <w:rFonts w:ascii="Times New Roman" w:hAnsi="Times New Roman" w:eastAsia="宋体" w:cs="Times New Roman"/>
      <w:b/>
      <w:bCs/>
      <w:sz w:val="24"/>
      <w:szCs w:val="24"/>
    </w:rPr>
  </w:style>
  <w:style w:type="character" w:styleId="1050" w:customStyle="1">
    <w:name w:val="标题 8 字符"/>
    <w:link w:val="828"/>
    <w:uiPriority w:val="0"/>
    <w:qFormat/>
    <w:rPr>
      <w:rFonts w:ascii="Cambria" w:hAnsi="Cambria" w:eastAsia="宋体" w:cs="Times New Roman"/>
      <w:sz w:val="24"/>
      <w:szCs w:val="24"/>
    </w:rPr>
  </w:style>
  <w:style w:type="character" w:styleId="1051" w:customStyle="1">
    <w:name w:val="标题 9 字符"/>
    <w:link w:val="829"/>
    <w:uiPriority w:val="0"/>
    <w:qFormat/>
    <w:rPr>
      <w:rFonts w:ascii="Cambria" w:hAnsi="Cambria" w:eastAsia="宋体" w:cs="Times New Roman"/>
      <w:sz w:val="20"/>
      <w:szCs w:val="21"/>
    </w:rPr>
  </w:style>
  <w:style w:type="character" w:styleId="1052" w:customStyle="1">
    <w:name w:val="文档结构图 字符"/>
    <w:link w:val="835"/>
    <w:uiPriority w:val="0"/>
    <w:qFormat/>
    <w:rPr>
      <w:rFonts w:ascii="宋体" w:hAnsi="Times New Roman"/>
      <w:sz w:val="18"/>
      <w:szCs w:val="18"/>
    </w:rPr>
  </w:style>
  <w:style w:type="character" w:styleId="1053" w:customStyle="1">
    <w:name w:val="批注文字 字符"/>
    <w:link w:val="836"/>
    <w:uiPriority w:val="99"/>
    <w:qFormat/>
    <w:rPr>
      <w:rFonts w:ascii="Times New Roman" w:hAnsi="Times New Roman" w:eastAsia="宋体" w:cs="Times New Roman"/>
      <w:szCs w:val="24"/>
    </w:rPr>
  </w:style>
  <w:style w:type="character" w:styleId="1054" w:customStyle="1">
    <w:name w:val="正文文本 3 字符"/>
    <w:link w:val="837"/>
    <w:uiPriority w:val="0"/>
    <w:qFormat/>
    <w:rPr>
      <w:rFonts w:ascii="宋体" w:hAnsi="Times New Roman"/>
      <w:sz w:val="24"/>
    </w:rPr>
  </w:style>
  <w:style w:type="character" w:styleId="1055" w:customStyle="1">
    <w:name w:val="正文文本 字符"/>
    <w:link w:val="838"/>
    <w:uiPriority w:val="0"/>
    <w:qFormat/>
    <w:rPr>
      <w:rFonts w:ascii="楷体_GB2312" w:hAnsi="Arial" w:eastAsia="楷体_GB2312" w:cs="Times New Roman"/>
      <w:sz w:val="28"/>
      <w:szCs w:val="28"/>
    </w:rPr>
  </w:style>
  <w:style w:type="character" w:styleId="1056" w:customStyle="1">
    <w:name w:val="正文文本缩进 字符"/>
    <w:link w:val="839"/>
    <w:uiPriority w:val="99"/>
    <w:qFormat/>
    <w:rPr>
      <w:rFonts w:ascii="Times New Roman" w:hAnsi="Times New Roman"/>
      <w:szCs w:val="24"/>
    </w:rPr>
  </w:style>
  <w:style w:type="character" w:styleId="1057" w:customStyle="1">
    <w:name w:val="纯文本 字符"/>
    <w:link w:val="843"/>
    <w:uiPriority w:val="0"/>
    <w:qFormat/>
    <w:rPr>
      <w:rFonts w:ascii="宋体" w:hAnsi="Courier New" w:eastAsia="宋体" w:cs="Times New Roman"/>
      <w:szCs w:val="21"/>
    </w:rPr>
  </w:style>
  <w:style w:type="character" w:styleId="1058" w:customStyle="1">
    <w:name w:val="正文文本缩进 2 字符"/>
    <w:link w:val="845"/>
    <w:uiPriority w:val="0"/>
    <w:qFormat/>
    <w:rPr>
      <w:rFonts w:ascii="楷体_GB2312" w:hAnsi="Times New Roman" w:eastAsia="楷体_GB2312"/>
      <w:b/>
      <w:bCs/>
      <w:sz w:val="28"/>
      <w:szCs w:val="24"/>
    </w:rPr>
  </w:style>
  <w:style w:type="character" w:styleId="1059" w:customStyle="1">
    <w:name w:val="批注框文本 字符"/>
    <w:link w:val="847"/>
    <w:uiPriority w:val="99"/>
    <w:qFormat/>
    <w:rPr>
      <w:sz w:val="18"/>
      <w:szCs w:val="18"/>
    </w:rPr>
  </w:style>
  <w:style w:type="character" w:styleId="1060" w:customStyle="1">
    <w:name w:val="页脚 字符"/>
    <w:link w:val="848"/>
    <w:uiPriority w:val="99"/>
    <w:qFormat/>
    <w:rPr>
      <w:rFonts w:ascii="Times New Roman" w:hAnsi="Times New Roman" w:eastAsia="宋体" w:cs="Times New Roman"/>
      <w:sz w:val="18"/>
      <w:szCs w:val="18"/>
    </w:rPr>
  </w:style>
  <w:style w:type="character" w:styleId="1061" w:customStyle="1">
    <w:name w:val="页眉 字符"/>
    <w:link w:val="850"/>
    <w:uiPriority w:val="99"/>
    <w:qFormat/>
    <w:rPr>
      <w:rFonts w:ascii="Times New Roman" w:hAnsi="Times New Roman" w:eastAsia="宋体" w:cs="Times New Roman"/>
      <w:sz w:val="18"/>
      <w:szCs w:val="18"/>
    </w:rPr>
  </w:style>
  <w:style w:type="character" w:styleId="1062" w:customStyle="1">
    <w:name w:val="批注主题 字符"/>
    <w:link w:val="864"/>
    <w:uiPriority w:val="99"/>
    <w:qFormat/>
    <w:rPr>
      <w:b/>
      <w:bCs/>
    </w:rPr>
  </w:style>
  <w:style w:type="character" w:styleId="1063" w:customStyle="1">
    <w:name w:val="正文文本首行缩进 2 字符"/>
    <w:link w:val="866"/>
    <w:uiPriority w:val="99"/>
    <w:qFormat/>
    <w:rPr>
      <w:szCs w:val="24"/>
    </w:rPr>
  </w:style>
  <w:style w:type="paragraph" w:styleId="1064" w:customStyle="1">
    <w:name w:val="ListBullet2"/>
    <w:basedOn w:val="820"/>
    <w:uiPriority w:val="0"/>
    <w:qFormat/>
    <w:pPr>
      <w:numPr>
        <w:ilvl w:val="0"/>
        <w:numId w:val="3"/>
      </w:numPr>
    </w:pPr>
  </w:style>
  <w:style w:type="paragraph" w:styleId="1065" w:customStyle="1">
    <w:name w:val="正文1"/>
    <w:basedOn w:val="820"/>
    <w:next w:val="1066"/>
    <w:link w:val="1072"/>
    <w:uiPriority w:val="99"/>
    <w:qFormat/>
    <w:pPr>
      <w:ind w:firstLine="480"/>
      <w:spacing w:line="440" w:lineRule="exact"/>
    </w:pPr>
    <w:rPr>
      <w:rFonts w:ascii="微软雅黑" w:hAnsi="微软雅黑" w:eastAsia="微软雅黑"/>
      <w:sz w:val="24"/>
      <w:szCs w:val="20"/>
    </w:rPr>
  </w:style>
  <w:style w:type="paragraph" w:styleId="1066" w:customStyle="1">
    <w:name w:val="正文文本1"/>
    <w:basedOn w:val="1065"/>
    <w:next w:val="1067"/>
    <w:uiPriority w:val="0"/>
    <w:qFormat/>
    <w:pPr>
      <w:spacing w:after="120"/>
    </w:pPr>
    <w:rPr>
      <w:lang w:eastAsia="en-US"/>
    </w:rPr>
  </w:style>
  <w:style w:type="paragraph" w:styleId="1067" w:customStyle="1">
    <w:name w:val="一级条标题"/>
    <w:basedOn w:val="1068"/>
    <w:next w:val="107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68" w:customStyle="1">
    <w:name w:val="章标题"/>
    <w:next w:val="1069"/>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69" w:customStyle="1">
    <w:name w:val="正文11"/>
    <w:next w:val="1070"/>
    <w:uiPriority w:val="0"/>
    <w:qFormat/>
    <w:pPr>
      <w:jc w:val="both"/>
      <w:widowControl w:val="off"/>
    </w:pPr>
    <w:rPr>
      <w:rFonts w:ascii="Times New Roman" w:hAnsi="Times New Roman" w:eastAsia="宋体" w:cs="Times New Roman"/>
      <w:sz w:val="21"/>
      <w:szCs w:val="22"/>
      <w:lang w:val="en-US" w:eastAsia="zh-CN" w:bidi="ar-SA"/>
    </w:rPr>
  </w:style>
  <w:style w:type="paragraph" w:styleId="1070" w:customStyle="1">
    <w:name w:val="标题 31"/>
    <w:basedOn w:val="820"/>
    <w:next w:val="1069"/>
    <w:uiPriority w:val="0"/>
    <w:qFormat/>
    <w:pPr>
      <w:keepLines/>
      <w:keepNext/>
      <w:spacing w:before="260" w:after="260" w:line="416" w:lineRule="auto"/>
      <w:outlineLvl w:val="2"/>
    </w:pPr>
    <w:rPr>
      <w:b/>
      <w:bCs/>
      <w:sz w:val="32"/>
      <w:szCs w:val="32"/>
    </w:rPr>
  </w:style>
  <w:style w:type="paragraph" w:styleId="1071" w:customStyle="1">
    <w:name w:val="段"/>
    <w:next w:val="820"/>
    <w:uiPriority w:val="0"/>
    <w:qFormat/>
    <w:pPr>
      <w:ind w:firstLine="420"/>
      <w:jc w:val="both"/>
      <w:tabs>
        <w:tab w:val="center" w:pos="4201" w:leader="none"/>
        <w:tab w:val="right" w:pos="9298" w:leader="dot"/>
      </w:tabs>
    </w:pPr>
    <w:rPr>
      <w:rFonts w:ascii="宋体" w:hAnsi="Times New Roman" w:eastAsia="宋体" w:cs="Times New Roman"/>
      <w:lang w:val="en-US" w:eastAsia="zh-CN" w:bidi="ar-SA"/>
    </w:rPr>
  </w:style>
  <w:style w:type="character" w:styleId="1072" w:customStyle="1">
    <w:name w:val="正文1 Char Char"/>
    <w:link w:val="1065"/>
    <w:uiPriority w:val="99"/>
    <w:qFormat/>
    <w:rPr>
      <w:rFonts w:ascii="微软雅黑" w:hAnsi="微软雅黑" w:eastAsia="微软雅黑"/>
      <w:sz w:val="24"/>
    </w:rPr>
  </w:style>
  <w:style w:type="character" w:styleId="1073" w:customStyle="1">
    <w:name w:val="ca-161"/>
    <w:uiPriority w:val="0"/>
    <w:qFormat/>
    <w:rPr>
      <w:rFonts w:hint="eastAsia" w:ascii="宋体" w:hAnsi="宋体" w:eastAsia="宋体"/>
      <w:spacing w:val="0"/>
      <w:sz w:val="21"/>
      <w:szCs w:val="21"/>
    </w:rPr>
  </w:style>
  <w:style w:type="character" w:styleId="1074" w:customStyle="1">
    <w:name w:val="列出段落 Char"/>
    <w:link w:val="1075"/>
    <w:uiPriority w:val="0"/>
    <w:qFormat/>
    <w:rPr>
      <w:rFonts w:ascii="Calibri" w:hAnsi="Calibri" w:eastAsia="宋体" w:cs="Times New Roman"/>
    </w:rPr>
  </w:style>
  <w:style w:type="paragraph" w:styleId="1075" w:customStyle="1">
    <w:name w:val="列出段落1"/>
    <w:basedOn w:val="820"/>
    <w:link w:val="1074"/>
    <w:uiPriority w:val="0"/>
    <w:qFormat/>
    <w:pPr>
      <w:ind w:firstLine="200"/>
    </w:pPr>
    <w:rPr>
      <w:rFonts w:ascii="Calibri" w:hAnsi="Calibri"/>
      <w:sz w:val="20"/>
      <w:szCs w:val="20"/>
    </w:rPr>
  </w:style>
  <w:style w:type="character" w:styleId="1076" w:customStyle="1">
    <w:name w:val="表格文字 Char"/>
    <w:link w:val="1077"/>
    <w:uiPriority w:val="0"/>
    <w:qFormat/>
    <w:rPr>
      <w:szCs w:val="21"/>
    </w:rPr>
  </w:style>
  <w:style w:type="paragraph" w:styleId="1077" w:customStyle="1">
    <w:name w:val="表格文字"/>
    <w:basedOn w:val="820"/>
    <w:link w:val="1076"/>
    <w:uiPriority w:val="0"/>
    <w:qFormat/>
    <w:pPr>
      <w:jc w:val="left"/>
    </w:pPr>
    <w:rPr>
      <w:sz w:val="20"/>
      <w:szCs w:val="21"/>
    </w:rPr>
  </w:style>
  <w:style w:type="character" w:styleId="1078" w:customStyle="1">
    <w:name w:val="标题 5 字符"/>
    <w:uiPriority w:val="0"/>
    <w:semiHidden/>
    <w:qFormat/>
    <w:rPr>
      <w:rFonts w:ascii="Calibri" w:hAnsi="Calibri"/>
      <w:b/>
      <w:bCs/>
      <w:sz w:val="28"/>
      <w:szCs w:val="28"/>
    </w:rPr>
  </w:style>
  <w:style w:type="character" w:styleId="1079" w:customStyle="1">
    <w:name w:val="文档结构图 Char1"/>
    <w:uiPriority w:val="99"/>
    <w:semiHidden/>
    <w:qFormat/>
    <w:rPr>
      <w:rFonts w:ascii="宋体"/>
      <w:sz w:val="18"/>
      <w:szCs w:val="18"/>
    </w:rPr>
  </w:style>
  <w:style w:type="character" w:styleId="1080" w:customStyle="1">
    <w:name w:val="font201"/>
    <w:uiPriority w:val="0"/>
    <w:qFormat/>
    <w:rPr>
      <w:rFonts w:hint="default" w:ascii="Times New Roman" w:hAnsi="Times New Roman" w:cs="Times New Roman"/>
      <w:color w:val="000000"/>
      <w:sz w:val="20"/>
      <w:szCs w:val="20"/>
      <w:u w:val="none"/>
    </w:rPr>
  </w:style>
  <w:style w:type="character" w:styleId="1081" w:customStyle="1">
    <w:name w:val="_Style 86"/>
    <w:uiPriority w:val="19"/>
    <w:qFormat/>
    <w:rPr>
      <w:rFonts w:ascii="Times New Roman" w:hAnsi="Times New Roman"/>
      <w:i/>
      <w:iCs/>
      <w:color w:val="808080"/>
      <w:sz w:val="21"/>
      <w:szCs w:val="20"/>
    </w:rPr>
  </w:style>
  <w:style w:type="character" w:styleId="1082" w:customStyle="1">
    <w:name w:val="H2 Char"/>
    <w:uiPriority w:val="0"/>
    <w:qFormat/>
    <w:rPr>
      <w:rFonts w:ascii="Arial" w:hAnsi="Arial" w:eastAsia="黑体" w:cs="Times New Roman"/>
      <w:b/>
      <w:bCs/>
      <w:sz w:val="32"/>
      <w:szCs w:val="32"/>
    </w:rPr>
  </w:style>
  <w:style w:type="character" w:styleId="1083" w:customStyle="1">
    <w:name w:val="font41"/>
    <w:uiPriority w:val="0"/>
    <w:qFormat/>
    <w:rPr>
      <w:rFonts w:hint="eastAsia" w:ascii="宋体" w:hAnsi="宋体" w:eastAsia="宋体"/>
      <w:color w:val="000000"/>
      <w:sz w:val="32"/>
      <w:szCs w:val="32"/>
      <w:u w:val="none"/>
    </w:rPr>
  </w:style>
  <w:style w:type="character" w:styleId="1084" w:customStyle="1">
    <w:name w:val="font191"/>
    <w:uiPriority w:val="0"/>
    <w:qFormat/>
    <w:rPr>
      <w:rFonts w:ascii="Wingdings 2" w:hAnsi="Wingdings 2" w:eastAsia="Wingdings 2" w:cs="Wingdings 2"/>
      <w:color w:val="000000"/>
      <w:sz w:val="20"/>
      <w:szCs w:val="20"/>
      <w:u w:val="none"/>
    </w:rPr>
  </w:style>
  <w:style w:type="character" w:styleId="1085" w:customStyle="1">
    <w:name w:val="font231"/>
    <w:uiPriority w:val="0"/>
    <w:qFormat/>
    <w:rPr>
      <w:rFonts w:hint="eastAsia" w:ascii="宋体" w:hAnsi="宋体" w:eastAsia="宋体" w:cs="宋体"/>
      <w:color w:val="000000"/>
      <w:sz w:val="20"/>
      <w:szCs w:val="20"/>
      <w:u w:val="none"/>
    </w:rPr>
  </w:style>
  <w:style w:type="character" w:styleId="1086" w:customStyle="1">
    <w:name w:val="font241"/>
    <w:uiPriority w:val="0"/>
    <w:qFormat/>
    <w:rPr>
      <w:rFonts w:hint="eastAsia" w:ascii="宋体" w:hAnsi="宋体" w:eastAsia="宋体" w:cs="宋体"/>
      <w:color w:val="000000"/>
      <w:sz w:val="20"/>
      <w:szCs w:val="20"/>
      <w:u w:val="none"/>
    </w:rPr>
  </w:style>
  <w:style w:type="character" w:styleId="1087" w:customStyle="1">
    <w:name w:val="Char Char9"/>
    <w:uiPriority w:val="0"/>
    <w:qFormat/>
    <w:rPr>
      <w:rFonts w:ascii="等线 Light" w:hAnsi="等线 Light" w:eastAsia="等线 Light" w:cs="Times New Roman"/>
      <w:b/>
      <w:bCs/>
      <w:sz w:val="28"/>
      <w:szCs w:val="28"/>
    </w:rPr>
  </w:style>
  <w:style w:type="character" w:styleId="1088" w:customStyle="1">
    <w:name w:val="Char Char10"/>
    <w:uiPriority w:val="0"/>
    <w:qFormat/>
    <w:rPr>
      <w:rFonts w:ascii="Arial" w:hAnsi="Arial" w:eastAsia="黑体" w:cs="Times New Roman"/>
      <w:b/>
      <w:bCs/>
      <w:sz w:val="30"/>
      <w:szCs w:val="32"/>
    </w:rPr>
  </w:style>
  <w:style w:type="character" w:styleId="1089" w:customStyle="1">
    <w:name w:val="表格样式居左 Char"/>
    <w:link w:val="1090"/>
    <w:uiPriority w:val="0"/>
    <w:qFormat/>
    <w:rPr>
      <w:rFonts w:eastAsia="仿宋_GB2312"/>
      <w:bCs/>
      <w:color w:val="000000"/>
      <w:sz w:val="21"/>
      <w:szCs w:val="44"/>
      <w:lang w:val="en-US" w:eastAsia="zh-CN" w:bidi="ar-SA"/>
    </w:rPr>
  </w:style>
  <w:style w:type="paragraph" w:styleId="1090" w:customStyle="1">
    <w:name w:val="表格样式居左"/>
    <w:link w:val="1089"/>
    <w:uiPriority w:val="0"/>
    <w:qFormat/>
    <w:pPr>
      <w:spacing w:line="360" w:lineRule="exact"/>
    </w:pPr>
    <w:rPr>
      <w:rFonts w:ascii="Times New Roman" w:hAnsi="Times New Roman" w:eastAsia="仿宋_GB2312" w:cs="Times New Roman"/>
      <w:bCs/>
      <w:color w:val="000000"/>
      <w:sz w:val="21"/>
      <w:szCs w:val="44"/>
      <w:lang w:val="en-US" w:eastAsia="zh-CN" w:bidi="ar-SA"/>
    </w:rPr>
  </w:style>
  <w:style w:type="character" w:styleId="1091" w:customStyle="1">
    <w:name w:val="font101"/>
    <w:uiPriority w:val="0"/>
    <w:qFormat/>
    <w:rPr>
      <w:rFonts w:hint="eastAsia" w:ascii="宋体" w:hAnsi="宋体" w:eastAsia="宋体" w:cs="宋体"/>
      <w:b/>
      <w:color w:val="000000"/>
      <w:sz w:val="18"/>
      <w:szCs w:val="18"/>
      <w:u w:val="none"/>
    </w:rPr>
  </w:style>
  <w:style w:type="character" w:styleId="1092" w:customStyle="1">
    <w:name w:val="段落 Char1"/>
    <w:link w:val="1093"/>
    <w:uiPriority w:val="0"/>
    <w:qFormat/>
    <w:rPr>
      <w:rFonts w:eastAsia="仿宋_GB2312"/>
      <w:sz w:val="32"/>
      <w:szCs w:val="32"/>
      <w:lang w:val="en-US" w:eastAsia="zh-CN" w:bidi="ar-SA"/>
    </w:rPr>
  </w:style>
  <w:style w:type="paragraph" w:styleId="1093" w:customStyle="1">
    <w:name w:val="段落"/>
    <w:link w:val="1092"/>
    <w:uiPriority w:val="0"/>
    <w:qFormat/>
    <w:pPr>
      <w:ind w:firstLine="640"/>
      <w:jc w:val="both"/>
      <w:spacing w:before="120" w:after="120" w:line="360" w:lineRule="auto"/>
    </w:pPr>
    <w:rPr>
      <w:rFonts w:ascii="Times New Roman" w:hAnsi="Times New Roman" w:eastAsia="仿宋_GB2312" w:cs="Times New Roman"/>
      <w:sz w:val="32"/>
      <w:szCs w:val="32"/>
      <w:lang w:val="en-US" w:eastAsia="zh-CN" w:bidi="ar-SA"/>
    </w:rPr>
  </w:style>
  <w:style w:type="character" w:styleId="1094" w:customStyle="1">
    <w:name w:val="font131"/>
    <w:uiPriority w:val="0"/>
    <w:qFormat/>
    <w:rPr>
      <w:rFonts w:ascii="Wingdings 2" w:hAnsi="Wingdings 2" w:eastAsia="Wingdings 2" w:cs="Wingdings 2"/>
      <w:color w:val="000000"/>
      <w:sz w:val="20"/>
      <w:szCs w:val="20"/>
      <w:u w:val="none"/>
    </w:rPr>
  </w:style>
  <w:style w:type="character" w:styleId="1095" w:customStyle="1">
    <w:name w:val="一级缩进 Char"/>
    <w:link w:val="1096"/>
    <w:uiPriority w:val="0"/>
    <w:qFormat/>
    <w:rPr>
      <w:rFonts w:eastAsia="仿宋_GB2312"/>
      <w:sz w:val="32"/>
      <w:szCs w:val="32"/>
      <w:lang w:val="en-US" w:eastAsia="zh-CN" w:bidi="ar-SA"/>
    </w:rPr>
  </w:style>
  <w:style w:type="paragraph" w:styleId="1096" w:customStyle="1">
    <w:name w:val="一级缩进"/>
    <w:link w:val="1095"/>
    <w:uiPriority w:val="0"/>
    <w:qFormat/>
    <w:pPr>
      <w:ind w:left="987"/>
      <w:jc w:val="both"/>
      <w:spacing w:before="120" w:after="120" w:line="360" w:lineRule="auto"/>
      <w:tabs>
        <w:tab w:val="left" w:pos="720" w:leader="none"/>
      </w:tabs>
    </w:pPr>
    <w:rPr>
      <w:rFonts w:ascii="Times New Roman" w:hAnsi="Times New Roman" w:eastAsia="仿宋_GB2312" w:cs="Times New Roman"/>
      <w:sz w:val="32"/>
      <w:szCs w:val="32"/>
      <w:lang w:val="en-US" w:eastAsia="zh-CN" w:bidi="ar-SA"/>
    </w:rPr>
  </w:style>
  <w:style w:type="character" w:styleId="1097" w:customStyle="1">
    <w:name w:val="正文文本 3 Char1"/>
    <w:uiPriority w:val="99"/>
    <w:semiHidden/>
    <w:qFormat/>
    <w:rPr>
      <w:sz w:val="16"/>
      <w:szCs w:val="16"/>
    </w:rPr>
  </w:style>
  <w:style w:type="character" w:styleId="1098" w:customStyle="1">
    <w:name w:val="apple-style-span"/>
    <w:uiPriority w:val="0"/>
    <w:qFormat/>
  </w:style>
  <w:style w:type="character" w:styleId="1099" w:customStyle="1">
    <w:name w:val="批注框文本 Char1"/>
    <w:uiPriority w:val="99"/>
    <w:semiHidden/>
    <w:qFormat/>
    <w:rPr>
      <w:rFonts w:ascii="Times New Roman" w:hAnsi="Times New Roman"/>
      <w:sz w:val="18"/>
      <w:szCs w:val="18"/>
    </w:rPr>
  </w:style>
  <w:style w:type="character" w:styleId="1100" w:customStyle="1">
    <w:name w:val="font221"/>
    <w:uiPriority w:val="0"/>
    <w:qFormat/>
    <w:rPr>
      <w:rFonts w:hint="eastAsia" w:ascii="宋体" w:hAnsi="宋体" w:eastAsia="宋体" w:cs="宋体"/>
      <w:b/>
      <w:color w:val="000000"/>
      <w:sz w:val="20"/>
      <w:szCs w:val="20"/>
      <w:u w:val="none"/>
    </w:rPr>
  </w:style>
  <w:style w:type="character" w:styleId="1101" w:customStyle="1">
    <w:name w:val="font61"/>
    <w:uiPriority w:val="0"/>
    <w:qFormat/>
    <w:rPr>
      <w:rFonts w:hint="eastAsia" w:ascii="宋体" w:hAnsi="宋体" w:eastAsia="宋体" w:cs="宋体"/>
      <w:color w:val="000000"/>
      <w:sz w:val="20"/>
      <w:szCs w:val="20"/>
      <w:u w:val="none"/>
    </w:rPr>
  </w:style>
  <w:style w:type="character" w:styleId="1102" w:customStyle="1">
    <w:name w:val="top_title1"/>
    <w:uiPriority w:val="0"/>
    <w:qFormat/>
    <w:rPr>
      <w:b/>
      <w:bCs/>
      <w:color w:val="333333"/>
      <w:sz w:val="24"/>
      <w:szCs w:val="24"/>
    </w:rPr>
  </w:style>
  <w:style w:type="character" w:styleId="1103" w:customStyle="1">
    <w:name w:val="font81"/>
    <w:uiPriority w:val="0"/>
    <w:qFormat/>
    <w:rPr>
      <w:rFonts w:ascii="Symbol" w:hAnsi="Symbol" w:cs="Symbol"/>
      <w:color w:val="000000"/>
      <w:sz w:val="20"/>
      <w:szCs w:val="20"/>
      <w:u w:val="none"/>
    </w:rPr>
  </w:style>
  <w:style w:type="character" w:styleId="1104" w:customStyle="1">
    <w:name w:val="font141"/>
    <w:uiPriority w:val="0"/>
    <w:qFormat/>
    <w:rPr>
      <w:rFonts w:hint="eastAsia" w:ascii="宋体" w:hAnsi="宋体" w:eastAsia="宋体" w:cs="宋体"/>
      <w:color w:val="ff0000"/>
      <w:sz w:val="20"/>
      <w:szCs w:val="20"/>
      <w:u w:val="none"/>
      <w:vertAlign w:val="superscript"/>
    </w:rPr>
  </w:style>
  <w:style w:type="character" w:styleId="1105" w:customStyle="1">
    <w:name w:val="正文文本缩进 Char1"/>
    <w:uiPriority w:val="99"/>
    <w:semiHidden/>
    <w:qFormat/>
  </w:style>
  <w:style w:type="character" w:styleId="1106" w:customStyle="1">
    <w:name w:val="正文缩进 Char1"/>
    <w:uiPriority w:val="0"/>
    <w:qFormat/>
    <w:rPr>
      <w:rFonts w:ascii="Times New Roman" w:hAnsi="Times New Roman" w:eastAsia="宋体" w:cs="Times New Roman"/>
      <w:szCs w:val="20"/>
    </w:rPr>
  </w:style>
  <w:style w:type="character" w:styleId="1107" w:customStyle="1">
    <w:name w:val="font11"/>
    <w:uiPriority w:val="0"/>
    <w:qFormat/>
    <w:rPr>
      <w:rFonts w:hint="eastAsia" w:ascii="宋体" w:hAnsi="宋体" w:eastAsia="宋体" w:cs="宋体"/>
      <w:color w:val="000000"/>
      <w:sz w:val="20"/>
      <w:szCs w:val="20"/>
      <w:u w:val="none"/>
    </w:rPr>
  </w:style>
  <w:style w:type="character" w:styleId="1108" w:customStyle="1">
    <w:name w:val="表格样式居中 Char"/>
    <w:link w:val="1109"/>
    <w:uiPriority w:val="0"/>
    <w:qFormat/>
    <w:rPr>
      <w:rFonts w:ascii="宋体" w:hAnsi="宋体"/>
      <w:bCs/>
      <w:sz w:val="21"/>
      <w:szCs w:val="21"/>
      <w:lang w:val="zh-CN" w:eastAsia="zh-CN" w:bidi="ar-SA"/>
    </w:rPr>
  </w:style>
  <w:style w:type="paragraph" w:styleId="1109" w:customStyle="1">
    <w:name w:val="表格样式居中"/>
    <w:link w:val="1108"/>
    <w:uiPriority w:val="0"/>
    <w:qFormat/>
    <w:pPr>
      <w:jc w:val="center"/>
      <w:spacing w:line="360" w:lineRule="auto"/>
    </w:pPr>
    <w:rPr>
      <w:rFonts w:ascii="宋体" w:hAnsi="宋体" w:eastAsia="宋体" w:cs="Times New Roman"/>
      <w:bCs/>
      <w:sz w:val="21"/>
      <w:szCs w:val="21"/>
      <w:lang w:val="zh-CN" w:eastAsia="zh-CN" w:bidi="ar-SA"/>
    </w:rPr>
  </w:style>
  <w:style w:type="character" w:styleId="1110" w:customStyle="1">
    <w:name w:val="正文文本缩进 2 Char1"/>
    <w:uiPriority w:val="99"/>
    <w:semiHidden/>
    <w:qFormat/>
  </w:style>
  <w:style w:type="character" w:styleId="1111" w:customStyle="1">
    <w:name w:val="font161"/>
    <w:uiPriority w:val="0"/>
    <w:qFormat/>
    <w:rPr>
      <w:rFonts w:hint="eastAsia" w:ascii="宋体" w:hAnsi="宋体" w:eastAsia="宋体" w:cs="宋体"/>
      <w:b/>
      <w:color w:val="ff0000"/>
      <w:sz w:val="20"/>
      <w:szCs w:val="20"/>
      <w:u w:val="none"/>
    </w:rPr>
  </w:style>
  <w:style w:type="character" w:styleId="1112" w:customStyle="1">
    <w:name w:val="批注主题 Char1"/>
    <w:uiPriority w:val="99"/>
    <w:semiHidden/>
    <w:qFormat/>
    <w:rPr>
      <w:rFonts w:ascii="Times New Roman" w:hAnsi="Times New Roman" w:eastAsia="宋体" w:cs="Times New Roman"/>
      <w:b/>
      <w:bCs/>
      <w:szCs w:val="24"/>
    </w:rPr>
  </w:style>
  <w:style w:type="character" w:styleId="1113" w:customStyle="1">
    <w:name w:val="font51"/>
    <w:uiPriority w:val="0"/>
    <w:qFormat/>
    <w:rPr>
      <w:rFonts w:hint="eastAsia" w:ascii="宋体" w:hAnsi="宋体" w:eastAsia="宋体" w:cs="宋体"/>
      <w:b/>
      <w:color w:val="000000"/>
      <w:sz w:val="20"/>
      <w:szCs w:val="20"/>
      <w:u w:val="none"/>
    </w:rPr>
  </w:style>
  <w:style w:type="character" w:styleId="1114" w:customStyle="1">
    <w:name w:val="font01"/>
    <w:basedOn w:val="830"/>
    <w:uiPriority w:val="0"/>
    <w:qFormat/>
    <w:rPr>
      <w:rFonts w:hint="eastAsia" w:ascii="宋体" w:hAnsi="宋体" w:eastAsia="宋体"/>
      <w:color w:val="000000"/>
      <w:sz w:val="24"/>
      <w:szCs w:val="24"/>
      <w:u w:val="none"/>
    </w:rPr>
  </w:style>
  <w:style w:type="character" w:styleId="1115" w:customStyle="1">
    <w:name w:val="批注文字 Char"/>
    <w:uiPriority w:val="99"/>
    <w:qFormat/>
    <w:rPr>
      <w:sz w:val="21"/>
      <w:szCs w:val="22"/>
    </w:rPr>
  </w:style>
  <w:style w:type="character" w:styleId="1116" w:customStyle="1">
    <w:name w:val="unnamed11"/>
    <w:uiPriority w:val="99"/>
    <w:qFormat/>
    <w:rPr>
      <w:rFonts w:hint="eastAsia" w:ascii="宋体" w:hAnsi="宋体" w:eastAsia="宋体"/>
      <w:sz w:val="21"/>
      <w:szCs w:val="21"/>
    </w:rPr>
  </w:style>
  <w:style w:type="character" w:styleId="1117" w:customStyle="1">
    <w:name w:val="font71"/>
    <w:uiPriority w:val="0"/>
    <w:qFormat/>
    <w:rPr>
      <w:rFonts w:hint="eastAsia" w:ascii="宋体" w:hAnsi="宋体" w:eastAsia="宋体" w:cs="宋体"/>
      <w:color w:val="000000"/>
      <w:sz w:val="20"/>
      <w:szCs w:val="20"/>
      <w:u w:val="none"/>
    </w:rPr>
  </w:style>
  <w:style w:type="character" w:styleId="1118" w:customStyle="1">
    <w:name w:val="Char Char8"/>
    <w:uiPriority w:val="0"/>
    <w:qFormat/>
    <w:rPr>
      <w:rFonts w:ascii="Calibri" w:hAnsi="Calibri" w:eastAsia="宋体" w:cs="Times New Roman"/>
      <w:b/>
      <w:bCs/>
      <w:sz w:val="28"/>
      <w:szCs w:val="28"/>
    </w:rPr>
  </w:style>
  <w:style w:type="character" w:styleId="1119" w:customStyle="1">
    <w:name w:val="Char Char11"/>
    <w:uiPriority w:val="0"/>
    <w:qFormat/>
    <w:rPr>
      <w:rFonts w:ascii="Arial" w:hAnsi="Arial" w:eastAsia="宋体" w:cs="Times New Roman"/>
      <w:b/>
      <w:bCs/>
      <w:sz w:val="28"/>
      <w:szCs w:val="36"/>
    </w:rPr>
  </w:style>
  <w:style w:type="character" w:styleId="1120" w:customStyle="1">
    <w:name w:val="Char Char12"/>
    <w:uiPriority w:val="0"/>
    <w:qFormat/>
    <w:rPr>
      <w:b/>
      <w:bCs/>
      <w:sz w:val="44"/>
      <w:szCs w:val="44"/>
    </w:rPr>
  </w:style>
  <w:style w:type="character" w:styleId="1121" w:customStyle="1">
    <w:name w:val="font111"/>
    <w:uiPriority w:val="0"/>
    <w:qFormat/>
    <w:rPr>
      <w:rFonts w:hint="eastAsia" w:ascii="宋体" w:hAnsi="宋体" w:eastAsia="宋体" w:cs="宋体"/>
      <w:color w:val="ff0000"/>
      <w:sz w:val="18"/>
      <w:szCs w:val="18"/>
      <w:u w:val="none"/>
    </w:rPr>
  </w:style>
  <w:style w:type="character" w:styleId="1122" w:customStyle="1">
    <w:name w:val="font21"/>
    <w:uiPriority w:val="0"/>
    <w:qFormat/>
    <w:rPr>
      <w:rFonts w:hint="eastAsia" w:ascii="仿宋_GB2312" w:hAnsi="Times New Roman" w:eastAsia="仿宋_GB2312" w:cs="仿宋_GB2312"/>
      <w:color w:val="000000"/>
      <w:sz w:val="22"/>
      <w:szCs w:val="22"/>
      <w:u w:val="none"/>
    </w:rPr>
  </w:style>
  <w:style w:type="character" w:styleId="1123" w:customStyle="1">
    <w:name w:val="无间隔 Char"/>
    <w:link w:val="1124"/>
    <w:uiPriority w:val="0"/>
    <w:qFormat/>
    <w:rPr>
      <w:sz w:val="21"/>
      <w:szCs w:val="22"/>
      <w:lang w:val="en-US" w:eastAsia="zh-CN" w:bidi="ar-SA"/>
    </w:rPr>
  </w:style>
  <w:style w:type="paragraph" w:styleId="1124" w:customStyle="1">
    <w:name w:val="msonospacing"/>
    <w:link w:val="1123"/>
    <w:uiPriority w:val="0"/>
    <w:qFormat/>
    <w:pPr>
      <w:jc w:val="both"/>
      <w:widowControl w:val="off"/>
    </w:pPr>
    <w:rPr>
      <w:rFonts w:ascii="Times New Roman" w:hAnsi="Times New Roman" w:eastAsia="宋体" w:cs="Times New Roman"/>
      <w:sz w:val="21"/>
      <w:szCs w:val="22"/>
      <w:lang w:val="en-US" w:eastAsia="zh-CN" w:bidi="ar-SA"/>
    </w:rPr>
  </w:style>
  <w:style w:type="character" w:styleId="1125" w:customStyle="1">
    <w:name w:val="font211"/>
    <w:uiPriority w:val="0"/>
    <w:qFormat/>
    <w:rPr>
      <w:rFonts w:hint="eastAsia" w:ascii="宋体" w:hAnsi="宋体" w:eastAsia="宋体" w:cs="宋体"/>
      <w:color w:val="ff0000"/>
      <w:sz w:val="20"/>
      <w:szCs w:val="20"/>
      <w:u w:val="none"/>
      <w:vertAlign w:val="superscript"/>
    </w:rPr>
  </w:style>
  <w:style w:type="character" w:styleId="1126" w:customStyle="1">
    <w:name w:val="NormalCharacter"/>
    <w:uiPriority w:val="0"/>
    <w:qFormat/>
    <w:rPr>
      <w:sz w:val="21"/>
      <w:szCs w:val="22"/>
      <w:lang w:val="en-US" w:eastAsia="zh-CN" w:bidi="ar-SA"/>
    </w:rPr>
  </w:style>
  <w:style w:type="character" w:styleId="1127" w:customStyle="1">
    <w:name w:val="font171"/>
    <w:uiPriority w:val="0"/>
    <w:qFormat/>
    <w:rPr>
      <w:rFonts w:hint="eastAsia" w:ascii="宋体" w:hAnsi="宋体" w:eastAsia="宋体" w:cs="宋体"/>
      <w:color w:val="000000"/>
      <w:sz w:val="20"/>
      <w:szCs w:val="20"/>
      <w:u w:val="none"/>
    </w:rPr>
  </w:style>
  <w:style w:type="character" w:styleId="1128" w:customStyle="1">
    <w:name w:val="项目排列 Char"/>
    <w:link w:val="1129"/>
    <w:uiPriority w:val="0"/>
    <w:qFormat/>
    <w:rPr>
      <w:sz w:val="24"/>
      <w:szCs w:val="24"/>
    </w:rPr>
  </w:style>
  <w:style w:type="paragraph" w:styleId="1129" w:customStyle="1">
    <w:name w:val="项目排列"/>
    <w:basedOn w:val="820"/>
    <w:link w:val="1128"/>
    <w:uiPriority w:val="0"/>
    <w:qFormat/>
    <w:pPr>
      <w:numPr>
        <w:ilvl w:val="0"/>
        <w:numId w:val="4"/>
      </w:numPr>
      <w:spacing w:before="156" w:after="156" w:line="300" w:lineRule="auto"/>
      <w:tabs>
        <w:tab w:val="left" w:pos="900" w:leader="none"/>
      </w:tabs>
    </w:pPr>
    <w:rPr>
      <w:sz w:val="24"/>
      <w:szCs w:val="24"/>
    </w:rPr>
  </w:style>
  <w:style w:type="character" w:styleId="1130" w:customStyle="1">
    <w:name w:val="hover4"/>
    <w:uiPriority w:val="0"/>
    <w:qFormat/>
    <w:rPr>
      <w:color w:val="999999"/>
    </w:rPr>
  </w:style>
  <w:style w:type="character" w:styleId="1131" w:customStyle="1">
    <w:name w:val="font91"/>
    <w:uiPriority w:val="0"/>
    <w:qFormat/>
    <w:rPr>
      <w:rFonts w:hint="eastAsia" w:ascii="宋体" w:hAnsi="宋体" w:eastAsia="宋体" w:cs="宋体"/>
      <w:color w:val="000000"/>
      <w:sz w:val="16"/>
      <w:szCs w:val="16"/>
      <w:u w:val="none"/>
    </w:rPr>
  </w:style>
  <w:style w:type="paragraph" w:styleId="1132" w:customStyle="1">
    <w:name w:val="Char"/>
    <w:basedOn w:val="820"/>
    <w:uiPriority w:val="0"/>
    <w:qFormat/>
    <w:pPr>
      <w:ind w:left="1350" w:hanging="1350"/>
      <w:tabs>
        <w:tab w:val="left" w:pos="1350" w:leader="none"/>
      </w:tabs>
    </w:pPr>
    <w:rPr>
      <w:sz w:val="24"/>
      <w:szCs w:val="24"/>
    </w:rPr>
  </w:style>
  <w:style w:type="paragraph" w:styleId="1133" w:customStyle="1">
    <w:name w:val="正文 1.1.1"/>
    <w:basedOn w:val="820"/>
    <w:next w:val="820"/>
    <w:uiPriority w:val="0"/>
    <w:qFormat/>
    <w:pPr>
      <w:numPr>
        <w:ilvl w:val="2"/>
        <w:numId w:val="5"/>
      </w:numPr>
      <w:outlineLvl w:val="2"/>
    </w:pPr>
    <w:rPr>
      <w:rFonts w:hAnsi="宋体"/>
      <w:color w:val="ff0000"/>
    </w:rPr>
  </w:style>
  <w:style w:type="paragraph" w:styleId="1134" w:customStyle="1">
    <w:name w:val="Default Paragraph Font Para Char"/>
    <w:basedOn w:val="820"/>
    <w:uiPriority w:val="0"/>
    <w:qFormat/>
    <w:pPr>
      <w:jc w:val="left"/>
      <w:spacing w:before="156" w:after="160" w:line="240" w:lineRule="exact"/>
      <w:widowControl/>
    </w:pPr>
    <w:rPr>
      <w:rFonts w:ascii="Verdana" w:hAnsi="Verdana"/>
      <w:sz w:val="20"/>
      <w:szCs w:val="20"/>
      <w:lang w:eastAsia="en-US"/>
    </w:rPr>
  </w:style>
  <w:style w:type="paragraph" w:styleId="1135" w:customStyle="1">
    <w:name w:val="unnamed1"/>
    <w:basedOn w:val="820"/>
    <w:uiPriority w:val="0"/>
    <w:qFormat/>
    <w:pPr>
      <w:jc w:val="left"/>
      <w:spacing w:before="100" w:beforeAutospacing="1" w:after="100" w:afterAutospacing="1" w:line="288" w:lineRule="auto"/>
      <w:widowControl/>
    </w:pPr>
    <w:rPr>
      <w:rFonts w:hint="eastAsia" w:ascii="宋体" w:hAnsi="宋体"/>
      <w:szCs w:val="21"/>
    </w:rPr>
  </w:style>
  <w:style w:type="paragraph" w:styleId="1136" w:customStyle="1">
    <w:name w:val="正文缩进1"/>
    <w:basedOn w:val="820"/>
    <w:uiPriority w:val="0"/>
    <w:qFormat/>
    <w:pPr>
      <w:ind w:firstLine="420"/>
      <w:jc w:val="left"/>
      <w:spacing w:line="360" w:lineRule="auto"/>
      <w:widowControl/>
    </w:pPr>
    <w:rPr>
      <w:rFonts w:ascii="宋体"/>
      <w:sz w:val="20"/>
      <w:szCs w:val="20"/>
    </w:rPr>
  </w:style>
  <w:style w:type="paragraph" w:styleId="1137" w:customStyle="1">
    <w:name w:val="Char1"/>
    <w:basedOn w:val="820"/>
    <w:uiPriority w:val="0"/>
    <w:qFormat/>
    <w:rPr>
      <w:rFonts w:ascii="仿宋_GB2312" w:eastAsia="仿宋_GB2312"/>
      <w:b/>
      <w:sz w:val="32"/>
      <w:szCs w:val="32"/>
    </w:rPr>
  </w:style>
  <w:style w:type="paragraph" w:styleId="1138" w:customStyle="1">
    <w:name w:val="文档正文"/>
    <w:basedOn w:val="820"/>
    <w:uiPriority w:val="0"/>
    <w:qFormat/>
    <w:pPr>
      <w:ind w:firstLine="567"/>
      <w:spacing w:line="480" w:lineRule="atLeast"/>
    </w:pPr>
    <w:rPr>
      <w:rFonts w:ascii="仿宋_GB2312" w:eastAsia="仿宋_GB2312"/>
      <w:sz w:val="28"/>
      <w:szCs w:val="24"/>
    </w:rPr>
  </w:style>
  <w:style w:type="paragraph" w:styleId="1139" w:customStyle="1">
    <w:name w:val="二级目录"/>
    <w:next w:val="820"/>
    <w:uiPriority w:val="0"/>
    <w:qFormat/>
    <w:pPr>
      <w:numPr>
        <w:ilvl w:val="0"/>
        <w:numId w:val="6"/>
      </w:numPr>
      <w:outlineLvl w:val="1"/>
    </w:pPr>
    <w:rPr>
      <w:rFonts w:ascii="Times New Roman" w:hAnsi="Times New Roman" w:eastAsia="宋体" w:cs="Times New Roman"/>
      <w:b/>
      <w:sz w:val="30"/>
      <w:szCs w:val="28"/>
      <w:lang w:val="en-US" w:eastAsia="zh-CN" w:bidi="ar-SA"/>
    </w:rPr>
  </w:style>
  <w:style w:type="paragraph" w:styleId="1140" w:customStyle="1">
    <w:name w:val="List Paragraph1"/>
    <w:basedOn w:val="820"/>
    <w:uiPriority w:val="0"/>
    <w:qFormat/>
    <w:pPr>
      <w:ind w:firstLine="420"/>
    </w:pPr>
    <w:rPr>
      <w:szCs w:val="20"/>
    </w:rPr>
  </w:style>
  <w:style w:type="paragraph" w:styleId="1141" w:customStyle="1">
    <w:name w:val="_Style 2"/>
    <w:basedOn w:val="820"/>
    <w:uiPriority w:val="34"/>
    <w:qFormat/>
    <w:pPr>
      <w:ind w:firstLine="420"/>
    </w:pPr>
    <w:rPr>
      <w:szCs w:val="24"/>
    </w:rPr>
  </w:style>
  <w:style w:type="paragraph" w:styleId="1142" w:customStyle="1">
    <w:name w:val="正文 A"/>
    <w:uiPriority w:val="0"/>
    <w:qFormat/>
    <w:pPr>
      <w:jc w:val="both"/>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paragraph" w:styleId="1143" w:customStyle="1">
    <w:name w:val="文档标题"/>
    <w:basedOn w:val="820"/>
    <w:uiPriority w:val="0"/>
    <w:qFormat/>
    <w:pPr>
      <w:jc w:val="center"/>
      <w:spacing w:before="312" w:after="312" w:line="300" w:lineRule="auto"/>
    </w:pPr>
    <w:rPr>
      <w:rFonts w:ascii="Arial" w:hAnsi="Arial" w:eastAsia="黑体" w:cs="Arial"/>
      <w:b/>
      <w:sz w:val="48"/>
      <w:szCs w:val="32"/>
    </w:rPr>
  </w:style>
  <w:style w:type="paragraph" w:styleId="1144" w:customStyle="1">
    <w:name w:val="Char1 Char Char Char Char Char Char"/>
    <w:basedOn w:val="820"/>
    <w:uiPriority w:val="0"/>
    <w:qFormat/>
    <w:rPr>
      <w:szCs w:val="24"/>
    </w:rPr>
  </w:style>
  <w:style w:type="paragraph" w:styleId="1145" w:customStyle="1">
    <w:name w:val="Char Char Char Char Char Char Char"/>
    <w:basedOn w:val="835"/>
    <w:uiPriority w:val="0"/>
    <w:qFormat/>
    <w:pPr>
      <w:shd w:val="clear" w:color="auto" w:fill="000080"/>
    </w:pPr>
    <w:rPr>
      <w:rFonts w:ascii="Times New Roman"/>
      <w:sz w:val="21"/>
      <w:szCs w:val="20"/>
    </w:rPr>
  </w:style>
  <w:style w:type="paragraph" w:styleId="1146" w:customStyle="1">
    <w:name w:val="无间隔1"/>
    <w:uiPriority w:val="0"/>
    <w:qFormat/>
    <w:pPr>
      <w:jc w:val="both"/>
      <w:widowControl w:val="off"/>
    </w:pPr>
    <w:rPr>
      <w:rFonts w:ascii="Times New Roman" w:hAnsi="Times New Roman" w:eastAsia="宋体" w:cs="Times New Roman"/>
      <w:sz w:val="21"/>
      <w:szCs w:val="22"/>
      <w:lang w:val="en-US" w:eastAsia="zh-CN" w:bidi="ar-SA"/>
    </w:rPr>
  </w:style>
  <w:style w:type="paragraph" w:styleId="1147" w:customStyle="1">
    <w:name w:val="列表段落1"/>
    <w:basedOn w:val="820"/>
    <w:uiPriority w:val="34"/>
    <w:qFormat/>
    <w:pPr>
      <w:ind w:left="720"/>
    </w:pPr>
    <w:rPr>
      <w:szCs w:val="21"/>
    </w:rPr>
  </w:style>
  <w:style w:type="paragraph" w:styleId="1148" w:customStyle="1">
    <w:name w:val="普通正文"/>
    <w:basedOn w:val="1069"/>
    <w:uiPriority w:val="0"/>
    <w:qFormat/>
    <w:pPr>
      <w:jc w:val="left"/>
      <w:spacing w:before="120" w:after="120" w:line="360" w:lineRule="auto"/>
    </w:pPr>
    <w:rPr>
      <w:rFonts w:ascii="Arial" w:hAnsi="Arial"/>
      <w:szCs w:val="24"/>
    </w:rPr>
  </w:style>
  <w:style w:type="paragraph" w:styleId="1149" w:customStyle="1">
    <w:name w:val="正文 1.1"/>
    <w:basedOn w:val="820"/>
    <w:next w:val="1133"/>
    <w:uiPriority w:val="0"/>
    <w:qFormat/>
    <w:pPr>
      <w:numPr>
        <w:ilvl w:val="1"/>
        <w:numId w:val="5"/>
      </w:numPr>
      <w:ind w:firstLine="550"/>
      <w:outlineLvl w:val="1"/>
    </w:pPr>
    <w:rPr>
      <w:rFonts w:ascii="仿宋" w:hAnsi="仿宋"/>
      <w:b/>
    </w:rPr>
  </w:style>
  <w:style w:type="paragraph" w:styleId="1150" w:customStyle="1">
    <w:name w:val="Table Paragraph"/>
    <w:basedOn w:val="820"/>
    <w:uiPriority w:val="1"/>
    <w:qFormat/>
    <w:rPr>
      <w:rFonts w:ascii="Calibri" w:hAnsi="Calibri"/>
      <w:lang w:eastAsia="en-US"/>
    </w:rPr>
  </w:style>
  <w:style w:type="paragraph" w:styleId="1151"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1152" w:customStyle="1">
    <w:name w:val="Normal_2"/>
    <w:uiPriority w:val="0"/>
    <w:qFormat/>
    <w:pPr>
      <w:jc w:val="both"/>
      <w:widowControl w:val="off"/>
    </w:pPr>
    <w:rPr>
      <w:rFonts w:ascii="Times New Roman" w:hAnsi="Times New Roman" w:eastAsia="宋体" w:cs="Times New Roman"/>
      <w:sz w:val="21"/>
      <w:szCs w:val="22"/>
      <w:lang w:val="en-US" w:eastAsia="zh-CN" w:bidi="ar-SA"/>
    </w:rPr>
  </w:style>
  <w:style w:type="paragraph" w:styleId="1153" w:customStyle="1">
    <w:name w:val="CD 正文"/>
    <w:basedOn w:val="820"/>
    <w:uiPriority w:val="0"/>
    <w:qFormat/>
    <w:pPr>
      <w:jc w:val="left"/>
    </w:pPr>
    <w:rPr>
      <w:rFonts w:ascii="Arial" w:hAnsi="Arial" w:eastAsia="微软雅黑" w:cs="Arial"/>
      <w:szCs w:val="21"/>
    </w:rPr>
  </w:style>
  <w:style w:type="paragraph" w:styleId="1154" w:customStyle="1">
    <w:name w:val="纯文本1"/>
    <w:uiPriority w:val="0"/>
    <w:qFormat/>
    <w:pPr>
      <w:spacing w:before="100" w:after="100"/>
      <w:framePr w:wrap="around" w:vAnchor="margin" w:hAnchor="text" w:yAlign="top"/>
    </w:pPr>
    <w:rPr>
      <w:rFonts w:ascii="宋体" w:hAnsi="宋体" w:eastAsia="宋体" w:cs="宋体"/>
      <w:color w:val="000000"/>
      <w:sz w:val="24"/>
      <w:szCs w:val="24"/>
      <w:lang w:val="en-US" w:eastAsia="zh-CN" w:bidi="ar-SA"/>
    </w:rPr>
  </w:style>
  <w:style w:type="paragraph" w:styleId="1155" w:customStyle="1">
    <w:name w:val="Char2"/>
    <w:basedOn w:val="820"/>
    <w:uiPriority w:val="0"/>
    <w:qFormat/>
    <w:pPr>
      <w:ind w:firstLine="200"/>
      <w:tabs>
        <w:tab w:val="left" w:pos="360" w:leader="none"/>
      </w:tabs>
    </w:pPr>
    <w:rPr>
      <w:sz w:val="28"/>
      <w:szCs w:val="30"/>
    </w:rPr>
  </w:style>
  <w:style w:type="paragraph" w:styleId="1156" w:customStyle="1">
    <w:name w:val="FUNO正文"/>
    <w:uiPriority w:val="0"/>
    <w:qFormat/>
    <w:pPr>
      <w:ind w:firstLine="480"/>
      <w:jc w:val="both"/>
      <w:spacing w:line="360" w:lineRule="auto"/>
    </w:pPr>
    <w:rPr>
      <w:rFonts w:ascii="宋体" w:hAnsi="宋体" w:eastAsia="宋体" w:cs="Times New Roman"/>
      <w:sz w:val="24"/>
      <w:szCs w:val="21"/>
      <w:lang w:val="en-US" w:eastAsia="zh-CN" w:bidi="ar-SA"/>
    </w:rPr>
  </w:style>
  <w:style w:type="paragraph" w:styleId="1157" w:customStyle="1">
    <w:name w:val="p0"/>
    <w:basedOn w:val="820"/>
    <w:uiPriority w:val="0"/>
    <w:qFormat/>
    <w:pPr>
      <w:widowControl/>
    </w:pPr>
    <w:rPr>
      <w:szCs w:val="21"/>
    </w:rPr>
  </w:style>
  <w:style w:type="paragraph" w:styleId="1158" w:customStyle="1">
    <w:name w:val="msonormal"/>
    <w:basedOn w:val="820"/>
    <w:uiPriority w:val="0"/>
    <w:qFormat/>
    <w:pPr>
      <w:jc w:val="left"/>
      <w:spacing w:before="100" w:beforeAutospacing="1" w:after="100" w:afterAutospacing="1"/>
      <w:widowControl/>
    </w:pPr>
    <w:rPr>
      <w:rFonts w:ascii="宋体" w:hAnsi="宋体" w:cs="宋体"/>
      <w:sz w:val="24"/>
      <w:szCs w:val="24"/>
    </w:rPr>
  </w:style>
  <w:style w:type="paragraph" w:styleId="1159" w:customStyle="1">
    <w:name w:val="font5"/>
    <w:basedOn w:val="820"/>
    <w:uiPriority w:val="0"/>
    <w:qFormat/>
    <w:pPr>
      <w:jc w:val="left"/>
      <w:spacing w:before="100" w:beforeAutospacing="1" w:after="100" w:afterAutospacing="1"/>
      <w:widowControl/>
    </w:pPr>
    <w:rPr>
      <w:rFonts w:ascii="宋体" w:hAnsi="宋体" w:cs="宋体"/>
      <w:sz w:val="18"/>
      <w:szCs w:val="18"/>
    </w:rPr>
  </w:style>
  <w:style w:type="paragraph" w:styleId="1160" w:customStyle="1">
    <w:name w:val="font6"/>
    <w:basedOn w:val="820"/>
    <w:uiPriority w:val="0"/>
    <w:qFormat/>
    <w:pPr>
      <w:jc w:val="left"/>
      <w:spacing w:before="100" w:beforeAutospacing="1" w:after="100" w:afterAutospacing="1"/>
      <w:widowControl/>
    </w:pPr>
    <w:rPr>
      <w:rFonts w:ascii="Calibri" w:hAnsi="Calibri" w:cs="Calibri"/>
      <w:sz w:val="18"/>
      <w:szCs w:val="18"/>
    </w:rPr>
  </w:style>
  <w:style w:type="paragraph" w:styleId="1161" w:customStyle="1">
    <w:name w:val="xl84"/>
    <w:basedOn w:val="820"/>
    <w:uiPriority w:val="0"/>
    <w:qFormat/>
    <w:pPr>
      <w:jc w:val="left"/>
      <w:spacing w:before="100" w:beforeAutospacing="1" w:after="100" w:afterAutospacing="1"/>
      <w:widowControl/>
    </w:pPr>
    <w:rPr>
      <w:rFonts w:ascii="宋体" w:hAnsi="宋体" w:cs="宋体"/>
      <w:color w:val="000000"/>
      <w:sz w:val="24"/>
      <w:szCs w:val="24"/>
    </w:rPr>
  </w:style>
  <w:style w:type="paragraph" w:styleId="1162" w:customStyle="1">
    <w:name w:val="xl85"/>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3" w:customStyle="1">
    <w:name w:val="xl86"/>
    <w:basedOn w:val="820"/>
    <w:uiPriority w:val="0"/>
    <w:qFormat/>
    <w:pPr>
      <w:jc w:val="left"/>
      <w:spacing w:before="100" w:beforeAutospacing="1" w:after="100" w:afterAutospacing="1"/>
      <w:widowControl/>
    </w:pPr>
    <w:rPr>
      <w:rFonts w:ascii="宋体" w:hAnsi="宋体" w:cs="宋体"/>
      <w:sz w:val="24"/>
      <w:szCs w:val="24"/>
    </w:rPr>
  </w:style>
  <w:style w:type="paragraph" w:styleId="1164" w:customStyle="1">
    <w:name w:val="xl87"/>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165" w:customStyle="1">
    <w:name w:val="xl88"/>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166" w:customStyle="1">
    <w:name w:val="xl89"/>
    <w:basedOn w:val="820"/>
    <w:uiPriority w:val="0"/>
    <w:qFormat/>
    <w:pPr>
      <w:jc w:val="left"/>
      <w:spacing w:before="100" w:beforeAutospacing="1" w:after="100" w:afterAutospacing="1"/>
      <w:widowControl/>
    </w:pPr>
    <w:rPr>
      <w:rFonts w:ascii="宋体" w:hAnsi="宋体" w:cs="宋体"/>
      <w:sz w:val="24"/>
      <w:szCs w:val="24"/>
    </w:rPr>
  </w:style>
  <w:style w:type="paragraph" w:styleId="1167" w:customStyle="1">
    <w:name w:val="xl90"/>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68" w:customStyle="1">
    <w:name w:val="xl91"/>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69" w:customStyle="1">
    <w:name w:val="xl92"/>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0" w:customStyle="1">
    <w:name w:val="xl93"/>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1" w:customStyle="1">
    <w:name w:val="xl94"/>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2" w:customStyle="1">
    <w:name w:val="xl95"/>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8"/>
      <w:szCs w:val="18"/>
    </w:rPr>
  </w:style>
  <w:style w:type="paragraph" w:styleId="1173" w:customStyle="1">
    <w:name w:val="xl96"/>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74" w:customStyle="1">
    <w:name w:val="xl97"/>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75" w:customStyle="1">
    <w:name w:val="xl98"/>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76" w:customStyle="1">
    <w:name w:val="xl99"/>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7" w:customStyle="1">
    <w:name w:val="xl100"/>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78" w:customStyle="1">
    <w:name w:val="xl101"/>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9" w:customStyle="1">
    <w:name w:val="xl102"/>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80" w:customStyle="1">
    <w:name w:val="xl103"/>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181" w:customStyle="1">
    <w:name w:val="xl104"/>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82" w:customStyle="1">
    <w:name w:val="xl105"/>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83" w:customStyle="1">
    <w:name w:val="xl106"/>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84" w:customStyle="1">
    <w:name w:val="xl107"/>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85" w:customStyle="1">
    <w:name w:val="xl108"/>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86" w:customStyle="1">
    <w:name w:val="xl109"/>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87" w:customStyle="1">
    <w:name w:val="xl110"/>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88" w:customStyle="1">
    <w:name w:val="xl111"/>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89" w:customStyle="1">
    <w:name w:val="xl112"/>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90" w:customStyle="1">
    <w:name w:val="xl113"/>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91" w:customStyle="1">
    <w:name w:val="xl115"/>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92" w:customStyle="1">
    <w:name w:val="xl116"/>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93" w:customStyle="1">
    <w:name w:val="xl117"/>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94" w:customStyle="1">
    <w:name w:val="xl118"/>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95" w:customStyle="1">
    <w:name w:val="xl119"/>
    <w:basedOn w:val="820"/>
    <w:uiPriority w:val="0"/>
    <w:qFormat/>
    <w:pPr>
      <w:jc w:val="center"/>
      <w:spacing w:before="100" w:beforeAutospacing="1" w:after="100" w:afterAutospacing="1"/>
      <w:widowControl/>
    </w:pPr>
    <w:rPr>
      <w:rFonts w:ascii="宋体" w:hAnsi="宋体" w:cs="宋体"/>
      <w:sz w:val="24"/>
      <w:szCs w:val="24"/>
    </w:rPr>
  </w:style>
  <w:style w:type="paragraph" w:styleId="1196" w:customStyle="1">
    <w:name w:val="xl120"/>
    <w:basedOn w:val="820"/>
    <w:uiPriority w:val="0"/>
    <w:qFormat/>
    <w:pPr>
      <w:jc w:val="center"/>
      <w:spacing w:before="100" w:beforeAutospacing="1" w:after="100" w:afterAutospacing="1"/>
      <w:widowControl/>
    </w:pPr>
    <w:rPr>
      <w:rFonts w:ascii="宋体" w:hAnsi="宋体" w:cs="宋体"/>
      <w:sz w:val="24"/>
      <w:szCs w:val="24"/>
    </w:rPr>
  </w:style>
  <w:style w:type="paragraph" w:styleId="1197" w:customStyle="1">
    <w:name w:val="xl121"/>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98" w:customStyle="1">
    <w:name w:val="xl122"/>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99" w:customStyle="1">
    <w:name w:val="xl123"/>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200" w:customStyle="1">
    <w:name w:val="xl124"/>
    <w:basedOn w:val="82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201" w:customStyle="1">
    <w:name w:val="xl125"/>
    <w:basedOn w:val="820"/>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1202" w:customStyle="1">
    <w:name w:val="xl126"/>
    <w:basedOn w:val="82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203" w:customStyle="1">
    <w:name w:val="xl114"/>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04" w:customStyle="1">
    <w:name w:val="xl127"/>
    <w:basedOn w:val="820"/>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205" w:customStyle="1">
    <w:name w:val="xl128"/>
    <w:basedOn w:val="820"/>
    <w:uiPriority w:val="0"/>
    <w:qFormat/>
    <w:pPr>
      <w:jc w:val="center"/>
      <w:spacing w:before="100" w:beforeAutospacing="1" w:after="100" w:afterAutospacing="1"/>
      <w:shd w:val="clear" w:color="000000" w:fill="d9e1f2"/>
      <w:widowControl/>
      <w:pBdr>
        <w:top w:val="single" w:color="auto" w:sz="4" w:space="0"/>
        <w:left w:val="single" w:color="auto" w:sz="4" w:space="0"/>
        <w:bottom w:val="single" w:color="auto" w:sz="4" w:space="0"/>
        <w:right w:val="single" w:color="auto" w:sz="4" w:space="0"/>
      </w:pBdr>
    </w:pPr>
    <w:rPr>
      <w:rFonts w:ascii="宋体" w:hAnsi="宋体" w:cs="宋体"/>
      <w:b/>
      <w:bCs/>
      <w:sz w:val="30"/>
      <w:szCs w:val="30"/>
    </w:rPr>
  </w:style>
  <w:style w:type="paragraph" w:styleId="1206" w:customStyle="1">
    <w:name w:val="xl129"/>
    <w:basedOn w:val="820"/>
    <w:uiPriority w:val="0"/>
    <w:qFormat/>
    <w:pPr>
      <w:jc w:val="center"/>
      <w:spacing w:before="100" w:beforeAutospacing="1" w:after="100" w:afterAutospacing="1"/>
      <w:shd w:val="clear" w:color="000000" w:fill="d9e1f2"/>
      <w:widowControl/>
      <w:pBdr>
        <w:top w:val="single" w:color="auto" w:sz="4" w:space="0"/>
        <w:left w:val="single" w:color="auto" w:sz="4" w:space="0"/>
        <w:bottom w:val="single" w:color="auto" w:sz="4" w:space="0"/>
      </w:pBdr>
    </w:pPr>
    <w:rPr>
      <w:rFonts w:ascii="宋体" w:hAnsi="宋体" w:cs="宋体"/>
      <w:sz w:val="24"/>
      <w:szCs w:val="24"/>
    </w:rPr>
  </w:style>
  <w:style w:type="paragraph" w:styleId="1207" w:customStyle="1">
    <w:name w:val="xl130"/>
    <w:basedOn w:val="820"/>
    <w:uiPriority w:val="0"/>
    <w:qFormat/>
    <w:pPr>
      <w:jc w:val="center"/>
      <w:spacing w:before="100" w:beforeAutospacing="1" w:after="100" w:afterAutospacing="1"/>
      <w:shd w:val="clear" w:color="000000" w:fill="d9e1f2"/>
      <w:widowControl/>
      <w:pBdr>
        <w:top w:val="single" w:color="auto" w:sz="4" w:space="0"/>
        <w:bottom w:val="single" w:color="auto" w:sz="4" w:space="0"/>
      </w:pBdr>
    </w:pPr>
    <w:rPr>
      <w:rFonts w:ascii="宋体" w:hAnsi="宋体" w:cs="宋体"/>
      <w:sz w:val="24"/>
      <w:szCs w:val="24"/>
    </w:rPr>
  </w:style>
  <w:style w:type="paragraph" w:styleId="1208" w:customStyle="1">
    <w:name w:val="xl131"/>
    <w:basedOn w:val="820"/>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209" w:customStyle="1">
    <w:name w:val="xl132"/>
    <w:basedOn w:val="820"/>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4"/>
      <w:szCs w:val="24"/>
    </w:rPr>
  </w:style>
  <w:style w:type="paragraph" w:styleId="1210" w:customStyle="1">
    <w:name w:val="xl133"/>
    <w:basedOn w:val="820"/>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4"/>
      <w:szCs w:val="24"/>
    </w:rPr>
  </w:style>
  <w:style w:type="paragraph" w:styleId="1211" w:customStyle="1">
    <w:name w:val="xl134"/>
    <w:basedOn w:val="82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212" w:customStyle="1">
    <w:name w:val="xl135"/>
    <w:basedOn w:val="820"/>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1213" w:customStyle="1">
    <w:name w:val="xl136"/>
    <w:basedOn w:val="82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214" w:customStyle="1">
    <w:name w:val="xl137"/>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215" w:customStyle="1">
    <w:name w:val="_Style 227"/>
    <w:uiPriority w:val="99"/>
    <w:semiHidden/>
    <w:qFormat/>
    <w:rPr>
      <w:rFonts w:ascii="等线" w:hAnsi="等线" w:eastAsia="等线" w:cs="Times New Roman"/>
      <w:sz w:val="21"/>
      <w:szCs w:val="22"/>
      <w:lang w:val="en-US" w:eastAsia="zh-CN" w:bidi="ar-SA"/>
    </w:rPr>
  </w:style>
  <w:style w:type="paragraph" w:styleId="1216" w:customStyle="1">
    <w:name w:val="正文_0"/>
    <w:next w:val="820"/>
    <w:uiPriority w:val="3"/>
    <w:qFormat/>
    <w:pPr>
      <w:jc w:val="both"/>
      <w:widowControl w:val="off"/>
    </w:pPr>
    <w:rPr>
      <w:rFonts w:ascii="Calibri" w:hAnsi="Calibri" w:eastAsia="宋体" w:cs="Times New Roman"/>
      <w:sz w:val="21"/>
      <w:lang w:val="en-US" w:eastAsia="zh-CN" w:bidi="ar-SA"/>
    </w:rPr>
  </w:style>
  <w:style w:type="paragraph" w:styleId="1217" w:customStyle="1">
    <w:name w:val="Char Char Char Char Char Char Char1 Char"/>
    <w:basedOn w:val="820"/>
    <w:uiPriority w:val="0"/>
    <w:qFormat/>
    <w:rPr>
      <w:rFonts w:ascii="Tahoma" w:hAnsi="Tahoma"/>
      <w:sz w:val="24"/>
      <w:szCs w:val="24"/>
    </w:rPr>
  </w:style>
  <w:style w:type="paragraph" w:styleId="1218" w:customStyle="1">
    <w:name w:val="TOC 11"/>
    <w:basedOn w:val="820"/>
    <w:next w:val="820"/>
    <w:uiPriority w:val="0"/>
    <w:qFormat/>
  </w:style>
  <w:style w:type="paragraph" w:styleId="1219" w:customStyle="1">
    <w:name w:val="标题 71"/>
    <w:basedOn w:val="820"/>
    <w:next w:val="820"/>
    <w:link w:val="1220"/>
    <w:uiPriority w:val="9"/>
    <w:unhideWhenUsed/>
    <w:qFormat/>
    <w:pPr>
      <w:keepLines/>
      <w:keepNext/>
      <w:spacing w:before="320" w:after="200"/>
      <w:outlineLvl w:val="6"/>
    </w:pPr>
    <w:rPr>
      <w:rFonts w:ascii="Arial" w:hAnsi="Arial" w:eastAsia="Arial"/>
      <w:b/>
      <w:bCs/>
      <w:i/>
      <w:iCs/>
      <w:sz w:val="22"/>
    </w:rPr>
  </w:style>
  <w:style w:type="character" w:styleId="1220" w:customStyle="1">
    <w:name w:val="Heading 7 Char"/>
    <w:link w:val="1219"/>
    <w:uiPriority w:val="9"/>
    <w:qFormat/>
    <w:rPr>
      <w:rFonts w:ascii="Arial" w:hAnsi="Arial" w:eastAsia="Arial" w:cs="Arial"/>
      <w:b/>
      <w:bCs/>
      <w:i/>
      <w:iCs/>
      <w:sz w:val="22"/>
      <w:szCs w:val="22"/>
    </w:rPr>
  </w:style>
  <w:style w:type="paragraph" w:styleId="1221" w:customStyle="1">
    <w:name w:val="正文文本缩进1"/>
    <w:basedOn w:val="820"/>
    <w:next w:val="820"/>
    <w:uiPriority w:val="99"/>
    <w:unhideWhenUsed/>
    <w:qFormat/>
    <w:pPr>
      <w:ind w:firstLine="540"/>
      <w:spacing w:line="400" w:lineRule="exact"/>
    </w:pPr>
    <w:rPr>
      <w:sz w:val="24"/>
    </w:rPr>
  </w:style>
  <w:style w:type="character" w:styleId="1222" w:customStyle="1">
    <w:name w:val="font31"/>
    <w:basedOn w:val="830"/>
    <w:uiPriority w:val="0"/>
    <w:qFormat/>
    <w:rPr>
      <w:rFonts w:hint="eastAsia" w:ascii="宋体" w:hAnsi="宋体" w:eastAsia="宋体" w:cs="宋体"/>
      <w:color w:val="000000"/>
      <w:sz w:val="24"/>
      <w:szCs w:val="24"/>
      <w:u w:val="none"/>
      <w:vertAlign w:val="superscript"/>
    </w:rPr>
  </w:style>
  <w:style w:type="paragraph" w:styleId="1223" w:customStyle="1">
    <w:name w:val="正文文本11"/>
    <w:basedOn w:val="820"/>
    <w:next w:val="820"/>
    <w:uiPriority w:val="0"/>
    <w:qFormat/>
    <w:rPr>
      <w:rFonts w:ascii="楷体_GB2312" w:hAnsi="Arial" w:eastAsia="楷体_GB2312"/>
      <w:sz w:val="28"/>
      <w:szCs w:val="28"/>
    </w:rPr>
  </w:style>
  <w:style w:type="paragraph" w:styleId="1224" w:customStyle="1">
    <w:name w:val="Table Text"/>
    <w:basedOn w:val="820"/>
    <w:uiPriority w:val="0"/>
    <w:semiHidden/>
    <w:qFormat/>
    <w:rPr>
      <w:rFonts w:ascii="宋体" w:hAnsi="宋体" w:cs="宋体"/>
      <w:sz w:val="18"/>
      <w:szCs w:val="18"/>
      <w:lang w:eastAsia="en-US"/>
    </w:rPr>
  </w:style>
  <w:style w:type="table" w:styleId="1225" w:customStyle="1">
    <w:name w:val="Table Normal"/>
    <w:uiPriority w:val="0"/>
    <w:semiHidden/>
    <w:unhideWhenUsed/>
    <w:qFormat/>
    <w:tblPr>
      <w:tblCellMar>
        <w:left w:w="0" w:type="dxa"/>
        <w:top w:w="0" w:type="dxa"/>
        <w:right w:w="0" w:type="dxa"/>
        <w:bottom w:w="0" w:type="dxa"/>
      </w:tblCellMar>
    </w:tblPr>
  </w:style>
  <w:style w:type="paragraph" w:styleId="1226" w:customStyle="1">
    <w:name w:val="首行缩进"/>
    <w:basedOn w:val="820"/>
    <w:uiPriority w:val="0"/>
    <w:qFormat/>
    <w:pPr>
      <w:ind w:firstLine="420"/>
      <w:spacing w:line="360" w:lineRule="auto"/>
    </w:pPr>
  </w:style>
  <w:style w:type="character" w:styleId="1227" w:customStyle="1">
    <w:name w:val="A13"/>
    <w:uiPriority w:val="99"/>
    <w:qFormat/>
    <w:rPr>
      <w:rFonts w:cs="......."/>
      <w:color w:val="000000"/>
      <w:sz w:val="11"/>
      <w:szCs w:val="11"/>
    </w:rPr>
  </w:style>
  <w:style w:type="paragraph" w:styleId="1228" w:customStyle="1">
    <w:name w:val="索引 91"/>
    <w:basedOn w:val="820"/>
    <w:next w:val="820"/>
    <w:uiPriority w:val="0"/>
    <w:qFormat/>
    <w:pPr>
      <w:ind w:left="1600"/>
    </w:pPr>
  </w:style>
  <w:style w:type="numbering" w:styleId="12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WjwZc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林祖超</cp:lastModifiedBy>
  <cp:revision>39</cp:revision>
  <dcterms:created xsi:type="dcterms:W3CDTF">2024-10-14T08:05:00Z</dcterms:created>
  <dcterms:modified xsi:type="dcterms:W3CDTF">2026-07-02T11:22:32Z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5F0F15556D3045B1A60CA659DD49D4E4_13</vt:lpwstr>
  </property>
  <property fmtid="{D5CDD505-2E9C-101B-9397-08002B2CF9AE}" pid="4" name="KSOTemplateDocerSaveRecord">
    <vt:lpwstr>eyJoZGlkIjoiZTVkNzQ3OWEyMTdhMmNjZTE0YWI3MmE4NDZlMmFlODAiLCJ1c2VySWQiOiI0MTk2MzY1OTUifQ==</vt:lpwstr>
  </property>
</Properties>
</file>