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JSZC-321092-SWGC-G2026-0095号</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扬州市宋夹城风景区管理处宋夹城景区</w:t>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2026年园林绿化管理项目</w:t>
      </w:r>
      <w:r>
        <w:rPr>
          <w:rFonts w:hint="eastAsia" w:ascii="宋体" w:hAnsi="宋体" w:cs="宋体"/>
          <w:b/>
          <w:bCs/>
          <w:color w:val="auto"/>
          <w:spacing w:val="-17"/>
          <w:sz w:val="36"/>
          <w:highlight w:val="none"/>
          <w:lang w:eastAsia="zh-CN"/>
        </w:rPr>
        <w:t xml:space="preserve">（</w:t>
      </w:r>
      <w:r>
        <w:rPr>
          <w:rFonts w:hint="eastAsia" w:ascii="宋体" w:hAnsi="宋体" w:cs="宋体"/>
          <w:b/>
          <w:bCs/>
          <w:color w:val="auto"/>
          <w:spacing w:val="-17"/>
          <w:sz w:val="36"/>
          <w:highlight w:val="none"/>
          <w:lang w:val="en-US" w:eastAsia="zh-CN"/>
        </w:rPr>
        <w:t xml:space="preserve">二次</w:t>
      </w:r>
      <w:r>
        <w:rPr>
          <w:rFonts w:hint="eastAsia" w:ascii="宋体" w:hAnsi="宋体" w:cs="宋体"/>
          <w:b/>
          <w:bCs/>
          <w:color w:val="auto"/>
          <w:spacing w:val="-17"/>
          <w:sz w:val="36"/>
          <w:highlight w:val="none"/>
          <w:lang w:eastAsia="zh-CN"/>
        </w:rPr>
        <w:t xml:space="preserve">）</w:t>
      </w:r>
      <w:r>
        <w:rPr>
          <w:rFonts w:hint="eastAsia" w:ascii="宋体" w:hAnsi="宋体" w:eastAsia="宋体" w:cs="宋体"/>
          <w:b/>
          <w:bCs/>
          <w:color w:val="auto"/>
          <w:spacing w:val="-17"/>
          <w:sz w:val="36"/>
          <w:highlight w:val="none"/>
          <w:lang w:eastAsia="zh-CN"/>
        </w:rPr>
        <w:t xml:space="preserve">公开招标文件</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keepLines w:val="0"/>
        <w:keepNext w:val="0"/>
        <w:pageBreakBefore w:val="0"/>
        <w:spacing w:line="360" w:lineRule="auto"/>
        <w:widowControl w:val="off"/>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7</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27</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50"/>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_Toc25680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40</w:t>
      </w:r>
      <w:r>
        <w:rPr>
          <w:rFonts w:hint="eastAsia" w:ascii="宋体" w:hAnsi="宋体" w:eastAsia="宋体" w:cs="宋体"/>
          <w:color w:val="auto"/>
          <w:sz w:val="24"/>
          <w:szCs w:val="24"/>
          <w:highlight w:val="none"/>
        </w:rPr>
        <w:fldChar w:fldCharType="end"/>
      </w:r>
      <w:r/>
    </w:p>
    <w:p>
      <w:pPr>
        <w:pStyle w:val="830"/>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_Toc3093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45</w:t>
      </w:r>
      <w:r>
        <w:rPr>
          <w:rFonts w:hint="eastAsia" w:ascii="宋体" w:hAnsi="宋体" w:eastAsia="宋体" w:cs="宋体"/>
          <w:color w:val="auto"/>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806"/>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806"/>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扬州市宋夹城风景区管理处</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扬州市宋夹城风景区管理处宋夹城景区2026年园林绿化管理项目（二次）（</w:t>
      </w:r>
      <w:r>
        <w:rPr>
          <w:rFonts w:hint="eastAsia" w:ascii="宋体" w:hAnsi="宋体" w:cs="宋体"/>
          <w:color w:val="auto"/>
          <w:szCs w:val="21"/>
          <w:highlight w:val="none"/>
          <w:lang w:eastAsia="zh-CN"/>
        </w:rPr>
        <w:t xml:space="preserve">JSZC-321092-SWGC-G2026-0095号）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扬州市宋夹城风景区管理处宋夹城景区2026年园林绿化管理项目（二次）JSZC-321092-SWGC-G2026-0095</w:t>
      </w:r>
      <w:r>
        <w:rPr>
          <w:rFonts w:hint="eastAsia" w:ascii="宋体" w:hAnsi="宋体" w:cs="宋体"/>
          <w:color w:val="auto"/>
          <w:highlight w:val="none"/>
          <w:lang w:eastAsia="zh-CN"/>
        </w:rPr>
        <w:t xml:space="preserve"> 招标项目的潜在投标人应在</w:t>
      </w:r>
      <w:r>
        <w:rPr>
          <w:rFonts w:hint="eastAsia" w:ascii="宋体" w:hAnsi="宋体" w:cs="宋体"/>
          <w:color w:val="auto"/>
          <w:highlight w:val="none"/>
          <w:u w:val="single"/>
          <w:lang w:eastAsia="zh-CN"/>
        </w:rPr>
        <w:t xml:space="preserve">“扬州市政府采购网”“江苏政府采购网”和“中国政府采购网”自行免费下载 </w:t>
      </w:r>
      <w:r>
        <w:rPr>
          <w:rFonts w:hint="eastAsia" w:ascii="宋体" w:hAnsi="宋体" w:cs="宋体"/>
          <w:color w:val="auto"/>
          <w:highlight w:val="none"/>
          <w:lang w:eastAsia="zh-CN"/>
        </w:rPr>
        <w:t xml:space="preserve">获取招标文件，并于</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年8月17日下午3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lang w:eastAsia="zh-CN"/>
        </w:rPr>
        <w:t xml:space="preserve">（北京时间）前递交投标文件。</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2" w:name="_Toc38985263"/>
      <w:r/>
      <w:bookmarkStart w:id="3" w:name="_Toc35393621"/>
      <w:r/>
      <w:bookmarkStart w:id="4" w:name="_Toc35393790"/>
      <w:r/>
      <w:bookmarkStart w:id="5" w:name="_Toc28359079"/>
      <w:r/>
      <w:bookmarkStart w:id="6" w:name="_Toc28359002"/>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JSZC-321092-SWGC-G2026-0095号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扬州市宋夹城风景区管理处宋夹城景区2026年园林绿化管理项目（二次）</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816"/>
        <w:tblW w:w="27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783"/>
      </w:tblGrid>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142.96</w:t>
            </w:r>
            <w:r/>
          </w:p>
        </w:tc>
      </w:tr>
    </w:tbl>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81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142.96</w:t>
            </w:r>
            <w:r/>
          </w:p>
        </w:tc>
      </w:tr>
    </w:tbl>
    <w:p>
      <w:pPr>
        <w:ind w:firstLine="420"/>
        <w:keepLines w:val="0"/>
        <w:keepNext w:val="0"/>
        <w:pageBreakBefore w:val="0"/>
        <w:spacing w:line="360" w:lineRule="auto"/>
        <w:widowControl w:val="off"/>
        <w:rPr>
          <w:rFonts w:hint="eastAsia" w:ascii="宋体" w:hAnsi="宋体" w:cs="宋体"/>
          <w:color w:val="auto"/>
          <w:highlight w:val="none"/>
          <w:u w:val="single"/>
        </w:rPr>
      </w:pPr>
      <w:r>
        <w:rPr>
          <w:rFonts w:hint="eastAsia" w:ascii="宋体" w:hAnsi="宋体" w:cs="宋体"/>
          <w:color w:val="auto"/>
          <w:highlight w:val="none"/>
        </w:rPr>
        <w:t xml:space="preserve">5.采购需求：景区原绿化养护即将到期，为了保证景区绿化养护的正常进行，拟通过公开招标方式确定下一年的绿化养护单位</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具体详</w:t>
      </w:r>
      <w:r>
        <w:rPr>
          <w:rFonts w:hint="eastAsia" w:ascii="宋体" w:hAnsi="宋体" w:cs="宋体"/>
          <w:color w:val="auto"/>
          <w:highlight w:val="none"/>
        </w:rPr>
        <w:t xml:space="preserve">见招标文件第四章。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6.合同履行期限：</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  </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8" w:name="_Toc38985264"/>
      <w:r/>
      <w:bookmarkStart w:id="9" w:name="_Toc28359003"/>
      <w:r/>
      <w:bookmarkStart w:id="10" w:name="_Toc35393791"/>
      <w:r/>
      <w:bookmarkStart w:id="11" w:name="_Toc35393622"/>
      <w:r/>
      <w:bookmarkStart w:id="12" w:name="_Toc28359080"/>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13" w:name="_Toc35393792"/>
      <w:r/>
      <w:bookmarkStart w:id="14" w:name="_Toc35393623"/>
      <w:r/>
      <w:bookmarkStart w:id="15" w:name="_Toc28359081"/>
      <w:r/>
      <w:bookmarkStart w:id="16" w:name="_Toc38985265"/>
      <w:r/>
      <w:bookmarkStart w:id="17" w:name="_Toc28359004"/>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Cs w:val="21"/>
          <w:highlight w:val="none"/>
          <w:u w:val="single"/>
          <w:lang w:val="en-US" w:eastAsia="zh-CN"/>
        </w:rPr>
        <w:t xml:space="preserve">1.7法律、行政法规规定的其他条件；</w:t>
      </w:r>
      <w:bookmarkStart w:id="110" w:name="_GoBack"/>
      <w:r/>
      <w:bookmarkEnd w:id="110"/>
      <w:r/>
      <w:r/>
    </w:p>
    <w:p>
      <w:pPr>
        <w:ind w:firstLine="420"/>
        <w:keepLines w:val="0"/>
        <w:keepNext w:val="0"/>
        <w:pageBreakBefore w:val="0"/>
        <w:spacing w:line="36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2.</w:t>
      </w:r>
      <w:r>
        <w:rPr>
          <w:rFonts w:hint="eastAsia" w:ascii="宋体" w:hAnsi="宋体" w:cs="宋体"/>
          <w:color w:val="auto"/>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keepLines w:val="0"/>
        <w:keepNext w:val="0"/>
        <w:pageBreakBefore w:val="0"/>
        <w:spacing w:line="360" w:lineRule="auto"/>
        <w:widowControl w:val="off"/>
        <w:rPr>
          <w:rFonts w:hint="eastAsia" w:ascii="宋体" w:hAnsi="宋体" w:cs="宋体"/>
          <w:b/>
          <w:bCs/>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lang w:eastAsia="zh-CN"/>
        </w:rPr>
        <w:t xml:space="preserve">本项目专门面向中小微型企业采购。残疾人福利性单位、监狱和戒毒企业（简称监狱企业）视同小型、微型企业。（</w:t>
      </w:r>
      <w:r>
        <w:rPr>
          <w:rFonts w:hint="eastAsia" w:ascii="宋体" w:hAnsi="宋体" w:cs="宋体"/>
          <w:i/>
          <w:iCs/>
          <w:color w:val="auto"/>
          <w:sz w:val="21"/>
          <w:szCs w:val="21"/>
          <w:highlight w:val="none"/>
          <w:u w:val="single"/>
          <w:lang w:val="en-US" w:eastAsia="zh-CN"/>
        </w:rPr>
        <w:t xml:space="preserve">供应商</w:t>
      </w:r>
      <w:r>
        <w:rPr>
          <w:rFonts w:hint="eastAsia" w:ascii="宋体" w:hAnsi="宋体" w:cs="宋体"/>
          <w:i/>
          <w:iCs/>
          <w:color w:val="auto"/>
          <w:sz w:val="21"/>
          <w:szCs w:val="21"/>
          <w:highlight w:val="none"/>
          <w:u w:val="single"/>
          <w:lang w:eastAsia="zh-CN"/>
        </w:rPr>
        <w:t xml:space="preserve">按要求填写并提供《中小微企业声明函》或《残疾人福利性单位声明函》，或提供由省级以上监狱管理局、戒毒管理局（含新疆生产建设兵团）出具的属于监狱企业的证明文件。）</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816"/>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1793"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是否接受联合体投标（是/否）</w:t>
            </w:r>
            <w:r/>
          </w:p>
        </w:tc>
        <w:tc>
          <w:tcPr>
            <w:tcW w:w="1900"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该采购包中联合体成员数量上限</w:t>
            </w:r>
            <w:r/>
          </w:p>
        </w:tc>
      </w:tr>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9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否</w:t>
            </w:r>
            <w:r/>
          </w:p>
        </w:tc>
        <w:tc>
          <w:tcPr>
            <w:tcW w:w="190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w:t>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.进口产品投标</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468"/>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center"/>
            <w:textDirection w:val="lrTb"/>
            <w:noWrap w:val="false"/>
          </w:tcPr>
          <w:p>
            <w:pPr>
              <w:ind w:left="0" w:right="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textDirection w:val="lrTb"/>
            <w:noWrap w:val="false"/>
          </w:tcPr>
          <w:p>
            <w:pPr>
              <w:ind w:left="0" w:right="0"/>
              <w:jc w:val="center"/>
              <w:keepLines w:val="0"/>
              <w:keepNext w:val="0"/>
              <w:spacing w:before="0" w:beforeAutospacing="0" w:after="0" w:afterAutospacing="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）本项目的特定资格要求：</w:t>
      </w:r>
      <w:r/>
    </w:p>
    <w:tbl>
      <w:tblPr>
        <w:tblStyle w:val="816"/>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特定</w:t>
            </w:r>
            <w:r>
              <w:rPr>
                <w:rFonts w:hint="default" w:ascii="宋体" w:hAnsi="宋体"/>
                <w:color w:val="auto"/>
                <w:sz w:val="21"/>
                <w:szCs w:val="21"/>
                <w:highlight w:val="none"/>
              </w:rPr>
              <w:t xml:space="preserve">资格要求</w:t>
            </w:r>
            <w:r/>
          </w:p>
        </w:tc>
      </w:tr>
      <w:tr>
        <w:trPr>
          <w:trHeight w:val="435"/>
        </w:trPr>
        <w:tc>
          <w:tcPr>
            <w:tcW w:w="213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2864"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olor w:val="auto"/>
                <w:sz w:val="21"/>
                <w:szCs w:val="21"/>
                <w:highlight w:val="none"/>
                <w:lang w:eastAsia="zh-CN"/>
              </w:rPr>
              <w:suppressLineNumbers w:val="0"/>
            </w:pPr>
            <w:r>
              <w:rPr>
                <w:rFonts w:hint="eastAsia" w:ascii="宋体" w:hAnsi="宋体"/>
                <w:color w:val="auto"/>
                <w:sz w:val="21"/>
                <w:szCs w:val="21"/>
                <w:highlight w:val="none"/>
                <w:lang w:val="en-US" w:eastAsia="zh-CN"/>
              </w:rPr>
              <w:t xml:space="preserve">无</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除单一来源采购项目外，为采购项目提供整体设计、规范编制或者项目管理、监理、检测等服务的供应商，不得再参加该采购项目的其他采购活动</w:t>
      </w:r>
      <w:r>
        <w:rPr>
          <w:rFonts w:hint="eastAsia" w:ascii="宋体" w:hAnsi="宋体" w:cs="宋体"/>
          <w:color w:val="auto"/>
          <w:szCs w:val="24"/>
          <w:highlight w:val="none"/>
          <w:lang w:eastAsia="zh-CN"/>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highlight w:val="none"/>
        </w:rPr>
      </w:pPr>
      <w:r/>
      <w:bookmarkStart w:id="18" w:name="_Toc28359082"/>
      <w:r/>
      <w:bookmarkStart w:id="19" w:name="_Toc28359005"/>
      <w:r/>
      <w:bookmarkStart w:id="20" w:name="_Toc38985266"/>
      <w:r/>
      <w:bookmarkStart w:id="21" w:name="_Toc35393624"/>
      <w:r/>
      <w:bookmarkStart w:id="22"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2.获取方式：</w:t>
      </w:r>
      <w:r>
        <w:rPr>
          <w:rFonts w:hint="eastAsia" w:ascii="宋体" w:hAnsi="宋体" w:cs="宋体"/>
          <w:b w:val="0"/>
          <w:bCs w:val="0"/>
          <w:color w:val="auto"/>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年8月17日下午3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3" w:name="_Toc35393625"/>
      <w:r/>
      <w:bookmarkStart w:id="24" w:name="_Toc28359084"/>
      <w:r/>
      <w:bookmarkStart w:id="25" w:name="_Toc35393794"/>
      <w:r/>
      <w:bookmarkStart w:id="26" w:name="_Toc38985267"/>
      <w:r/>
      <w:bookmarkStart w:id="27" w:name="_Toc28359007"/>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cs="宋体"/>
          <w:color w:val="auto"/>
          <w:highlight w:val="none"/>
        </w:rPr>
      </w:pPr>
      <w:r/>
      <w:bookmarkStart w:id="28" w:name="_Toc35393626"/>
      <w:r/>
      <w:bookmarkStart w:id="29" w:name="_Toc38985268"/>
      <w:r/>
      <w:bookmarkStart w:id="30" w:name="_Toc35393795"/>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cs="宋体"/>
          <w:b/>
          <w:bCs/>
          <w:color w:val="auto"/>
          <w:highlight w:val="none"/>
        </w:rPr>
      </w:pPr>
      <w:r/>
      <w:bookmarkStart w:id="31" w:name="_Toc35393796"/>
      <w:r/>
      <w:bookmarkStart w:id="32" w:name="_Toc38985269"/>
      <w:r/>
      <w:bookmarkStart w:id="33" w:name="_Toc28359085"/>
      <w:r/>
      <w:bookmarkStart w:id="34" w:name="_Toc35393627"/>
      <w:r/>
      <w:bookmarkStart w:id="35" w:name="_Toc28359008"/>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6" w:name="_Toc28359010"/>
      <w:r/>
      <w:bookmarkStart w:id="37" w:name="_Toc28359087"/>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扬州市宋夹城风景区管理处</w:t>
      </w:r>
      <w:r/>
    </w:p>
    <w:p>
      <w:pPr>
        <w:ind w:firstLine="420"/>
        <w:jc w:val="left"/>
        <w:keepLines w:val="0"/>
        <w:keepNext w:val="0"/>
        <w:pageBreakBefore w:val="0"/>
        <w:spacing w:line="360" w:lineRule="auto"/>
        <w:rPr>
          <w:rFonts w:hint="eastAsia" w:ascii="宋体" w:hAnsi="宋体" w:cs="宋体"/>
          <w:color w:val="auto"/>
          <w:highlight w:val="none"/>
        </w:rPr>
      </w:pPr>
      <w:r/>
      <w:bookmarkStart w:id="38" w:name="_Toc28359086"/>
      <w:r/>
      <w:bookmarkStart w:id="39" w:name="_Toc28359009"/>
      <w:r>
        <w:rPr>
          <w:rFonts w:hint="eastAsia" w:ascii="宋体" w:hAnsi="宋体" w:cs="宋体"/>
          <w:color w:val="auto"/>
          <w:highlight w:val="none"/>
        </w:rPr>
        <w:t xml:space="preserve">地 址：扬州市</w:t>
      </w:r>
      <w:r>
        <w:rPr>
          <w:rFonts w:hint="eastAsia" w:ascii="宋体" w:hAnsi="宋体" w:cs="宋体"/>
          <w:color w:val="auto"/>
          <w:highlight w:val="none"/>
          <w:lang w:val="en-US" w:eastAsia="zh-CN"/>
        </w:rPr>
        <w:t xml:space="preserve">邗江区</w:t>
      </w:r>
      <w:r>
        <w:rPr>
          <w:rFonts w:hint="eastAsia" w:ascii="宋体" w:hAnsi="宋体" w:cs="宋体"/>
          <w:color w:val="auto"/>
          <w:highlight w:val="none"/>
        </w:rPr>
        <w:t xml:space="preserve">长春路48号</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Times New Roman" w:hAnsi="Times New Roman"/>
          <w:color w:val="auto"/>
          <w:szCs w:val="21"/>
          <w:highlight w:val="none"/>
        </w:rPr>
        <w:t xml:space="preserve">汤梦煦</w:t>
      </w:r>
      <w:r/>
    </w:p>
    <w:p>
      <w:pPr>
        <w:ind w:firstLine="420"/>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联系方式：0514-87340867</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w:t>
      </w:r>
      <w:r>
        <w:rPr>
          <w:rFonts w:hint="eastAsia" w:ascii="宋体" w:hAnsi="宋体" w:cs="宋体"/>
          <w:color w:val="auto"/>
          <w:szCs w:val="21"/>
          <w:highlight w:val="none"/>
          <w:lang w:val="en-US" w:eastAsia="zh-CN"/>
        </w:rPr>
        <w:t xml:space="preserve">邗江区</w:t>
      </w:r>
      <w:r>
        <w:rPr>
          <w:rFonts w:hint="eastAsia" w:ascii="宋体" w:hAnsi="宋体" w:cs="宋体"/>
          <w:color w:val="auto"/>
          <w:szCs w:val="21"/>
          <w:highlight w:val="none"/>
        </w:rPr>
        <w:t xml:space="preserve">翠岗路48号</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szCs w:val="21"/>
          <w:highlight w:val="none"/>
          <w:lang w:eastAsia="zh-CN"/>
        </w:rPr>
        <w:t xml:space="preserve">陈秋萍、阮玉婷</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6"/>
      <w:r/>
      <w:bookmarkEnd w:id="37"/>
      <w:r/>
      <w:r/>
    </w:p>
    <w:p>
      <w:pPr>
        <w:rPr>
          <w:rFonts w:hint="eastAsia"/>
          <w:color w:val="auto"/>
          <w:highlight w:val="none"/>
        </w:rPr>
      </w:pPr>
      <w:r/>
      <w:bookmarkStart w:id="40" w:name="_Toc55204178"/>
      <w:r/>
      <w:bookmarkStart w:id="41" w:name="_Toc478"/>
      <w:r/>
      <w:bookmarkStart w:id="42" w:name="_Toc10032"/>
      <w:r>
        <w:rPr>
          <w:rFonts w:hint="eastAsia"/>
          <w:color w:val="auto"/>
          <w:highlight w:val="none"/>
        </w:rPr>
        <w:br w:type="page" w:clear="all"/>
      </w:r>
      <w:r/>
    </w:p>
    <w:p>
      <w:pPr>
        <w:pStyle w:val="806"/>
        <w:rPr>
          <w:color w:val="auto"/>
          <w:highlight w:val="none"/>
        </w:rPr>
      </w:pPr>
      <w:r>
        <w:rPr>
          <w:rFonts w:hint="eastAsia"/>
          <w:color w:val="auto"/>
          <w:highlight w:val="none"/>
        </w:rPr>
        <w:t xml:space="preserve">第二章 投标人须知</w:t>
      </w:r>
      <w:bookmarkEnd w:id="40"/>
      <w:r/>
      <w:bookmarkEnd w:id="41"/>
      <w:r/>
      <w:bookmarkEnd w:id="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JSZC-321092-SWGC-G2026-0095</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4.3本次采购预算中已包含代理服务费，由中标人在领取中标通知书前参照《招标代理服务收费管理暂行办法》(计价格【2002】1980号文)服务类标准的64%一次性支付给招标代理机构。</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997"/>
        <w:gridCol w:w="2496"/>
      </w:tblGrid>
      <w:tr>
        <w:trPr>
          <w:jc w:val="center"/>
          <w:trHeight w:val="355"/>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中标价</w:t>
            </w:r>
            <w:r/>
          </w:p>
        </w:tc>
        <w:tc>
          <w:tcPr>
            <w:tcW w:w="2997"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标准费率</w:t>
            </w:r>
            <w:r/>
          </w:p>
        </w:tc>
        <w:tc>
          <w:tcPr>
            <w:tcW w:w="2496"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服务费金额</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100万元以下</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1.5%</w:t>
            </w:r>
            <w:r/>
          </w:p>
        </w:tc>
        <w:tc>
          <w:tcPr>
            <w:tcW w:w="2496" w:type="dxa"/>
            <w:vAlign w:val="center"/>
            <w:vMerge w:val="restart"/>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代理服务费金额为标准收费的64%，不满贰仟元按贰仟元计取。</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100万～500万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0.8%</w:t>
            </w:r>
            <w:r/>
          </w:p>
        </w:tc>
        <w:tc>
          <w:tcPr>
            <w:tcW w:w="2496" w:type="dxa"/>
            <w:vAlign w:val="center"/>
            <w:vMerge w:val="continue"/>
            <w:textDirection w:val="lrTb"/>
            <w:noWrap w:val="false"/>
          </w:tcPr>
          <w:p>
            <w:pPr>
              <w:ind w:left="0" w:right="0" w:firstLine="21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59"/>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500万～1000万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0.45%</w:t>
            </w:r>
            <w:r/>
          </w:p>
        </w:tc>
        <w:tc>
          <w:tcPr>
            <w:tcW w:w="249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eastAsia="zh-CN"/>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513029225"/>
      <w:r/>
      <w:bookmarkStart w:id="44" w:name="_Toc462564084"/>
      <w:r/>
      <w:bookmarkStart w:id="45" w:name="_Toc16938541"/>
      <w:r/>
      <w:bookmarkStart w:id="46" w:name="_Toc20823297"/>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513029226"/>
      <w:r/>
      <w:bookmarkStart w:id="48" w:name="_Toc16938542"/>
      <w:r/>
      <w:bookmarkStart w:id="49" w:name="_Toc20823298"/>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513029227"/>
      <w:r/>
      <w:bookmarkStart w:id="51" w:name="_Toc16938543"/>
      <w:r/>
      <w:bookmarkStart w:id="52" w:name="_Toc20823299"/>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513029228"/>
      <w:r/>
      <w:bookmarkStart w:id="54" w:name="_Toc16938544"/>
      <w:r/>
      <w:bookmarkStart w:id="55" w:name="_Toc20823300"/>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hint="eastAsia" w:ascii="宋体" w:hAnsi="宋体" w:eastAsia="宋体" w:cs="Times New Roman"/>
          <w:b/>
          <w:bCs/>
          <w:color w:val="auto"/>
          <w:sz w:val="21"/>
          <w:szCs w:val="21"/>
          <w:highlight w:val="none"/>
        </w:rPr>
        <w:t xml:space="preserve">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06"/>
        <w:rPr>
          <w:color w:val="auto"/>
          <w:highlight w:val="none"/>
        </w:rPr>
      </w:pPr>
      <w:r/>
      <w:bookmarkStart w:id="56" w:name="_Toc18427"/>
      <w:r/>
      <w:bookmarkStart w:id="57" w:name="_Toc55204179"/>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46"/>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扬州市宋夹城风景区管理处宋夹城景区2026年园林绿化管理项目（二次）</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JSZC-321092-SWGC-G2026-0095</w:t>
      </w:r>
      <w:r>
        <w:rPr>
          <w:rFonts w:hint="eastAsia" w:ascii="宋体" w:hAnsi="宋体" w:eastAsia="宋体" w:cs="宋体"/>
          <w:color w:val="auto"/>
          <w:sz w:val="21"/>
          <w:szCs w:val="21"/>
          <w:highlight w:val="none"/>
        </w:rPr>
        <w:t xml:space="preserve">号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cs="宋体"/>
          <w:color w:val="auto"/>
          <w:sz w:val="21"/>
          <w:szCs w:val="21"/>
          <w:highlight w:val="none"/>
          <w:u w:val="single"/>
          <w:lang w:eastAsia="zh-CN"/>
        </w:rPr>
        <w:t xml:space="preserve">扬州市宋夹城风景区管理处</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rPr>
          <w:rFonts w:hint="eastAsia" w:ascii="宋体" w:hAnsi="宋体" w:cs="宋体"/>
          <w:color w:val="auto"/>
          <w:sz w:val="21"/>
          <w:szCs w:val="21"/>
          <w:highlight w:val="none"/>
          <w:lang w:eastAsia="zh-CN"/>
        </w:rPr>
        <w:t xml:space="preserve">宋夹城景区2026年园林绿化管理项目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rPr>
          <w:rFonts w:hint="eastAsia" w:ascii="宋体" w:hAnsi="宋体" w:cs="宋体"/>
          <w:color w:val="auto"/>
          <w:sz w:val="21"/>
          <w:szCs w:val="21"/>
          <w:highlight w:val="none"/>
          <w:lang w:val="en-US" w:eastAsia="zh-CN"/>
        </w:rPr>
        <w:t xml:space="preserve">合格</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rPr>
          <w:rFonts w:hint="eastAsia" w:ascii="宋体" w:hAnsi="宋体" w:cs="宋体"/>
          <w:color w:val="auto"/>
          <w:sz w:val="21"/>
          <w:szCs w:val="21"/>
          <w:highlight w:val="none"/>
          <w:lang w:val="en-US" w:eastAsia="zh-CN"/>
        </w:rPr>
        <w:t xml:space="preserve">详见采购文件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履行时间（期限）：一年（202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日至202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  月  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履行地点：宋夹城风景区</w:t>
      </w:r>
      <w:r>
        <w:rPr>
          <w:rFonts w:hint="eastAsia" w:ascii="宋体" w:hAnsi="宋体" w:cs="宋体"/>
          <w:color w:val="auto"/>
          <w:sz w:val="21"/>
          <w:szCs w:val="21"/>
          <w:highlight w:val="none"/>
          <w:lang w:val="en-US" w:eastAsia="zh-CN"/>
        </w:rPr>
        <w:t xml:space="preserve">内</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rPr>
          <w:rFonts w:hint="eastAsia" w:ascii="宋体" w:hAnsi="宋体" w:cs="宋体"/>
          <w:color w:val="auto"/>
          <w:sz w:val="21"/>
          <w:szCs w:val="21"/>
          <w:highlight w:val="none"/>
          <w:lang w:val="en-US" w:eastAsia="zh-CN"/>
        </w:rPr>
        <w:t xml:space="preserve">驻场服务</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四、知识产权</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rPr>
        <w:t xml:space="preserve"> 零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合同签订后，乙方向甲方开具发票，甲方自收到发票之日起10个工作日内支付合同金额30%的预付款。</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服务开始后，每季度</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满三个月</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结算一次，于次季度的5日内完成上个季度服务考核、结算报审工作，结算报审后5日内完成结算审核，按考核结果确定实际支付费用。付款前，乙方向甲方开具发票（满足开具增值税专用发票条件的必须开具增值税专用发票），甲方自收到发票后10个工作日内支付（支付时扣除预付款，扣完为止）。</w:t>
      </w:r>
      <w:r/>
    </w:p>
    <w:p>
      <w:pPr>
        <w:ind w:firstLine="420"/>
        <w:spacing w:line="360" w:lineRule="auto"/>
        <w:rPr>
          <w:rFonts w:hint="eastAsia" w:ascii="Times New Roman" w:hAnsi="Times New Roman" w:cs="宋体"/>
          <w:color w:val="auto"/>
          <w:szCs w:val="21"/>
          <w:highlight w:val="none"/>
          <w:u w:val="single"/>
        </w:rPr>
      </w:pPr>
      <w:r>
        <w:rPr>
          <w:rFonts w:hint="eastAsia" w:ascii="宋体" w:hAnsi="宋体" w:eastAsia="宋体" w:cs="宋体"/>
          <w:color w:val="auto"/>
          <w:sz w:val="21"/>
          <w:szCs w:val="21"/>
          <w:highlight w:val="none"/>
          <w:u w:val="single"/>
          <w:lang w:val="en-US" w:eastAsia="zh-CN"/>
        </w:rPr>
        <w:t xml:space="preserve">注：</w:t>
      </w:r>
      <w:r>
        <w:rPr>
          <w:rFonts w:hint="eastAsia" w:ascii="宋体" w:hAnsi="宋体" w:cs="宋体"/>
          <w:color w:val="auto"/>
          <w:szCs w:val="21"/>
          <w:highlight w:val="none"/>
          <w:u w:val="single"/>
        </w:rPr>
        <w:t xml:space="preserve">付款按照提交付款申请报告（包括服务情况、考核情况、申请付款金额计算过程）、审核、支付的程序办理。</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14.2本合同未尽事宜，遵照中华人民共和国现行法律法规有关条文执行。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w:t>
      </w:r>
      <w:r>
        <w:rPr>
          <w:rFonts w:hint="eastAsia" w:ascii="宋体" w:hAnsi="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tbl>
      <w:tblPr>
        <w:tblStyle w:val="816"/>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Height w:val="90"/>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扬州市宋夹城风景区管理处</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br w:type="page" w:clear="all"/>
      </w:r>
      <w:bookmarkEnd w:id="59"/>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06"/>
        <w:rPr>
          <w:rFonts w:hint="eastAsia"/>
          <w:color w:val="auto"/>
          <w:highlight w:val="none"/>
        </w:rPr>
      </w:pPr>
      <w:r/>
      <w:bookmarkStart w:id="60" w:name="_Toc577"/>
      <w:r/>
      <w:bookmarkStart w:id="61" w:name="_Toc12506"/>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pStyle w:val="808"/>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16"/>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3269"/>
      </w:tblGrid>
      <w:tr>
        <w:trPr>
          <w:trHeight w:val="64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1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eastAsia="zh-CN"/>
              </w:rPr>
              <w:t xml:space="preserve">宋夹城景区2026年园林绿化管理项目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租赁和商务服务业</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4" w:name="_Toc5520418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、项目概况</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宋夹城风景区位于扬州蜀冈-瘦西湖风景名胜区核心地带，现为国家4A级旅游景区，是一个集生态、休闲、康健、文化于一体的全民健身体育公园。景区占地面积53.01公顷，其中陆地面积42.53公顷，水域面积10.48公顷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太子岗雨水公园占地 14.3 公顷</w:t>
      </w:r>
      <w:r>
        <w:rPr>
          <w:rFonts w:hint="eastAsia" w:ascii="宋体" w:hAnsi="宋体" w:eastAsia="宋体" w:cs="宋体"/>
          <w:color w:val="auto"/>
          <w:highlight w:val="none"/>
        </w:rPr>
        <w:t xml:space="preserve">。景区内植物主要为落叶乔木、常绿乔木、灌木 、散生、丛生竹、球类植物、草坪、水生植物以及花卉类等，区域内植被丰富，四季分明。</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highlight w:val="none"/>
        </w:rPr>
        <w:t xml:space="preserve">景区原绿化养护即将到期，为了保证景区绿化养护的正常进行，拟通过公开招标方式确定下一年的绿化养护单位。</w:t>
      </w:r>
      <w:r/>
    </w:p>
    <w:p>
      <w:pPr>
        <w:numPr>
          <w:ilvl w:val="0"/>
          <w:numId w:val="2"/>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技术要求</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服务范围</w:t>
      </w:r>
      <w:r/>
    </w:p>
    <w:p>
      <w:pPr>
        <w:ind w:firstLine="420"/>
        <w:spacing w:line="360" w:lineRule="auto"/>
        <w:rPr>
          <w:rFonts w:hint="eastAsia" w:ascii="宋体" w:hAnsi="宋体" w:eastAsia="宋体" w:cs="宋体"/>
          <w:color w:val="auto"/>
          <w:highlight w:val="none"/>
          <w:lang w:eastAsia="zh-CN"/>
        </w:rPr>
        <w:outlineLvl w:val="0"/>
      </w:pPr>
      <w:r>
        <w:rPr>
          <w:rFonts w:hint="eastAsia" w:ascii="宋体" w:hAnsi="宋体" w:eastAsia="宋体" w:cs="宋体"/>
          <w:color w:val="auto"/>
          <w:sz w:val="21"/>
          <w:szCs w:val="21"/>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绿化养护范围：宋夹城景区护城河以内以及太子岗区域的绿化，东门桥以东区域、南门停车场以及西门停车场的绿化养护，包括沿河水生植物、花坛、花境草花布置养护。绿化养护面积463227.87平方米，</w:t>
      </w:r>
      <w:r>
        <w:rPr>
          <w:rFonts w:hint="eastAsia" w:ascii="宋体" w:hAnsi="宋体" w:cs="宋体"/>
          <w:color w:val="auto"/>
          <w:highlight w:val="none"/>
          <w:lang w:val="en-US" w:eastAsia="zh-CN"/>
        </w:rPr>
        <w:t xml:space="preserve">包括</w:t>
      </w:r>
      <w:r>
        <w:rPr>
          <w:rFonts w:hint="eastAsia" w:ascii="宋体" w:hAnsi="宋体" w:eastAsia="宋体" w:cs="宋体"/>
          <w:color w:val="auto"/>
          <w:highlight w:val="none"/>
        </w:rPr>
        <w:t xml:space="preserve">城墙麦冬</w:t>
      </w:r>
      <w:r>
        <w:rPr>
          <w:rFonts w:hint="eastAsia" w:ascii="宋体" w:hAnsi="宋体" w:cs="宋体"/>
          <w:color w:val="auto"/>
          <w:highlight w:val="none"/>
          <w:lang w:val="en-US" w:eastAsia="zh-CN"/>
        </w:rPr>
        <w:t xml:space="preserve">或</w:t>
      </w:r>
      <w:r>
        <w:rPr>
          <w:rFonts w:hint="eastAsia" w:ascii="宋体" w:hAnsi="宋体" w:eastAsia="宋体" w:cs="宋体"/>
          <w:color w:val="auto"/>
          <w:highlight w:val="none"/>
        </w:rPr>
        <w:t xml:space="preserve">垂直绿化</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不包括宋城山庄区域、沃普乐园、宋城集趣等商户</w:t>
      </w:r>
      <w:r>
        <w:rPr>
          <w:rFonts w:hint="eastAsia" w:ascii="宋体" w:hAnsi="宋体" w:cs="宋体"/>
          <w:color w:val="auto"/>
          <w:highlight w:val="none"/>
          <w:lang w:val="en-US" w:eastAsia="zh-CN"/>
        </w:rPr>
        <w:t xml:space="preserve">绿化</w:t>
      </w:r>
      <w:r>
        <w:rPr>
          <w:rFonts w:hint="eastAsia" w:ascii="宋体" w:hAnsi="宋体" w:eastAsia="宋体" w:cs="宋体"/>
          <w:color w:val="auto"/>
          <w:highlight w:val="none"/>
        </w:rPr>
        <w:t xml:space="preserve">区域</w:t>
      </w:r>
      <w:r>
        <w:rPr>
          <w:rFonts w:hint="eastAsia" w:ascii="宋体" w:hAnsi="宋体" w:cs="宋体"/>
          <w:color w:val="auto"/>
          <w:highlight w:val="none"/>
          <w:lang w:eastAsia="zh-CN"/>
        </w:rPr>
        <w:t xml:space="preserve">，</w:t>
      </w:r>
      <w:r>
        <w:rPr>
          <w:rFonts w:hint="eastAsia" w:ascii="宋体" w:hAnsi="宋体" w:cs="宋体"/>
          <w:color w:val="auto"/>
          <w:szCs w:val="21"/>
          <w:highlight w:val="none"/>
        </w:rPr>
        <w:t xml:space="preserve">东南西北四至范围为宋夹城景区与城市主干道、河道的交接处</w:t>
      </w:r>
      <w:r>
        <w:rPr>
          <w:rFonts w:hint="eastAsia" w:ascii="宋体" w:hAnsi="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绿化养护内容：按绿化养护规范一级养护标准为养护范围内的绿化提供绿化养护，包括浇灌与排水、整形与修剪、病虫害防治、松土与除草、施肥、支撑、防护与涂白、切边和留积水穴、复壮、补植与环境清理、水生植物的季节性清理、城墙矮麦冬养护、景区花坛、花境的</w:t>
      </w:r>
      <w:r>
        <w:rPr>
          <w:rFonts w:hint="eastAsia" w:ascii="宋体" w:hAnsi="宋体" w:eastAsia="宋体" w:cs="宋体"/>
          <w:color w:val="auto"/>
          <w:highlight w:val="none"/>
          <w:lang w:eastAsia="zh-CN"/>
        </w:rPr>
        <w:t xml:space="preserve">花草</w:t>
      </w:r>
      <w:r>
        <w:rPr>
          <w:rFonts w:hint="eastAsia" w:ascii="宋体" w:hAnsi="宋体" w:eastAsia="宋体" w:cs="宋体"/>
          <w:color w:val="auto"/>
          <w:highlight w:val="none"/>
        </w:rPr>
        <w:t xml:space="preserve">布置和养护等。</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计时工：绿化养护范围以外</w:t>
      </w:r>
      <w:r>
        <w:rPr>
          <w:rFonts w:hint="eastAsia" w:ascii="宋体" w:hAnsi="宋体" w:eastAsia="宋体" w:cs="宋体"/>
          <w:color w:val="auto"/>
          <w:highlight w:val="none"/>
          <w:lang w:eastAsia="zh-CN"/>
        </w:rPr>
        <w:t xml:space="preserve">临时</w:t>
      </w:r>
      <w:r>
        <w:rPr>
          <w:rFonts w:hint="eastAsia" w:ascii="宋体" w:hAnsi="宋体" w:eastAsia="宋体" w:cs="宋体"/>
          <w:color w:val="auto"/>
          <w:highlight w:val="none"/>
        </w:rPr>
        <w:t xml:space="preserve">增加用工。</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人员岗位、数量及年龄要求</w:t>
      </w:r>
      <w:r/>
    </w:p>
    <w:tbl>
      <w:tblPr>
        <w:tblStyle w:val="816"/>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24"/>
        <w:gridCol w:w="1626"/>
        <w:gridCol w:w="3210"/>
        <w:gridCol w:w="2502"/>
      </w:tblGrid>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岗位名称</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人数要求</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年龄要求</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备注</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一、绿化养护</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基本配置27人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9、10、11、12、4月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基本配置20人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5、6、7、8月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W w:w="15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绿化养护人员</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基本配置14人</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男55周岁以下，女50周岁以下</w:t>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1、2、3月</w:t>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二、计时工</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jc w:val="center"/>
          <w:trHeight w:val="454" w:hRule="exact"/>
        </w:trPr>
        <w:tc>
          <w:tcPr>
            <w:tcW w:w="6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5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color w:val="auto"/>
                <w:sz w:val="21"/>
                <w:szCs w:val="21"/>
                <w:highlight w:val="none"/>
              </w:rPr>
              <w:t xml:space="preserve">计时工</w:t>
            </w:r>
            <w:r/>
          </w:p>
        </w:tc>
        <w:tc>
          <w:tcPr>
            <w:tcW w:w="162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60工时/月</w:t>
            </w:r>
            <w:r/>
          </w:p>
        </w:tc>
        <w:tc>
          <w:tcPr>
            <w:tcW w:w="32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250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按招标人实际安排计量</w:t>
            </w:r>
            <w:r/>
          </w:p>
        </w:tc>
      </w:tr>
    </w:tbl>
    <w:p>
      <w:pPr>
        <w:ind w:left="0" w:firstLine="420"/>
        <w:keepLines w:val="0"/>
        <w:keepNext w:val="0"/>
        <w:pageBreakBefore w:val="0"/>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说明：</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投标人应在绿化养护人员中指定一人作为本项目的项目经理，其具有一定的综合素质和知识储备，具有旅游景区管理经验。</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计时工</w:t>
      </w:r>
      <w:r>
        <w:rPr>
          <w:rFonts w:hint="eastAsia" w:ascii="宋体" w:hAnsi="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节假日、非服务时间段值班临时需要增加</w:t>
      </w:r>
      <w:r>
        <w:rPr>
          <w:rFonts w:hint="eastAsia" w:ascii="宋体"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用工，</w:t>
      </w:r>
      <w:r>
        <w:rPr>
          <w:rFonts w:hint="eastAsia" w:ascii="宋体" w:hAnsi="宋体" w:cs="宋体"/>
          <w:color w:val="auto"/>
          <w:sz w:val="21"/>
          <w:szCs w:val="21"/>
          <w:highlight w:val="none"/>
          <w:lang w:val="en-US" w:eastAsia="zh-CN"/>
        </w:rPr>
        <w:t xml:space="preserve">投标时</w:t>
      </w:r>
      <w:r>
        <w:rPr>
          <w:rFonts w:hint="eastAsia" w:ascii="宋体" w:hAnsi="宋体" w:eastAsia="宋体" w:cs="宋体"/>
          <w:color w:val="auto"/>
          <w:sz w:val="21"/>
          <w:szCs w:val="21"/>
          <w:highlight w:val="none"/>
        </w:rPr>
        <w:t xml:space="preserve">根据</w:t>
      </w:r>
      <w:r>
        <w:rPr>
          <w:rFonts w:hint="eastAsia" w:ascii="宋体" w:hAnsi="宋体" w:cs="宋体"/>
          <w:color w:val="auto"/>
          <w:sz w:val="21"/>
          <w:szCs w:val="21"/>
          <w:highlight w:val="none"/>
          <w:lang w:val="en-US" w:eastAsia="zh-CN"/>
        </w:rPr>
        <w:t xml:space="preserve">表格内数据进行计算，履约过程中按</w:t>
      </w:r>
      <w:r>
        <w:rPr>
          <w:rFonts w:hint="eastAsia" w:ascii="宋体" w:hAnsi="宋体" w:eastAsia="宋体" w:cs="宋体"/>
          <w:color w:val="auto"/>
          <w:sz w:val="21"/>
          <w:szCs w:val="21"/>
          <w:highlight w:val="none"/>
        </w:rPr>
        <w:t xml:space="preserve">实际发生</w:t>
      </w:r>
      <w:r>
        <w:rPr>
          <w:rFonts w:hint="eastAsia" w:ascii="宋体" w:hAnsi="宋体" w:cs="宋体"/>
          <w:color w:val="auto"/>
          <w:sz w:val="21"/>
          <w:szCs w:val="21"/>
          <w:highlight w:val="none"/>
          <w:lang w:val="en-US" w:eastAsia="zh-CN"/>
        </w:rPr>
        <w:t xml:space="preserve">量结合中标人所投计时工单价</w:t>
      </w:r>
      <w:r>
        <w:rPr>
          <w:rFonts w:hint="eastAsia" w:ascii="宋体" w:hAnsi="宋体" w:eastAsia="宋体" w:cs="宋体"/>
          <w:color w:val="auto"/>
          <w:sz w:val="21"/>
          <w:szCs w:val="21"/>
          <w:highlight w:val="none"/>
        </w:rPr>
        <w:t xml:space="preserve">结算</w:t>
      </w:r>
      <w:r>
        <w:rPr>
          <w:rFonts w:hint="eastAsia" w:ascii="宋体" w:hAnsi="宋体" w:cs="宋体"/>
          <w:color w:val="auto"/>
          <w:sz w:val="21"/>
          <w:szCs w:val="21"/>
          <w:highlight w:val="none"/>
          <w:lang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作息时间要求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常驻绿化养护人员每天工作时间不得少于8小时。进入景区绿化养护人员必须统一着装，遵守景区管理有关规定。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注：作息时间为采购人招标采购服务在岗时间要求，投标人可以通过增加人数或增加加班工资的方式满足采购要求，用工必须符合劳动法有关规定，相关费用包括在投标总价内。</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机械设备、设施配置要求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由投标人根据招标绿化养护标准、采购需求、养护方案和自身实力配备，投标时需具体明确绿化养护所需</w:t>
      </w:r>
      <w:r>
        <w:rPr>
          <w:rFonts w:hint="eastAsia" w:ascii="宋体" w:hAnsi="宋体" w:cs="宋体"/>
          <w:color w:val="auto"/>
          <w:sz w:val="21"/>
          <w:szCs w:val="21"/>
          <w:highlight w:val="none"/>
          <w:lang w:val="en-US" w:eastAsia="zh-CN"/>
        </w:rPr>
        <w:t xml:space="preserve">新能源</w:t>
      </w:r>
      <w:r>
        <w:rPr>
          <w:rFonts w:hint="eastAsia" w:ascii="宋体" w:hAnsi="宋体" w:eastAsia="宋体" w:cs="宋体"/>
          <w:color w:val="auto"/>
          <w:sz w:val="21"/>
          <w:szCs w:val="21"/>
          <w:highlight w:val="none"/>
        </w:rPr>
        <w:t xml:space="preserve">机械配置，如草坪机、洒水车等车辆数量。</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要求进入景区的绿化养护机械符合景区相关要求，环保、低噪音，设备运行完好，机械检测、审核、保险手续齐全，不得带病作业。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投标人自行考虑投入本项目绿化养护的机械类型、数量，满足招标文件要求的养护标准。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绿化养护所需的工器具、车辆、机械维修、燃料由投标人自行提供。</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其它</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1.投标人的办公设施和全员统一服装由投标人根据需要和采购人要求自行配置。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至少配备2辆电动三轮车、</w:t>
      </w:r>
      <w:r>
        <w:rPr>
          <w:rFonts w:hint="eastAsia" w:ascii="宋体" w:hAnsi="宋体" w:eastAsia="宋体" w:cs="宋体"/>
          <w:color w:val="auto"/>
          <w:sz w:val="21"/>
          <w:szCs w:val="21"/>
          <w:highlight w:val="none"/>
          <w:lang w:val="en-US" w:eastAsia="zh-CN"/>
        </w:rPr>
        <w:t xml:space="preserve">1辆</w:t>
      </w:r>
      <w:r>
        <w:rPr>
          <w:rFonts w:hint="eastAsia" w:ascii="宋体" w:hAnsi="宋体" w:eastAsia="宋体" w:cs="宋体"/>
          <w:color w:val="auto"/>
          <w:sz w:val="21"/>
          <w:szCs w:val="21"/>
          <w:highlight w:val="none"/>
        </w:rPr>
        <w:t xml:space="preserve">双排座货车用于清运绿化垃圾。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至少配备2辆洒水车，用于绿化抗旱浇水。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至少配备高级绿化工或园林绿化</w:t>
      </w:r>
      <w:r>
        <w:rPr>
          <w:rFonts w:hint="eastAsia" w:ascii="宋体" w:hAnsi="宋体" w:eastAsia="宋体" w:cs="宋体"/>
          <w:color w:val="auto"/>
          <w:sz w:val="21"/>
          <w:szCs w:val="21"/>
          <w:highlight w:val="none"/>
          <w:lang w:val="en-US" w:eastAsia="zh-CN"/>
        </w:rPr>
        <w:t xml:space="preserve">相关专业</w:t>
      </w:r>
      <w:r>
        <w:rPr>
          <w:rFonts w:hint="eastAsia" w:ascii="宋体" w:hAnsi="宋体" w:eastAsia="宋体" w:cs="宋体"/>
          <w:color w:val="auto"/>
          <w:sz w:val="21"/>
          <w:szCs w:val="21"/>
          <w:highlight w:val="none"/>
        </w:rPr>
        <w:t xml:space="preserve">工程师2名、高级植保工1名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负责</w:t>
      </w:r>
      <w:r>
        <w:rPr>
          <w:rFonts w:hint="eastAsia" w:ascii="宋体" w:hAnsi="宋体" w:eastAsia="宋体" w:cs="宋体"/>
          <w:color w:val="auto"/>
          <w:sz w:val="21"/>
          <w:szCs w:val="21"/>
          <w:highlight w:val="none"/>
        </w:rPr>
        <w:t xml:space="preserve">病虫害防治</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花木修剪</w:t>
      </w:r>
      <w:r>
        <w:rPr>
          <w:rFonts w:hint="eastAsia" w:ascii="宋体" w:hAnsi="宋体" w:eastAsia="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绿化养护所需的药剂</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肥料、草花苗木、草种（详见分项报价表2）等材料</w:t>
      </w:r>
      <w:r>
        <w:rPr>
          <w:rFonts w:hint="eastAsia" w:ascii="宋体" w:hAnsi="宋体" w:eastAsia="宋体" w:cs="宋体"/>
          <w:color w:val="auto"/>
          <w:sz w:val="21"/>
          <w:szCs w:val="21"/>
          <w:highlight w:val="none"/>
        </w:rPr>
        <w:t xml:space="preserve">由投标人提供，人工包括在养护费用内。</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服务标准、验收标准</w:t>
      </w:r>
      <w:r>
        <w:rPr>
          <w:rFonts w:hint="eastAsia" w:ascii="宋体" w:hAnsi="宋体" w:eastAsia="宋体" w:cs="宋体"/>
          <w:color w:val="auto"/>
          <w:sz w:val="21"/>
          <w:szCs w:val="21"/>
          <w:highlight w:val="none"/>
        </w:rPr>
        <w:t xml:space="preserve">：绿化养护标准按江苏省绿化养护规范一级养护标准。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绿化养护病虫害防治要做到防治相结合，根据病虫害发生规律做好预防工作，出现病虫害时及时进行施治，不得出现危害绿化生长以后才进行治理。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根据气候变化情况及时做好雨季排水、旱季浇水工作，不得出现积水和干旱影响绿化成活率。</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绿化养护成活率100%，若因中标人绿化养护不当引起的绿化受损，中标人负责在采购人要求的时间内按原品种、原规格恢复、补植，并确保成活，一切费用由中标人承担。若中标人未按规定补植，采购人有权安排第三方进行种植，所发生的苗木费及补植费用从应付中标人养护费中扣除。</w:t>
      </w:r>
      <w:r/>
    </w:p>
    <w:p>
      <w:pPr>
        <w:ind w:left="0"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详细服务要求：</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专业团队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根据园林绿化养护需要，建立专业化管护团队，配置具有相应技术、经验的人员和管护设备。养护人员作业时必须设立安全警示标志，着安全标志服，着装统一，按照技术规范进行操作,绿地养护定人定岗，若有人员增减变动及时上报。</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专业养护</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不同季节、不同月份按要求实施养护管理，有完整的养护技术管理标准、操作手册及应急措施。遇重要接待时或重大活动期间，养护管理标准须高于日常养护管理标准。绿化养护技术措施完善，管理得当，植物养护和绿地管理满足</w:t>
      </w:r>
      <w:r>
        <w:rPr>
          <w:rFonts w:hint="eastAsia" w:ascii="宋体" w:hAnsi="宋体" w:eastAsia="宋体" w:cs="宋体"/>
          <w:color w:val="auto"/>
          <w:sz w:val="21"/>
          <w:szCs w:val="21"/>
          <w:highlight w:val="none"/>
          <w:lang w:val="en-US" w:eastAsia="zh-CN"/>
        </w:rPr>
        <w:t xml:space="preserve">采购人发放的</w:t>
      </w:r>
      <w:r>
        <w:rPr>
          <w:rFonts w:hint="eastAsia" w:ascii="宋体" w:hAnsi="宋体" w:eastAsia="宋体" w:cs="宋体"/>
          <w:color w:val="auto"/>
          <w:sz w:val="21"/>
          <w:szCs w:val="21"/>
          <w:highlight w:val="none"/>
        </w:rPr>
        <w:t xml:space="preserve">《园林植物养护技术手册》要求，保证植物生长健壮，秩序规范，干净整洁设施完善，景观优美。</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应急抢险</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园林绿化景观不断提升，做好绿地植物的复壮、补植、增植、间植等工作。因不可抗力(如暴雨、大风等自然灾害)造成的绿化景观损害，应在半小时内响应，并到达现场，安排部署清理和恢复工作。</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其他养护要求：</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（1）根据生长环境、植物特性进行除草、灌溉、施肥、整形修剪、防治病虫害等。</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（2）根据生长情况修剪绿地，绿地内无枯草、无杂物，无干枯坏死和病虫侵害，基本无裸露土地。</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（3）定期修剪树木、花卉等，灌乔木生长正常、造型美观自然、花枝新鲜，无枯叶、无病虫、无死树缺株。乔木和灌木修剪以自然树形为主，均衡树势、美化</w:t>
      </w:r>
      <w:r>
        <w:rPr>
          <w:rFonts w:hint="eastAsia" w:ascii="宋体" w:hAnsi="宋体" w:eastAsia="宋体" w:cs="宋体"/>
          <w:color w:val="auto"/>
          <w:sz w:val="21"/>
          <w:szCs w:val="21"/>
          <w:highlight w:val="none"/>
          <w:lang w:eastAsia="zh-CN"/>
        </w:rPr>
        <w:t xml:space="preserve">树形</w:t>
      </w:r>
      <w:r>
        <w:rPr>
          <w:rFonts w:hint="eastAsia" w:ascii="宋体" w:hAnsi="宋体" w:eastAsia="宋体" w:cs="宋体"/>
          <w:color w:val="auto"/>
          <w:sz w:val="21"/>
          <w:szCs w:val="21"/>
          <w:highlight w:val="none"/>
        </w:rPr>
        <w:t xml:space="preserve">，形成观赏效果。根据植物生态习性，及时采取必要的防寒防晒防风措施，保持乔灌木生长环境良好，无死树、枯枝。</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（4）水池水面定期清理，无枯枝落叶、水质清洁。</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根据病虫害发生规律实施综合治理，通常在病虫率高时，以药剂杀死病虫，以确保植物良好生长。药物防治必须要做到对空气、水体等不产生污染，不得对植物有药害现象。废弃物、残渣须自行带回处理。除虫人员须具有相关技术水平</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产生垃圾的主要区域和路段做到日产日清。</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（6）雨雪、冰冻等恶劣天气来临前，专人巡查，对绿植做好预防措施，排除安全隐患。旱季及新种植物要及时进行灌溉，防止植物因脱水而造成枯死。台汛期间要做好加固、排涝抢险工作，防止植物受损。</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（7）恶劣天气后，及时清除倒树断枝，疏通道路，尽快恢复原状。</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（8）浇水、排水。经常检查排灌情况，保证无积水、无旱情，不得因涝、旱影响植物生长。每次草坪浇水应有足够时间，使草坪根部内保持湿润。</w:t>
      </w:r>
      <w:r/>
    </w:p>
    <w:p>
      <w:pPr>
        <w:ind w:left="0" w:firstLine="420"/>
        <w:jc w:val="left"/>
        <w:keepLines w:val="0"/>
        <w:keepNext w:val="0"/>
        <w:pageBreakBefore w:val="0"/>
        <w:spacing w:line="360" w:lineRule="auto"/>
        <w:widowControl w:val="off"/>
        <w:tabs>
          <w:tab w:val="left" w:pos="1572"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（9）定期对区域范围内的苗木数量进行盘点，及时补充干枯坏死的树木。</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绿化养护标准：</w:t>
      </w:r>
      <w:r>
        <w:rPr>
          <w:rFonts w:hint="eastAsia" w:ascii="宋体" w:hAnsi="宋体" w:eastAsia="宋体" w:cs="宋体"/>
          <w:color w:val="auto"/>
          <w:sz w:val="21"/>
          <w:szCs w:val="21"/>
          <w:highlight w:val="none"/>
        </w:rPr>
        <w:t xml:space="preserve">参见《江苏省城市园林植物养护技术规范》一级养护标准。</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1.乔 木 养 护 标 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3"/>
        <w:gridCol w:w="8406"/>
      </w:tblGrid>
      <w:tr>
        <w:trPr>
          <w:jc w:val="center"/>
          <w:trHeight w:val="567" w:hRule="exact"/>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1305"/>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1.绿化很充分。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2.无缺株、死株（死株率1%以下）。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3.配置合理（新栽树种与其他乔、灌、草、藤、花以及与水、路、园林设施之间和谐）</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4.保护措施完备，维护及时。</w:t>
            </w:r>
            <w:r/>
          </w:p>
        </w:tc>
      </w:tr>
      <w:tr>
        <w:trPr>
          <w:cantSplit/>
          <w:jc w:val="center"/>
          <w:trHeight w:val="1305"/>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灌次数应根据气候、土壤墒情、植物特性和生长势等具体情况确定。干旱季节宜多灌，雨季少灌或者不灌；发芽生长期可多灌，休眠期前适当控制水量。5-10月期间，连续10天无降雨应浇透水1次。每年春季树木萌发前要浇春水至少1次，冬季休眠前浇防冻水至少1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2.浇灌前应先挖穴松土，以浇透为宜，水分应该渗透至树根根部。</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3.根部积水应及时排出。耐涝性差的树木应该在4小时内排除积水，低洼易积水处应开挖排水沟。</w:t>
            </w:r>
            <w:r/>
          </w:p>
        </w:tc>
      </w:tr>
      <w:tr>
        <w:trPr>
          <w:cantSplit/>
          <w:jc w:val="center"/>
          <w:trHeight w:val="1351"/>
        </w:trPr>
        <w:tc>
          <w:tcPr>
            <w:tcW w:w="83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1.生长势较强，枝壮叶茂。        2.生长量超过均值。</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3.叶色正常，有光泽，无黄叶、焦叶、卷叶，生长季节不落叶,无明显病症和虫害遗留物（虫网、虫粪、蜜露等）,株被害率在3%以内。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4.枝干健壮,无明显枯死枝杈,新枝入冬前木质化较好。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5.冠形完整,分枝点合适,主侧枝分布匀称、数量适宜,内膛通风透光。</w:t>
            </w:r>
            <w:r/>
          </w:p>
        </w:tc>
      </w:tr>
      <w:tr>
        <w:trPr>
          <w:cantSplit/>
          <w:jc w:val="center"/>
          <w:trHeight w:val="1322"/>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1.每年修剪不少于2次。（主要以休眠期修剪为主）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2.科学合理、适时适度。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3.冠形优美，内膛通透，主侧枝条分布匀称、修剪强度适宜，疏密得当。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4.枯死枝、内膛乱枝、交叉枝、平行枝、横跨枝、下垂枝、衰弱枝、劈裂枝、病虫枝和其他影响树势、树形的枝条修除率98%以上。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5.工具齐全，操作认真标准，剪口、锯口平滑，涂敷得当。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6.与周围环境相协调，较好地解决树木与电线、建筑物、交通等之间的矛盾。</w:t>
            </w:r>
            <w:r/>
          </w:p>
        </w:tc>
      </w:tr>
      <w:tr>
        <w:trPr>
          <w:cantSplit/>
          <w:jc w:val="center"/>
          <w:trHeight w:val="535"/>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          2.树穴内有植被的乔木适当增加量和次数。</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3.肥量种类适宜，方法合理 。     4.无缺肥、无漏肥、无肥害。</w:t>
            </w:r>
            <w:r/>
          </w:p>
        </w:tc>
      </w:tr>
      <w:tr>
        <w:trPr>
          <w:cantSplit/>
          <w:jc w:val="center"/>
          <w:trHeight w:val="910"/>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树  穴</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1.树穴形式统一，大小适宜，边线清晰，线条流畅。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2.硬化地面树穴要有美化处理，盖板完整，无缺损，草坪地树穴覆盖充分、得当。</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3.树穴内无黄土裸露</w:t>
            </w:r>
            <w:r/>
          </w:p>
        </w:tc>
      </w:tr>
      <w:tr>
        <w:trPr>
          <w:cantSplit/>
          <w:jc w:val="center"/>
          <w:trHeight w:val="598"/>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69"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1.每年3～5次。                 2.及时（草高≤5cm）。</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3.无大型、恶性、缠绕性杂草。</w:t>
            </w:r>
            <w:r/>
          </w:p>
        </w:tc>
      </w:tr>
      <w:tr>
        <w:trPr>
          <w:cantSplit/>
          <w:jc w:val="center"/>
          <w:trHeight w:val="336"/>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抹芽除萌</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1.及时彻底（萌芽长度小于8cm）   2.创口平滑。</w:t>
            </w:r>
            <w:r/>
          </w:p>
        </w:tc>
      </w:tr>
      <w:tr>
        <w:trPr>
          <w:cantSplit/>
          <w:jc w:val="center"/>
          <w:trHeight w:val="751"/>
        </w:trPr>
        <w:tc>
          <w:tcPr>
            <w:tcW w:w="83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复  壮</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1.按时复壮。           2.方案措施科学周密。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3.严格操作规程。       4.创部、朽部及时清理、消毒、涂药、修补。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5.档案齐全,记录详细。</w:t>
            </w:r>
            <w:r/>
          </w:p>
        </w:tc>
      </w:tr>
      <w:tr>
        <w:trPr>
          <w:cantSplit/>
          <w:jc w:val="center"/>
          <w:trHeight w:val="1539"/>
        </w:trPr>
        <w:tc>
          <w:tcPr>
            <w:tcW w:w="830" w:type="pct"/>
            <w:vAlign w:val="center"/>
            <w:textDirection w:val="lrTb"/>
            <w:noWrap w:val="false"/>
          </w:tcPr>
          <w:p>
            <w:pPr>
              <w:ind w:left="-63" w:right="-8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69" w:type="pct"/>
            <w:vAlign w:val="center"/>
            <w:textDirection w:val="lrTb"/>
            <w:noWrap w:val="false"/>
          </w:tcPr>
          <w:p>
            <w:pPr>
              <w:numPr>
                <w:ilvl w:val="0"/>
                <w:numId w:val="3"/>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树干笔直，纵成行、横成排。</w:t>
            </w:r>
            <w:r>
              <w:rPr>
                <w:rFonts w:hint="eastAsia" w:ascii="宋体" w:hAnsi="宋体" w:eastAsia="宋体" w:cs="宋体"/>
                <w:color w:val="auto"/>
                <w:sz w:val="21"/>
                <w:szCs w:val="21"/>
                <w:highlight w:val="none"/>
                <w:lang w:val="en-US" w:eastAsia="zh-CN"/>
              </w:rPr>
              <w:t xml:space="preserve"> </w:t>
            </w:r>
            <w:r/>
          </w:p>
          <w:p>
            <w:pPr>
              <w:numPr>
                <w:ilvl w:val="0"/>
                <w:numId w:val="0"/>
              </w:num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2.易成活树种成活率100%,不易成活树种成活率98%上。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3.常绿树种及不易成活树种移植必须带土球，土球直径不小于胸径的8～10倍，且须根保留完好。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4.树坑直径大于土球直径50cm以上,封土深度以盖住土球上部5～10cm为宜。</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5.栽前起挖、包装运输规范；栽后支撑、修剪、浇水等严格按规程操作。</w:t>
            </w:r>
            <w:r/>
          </w:p>
        </w:tc>
      </w:tr>
      <w:tr>
        <w:trPr>
          <w:cantSplit/>
          <w:jc w:val="center"/>
          <w:trHeight w:val="923"/>
        </w:trPr>
        <w:tc>
          <w:tcPr>
            <w:tcW w:w="830" w:type="pct"/>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6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1.树冠下、树穴内无生活垃圾、砖石瓦砾、干枝枯叶及其他废弃物。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2.树干上无违法悬挂物。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3.死树需连根挖除；抽稀、挖除死树所留下的空穴应及时填平。</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2.花灌木养护标准</w:t>
      </w:r>
      <w:r/>
    </w:p>
    <w:tbl>
      <w:tblPr>
        <w:tblStyle w:val="8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0"/>
        <w:gridCol w:w="8369"/>
      </w:tblGrid>
      <w:tr>
        <w:trPr>
          <w:trHeight w:val="567" w:hRule="exact"/>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1" w:type="pct"/>
            <w:vAlign w:val="center"/>
            <w:textDirection w:val="lrTb"/>
            <w:noWrap w:val="false"/>
          </w:tcPr>
          <w:p>
            <w:pPr>
              <w:ind w:left="0" w:right="0" w:firstLine="422"/>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trHeight w:val="858"/>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1.管理精细、景观优美。</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2.无缺株死株。</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3.配置合理。</w:t>
            </w:r>
            <w:r/>
          </w:p>
        </w:tc>
      </w:tr>
      <w:tr>
        <w:trPr>
          <w:cantSplit/>
          <w:trHeight w:val="1481"/>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1.生长势强，枝壮叶茂。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2.叶色正常有光泽，无黄叶、焦叶、卷叶、枯萎叶，生长季节不落叶，无明显病症及害虫遗留物（虫网、虫粪、蜜露等），株被害率在2%以内。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3.枝健壮，无枯死枝。</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4.开花树种花繁而艳。</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5.冠形完整美观，枝条分布匀称，数量适宜，内膛通透。</w:t>
            </w:r>
            <w:r/>
          </w:p>
        </w:tc>
      </w:tr>
      <w:tr>
        <w:trPr>
          <w:cantSplit/>
          <w:trHeight w:val="1388"/>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1.每年修剪不少于2次。     2.科学合理，适时适度。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3.冠形优美，内膛通透，枝条数量适宜、分布匀称，修剪强度适宜。</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4.剪口芽留芽方位准确，芽长势饱满。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5.枯死枝、内膛乱枝、交叉枝、平等枝、横跨枝、衰弱枝、病虫枝和其它影响树势、树形的枝条修除率98%以上。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6.操作规范，工具齐全。</w:t>
            </w:r>
            <w:r/>
          </w:p>
        </w:tc>
      </w:tr>
      <w:tr>
        <w:trPr>
          <w:cantSplit/>
          <w:trHeight w:val="77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2.施肥种类适宜，方法合理。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trHeight w:val="30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树  穴</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树穴边线清晰，线条流畅。</w:t>
            </w:r>
            <w:r/>
          </w:p>
        </w:tc>
      </w:tr>
      <w:tr>
        <w:trPr>
          <w:cantSplit/>
          <w:trHeight w:val="306"/>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松土除草及时，每年10次以上。</w:t>
            </w:r>
            <w:r/>
          </w:p>
        </w:tc>
      </w:tr>
      <w:tr>
        <w:trPr>
          <w:cantSplit/>
          <w:trHeight w:val="45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灌    溉</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因生长季节天气情况、花灌木种类恰当进行，无旱涝现象。</w:t>
            </w:r>
            <w:r/>
          </w:p>
        </w:tc>
      </w:tr>
      <w:tr>
        <w:trPr>
          <w:cantSplit/>
          <w:trHeight w:val="1251"/>
        </w:trPr>
        <w:tc>
          <w:tcPr>
            <w:tcW w:w="848" w:type="pct"/>
            <w:vAlign w:val="center"/>
            <w:textDirection w:val="lrTb"/>
            <w:noWrap w:val="false"/>
          </w:tcPr>
          <w:p>
            <w:pPr>
              <w:ind w:left="-63" w:right="-8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1.栽植科学，搭配合理。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2.成活率：易成活树种成活率100%，不易成活树种成活率98%以上。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3.常绿及反季节栽植的花灌木带土球，土球直径不小于冠径的1/3，且须根保留较完好。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4.树坑直径大于土球直径50cm以上，封土深度以盖住土球上部5—10cm为宜。</w:t>
            </w:r>
            <w:r/>
          </w:p>
        </w:tc>
      </w:tr>
      <w:tr>
        <w:trPr>
          <w:cantSplit/>
          <w:trHeight w:val="643"/>
        </w:trPr>
        <w:tc>
          <w:tcPr>
            <w:tcW w:w="848" w:type="pct"/>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树穴内无生活垃圾、建筑垃圾、干枝枯叶及其它废弃物。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3.草 坪 养 护 标 准</w:t>
      </w:r>
      <w:r/>
    </w:p>
    <w:tbl>
      <w:tblPr>
        <w:tblStyle w:val="8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0"/>
        <w:gridCol w:w="8369"/>
      </w:tblGrid>
      <w:tr>
        <w:trPr>
          <w:trHeight w:val="567" w:hRule="exact"/>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1"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trHeight w:val="1070"/>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1.管理精细，景观优美。     2.草种单品种纯度95%以上，目测无杂草。</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3.生长旺盛，生长季节不枯黄，无斑秃，覆盖率100%。</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4.美观平整、坡度科学、无坑洼。      5.环境卫生佳，无垃圾。</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6.无人为践踏。</w:t>
            </w:r>
            <w:r/>
          </w:p>
        </w:tc>
      </w:tr>
      <w:tr>
        <w:trPr>
          <w:cantSplit/>
          <w:trHeight w:val="607"/>
        </w:trPr>
        <w:tc>
          <w:tcPr>
            <w:tcW w:w="84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1.生长势旺盛。</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2.叶色浓绿有光泽，生长期无黄叶、焦叶、卷叶，病虫害发生率在3%以内。</w:t>
            </w:r>
            <w:r/>
          </w:p>
        </w:tc>
      </w:tr>
      <w:tr>
        <w:trPr>
          <w:cantSplit/>
          <w:trHeight w:val="773"/>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1.暖季型草坪留茬高度不超过4-5cm，冷季型草坪留茬高度不超过6-7cm高度以内。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2.平整、均匀、无漏草，适时适度。</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3.严格按操作规程进行。</w:t>
            </w:r>
            <w:r/>
          </w:p>
        </w:tc>
      </w:tr>
      <w:tr>
        <w:trPr>
          <w:cantSplit/>
          <w:trHeight w:val="410"/>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1.因季节、品种等施肥，暖季型草坪每年施肥不少于2次，冷季型草坪每年施肥不少于6次。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 肥料种类适宜，方法合理。3.无缺肥、无漏肥、无肥害。</w:t>
            </w:r>
            <w:r/>
          </w:p>
        </w:tc>
      </w:tr>
      <w:tr>
        <w:trPr>
          <w:cantSplit/>
          <w:trHeight w:val="44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因生长季节、天气情况、草种种类恰当灌溉，无旱涝现象。</w:t>
            </w:r>
            <w:r/>
          </w:p>
        </w:tc>
      </w:tr>
      <w:tr>
        <w:trPr>
          <w:cantSplit/>
          <w:trHeight w:val="615"/>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边</w:t>
            </w:r>
            <w:r/>
          </w:p>
        </w:tc>
        <w:tc>
          <w:tcPr>
            <w:tcW w:w="4151" w:type="pct"/>
            <w:vAlign w:val="top"/>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边线宽窄适宜、边线清晰、线条流畅（草坪与侧石结合部切出6—8cm整齐美观的边缘带，坡体草坪边缘修剪整齐；草坪与绿篱间切出10cm整齐美观的边缘带）。</w:t>
            </w:r>
            <w:r/>
          </w:p>
        </w:tc>
      </w:tr>
      <w:tr>
        <w:trPr>
          <w:cantSplit/>
          <w:trHeight w:val="454"/>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   草</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除杂草及时，杂草在2%以下。</w:t>
            </w:r>
            <w:r/>
          </w:p>
        </w:tc>
      </w:tr>
      <w:tr>
        <w:trPr>
          <w:cantSplit/>
          <w:trHeight w:val="552"/>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打    孔</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1.结合施肥施药，每年不少于2次。       2.机械作业。</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3.疏草每年不少于2次。                 4.草屑清除及时、彻底。</w:t>
            </w:r>
            <w:r/>
          </w:p>
        </w:tc>
      </w:tr>
      <w:tr>
        <w:trPr>
          <w:cantSplit/>
          <w:trHeight w:val="460"/>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栽（补）植</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1.采用同一品种。           2.疏密适度，覆盖率98%以上。</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3.成活率100%。             4.补栽平整美观，无明显补栽痕迹。</w:t>
            </w:r>
            <w:r/>
          </w:p>
        </w:tc>
      </w:tr>
      <w:tr>
        <w:trPr>
          <w:cantSplit/>
          <w:trHeight w:val="541"/>
        </w:trPr>
        <w:tc>
          <w:tcPr>
            <w:tcW w:w="848"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1"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环境美观，无垃圾。</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4.地被植物养护标准</w:t>
      </w:r>
      <w:r/>
    </w:p>
    <w:tbl>
      <w:tblPr>
        <w:tblStyle w:val="816"/>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702"/>
        <w:gridCol w:w="3885"/>
        <w:gridCol w:w="4492"/>
      </w:tblGrid>
      <w:tr>
        <w:trPr>
          <w:cantSplit/>
          <w:trHeight w:val="454" w:hRule="exact"/>
        </w:trPr>
        <w:tc>
          <w:tcPr>
            <w:tcW w:w="844"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 项目</w:t>
            </w:r>
            <w:r/>
          </w:p>
        </w:tc>
        <w:tc>
          <w:tcPr>
            <w:tcW w:w="192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单植地被</w:t>
            </w:r>
            <w:r/>
          </w:p>
        </w:tc>
        <w:tc>
          <w:tcPr>
            <w:tcW w:w="222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混植地被</w:t>
            </w:r>
            <w:r/>
          </w:p>
        </w:tc>
      </w:tr>
      <w:tr>
        <w:trPr>
          <w:cantSplit/>
          <w:trHeight w:val="454" w:hRule="exact"/>
        </w:trPr>
        <w:tc>
          <w:tcPr>
            <w:tcW w:w="844" w:type="pct"/>
            <w:vAlign w:val="center"/>
            <w:vMerge w:val="continue"/>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W w:w="192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一  级</w:t>
            </w:r>
            <w:r/>
          </w:p>
        </w:tc>
        <w:tc>
          <w:tcPr>
            <w:tcW w:w="2228"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一  级</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景 观</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1.种植密度合理。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2.植株规格整齐。</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3.无死株，群体景观效果好。</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1.混植种类配置合理。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2.叶色、叶型协调。</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3.无死株和残存枯花。</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生 长</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1.生长茂盛。</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2.覆盖率大于98%，无空秃。</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1.生长茂盛，符合生态要求。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2.覆盖率大于98%，无空秃。</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排 灌</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1.排水通畅，雨后无积水。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2.植株不出现萎蔫。</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 排水畅通，雨后无积水。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2.植株不得出现萎蔫。</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有害生物控制</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1.基本无有害生物危害状。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2.受害率必须控制在8%以下。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3.无大型、恶性杂草。</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1.无明显的有害生物受害状。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2.受害率应控制在15%以下。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3.无大型、恶性杂草。</w:t>
            </w:r>
            <w:r/>
          </w:p>
        </w:tc>
      </w:tr>
      <w:tr>
        <w:trPr>
          <w:cantSplit/>
        </w:trPr>
        <w:tc>
          <w:tcPr>
            <w:tcW w:w="84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清 洁</w:t>
            </w:r>
            <w:r/>
          </w:p>
        </w:tc>
        <w:tc>
          <w:tcPr>
            <w:tcW w:w="192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无垃圾。</w:t>
            </w:r>
            <w:r/>
          </w:p>
        </w:tc>
        <w:tc>
          <w:tcPr>
            <w:tcW w:w="2228"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无垃圾。</w:t>
            </w:r>
            <w:r/>
          </w:p>
        </w:tc>
      </w:tr>
    </w:tbl>
    <w:p>
      <w:pP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jc w:val="center"/>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rPr>
        <w:t xml:space="preserve">5.绿篱及模纹图案养护标准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4"/>
        <w:gridCol w:w="8385"/>
      </w:tblGrid>
      <w:tr>
        <w:trPr>
          <w:jc w:val="center"/>
          <w:trHeight w:val="567" w:hRule="exact"/>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59"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589"/>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1.景观优美，管理精细，有明显的层次感和造型。</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2.条块分明，色彩明快，线条优美，直线笔直，曲线流畅。 3.无缺株断层。</w:t>
            </w:r>
            <w:r/>
          </w:p>
        </w:tc>
      </w:tr>
      <w:tr>
        <w:trPr>
          <w:cantSplit/>
          <w:jc w:val="center"/>
          <w:trHeight w:val="867"/>
        </w:trPr>
        <w:tc>
          <w:tcPr>
            <w:tcW w:w="840"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生长</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1.生长势强，枝壮叶茂。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2.叶色正常，有光泽，无黄叶、焦叶、卷叶、枯萎叶，生长季节不落叶，无明显病虫害，株被害率在2%以内。</w:t>
            </w:r>
            <w:r/>
          </w:p>
        </w:tc>
      </w:tr>
      <w:tr>
        <w:trPr>
          <w:cantSplit/>
          <w:jc w:val="center"/>
          <w:trHeight w:val="681"/>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1.每年修剪不少于10次。 2.外形优美，有层次感，三面平整，直线笔直，曲线流畅。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3.修剪强度适宜、疏密得当。 4.操作标准，工具齐全。</w:t>
            </w:r>
            <w:r/>
          </w:p>
        </w:tc>
      </w:tr>
      <w:tr>
        <w:trPr>
          <w:cantSplit/>
          <w:jc w:val="center"/>
          <w:trHeight w:val="307"/>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1.每年施肥不少于4次。2.肥料种类适宜，方法合理。3.无缺肥、无漏肥、无肥害。</w:t>
            </w:r>
            <w:r/>
          </w:p>
        </w:tc>
      </w:tr>
      <w:tr>
        <w:trPr>
          <w:cantSplit/>
          <w:jc w:val="center"/>
          <w:trHeight w:val="200"/>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因生长季节、天气情况、植物种类恰当进行，无旱涝现象。</w:t>
            </w:r>
            <w:r/>
          </w:p>
        </w:tc>
      </w:tr>
      <w:tr>
        <w:trPr>
          <w:cantSplit/>
          <w:jc w:val="center"/>
          <w:trHeight w:val="260"/>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松土除杂草及时。</w:t>
            </w:r>
            <w:r/>
          </w:p>
        </w:tc>
      </w:tr>
      <w:tr>
        <w:trPr>
          <w:cantSplit/>
          <w:jc w:val="center"/>
          <w:trHeight w:val="405"/>
        </w:trPr>
        <w:tc>
          <w:tcPr>
            <w:tcW w:w="840"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5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篱下无落叶、生活垃圾、建筑垃圾、干枝枯叶及其它废弃物。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6.城墙麦冬养护标准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8402"/>
      </w:tblGrid>
      <w:tr>
        <w:trPr>
          <w:jc w:val="center"/>
          <w:trHeight w:val="566" w:hRule="exact"/>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476"/>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景  观</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1.管理精细。        2.实体覆盖率100%。      3.无缺株死株。</w:t>
            </w:r>
            <w:r/>
          </w:p>
        </w:tc>
      </w:tr>
      <w:tr>
        <w:trPr>
          <w:cantSplit/>
          <w:jc w:val="center"/>
          <w:trHeight w:val="1641"/>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生  长</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1.生长健壮、藤繁叶茂。</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2.叶色正常，有光泽，无黄叶、焦叶、卷叶、枯萎叶，生长季节不落叶，病虫害株被害率在2%以内。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3.叶面健壮、分布均匀、数量适宜，无明显枯死。</w:t>
            </w:r>
            <w:r/>
          </w:p>
        </w:tc>
      </w:tr>
      <w:tr>
        <w:trPr>
          <w:cantSplit/>
          <w:jc w:val="center"/>
          <w:trHeight w:val="418"/>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1.根据平整度的需要进行修剪、整形。      2.修剪强度适宜、疏密得当。</w:t>
            </w:r>
            <w:r/>
          </w:p>
        </w:tc>
      </w:tr>
      <w:tr>
        <w:trPr>
          <w:cantSplit/>
          <w:jc w:val="center"/>
          <w:trHeight w:val="82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1.每月施叶面肥1次。                 2.施肥种类适宜，方法合理。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82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1.因生长季节、天气情况、对城墙麦冬恰当浇水。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2.科学制定，方法合理。</w:t>
            </w:r>
            <w:r/>
          </w:p>
        </w:tc>
      </w:tr>
      <w:tr>
        <w:trPr>
          <w:cantSplit/>
          <w:jc w:val="center"/>
          <w:trHeight w:val="1233"/>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更  换</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1.根据生长状况，土壤墒情，需对城墙麦冬进行落地养护管理。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2.及时更换色泽、饱满、健康的城墙麦冬。</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3.制定科学合理的调换方案。</w:t>
            </w:r>
            <w:r/>
          </w:p>
        </w:tc>
      </w:tr>
      <w:tr>
        <w:trPr>
          <w:cantSplit/>
          <w:jc w:val="center"/>
          <w:trHeight w:val="418"/>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  草</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除杂草及时。</w:t>
            </w:r>
            <w:r/>
          </w:p>
        </w:tc>
      </w:tr>
      <w:tr>
        <w:trPr>
          <w:cantSplit/>
          <w:jc w:val="center"/>
          <w:trHeight w:val="836"/>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保  暖</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1.冬季必须对城墙麦冬进行覆盖养护。</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2.覆盖材料必须与环境协调。</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7.花坛养护标准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8418"/>
      </w:tblGrid>
      <w:tr>
        <w:trPr>
          <w:jc w:val="center"/>
          <w:trHeight w:val="567" w:hRule="exact"/>
        </w:trPr>
        <w:tc>
          <w:tcPr>
            <w:tcW w:w="824" w:type="pct"/>
            <w:vAlign w:val="center"/>
            <w:textDirection w:val="lrTb"/>
            <w:noWrap w:val="false"/>
          </w:tcPr>
          <w:p>
            <w:pPr>
              <w:ind w:left="0" w:right="0" w:firstLine="206"/>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1.浇水必须湿透根系层，浸湿土层应大于5cm。</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2.沙质土壤应勤浇水，粘质土壤应合理浇水。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3.根部积水应及时排出，低洼易积水处应挖排水沟</w:t>
            </w:r>
            <w:r/>
          </w:p>
        </w:tc>
      </w:tr>
      <w:tr>
        <w:trPr>
          <w:cantSplit/>
          <w:jc w:val="center"/>
          <w:trHeight w:val="1038"/>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修  剪</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1.按照景观需要和生长状况，及时对生长过密，过高植物进行修剪。</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2.干枯枝叶及残花及时进行清除。</w:t>
            </w:r>
            <w:r/>
          </w:p>
        </w:tc>
      </w:tr>
      <w:tr>
        <w:trPr>
          <w:cantSplit/>
          <w:jc w:val="center"/>
          <w:trHeight w:val="815"/>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松土与除草 </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1.草花换茬间隔期，土壤应进行翻挖、平整和消毒。</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2.及时清除杂草，应除早、除小，杂草需连根拔出。</w:t>
            </w:r>
            <w:r/>
          </w:p>
        </w:tc>
      </w:tr>
      <w:tr>
        <w:trPr>
          <w:cantSplit/>
          <w:jc w:val="center"/>
          <w:trHeight w:val="4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1.每次栽植前施足底肥。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5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栽   植</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栽植疏密有致，更换及时合理。</w:t>
            </w:r>
            <w:r/>
          </w:p>
        </w:tc>
      </w:tr>
      <w:tr>
        <w:trPr>
          <w:cantSplit/>
          <w:jc w:val="center"/>
          <w:trHeight w:val="60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花坛内无生活垃圾、建筑垃圾、干枝枯叶及其它废弃物。</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8.竹类植物养护标准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7"/>
        <w:gridCol w:w="8402"/>
      </w:tblGrid>
      <w:tr>
        <w:trPr>
          <w:jc w:val="center"/>
          <w:trHeight w:val="567" w:hRule="exact"/>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67"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浇灌与排水</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1.浇水应根据竹子生物学特性、长势、季节和土质状况，做到适地、适时、适量浇灌。确保植物正常生长所需水分。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2.每年春季竹子萌发前要浇春水至少1次，冬季休眠前浇防冻水至少1次，遇到持续干旱的黄梅天，应浇形鞭水。</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3.根部积水应及时排出，低洼易积水处应挖排水沟</w:t>
            </w:r>
            <w:r/>
          </w:p>
        </w:tc>
      </w:tr>
      <w:tr>
        <w:trPr>
          <w:cantSplit/>
          <w:jc w:val="center"/>
          <w:trHeight w:val="1038"/>
        </w:trPr>
        <w:tc>
          <w:tcPr>
            <w:tcW w:w="832"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疏   除</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1.竹林应加强抚育管理，保留适当密度，使竹林通风透光、生长健壮。</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2.间伐应在晚秋或冬季进行，应保留4、5年生以下立竹，去除6年以上尤其是10年生以上老竹。</w:t>
            </w:r>
            <w:r/>
          </w:p>
        </w:tc>
      </w:tr>
      <w:tr>
        <w:trPr>
          <w:cantSplit/>
          <w:jc w:val="center"/>
          <w:trHeight w:val="815"/>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松土与除草 </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1.除2-4月外，其他季节应及时清除竹林危害性杂草。</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2.每年应松土1次，松土应于6-7月进行，深度15cm。</w:t>
            </w:r>
            <w:r/>
          </w:p>
        </w:tc>
      </w:tr>
      <w:tr>
        <w:trPr>
          <w:cantSplit/>
          <w:jc w:val="center"/>
          <w:trHeight w:val="410"/>
        </w:trPr>
        <w:tc>
          <w:tcPr>
            <w:tcW w:w="832"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6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1.全年应施基肥1次，追肥1-3次。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9.水生植物及湿地植物养护标准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61"/>
        <w:gridCol w:w="8418"/>
      </w:tblGrid>
      <w:tr>
        <w:trPr>
          <w:jc w:val="center"/>
          <w:trHeight w:val="567" w:hRule="exact"/>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861"/>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控制水位和换水</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1.及时调整和控制水生植物与湿地植物正常生长水位。</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2.当用水发生混浊时，必须换水，夏季则须增加换水次数。</w:t>
            </w:r>
            <w:r/>
          </w:p>
        </w:tc>
      </w:tr>
      <w:tr>
        <w:trPr>
          <w:cantSplit/>
          <w:jc w:val="center"/>
          <w:trHeight w:val="1038"/>
        </w:trPr>
        <w:tc>
          <w:tcPr>
            <w:tcW w:w="824"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清理与分株</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1.不耐寒而干枯的水生植物与湿地植物，应在冬季枯黄后清除泥土上部分。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2.多年生耐寒水生植物与湿地植物，应在每年2底新芽长出前剪除泥上部分。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3.及时清除枯枝残叶及杂物。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4.因病虫害等原因死亡的植株应及时清理。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5.同一水池中混合栽植各类水生植物，必须定时疏除繁殖过快的种类，以免覆满水面，影响其它水生植物的生长。</w:t>
            </w:r>
            <w:r/>
          </w:p>
        </w:tc>
      </w:tr>
      <w:tr>
        <w:trPr>
          <w:cantSplit/>
          <w:jc w:val="center"/>
          <w:trHeight w:val="174"/>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除草与灭苔 </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应在早春植物萌芽前对水生杂草和青苔进行物理防治。</w:t>
            </w:r>
            <w:r/>
          </w:p>
        </w:tc>
      </w:tr>
      <w:tr>
        <w:trPr>
          <w:cantSplit/>
          <w:jc w:val="center"/>
          <w:trHeight w:val="410"/>
        </w:trPr>
        <w:tc>
          <w:tcPr>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   肥</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1.注重早期施肥，施足基肥，春秋各进行一次追肥，尽量利用低水位时补肥。</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2.施肥不应污染水质，合理配置氮磷钾。</w:t>
            </w:r>
            <w:r/>
          </w:p>
        </w:tc>
      </w:tr>
    </w:tbl>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10.有害生物控制标准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1123"/>
        <w:gridCol w:w="8418"/>
      </w:tblGrid>
      <w:tr>
        <w:trPr>
          <w:cantSplit/>
          <w:jc w:val="center"/>
          <w:trHeight w:val="489"/>
        </w:trPr>
        <w:tc>
          <w:tcPr>
            <w:gridSpan w:val="2"/>
            <w:tcW w:w="824" w:type="pct"/>
            <w:vAlign w:val="center"/>
            <w:textDirection w:val="lrTb"/>
            <w:noWrap w:val="false"/>
          </w:tcPr>
          <w:p>
            <w:pPr>
              <w:ind w:left="0" w:right="0" w:firstLine="422"/>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5"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一 级</w:t>
            </w:r>
            <w:r/>
          </w:p>
        </w:tc>
      </w:tr>
      <w:tr>
        <w:trPr>
          <w:cantSplit/>
          <w:jc w:val="center"/>
          <w:trHeight w:val="625"/>
        </w:trPr>
        <w:tc>
          <w:tcPr>
            <w:tcW w:w="267"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病害</w:t>
            </w:r>
            <w:r/>
          </w:p>
        </w:tc>
        <w:tc>
          <w:tcPr>
            <w:tcW w:w="557"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发</w:t>
            </w:r>
            <w:r/>
          </w:p>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病</w:t>
            </w:r>
            <w:r/>
          </w:p>
          <w:p>
            <w:pPr>
              <w:ind w:left="-44" w:right="-25"/>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率</w:t>
            </w:r>
            <w:r/>
          </w:p>
        </w:tc>
        <w:tc>
          <w:tcPr>
            <w:tcW w:w="4175" w:type="pct"/>
            <w:vAlign w:val="center"/>
            <w:textDirection w:val="lrTb"/>
            <w:noWrap w:val="false"/>
          </w:tcPr>
          <w:p>
            <w:pPr>
              <w:numPr>
                <w:ilvl w:val="0"/>
                <w:numId w:val="4"/>
              </w:num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基本无明显危害（整体病害发病率≤8%）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2.叶部病害发病率≤8%</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3.枝干病害发病率≤5%   </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4.根部病害发病率≤5%</w:t>
            </w:r>
            <w:r/>
          </w:p>
        </w:tc>
      </w:tr>
      <w:tr>
        <w:trPr>
          <w:cantSplit/>
          <w:jc w:val="center"/>
          <w:trHeight w:val="364"/>
        </w:trPr>
        <w:tc>
          <w:tcPr>
            <w:tcW w:w="267" w:type="pct"/>
            <w:vAlign w:val="center"/>
            <w:vMerge w:val="continue"/>
            <w:textDirection w:val="lrTb"/>
            <w:noWrap w:val="false"/>
          </w:tcPr>
          <w:p>
            <w:pPr>
              <w:ind w:left="0" w:right="0" w:firstLine="315"/>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危害</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程度</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无至零星轻度(0—0/+)</w:t>
            </w:r>
            <w:r/>
          </w:p>
        </w:tc>
      </w:tr>
      <w:tr>
        <w:trPr>
          <w:cantSplit/>
          <w:jc w:val="center"/>
          <w:trHeight w:val="257"/>
        </w:trPr>
        <w:tc>
          <w:tcPr>
            <w:tcW w:w="267" w:type="pct"/>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虫害</w:t>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食叶</w:t>
            </w:r>
            <w:r/>
          </w:p>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无明显危害（整体株危害率≤8%，叶危害率≤5%）</w:t>
            </w:r>
            <w:r/>
          </w:p>
        </w:tc>
      </w:tr>
      <w:tr>
        <w:trPr>
          <w:cantSplit/>
          <w:jc w:val="center"/>
          <w:trHeight w:val="437"/>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刺吸</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无明显危害（整体株危害率≤15%，叶危害率≤10%，其中介壳虫危害少于3只/100cm或10只/尺枝条）</w:t>
            </w:r>
            <w:r/>
          </w:p>
        </w:tc>
      </w:tr>
      <w:tr>
        <w:trPr>
          <w:cantSplit/>
          <w:jc w:val="center"/>
          <w:trHeight w:val="217"/>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蛀干</w:t>
            </w:r>
            <w:r/>
          </w:p>
          <w:p>
            <w:pPr>
              <w:ind w:left="0" w:right="0"/>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无明显危害（整体株危害率≤5%，枝危害率≤5%，基本无活虫活卵，危害少于2只/100cm²或2只/尺枝条）</w:t>
            </w:r>
            <w:r/>
          </w:p>
        </w:tc>
      </w:tr>
      <w:tr>
        <w:trPr>
          <w:cantSplit/>
          <w:jc w:val="center"/>
          <w:trHeight w:val="365"/>
        </w:trPr>
        <w:tc>
          <w:tcPr>
            <w:tcW w:w="267" w:type="pct"/>
            <w:vAlign w:val="top"/>
            <w:vMerge w:val="continue"/>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557" w:type="pct"/>
            <w:vAlign w:val="center"/>
            <w:textDirection w:val="lrTb"/>
            <w:noWrap w:val="false"/>
          </w:tcPr>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地下</w:t>
            </w:r>
            <w:r/>
          </w:p>
          <w:p>
            <w:pPr>
              <w:ind w:left="-45" w:right="-23"/>
              <w:jc w:val="center"/>
              <w:keepLines w:val="0"/>
              <w:keepNext w:val="0"/>
              <w:spacing w:before="0" w:beforeAutospacing="0" w:after="0" w:afterAutospacing="0" w:line="360" w:lineRule="auto"/>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害虫</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基本无危害（整体株危害率≤3%，危害少于0.3只/100cm²）</w:t>
            </w:r>
            <w:r/>
          </w:p>
        </w:tc>
      </w:tr>
      <w:tr>
        <w:trPr>
          <w:cantSplit/>
          <w:jc w:val="center"/>
          <w:trHeight w:val="2886"/>
        </w:trPr>
        <w:tc>
          <w:tcPr>
            <w:gridSpan w:val="2"/>
            <w:tcW w:w="824"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有</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害</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生</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物</w:t>
            </w:r>
            <w:r/>
          </w:p>
          <w:p>
            <w:pPr>
              <w:ind w:left="-44" w:right="-25"/>
              <w:jc w:val="center"/>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防</w:t>
            </w:r>
            <w:r/>
          </w:p>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color w:val="auto"/>
                <w:sz w:val="21"/>
                <w:szCs w:val="21"/>
                <w:highlight w:val="none"/>
              </w:rPr>
              <w:t xml:space="preserve">治</w:t>
            </w:r>
            <w:r/>
          </w:p>
        </w:tc>
        <w:tc>
          <w:tcPr>
            <w:tcW w:w="4175"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1.有植保专业技术人员</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2.有详尽的防治工作计划</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3.植保机具较齐全，运转良好</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4.药剂保管、药剂施用制度、安全保护的制度及措施完善到位，无安全事故</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5.以无公害防治为主</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6.每年防治不少于12 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7.防治率不少于 95 %</w:t>
            </w:r>
            <w:r/>
          </w:p>
        </w:tc>
      </w:tr>
    </w:tbl>
    <w:p>
      <w:pPr>
        <w:ind w:firstLine="422"/>
        <w:spacing w:line="360" w:lineRule="auto"/>
        <w:tabs>
          <w:tab w:val="left" w:pos="0" w:leader="none"/>
        </w:tabs>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11.古树名木养护标准</w:t>
      </w:r>
      <w:r/>
    </w:p>
    <w:tbl>
      <w:tblPr>
        <w:tblStyle w:val="8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9"/>
        <w:gridCol w:w="8420"/>
      </w:tblGrid>
      <w:tr>
        <w:trPr>
          <w:jc w:val="center"/>
          <w:trHeight w:val="567" w:hRule="exact"/>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 目</w:t>
            </w:r>
            <w:r/>
          </w:p>
        </w:tc>
        <w:tc>
          <w:tcPr>
            <w:tcW w:w="4176"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养护标准</w:t>
            </w:r>
            <w:r/>
          </w:p>
        </w:tc>
      </w:tr>
      <w:tr>
        <w:trPr>
          <w:cantSplit/>
          <w:jc w:val="center"/>
          <w:trHeight w:val="861"/>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古树标准</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以扬州市古树名木行政主管部门组织鉴定、挂牌为准</w:t>
            </w:r>
            <w:r/>
          </w:p>
        </w:tc>
      </w:tr>
      <w:tr>
        <w:trPr>
          <w:cantSplit/>
          <w:jc w:val="center"/>
          <w:trHeight w:val="1038"/>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禁止行为</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1.在树上刻划、张贴或者悬挂物品。</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2.在施工等作业时借树木作为支撑物或者固定物。</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3.攀树、折枝、挖根摘采果实种子或者剥损树枝、树干、树皮。</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4.距树冠垂直投影5米的范围内堆放物料、挖坑取土、兴建临时设施建筑、倾倒有害污水、污物垃圾，动用明火或者排放烟气。</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5.擅自移植、砍伐、转让买卖。</w:t>
            </w:r>
            <w:r/>
          </w:p>
        </w:tc>
      </w:tr>
      <w:tr>
        <w:trPr>
          <w:cantSplit/>
          <w:jc w:val="center"/>
          <w:trHeight w:val="174"/>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保护措施</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1.改良土壤，修理护坡。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2.浇水抗旱，排水防渍。</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3.施肥复壮，防治病虫害。</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4.修剪、补洞、围栏、设保护支架。</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5.对于高大的古树名木，安装避雷针防护。</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施肥</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1.每年施肥不少于4次。</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2.肥料种类适宜，方法合理。</w:t>
            </w:r>
            <w:r/>
          </w:p>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3.无缺肥、无漏肥、无肥害。</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浇 灌</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因生长季节、天气情况、植物种类恰当进行，无旱涝现象。</w:t>
            </w:r>
            <w:r/>
          </w:p>
        </w:tc>
      </w:tr>
      <w:tr>
        <w:trPr>
          <w:cantSplit/>
          <w:jc w:val="center"/>
          <w:trHeight w:val="410"/>
        </w:trPr>
        <w:tc>
          <w:tcPr>
            <w:tcW w:w="823" w:type="pct"/>
            <w:vAlign w:val="center"/>
            <w:textDirection w:val="lrTb"/>
            <w:noWrap w:val="false"/>
          </w:tcPr>
          <w:p>
            <w:pPr>
              <w:ind w:left="-44" w:right="-25"/>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松土除草</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松土除杂草及时。</w:t>
            </w:r>
            <w:r/>
          </w:p>
        </w:tc>
      </w:tr>
      <w:tr>
        <w:trPr>
          <w:cantSplit/>
          <w:jc w:val="center"/>
          <w:trHeight w:val="410"/>
        </w:trPr>
        <w:tc>
          <w:tcPr>
            <w:tcW w:w="82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清 洁</w:t>
            </w:r>
            <w:r/>
          </w:p>
        </w:tc>
        <w:tc>
          <w:tcPr>
            <w:tcW w:w="4176"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树下无落叶、生活垃圾、建筑垃圾、干枝枯叶及其它废弃物。</w:t>
            </w:r>
            <w:r/>
          </w:p>
        </w:tc>
      </w:tr>
    </w:tbl>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与本项目服务内容相关的消防安全责任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企业法定代表人责任制：企业法定代表人对与本项目服务内容相关的的消防安全工作全面负责，组织制定和实施服务过程中可能涉及到的消防安全管理制度，提供可能涉及到的消防安全必需的技术支持，确保景区内消防安全管理体系有效运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2.消防安全管理部门责任制：拟派人员中有负责与本项目服务内容相关的消防安全管理的人员，负责日常消防管理工作，包括但不限于消防安全巡查、消防安全宣传教育、消防应急预案编制及演练等。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3.岗位消防安全责任制：各岗位根据自身特点和职责，明确相应的消防安全责任，严格执行消防安全操作规程，定期进行消防安全自查自纠，发现问题及时整改。</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4.全员消防安全责任制：全体员工应了解和掌握基本的消防安全知识和技能，积极参与消防安全教育培训，自觉遵守消防安全规定，及时报告火险隐患，配合做好灭火救援等工作。</w:t>
      </w:r>
      <w:r/>
    </w:p>
    <w:p>
      <w:pPr>
        <w:ind w:firstLine="422"/>
        <w:keepLines w:val="0"/>
        <w:keepNext w:val="0"/>
        <w:pageBreakBefore w:val="0"/>
        <w:spacing w:line="40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1.企业法定代表人是安全生产的第一责任人，对安全生产工作全面负责，负责建立健全安全生产责任制，并确保得到有效执行。</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负责组织制定和实施安全生产规章制度、操作规程，保证安全生产资金投入，提供必要的安全生产条件。</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组织制定并实施安全生产教育和培训计划，组织应急预案的制定和演练。</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2.各级管理人员的安全生产责任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按照“谁主管，谁负责”的原则，各级管理层对应其分管业务范围内的安全工作承担责任，包括执行安全生产法律法规、监督规章制度执行情况、纠正违章行为等。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在日常管理工作中做到“五同时”，即在计划、布置、检查、总结、评比生产的时候，同时考虑和落实安全工作。</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3.岗位及员工的安全生产责任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按照岗位职责履行安全生产义务，遵守安全操作规程，参与安全培训，发现隐患及时报告，采取必要措施避免事故的发生。</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4.安全生产目标责任</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明确具体的安全生产量化指标，如无重特大及死亡事故、工伤事故降低到一定标准之下、火灾事故为零等。</w:t>
      </w:r>
      <w:r/>
    </w:p>
    <w:p>
      <w:pPr>
        <w:ind w:firstLine="420"/>
        <w:keepLines w:val="0"/>
        <w:keepNext w:val="0"/>
        <w:pageBreakBefore w:val="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过层层签订安全生产责任书，将安全生产责任细化到每个层级、每个岗位，并通过完善安全生产管理制度、强化安全生产教育培训、实施定期安全检查和隐患排查治理机制，以及建立应急预案响应系统等方式，确保安全生产责任得到全面、有效地落实。</w:t>
      </w:r>
      <w:r/>
    </w:p>
    <w:p>
      <w:pPr>
        <w:ind w:firstLine="422"/>
        <w:keepLines w:val="0"/>
        <w:keepNext w:val="0"/>
        <w:pageBreakBefore w:val="0"/>
        <w:spacing w:line="400" w:lineRule="exact"/>
        <w:tabs>
          <w:tab w:val="left" w:pos="0" w:leader="none"/>
        </w:tabs>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园林绿化管理服务考核</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一）考核要求</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分管部门负责对中标人的园林绿化管理服务工作进行验收考核，依据采购文件有关规定和合同约定，遵循公开、公平、公正的原则采用服务标准量化形式考核评分。每月考核结果由采购人分管部门以书面形式通知中标人。</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二）考核项目</w:t>
      </w:r>
      <w:r/>
    </w:p>
    <w:p>
      <w:pPr>
        <w:ind w:firstLine="420"/>
        <w:keepLines w:val="0"/>
        <w:keepNext w:val="0"/>
        <w:pageBreakBefore w:val="0"/>
        <w:spacing w:line="400" w:lineRule="exact"/>
        <w:rPr>
          <w:rFonts w:hint="eastAsia" w:ascii="宋体" w:hAnsi="宋体" w:eastAsia="宋体" w:cs="宋体"/>
          <w:i/>
          <w:color w:val="auto"/>
          <w:sz w:val="21"/>
          <w:szCs w:val="21"/>
          <w:highlight w:val="none"/>
        </w:rPr>
      </w:pPr>
      <w:r>
        <w:rPr>
          <w:rFonts w:hint="eastAsia" w:ascii="宋体" w:hAnsi="宋体" w:eastAsia="宋体" w:cs="宋体"/>
          <w:i/>
          <w:color w:val="auto"/>
          <w:sz w:val="21"/>
          <w:szCs w:val="21"/>
          <w:highlight w:val="none"/>
          <w:u w:val="single"/>
        </w:rPr>
        <w:t xml:space="preserve">1</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投标报价应包括所有的费用：人员工资、全员缴纳法定的社会保险、法定税费、管理费、住房公积金、高温费、节假日福利、加班费、服装费、工具折旧费、日常耗材费、利润等完成该项目采购需求范围内园林绿化管理服务的全部内容所需的费用。</w:t>
      </w:r>
      <w:r>
        <w:rPr>
          <w:rFonts w:hint="eastAsia" w:ascii="宋体" w:hAnsi="宋体" w:eastAsia="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rPr>
        <w:t xml:space="preserve">政策调整导致人工费用上涨</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风险由投标人自行承担，</w:t>
      </w:r>
      <w:r>
        <w:rPr>
          <w:rFonts w:hint="eastAsia" w:ascii="宋体" w:hAnsi="宋体" w:eastAsia="宋体" w:cs="宋体"/>
          <w:b/>
          <w:bCs/>
          <w:i/>
          <w:iCs/>
          <w:color w:val="auto"/>
          <w:sz w:val="21"/>
          <w:szCs w:val="21"/>
          <w:highlight w:val="none"/>
          <w:u w:val="single"/>
        </w:rPr>
        <w:t xml:space="preserve">不得</w:t>
      </w:r>
      <w:r>
        <w:rPr>
          <w:rFonts w:hint="eastAsia" w:ascii="宋体" w:hAnsi="宋体" w:eastAsia="宋体" w:cs="宋体"/>
          <w:b/>
          <w:bCs/>
          <w:i/>
          <w:iCs/>
          <w:color w:val="auto"/>
          <w:sz w:val="21"/>
          <w:szCs w:val="21"/>
          <w:highlight w:val="none"/>
          <w:u w:val="single"/>
          <w:lang w:val="en-US" w:eastAsia="zh-CN"/>
        </w:rPr>
        <w:t xml:space="preserve">因此</w:t>
      </w:r>
      <w:r>
        <w:rPr>
          <w:rFonts w:hint="eastAsia" w:ascii="宋体" w:hAnsi="宋体" w:eastAsia="宋体" w:cs="宋体"/>
          <w:b/>
          <w:bCs/>
          <w:i/>
          <w:iCs/>
          <w:color w:val="auto"/>
          <w:sz w:val="21"/>
          <w:szCs w:val="21"/>
          <w:highlight w:val="none"/>
          <w:u w:val="single"/>
        </w:rPr>
        <w:t xml:space="preserve">向采购人要求追加</w:t>
      </w:r>
      <w:r>
        <w:rPr>
          <w:rFonts w:hint="eastAsia" w:ascii="宋体" w:hAnsi="宋体" w:eastAsia="宋体" w:cs="宋体"/>
          <w:b/>
          <w:bCs/>
          <w:i/>
          <w:iCs/>
          <w:color w:val="auto"/>
          <w:sz w:val="21"/>
          <w:szCs w:val="21"/>
          <w:highlight w:val="none"/>
          <w:u w:val="single"/>
          <w:lang w:val="en-US" w:eastAsia="zh-CN"/>
        </w:rPr>
        <w:t xml:space="preserve">任何</w:t>
      </w:r>
      <w:r>
        <w:rPr>
          <w:rFonts w:hint="eastAsia" w:ascii="宋体" w:hAnsi="宋体" w:eastAsia="宋体" w:cs="宋体"/>
          <w:b/>
          <w:bCs/>
          <w:i/>
          <w:iCs/>
          <w:color w:val="auto"/>
          <w:sz w:val="21"/>
          <w:szCs w:val="21"/>
          <w:highlight w:val="none"/>
          <w:u w:val="single"/>
        </w:rPr>
        <w:t xml:space="preserve">费用</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eastAsia="宋体" w:cs="宋体"/>
          <w:i/>
          <w:color w:val="auto"/>
          <w:sz w:val="21"/>
          <w:szCs w:val="21"/>
          <w:highlight w:val="none"/>
          <w:u w:val="single"/>
        </w:rPr>
        <w:t xml:space="preserve">2</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中标人必须为服务于本项目的人员全员购买意外伤害险并完全承担项目实施全过程中的涉及到的一切的安全责任，在服务过程中如引起人身伤害和其它财产安全等事故，由中标人全权负责处理，并承担全部责任。</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cs="宋体"/>
          <w:b w:val="0"/>
          <w:bCs w:val="0"/>
          <w:i/>
          <w:iCs/>
          <w:color w:val="auto"/>
          <w:sz w:val="21"/>
          <w:szCs w:val="21"/>
          <w:highlight w:val="none"/>
          <w:u w:val="single"/>
          <w:lang w:val="en-US" w:eastAsia="zh-CN"/>
        </w:rPr>
        <w:t xml:space="preserve">3.</w:t>
      </w:r>
      <w:r>
        <w:rPr>
          <w:rFonts w:hint="eastAsia" w:ascii="宋体" w:hAnsi="宋体" w:eastAsia="宋体" w:cs="宋体"/>
          <w:b w:val="0"/>
          <w:bCs w:val="0"/>
          <w:i/>
          <w:iCs/>
          <w:color w:val="auto"/>
          <w:sz w:val="21"/>
          <w:szCs w:val="21"/>
          <w:highlight w:val="none"/>
          <w:u w:val="single"/>
          <w:lang w:val="en-US" w:eastAsia="zh-CN"/>
        </w:rPr>
        <w:t xml:space="preserve">全职全日制</w:t>
      </w:r>
      <w:r>
        <w:rPr>
          <w:rFonts w:hint="eastAsia" w:ascii="宋体" w:hAnsi="宋体" w:eastAsia="宋体" w:cs="宋体"/>
          <w:b w:val="0"/>
          <w:bCs w:val="0"/>
          <w:i/>
          <w:iCs/>
          <w:color w:val="auto"/>
          <w:sz w:val="21"/>
          <w:szCs w:val="21"/>
          <w:highlight w:val="none"/>
          <w:u w:val="single"/>
        </w:rPr>
        <w:t xml:space="preserve">人员工资低于扬州市最低工资标准及未依法测算缴纳社会保险、医疗保险、住房公积金</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非全日制人员工资低于扬州市非全日制用工小时最低工资标准</w:t>
      </w:r>
      <w:r>
        <w:rPr>
          <w:rFonts w:hint="eastAsia" w:ascii="宋体" w:hAnsi="宋体" w:eastAsia="宋体" w:cs="宋体"/>
          <w:b w:val="0"/>
          <w:bCs w:val="0"/>
          <w:i/>
          <w:iCs/>
          <w:color w:val="auto"/>
          <w:sz w:val="21"/>
          <w:szCs w:val="21"/>
          <w:highlight w:val="none"/>
          <w:u w:val="single"/>
        </w:rPr>
        <w:t xml:space="preserve">的作无效报价处理。</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t xml:space="preserve">4</w:t>
      </w:r>
      <w:r>
        <w:rPr>
          <w:rFonts w:hint="eastAsia" w:ascii="宋体" w:hAnsi="宋体" w:eastAsia="宋体" w:cs="宋体"/>
          <w:i/>
          <w:color w:val="auto"/>
          <w:sz w:val="21"/>
          <w:szCs w:val="21"/>
          <w:highlight w:val="none"/>
          <w:u w:val="single"/>
          <w:lang w:val="en-US" w:eastAsia="zh-CN"/>
        </w:rPr>
        <w:t xml:space="preserve">.</w:t>
      </w:r>
      <w:r>
        <w:rPr>
          <w:rFonts w:hint="eastAsia" w:ascii="宋体" w:hAnsi="宋体" w:eastAsia="宋体" w:cs="宋体"/>
          <w:i/>
          <w:color w:val="auto"/>
          <w:sz w:val="21"/>
          <w:szCs w:val="21"/>
          <w:highlight w:val="none"/>
          <w:u w:val="single"/>
        </w:rPr>
        <w:t xml:space="preserve">投标人须承诺合同签订后实施服务前，将项目人员花名册交于采购人，投标文件中承诺的项目经理必须到岗并符合投标文件中承诺的学历、职称、任职经历等；所有人员更换需符合招标文件要求，及时更新花名册并向采购人报备；项目经理未经采购人允许不得换人；招标文件要求的机具不得缺少。</w:t>
      </w:r>
      <w:r>
        <w:rPr>
          <w:rFonts w:hint="eastAsia" w:ascii="宋体" w:hAnsi="宋体" w:eastAsia="宋体" w:cs="宋体"/>
          <w:b/>
          <w:bCs/>
          <w:i/>
          <w:color w:val="auto"/>
          <w:sz w:val="21"/>
          <w:szCs w:val="21"/>
          <w:highlight w:val="none"/>
          <w:u w:val="single"/>
        </w:rPr>
        <w:t xml:space="preserve">（提供承诺函，格式自拟，系统上传）</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中标人服务人员是否全部实行培训合格持证上岗。</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中标人到岗人数、到岗时间、操作流程，自然灾害等应急能力、服务质量是否符合采购文件要求、合同约定和投标承诺。</w:t>
      </w:r>
      <w:r/>
    </w:p>
    <w:p>
      <w:pPr>
        <w:ind w:firstLine="420"/>
        <w:keepLines w:val="0"/>
        <w:keepNext w:val="0"/>
        <w:pageBreakBefore w:val="0"/>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网格化管理方案是否得到贯彻执行，网格表现是否存在问题。</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三）、考核方法</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每月采用定期考核与巡查考核相结合的方式进行</w:t>
      </w:r>
      <w:r>
        <w:rPr>
          <w:rFonts w:hint="eastAsia" w:ascii="宋体" w:hAnsi="宋体" w:cs="宋体"/>
          <w:color w:val="auto"/>
          <w:sz w:val="21"/>
          <w:szCs w:val="21"/>
          <w:highlight w:val="none"/>
          <w:lang w:val="en-US" w:eastAsia="zh-CN"/>
        </w:rPr>
        <w:t xml:space="preserve">双重</w:t>
      </w:r>
      <w:r>
        <w:rPr>
          <w:rFonts w:hint="eastAsia" w:ascii="宋体" w:hAnsi="宋体" w:eastAsia="宋体" w:cs="宋体"/>
          <w:color w:val="auto"/>
          <w:sz w:val="21"/>
          <w:szCs w:val="21"/>
          <w:highlight w:val="none"/>
        </w:rPr>
        <w:t xml:space="preserve">考核，</w:t>
      </w:r>
      <w:r>
        <w:rPr>
          <w:rFonts w:hint="eastAsia" w:ascii="宋体" w:hAnsi="宋体" w:cs="宋体"/>
          <w:color w:val="auto"/>
          <w:sz w:val="21"/>
          <w:szCs w:val="21"/>
          <w:highlight w:val="none"/>
          <w:lang w:val="en-US" w:eastAsia="zh-CN"/>
        </w:rPr>
        <w:t xml:space="preserve">考核分为公司考核和个人考核，</w:t>
      </w:r>
      <w:r>
        <w:rPr>
          <w:rFonts w:hint="eastAsia" w:ascii="宋体" w:hAnsi="宋体" w:eastAsia="宋体" w:cs="宋体"/>
          <w:color w:val="auto"/>
          <w:sz w:val="21"/>
          <w:szCs w:val="21"/>
          <w:highlight w:val="none"/>
        </w:rPr>
        <w:t xml:space="preserve">考核内容见附件。</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四）、考核评分</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考核实行百分制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个人考核实行扣款制，具体</w:t>
      </w:r>
      <w:r>
        <w:rPr>
          <w:rFonts w:hint="eastAsia" w:ascii="宋体" w:hAnsi="宋体" w:eastAsia="宋体" w:cs="宋体"/>
          <w:color w:val="auto"/>
          <w:sz w:val="21"/>
          <w:szCs w:val="21"/>
          <w:highlight w:val="none"/>
        </w:rPr>
        <w:t xml:space="preserve">详见《考核细则》。</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考核分数由定期考核得分与巡查考核得分综合组成，定期考核得分占综合得分50%，巡查考核得分占总综合得分50%。</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每月</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考核总分100分，考核得分95分以上不扣服务费；考核得分低于95分时，每低1分扣当月结算费用的1%。</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年度考核中有三次分值低于90分的，或有两次分值低于85分的，或有一次分值低于80分的，中标人需视情节和影响严重程度另行承担合同价的2%-5%的违约金，采购人在应付费用中扣除。</w:t>
      </w:r>
      <w:r/>
    </w:p>
    <w:p>
      <w:pPr>
        <w:pStyle w:val="822"/>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5.个人考核的扣款金额月度累计，采购人在应付费用中扣除。</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.服务期内的</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lang w:val="en-US" w:eastAsia="zh-CN"/>
        </w:rPr>
        <w:t xml:space="preserve">月度考核有三次低于80分，除按得分扣除基本费用的比例和承担合同价的2%-5%的违约金外，采购人可提前终止合同，且不承担任何违约责任，中标人应在收到书面通知后，5个工作日内无条件撤场。</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对于考核中发现的问题，必须及时整改，整改到位后，方可核发服务费用，服务费的核发标准仍按上述第3-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条执行。</w:t>
      </w:r>
      <w:r/>
    </w:p>
    <w:p>
      <w:pPr>
        <w:ind w:firstLine="42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8.个人考核奖励情况：</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lang w:val="en-US" w:eastAsia="zh-CN"/>
        </w:rPr>
        <w:t xml:space="preserve">服务工作获区市级文旅、城管、文明办、应急等主管部门通报表扬、书面致信感谢，在文明创建、景区复核、环境专项检查中表现突出，相关服务事迹获官方媒体、政务平台正面宣传；</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 服务人员</w:t>
      </w:r>
      <w:r>
        <w:rPr>
          <w:rFonts w:hint="eastAsia" w:ascii="宋体" w:hAnsi="宋体" w:eastAsia="宋体" w:cs="宋体"/>
          <w:color w:val="auto"/>
          <w:sz w:val="21"/>
          <w:szCs w:val="21"/>
          <w:highlight w:val="none"/>
          <w:lang w:val="en-US" w:eastAsia="zh-CN"/>
        </w:rPr>
        <w:t xml:space="preserve">主动践行文明服务，出现拾金不昧、救助患病游客、帮助走失人员、见义勇为等暖心行为，经公安、街道、文明办、景区管理方等官方单位表彰、通报表扬或授予相关荣誉，挽回游客人身、财产损失的；</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 服务人员因在宋夹城景区的工作，</w:t>
      </w:r>
      <w:r>
        <w:rPr>
          <w:rFonts w:hint="eastAsia" w:ascii="宋体" w:hAnsi="宋体" w:eastAsia="宋体" w:cs="宋体"/>
          <w:color w:val="auto"/>
          <w:sz w:val="21"/>
          <w:szCs w:val="21"/>
          <w:highlight w:val="none"/>
          <w:lang w:val="en-US" w:eastAsia="zh-CN"/>
        </w:rPr>
        <w:t xml:space="preserve">获评区级及以上先进集体、先进个人、文明标兵等官方荣誉</w:t>
      </w:r>
      <w:r>
        <w:rPr>
          <w:rFonts w:hint="eastAsia" w:ascii="宋体" w:hAnsi="宋体" w:cs="宋体"/>
          <w:color w:val="auto"/>
          <w:sz w:val="21"/>
          <w:szCs w:val="21"/>
          <w:highlight w:val="none"/>
          <w:lang w:val="en-US" w:eastAsia="zh-CN"/>
        </w:rPr>
        <w:t xml:space="preserve">。</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本办法解释权归扬州市宋夹城风景区管理处。</w:t>
      </w:r>
      <w:r/>
    </w:p>
    <w:p>
      <w:pPr>
        <w:ind w:firstLine="422"/>
        <w:keepLines w:val="0"/>
        <w:keepNext w:val="0"/>
        <w:pageBreakBefore w:val="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：宋夹城景区园林绿化管理服务考核细则</w:t>
      </w:r>
      <w:r>
        <w:rPr>
          <w:rFonts w:hint="eastAsia" w:ascii="宋体" w:hAnsi="宋体" w:cs="宋体"/>
          <w:b/>
          <w:bCs/>
          <w:color w:val="auto"/>
          <w:sz w:val="21"/>
          <w:szCs w:val="21"/>
          <w:highlight w:val="none"/>
          <w:lang w:val="en-US" w:eastAsia="zh-CN"/>
        </w:rPr>
        <w:t xml:space="preserve">（公司考核）</w:t>
      </w:r>
      <w:r/>
    </w:p>
    <w:tbl>
      <w:tblPr>
        <w:tblStyle w:val="842"/>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580"/>
        <w:gridCol w:w="3216"/>
        <w:gridCol w:w="916"/>
        <w:gridCol w:w="2130"/>
        <w:gridCol w:w="898"/>
      </w:tblGrid>
      <w:tr>
        <w:trPr>
          <w:jc w:val="center"/>
          <w:trHeight w:val="0"/>
          <w:tblHeader/>
        </w:trPr>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序号</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考核大类</w:t>
            </w:r>
            <w:r/>
          </w:p>
        </w:tc>
        <w:tc>
          <w:tcPr>
            <w:tcW w:w="32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公司层面考核内容</w:t>
            </w:r>
            <w:r/>
          </w:p>
        </w:tc>
        <w:tc>
          <w:tcPr>
            <w:tcW w:w="9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分值</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扣分标准</w:t>
            </w:r>
            <w:r/>
          </w:p>
        </w:tc>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评分</w:t>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基本要求（50分）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管理秩序与配合</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景区园林绿化管理服务秩序良好、安全文明、环境整洁，与秩序维护（保安）、</w:t>
            </w:r>
            <w:r>
              <w:rPr>
                <w:rFonts w:hint="eastAsia" w:ascii="宋体" w:hAnsi="宋体" w:eastAsia="宋体" w:cs="宋体"/>
                <w:color w:val="auto"/>
                <w:sz w:val="21"/>
                <w:szCs w:val="21"/>
                <w:highlight w:val="none"/>
                <w:lang w:val="en-US" w:eastAsia="zh-CN"/>
              </w:rPr>
              <w:t xml:space="preserve">生态环境综合管理</w:t>
            </w:r>
            <w:r>
              <w:rPr>
                <w:rFonts w:hint="eastAsia" w:ascii="宋体" w:hAnsi="宋体" w:eastAsia="宋体" w:cs="宋体"/>
                <w:color w:val="auto"/>
                <w:sz w:val="21"/>
                <w:szCs w:val="21"/>
                <w:highlight w:val="none"/>
              </w:rPr>
              <w:t xml:space="preserve">服务配合良好。</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配合不到位每发生一次扣1分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方案与制度</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有园林绿化管理服务方案并根据景区要求适时修改完善，各岗位有作业规范和工作流程。 </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不完善或未落实每次扣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人员培训与例会</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所有人员上岗前必须进行安全培训和业务培训，每日召开安全及工作会议。</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每发现1人未培训扣1分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工作态度与文明作业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工作态度端正，积极主动负责，文明作业，精神状态饱满。</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与游客发生冲突每次扣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着装与行为规范</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统一着装、整洁、规范，无抽烟、酒后作业。 </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违反1处扣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劳动纪律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无睡岗、离岗、聊天、串岗、脱岗、迟到、早退等现象。</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每人次扣1分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投诉管理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无有效投诉。</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1次投诉扣1分，造成不良影响扣2分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安全生产</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消防安全、安全生产方案齐全、措施到位，安全无事故。</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1次扣1分，造成不良影响扣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合规履约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符合服务承诺、采购文件要求、合同约定和景观管理有关规定。。</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每违反一处扣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内部考核与网格化</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有自考流程、网格化管理、考核标准，网格内问题得到及时处理。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应急预案</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雨雪季、旅游旺季（清明节、劳动节、国庆节）、重大活动及突发事件应急预案措施得当，预案组织架构反映公司层面负责制。</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措施不合理或负责制不符合要求扣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服务管理质量（</w:t>
            </w:r>
            <w:r>
              <w:rPr>
                <w:rFonts w:hint="eastAsia" w:ascii="宋体" w:hAnsi="宋体" w:eastAsia="宋体" w:cs="宋体"/>
                <w:b/>
                <w:bCs/>
                <w:color w:val="auto"/>
                <w:sz w:val="21"/>
                <w:szCs w:val="21"/>
                <w:highlight w:val="none"/>
                <w:lang w:val="en-US" w:eastAsia="zh-CN"/>
              </w:rPr>
              <w:t xml:space="preserve">50</w:t>
            </w:r>
            <w:r>
              <w:rPr>
                <w:rFonts w:hint="eastAsia" w:ascii="宋体" w:hAnsi="宋体" w:eastAsia="宋体" w:cs="宋体"/>
                <w:b/>
                <w:bCs/>
                <w:color w:val="auto"/>
                <w:sz w:val="21"/>
                <w:szCs w:val="21"/>
                <w:highlight w:val="none"/>
              </w:rPr>
              <w:t xml:space="preserve">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养护方案实施</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绿化养护方案齐全，按照采购人确认的养护方案实施。</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未按方案实施每处扣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人员持证与规范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养护人员操作规范、专业、挂牌或着绿化作业工作服上岗，持证上岗。</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未按规范操作、野蛮作业、散漫、无证上岗每出现一次扣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14</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养护档案管理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每日、月、季度养护档案记录齐全，自评自考规范，季度台账按时上报。</w:t>
            </w:r>
            <w:r/>
          </w:p>
        </w:tc>
        <w:tc>
          <w:tcPr>
            <w:shd w:val="clear" w:color="auto" w:fill="auto"/>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10分</w:t>
            </w:r>
            <w:r/>
          </w:p>
        </w:tc>
        <w:tc>
          <w:tcPr>
            <w:shd w:val="clear" w:color="auto" w:fill="auto"/>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养护无记录、自评自考流于形式、季度台账不上交，每出现一次扣1分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季节性人员调配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及时根据季节变化进行人员调整，养护效果达到合同约定标准。</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10分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人员不及时调整或未达到约定标准扣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养护质量效果</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发生由于养护不当造成的苗木萎缩、枯死，病虫害防治不及时，导致植物长势衰退。</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10分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经核实属实，每出现一次扣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numPr>
                <w:ilvl w:val="0"/>
                <w:numId w:val="0"/>
              </w:numPr>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因管理不当的加扣分项（在总分基础上直接扣减）</w:t>
            </w:r>
            <w:r/>
          </w:p>
        </w:tc>
        <w:tc>
          <w:tcPr>
            <w:tcW w:w="9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17</w:t>
            </w:r>
            <w:r/>
          </w:p>
        </w:tc>
        <w:tc>
          <w:tcPr>
            <w:shd w:val="clear" w:color="auto" w:fill="auto"/>
            <w:tcW w:w="0" w:type="auto"/>
            <w:vAlign w:val="center"/>
            <w:textDirection w:val="lrTb"/>
            <w:noWrap w:val="false"/>
          </w:tcPr>
          <w:p>
            <w:pPr>
              <w:ind w:left="0" w:right="0" w:firstLine="0"/>
              <w:jc w:val="left"/>
              <w:tabs>
                <w:tab w:val="center" w:pos="742"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与秩序维护（保安）、</w:t>
            </w:r>
            <w:r>
              <w:rPr>
                <w:rFonts w:hint="eastAsia" w:ascii="宋体" w:hAnsi="宋体" w:cs="宋体"/>
                <w:color w:val="auto"/>
                <w:sz w:val="21"/>
                <w:szCs w:val="21"/>
                <w:highlight w:val="none"/>
                <w:lang w:val="en-US" w:eastAsia="zh-CN"/>
              </w:rPr>
              <w:t xml:space="preserve">生态环境综合</w:t>
            </w:r>
            <w:r>
              <w:rPr>
                <w:rFonts w:hint="eastAsia" w:ascii="宋体" w:hAnsi="宋体" w:eastAsia="宋体" w:cs="宋体"/>
                <w:color w:val="auto"/>
                <w:sz w:val="21"/>
                <w:szCs w:val="21"/>
                <w:highlight w:val="none"/>
              </w:rPr>
              <w:t xml:space="preserve">服务配合不到位，遇问题不及时上报，造成管理缺位，遇事推诿影响景区声誉 </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每次加扣3分（严重的与责任方承担相同处罚） </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18</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受到上级主管部门暗访考核通报，情节严重的 </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19</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经媒体曝光查实的，重复出现养护不当问题的</w:t>
            </w:r>
            <w:r/>
          </w:p>
        </w:tc>
        <w:tc>
          <w:tcPr>
            <w:shd w:val="clear" w:color="auto" w:fill="auto"/>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服务及养护质量未达投标文件标准</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因管理不善职工打架斗殴闹事造成不良影响的</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w:t>
            </w:r>
            <w:r>
              <w:rPr>
                <w:rFonts w:hint="eastAsia" w:ascii="宋体" w:hAnsi="宋体" w:eastAsia="宋体" w:cs="宋体"/>
                <w:color w:val="auto"/>
                <w:sz w:val="21"/>
                <w:szCs w:val="21"/>
                <w:highlight w:val="none"/>
                <w:lang w:val="en-US" w:eastAsia="zh-CN"/>
              </w:rPr>
              <w:t xml:space="preserve">加</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22</w:t>
            </w:r>
            <w:r/>
          </w:p>
        </w:tc>
        <w:tc>
          <w:tcPr>
            <w:tcW w:w="1580"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应急响应不及时、公司层面负责制未落实到位的</w:t>
            </w:r>
            <w:r/>
          </w:p>
        </w:tc>
        <w:tc>
          <w:tcPr>
            <w:tcW w:w="916" w:type="dxa"/>
            <w:vAlign w:val="center"/>
            <w:textDirection w:val="lrTb"/>
            <w:noWrap w:val="false"/>
          </w:tcPr>
          <w:p>
            <w:pPr>
              <w:ind w:left="0" w:right="0" w:firstLine="0"/>
              <w:jc w:val="righ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2130"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bl>
    <w:p>
      <w:pPr>
        <w:ind w:firstLine="422"/>
        <w:keepLines w:val="0"/>
        <w:keepNext w:val="0"/>
        <w:pageBreakBefore w:val="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816"/>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076"/>
        <w:gridCol w:w="3043"/>
        <w:gridCol w:w="1211"/>
        <w:gridCol w:w="1938"/>
        <w:gridCol w:w="1388"/>
      </w:tblGrid>
      <w:tr>
        <w:trPr>
          <w:trHeight w:val="660"/>
        </w:trPr>
        <w:tc>
          <w:tcPr>
            <w:gridSpan w:val="6"/>
            <w:shd w:val="clear" w:color="auto" w:fill="auto"/>
            <w:tcBorders>
              <w:top w:val="none" w:color="000000" w:sz="4" w:space="0"/>
              <w:left w:val="none" w:color="000000" w:sz="4" w:space="0"/>
              <w:bottom w:val="single" w:color="000000" w:sz="4" w:space="0"/>
              <w:right w:val="none" w:color="000000" w:sz="4" w:space="0"/>
            </w:tcBorders>
            <w:tcW w:w="9180" w:type="dxa"/>
            <w:vAlign w:val="center"/>
            <w:textDirection w:val="lrTb"/>
            <w:noWrap w:val="false"/>
          </w:tcPr>
          <w:p>
            <w:pPr>
              <w:ind w:left="0" w:right="0" w:firstLine="422"/>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：宋夹城景区园林绿化管理服务考核细则</w:t>
            </w:r>
            <w:r>
              <w:rPr>
                <w:rFonts w:hint="eastAsia" w:ascii="宋体" w:hAnsi="宋体" w:cs="宋体"/>
                <w:b/>
                <w:bCs/>
                <w:color w:val="auto"/>
                <w:sz w:val="21"/>
                <w:szCs w:val="21"/>
                <w:highlight w:val="none"/>
                <w:lang w:val="en-US" w:eastAsia="zh-CN"/>
              </w:rPr>
              <w:t xml:space="preserve">（个人考核）</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宋夹城管理科</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月度考核表</w:t>
            </w:r>
            <w:r/>
          </w:p>
        </w:tc>
      </w:tr>
      <w:tr>
        <w:trPr>
          <w:trHeight w:val="427"/>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巡查班组：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巡查日期：</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巡查人员：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巡查对象：</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考核大类 </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考核细则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扣款金额（元）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说  明</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扣款小计（频次*金额）</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劳动纪律与考勤管理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 迟到、早退30分钟以内。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每超过10分钟加罚10元，最高不超过100元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 旷工半天（未经批准擅自离岗2小时以上4小时以内）。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 旷工1天以上（含1天）。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服务单位须向管理科书面报告整改方案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 睡岗。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消防控制室、门岗等重点岗位按200元执行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 脱岗、擅自离岗超过15分钟不足1小时。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 擅自离岗超过1小时按旷工处理。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参照1.2、1.3执行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 串岗（擅自离开本岗位进入其他无关岗位区域闲聊等）。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劳动防护与仪容仪表</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2.1 未按规定统一着装（未穿工服、工服严重不洁或破损严重未及时更换）。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2.2 未按规定佩戴工牌、胸卡或佩戴位置、方向不规范。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2.3 着装混搭（工服与便装混穿）、穿拖鞋或无后跟鞋上岗。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2.4 仪容不整（披衣、敞怀、挽袖、卷裤腿、戴歪帽等）。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 留怪异发型、蓄须过长或浓妆艳抹不符合岗位形象要求。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2.6 未按规定佩戴安全防护装备（如绿化修剪未戴护目镜、高空作业未系安全绳、特种作业未穿戴相应防护用品等）。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造成安全隐患的加倍处罚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工作纪律与行为规范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 在岗期间（含岗亭、值班室、休息室、场馆内、停车场收费亭等景区范围内）吸烟。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通用，发现即罚</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3.2 在岗期间饮酒或含有酒精的饮品，或酒后上岗。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通用，同时要求服务单位立即更换该岗位人员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3.3 在岗期间聚众聊天、长时间玩手机、看视频、打牌、下棋等从事与工作无关事宜。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3.4 工作期间争吵、辱骂同事、游客或服务对象。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3.5 打架斗殴。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3.6 拾捡遗留物品未按规定上交，或私自占有、处理。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通用，数额较大者移交警方处理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3.7 未经允许，擅自使用景区车辆、船舶、设施设备办理私事。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通用，造成设备损坏的须另行赔偿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3.8 故意损坏景区公共设施或服务工具设备。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通用，照价赔偿并通报服务单位严肃处理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3.9 未经允许，带非工作人员进入消防控制室、配电房等要害部位。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3.10 值班记录、交接班记录、巡查记录等未按时填写、内容不实或字迹潦草无法辨认。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3.11 擅自在景区内留宿非值班人员或私自带无关人员留宿。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服务形象与态度规范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4.1 对游客咨询不理不睬、回答含糊不清、态度生硬。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通用，窗口岗位重点检查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4.2 使用服务忌语、不文明用语。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4.3 接待游客不主动、不站立、不正视（岗位有人员进出或咨询时未起身或未主动服务）。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4.4 因服务态度引发游客投诉，经核实属实的。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通用，视情节严重程度确定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4.5 对游客合理请求推诿、拖延、不予处理。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4.6 对游客不文明行为（随意吐痰、乱扔垃圾、攀折花木等）视而不见、未加劝阻。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作业标准与服务质量</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 责任区域内出现明显废弃物、污渍、积水、痰迹、积尘、蛛网、落叶堆积等影响景观或卫生的，超过规定清理时限未处置。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一般情形30元；核心景点、门区、场馆入口周边等关键区域50元。适用各岗位责任区管理。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5.2 公共卫生间、洗手台等设施有明显异味、积水、便池未冲刷、厕纸或洗手液未及时补充。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5.3 垃圾收集容器满溢、外观污损、周边地面不洁，未及时清掏或清洁。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5.4 绿化区域管护不到位：目视有明显杂草、枯枝死株、斑秃、绿篱缺株断层、乔灌木病枯枝未修剪、病虫害未及时治理等。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参照一级养护标准，责任人判定以养护分工为准。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5.5 水面、水体有漂浮物未及时打捞，或水体浑浊、有异味，影响景观。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适用指定水域环境服务责任人。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5.6 场馆、展厅、服务点等未按规定时间开闭，或内部设施设备未按时开启、关闭。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适用相关岗位人员。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5.7 停车场、主要通道等区域车辆停放无序，指引缺失，收费不规范，或进出口堵塞。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适用秩序维护及车管责任人。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5.8 作业过程中将垃圾、污水、绿化废弃物等扫入绿化带、水域、雨水井，或运输途中抛洒滴漏未及时清理。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适用环境服务、绿化及其他作业人员。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5.9 作业工具、器材、物料等乱堆乱放，阻碍通行或影响观瞻；作业后未及时清理现场。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5.10 台账记录（交接班、巡查、消杀、设备运行等）不规范：未按时填写、内容不实、缺项漏项、提前或延迟填写。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5.11 未按规定频次、路线、标准完成巡逻、巡更，或巡更点漏签、提前签、代签。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适用保安及有巡更要求的岗位。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5.12 收费岗位未按标准收费、未主动出具票据、多收少交或私收现金。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追缴差额，情节严重要求辞退。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5.13 拾获游客遗失物品未在规定时间内登记、上交，或私自留存、处理。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安全规范与责任落实</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6.1 在非指定区域吸烟（含所有岗位）。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6.2 违规使用大功率电器、私拉乱接电线、电动车违规室内充电。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6.3 发现安全隐患（井盖缺失、树枝断裂、地面严重湿滑、设备漏电、护栏破损等）未及时上报或未设置临时警示标志。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6.4 特种作业及特殊岗位人员未持有效证件上岗。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通用，要求服务单位立即更换持证人员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6.5 作业时未落实安全防范措施（如安全帽、绳索等），未接受安全培训或未掌握岗位必备安全操作技能即上岗（如不熟悉灭火器使用、应急设备操作等）。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6.6 防汛、扫雪、大型活动保障等应急指令发出后30分钟内未到达指定地点或未携带规定装备。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6.7 遇到火情初起、突发治安事件、游客突发伤病等紧急情况时消极逃避，未采取力所能及的报警、救助、制止等处置措施。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通用，通报服务单位严肃处理，与当月公司考核挂钩</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6.8 消防控制室值班人员擅离职守、对报警信号处置不及时、不熟悉操作流程。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消防值班人员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6.9 农药、消毒剂等化学品使用未提前报备、未设警示标志、作业时未采取安全防护措施、废弃包装未按规定回收。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适用绿化、环境服务等化学品使用人员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违规叠加与特别管理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7.1 因同一事由被游客有效投诉、媒体曝光或上级通报的。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在原有扣款基础上叠加执行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7.2 已下达限期整改要求，期满未完成整改的。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按项次累加扣罚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7.3 服务单位项目经理未在岗履职或拒不配合管理科日常工作安排。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视情节追究服务单位责任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96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7.4 其他未在上述条款中明确，但与景区管理制度、合同约定及行业规范相违背的行为。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参照相近条款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由管理科各班组依据情节轻重，参照本表执行。涉及原则性违规、引发安全事故或造成景区声誉严重受损的，按上限3000元执行，并与当月公司考核挂钩。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8"/>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扣款总计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57"/>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班组负责人签字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本考核评分办法解释权归采购人。</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四、商务要求</w:t>
      </w:r>
      <w:r/>
    </w:p>
    <w:p>
      <w:pPr>
        <w:ind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服务期限：</w:t>
      </w:r>
      <w:r>
        <w:rPr>
          <w:rFonts w:hint="eastAsia" w:ascii="宋体" w:hAnsi="宋体" w:eastAsia="宋体" w:cs="宋体"/>
          <w:color w:val="auto"/>
          <w:sz w:val="21"/>
          <w:szCs w:val="21"/>
          <w:highlight w:val="none"/>
        </w:rPr>
        <w:t xml:space="preserve">一年。</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服务费用：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养护费包括按照招标文件养护质量标准和采购需求配备人员标准所需的所有费用，包括但不限于：招标范围内的绿化养护所需的人工费（包括投标人为员工依法缴纳的相关费用）、机械费（包括耗材）、病虫害防治（含药剂）、</w:t>
      </w:r>
      <w:r>
        <w:rPr>
          <w:rFonts w:hint="eastAsia" w:ascii="宋体" w:hAnsi="宋体" w:cs="宋体"/>
          <w:color w:val="auto"/>
          <w:sz w:val="21"/>
          <w:szCs w:val="21"/>
          <w:highlight w:val="none"/>
          <w:lang w:val="en-US" w:eastAsia="zh-CN"/>
        </w:rPr>
        <w:t xml:space="preserve">肥料</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草花草种、</w:t>
      </w:r>
      <w:r>
        <w:rPr>
          <w:rFonts w:hint="eastAsia" w:ascii="宋体" w:hAnsi="宋体" w:eastAsia="宋体" w:cs="宋体"/>
          <w:color w:val="auto"/>
          <w:sz w:val="21"/>
          <w:szCs w:val="21"/>
          <w:highlight w:val="none"/>
        </w:rPr>
        <w:t xml:space="preserve">垃圾清理费、管理费、利润、税金等所有费用，以及投标人为保证达到招标文件绿化养护标准所采取的其它措施费等。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绿化移栽、新栽植不包括在绿化养护范围内，但移栽和新栽后的养护包括在养护范围内。</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若投标人为保证达到绿化养护标准实际投入的养护人员数量超过本方案要求的人数，养护费用不增加。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在满足景区绿化养护质量标准的前提下，招标人可能依据绿化养护状况和季节因素调整绿化养护人员数量，当人数调整时绿化养护费调整方法：实际绿化养护总工日/招标方案年绿化养护总工日*中标价。</w:t>
      </w:r>
      <w:r/>
    </w:p>
    <w:p>
      <w:pPr>
        <w:ind w:firstLine="420"/>
        <w:keepLines w:val="0"/>
        <w:keepNext w:val="0"/>
        <w:pageBreakBefore w:val="0"/>
        <w:spacing w:line="360" w:lineRule="auto"/>
        <w:widowControl w:val="off"/>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肥料</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草花草种、机械台班、计时工等项目经合同双方确认数量、品种后由中标人采办，否则合同结算时不予认可。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合同履行过程中采购人可能会对绿化管理方案进行调整，若进行调整，中标条件不变，服务费按调整方案和合同约定调整方法相应调整。</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中标人绿化养护不当影响绿化养护质量或成活率时，中标人除按约定承担恢复补栽费用外，同时承担违约责任，承担当月养护费的10%的违约金，直至不当绿化养护影响消除。若中标人绿化质量持续无法改善，采购人有权终止合同，</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rPr>
        <w:t xml:space="preserve">不承担违约责任。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06"/>
        <w:numPr>
          <w:ilvl w:val="0"/>
          <w:numId w:val="0"/>
        </w:numPr>
        <w:rPr>
          <w:rFonts w:hint="eastAsia"/>
          <w:color w:val="auto"/>
          <w:highlight w:val="none"/>
        </w:rPr>
      </w:pPr>
      <w:r/>
      <w:bookmarkStart w:id="65" w:name="_Toc29995"/>
      <w:r/>
      <w:bookmarkStart w:id="66" w:name="_Toc25680"/>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5"/>
      <w:r/>
      <w:bookmarkEnd w:id="66"/>
      <w:r/>
      <w:r/>
    </w:p>
    <w:p>
      <w:pPr>
        <w:pStyle w:val="1071"/>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67" w:name="_Toc449017024"/>
      <w:r/>
      <w:bookmarkStart w:id="68" w:name="_Toc449016388"/>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9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67"/>
      <w:r/>
      <w:bookmarkEnd w:id="68"/>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eastAsia="宋体" w:cs="宋体"/>
          <w:b/>
          <w:color w:val="auto"/>
          <w:sz w:val="21"/>
          <w:szCs w:val="21"/>
          <w:highlight w:val="none"/>
          <w:lang w:val="en-US" w:eastAsia="zh-CN"/>
        </w:rPr>
        <w:t xml:space="preserve">是</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112"/>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lang w:val="en-US" w:eastAsia="zh-CN"/>
              </w:rPr>
              <w:t xml:space="preserve">是</w:t>
            </w:r>
            <w:r/>
          </w:p>
        </w:tc>
      </w:tr>
    </w:tbl>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1、小微型企业价格扣除</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（1）本项目对小型和微型企业产品给予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的扣除价格，用扣除后的价格参与评审。</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（2）供应商需按照采购文件的要求提供相应的《中小企业声明函》。</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（3）企业标准请参照《关于印发中小企业划型标准规定的通知》（工信部联企业[2011]300号）文件规定自行填写。</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2、残疾人福利单位价格扣除</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（2）残疾人福利单位需按照采购文件的要求提供《残疾人福利性单位声明函》。</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3、监狱和戒毒企业价格扣除</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（3）监狱企业标准请参照《关于政府采购支持监狱企业发展有关问题的通知》（财库〔2014〕68号）。</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4、残疾人福利单位、监狱企业属于小型、微型企业的，不重复享受政策。</w:t>
      </w:r>
      <w:r/>
    </w:p>
    <w:p>
      <w:pPr>
        <w:pStyle w:val="838"/>
        <w:ind w:firstLine="48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的价格扣除，用扣除后的价格参与评审。</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6、联合体各方均为小型、微型企业（残疾人福利单位、监狱企业）的，联合体享受</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价格扣除，用扣除后的价格参与评审。</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采购本国产品的支持政策</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1"/>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1"/>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16"/>
        <w:tblpPr w:horzAnchor="page" w:tblpX="1438" w:vertAnchor="text" w:tblpY="425"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9"/>
        <w:gridCol w:w="7573"/>
        <w:gridCol w:w="1067"/>
      </w:tblGrid>
      <w:tr>
        <w:trPr>
          <w:trHeight w:val="82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eastAsia="zh-CN"/>
              </w:rPr>
              <w:suppressLineNumbers w:val="0"/>
            </w:pPr>
            <w:r/>
            <w:bookmarkStart w:id="69" w:name="_Toc18779"/>
            <w:r>
              <w:rPr>
                <w:rFonts w:hint="eastAsia" w:ascii="宋体" w:hAnsi="宋体" w:eastAsia="宋体" w:cs="宋体"/>
                <w:b/>
                <w:bCs/>
                <w:color w:val="auto"/>
                <w:sz w:val="21"/>
                <w:szCs w:val="21"/>
                <w:highlight w:val="none"/>
                <w:lang w:val="en-US" w:eastAsia="zh-CN"/>
              </w:rPr>
              <w:t xml:space="preserve">评审项</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评审标准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分值</w:t>
            </w:r>
            <w:r/>
          </w:p>
        </w:tc>
      </w:tr>
      <w:tr>
        <w:trPr>
          <w:trHeight w:val="9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满足招标文件要求的最低投标报价为评标基准价，其价格分为满分。</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其他投标人的价格分按照下列公式计算：</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投标报价得分=(评标基准价／投标报价）×</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×100%，分值四舍五入保留小数点后2位。</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分</w:t>
            </w:r>
            <w:r/>
          </w:p>
        </w:tc>
      </w:tr>
      <w:tr>
        <w:trPr>
          <w:trHeight w:val="385"/>
        </w:trPr>
        <w:tc>
          <w:tcPr>
            <w:tcBorders>
              <w:top w:val="single" w:color="000000" w:sz="4" w:space="0"/>
              <w:left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服务方案</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园林绿化管理服务方案（满分5分）：</w:t>
            </w:r>
            <w:r>
              <w:rPr>
                <w:rFonts w:hint="eastAsia" w:ascii="宋体" w:hAnsi="宋体" w:eastAsia="宋体" w:cs="宋体"/>
                <w:color w:val="auto"/>
                <w:sz w:val="21"/>
                <w:szCs w:val="21"/>
                <w:highlight w:val="none"/>
              </w:rPr>
              <w:t xml:space="preserve">整体方案规范可行，符合项目实际情况，满足采购文件要求，得5分；服务方案基本规范可行，符合项目实际情况，基本满足采购文件要求得3分；方案一般得1分；不符合实际、不能满足采购文件要求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组织架构，管理制度（满分5分）</w:t>
            </w:r>
            <w:r>
              <w:rPr>
                <w:rFonts w:hint="eastAsia" w:ascii="宋体" w:hAnsi="宋体" w:eastAsia="宋体" w:cs="宋体"/>
                <w:color w:val="auto"/>
                <w:sz w:val="21"/>
                <w:szCs w:val="21"/>
                <w:highlight w:val="none"/>
              </w:rPr>
              <w:t xml:space="preserve">：包括监督机制、信息反馈处理机制、录用与考核及淘汰机制、培训计划等：符合项目实际情况，优于采购文件要求，得5分；基本符合项目实际情况，基本满足采购文件要求，得3分；内容一般得1分；不符合实际、不能满足采购文件要求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3</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人员、车辆、器具配备（满分9分）</w:t>
            </w:r>
            <w:r>
              <w:rPr>
                <w:rFonts w:hint="eastAsia" w:ascii="宋体" w:hAnsi="宋体" w:eastAsia="宋体" w:cs="宋体"/>
                <w:color w:val="auto"/>
                <w:sz w:val="21"/>
                <w:szCs w:val="21"/>
                <w:highlight w:val="none"/>
              </w:rPr>
              <w:t xml:space="preserve">：①人员、②车辆、③器具</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新能源园林绿化机械设备）</w:t>
            </w:r>
            <w:r>
              <w:rPr>
                <w:rFonts w:hint="eastAsia" w:ascii="宋体" w:hAnsi="宋体" w:eastAsia="宋体" w:cs="宋体"/>
                <w:color w:val="auto"/>
                <w:sz w:val="21"/>
                <w:szCs w:val="21"/>
                <w:highlight w:val="none"/>
              </w:rPr>
              <w:t xml:space="preserve">三项配备方案，满足养护要求，配备合理，满足采购文件要求，每有一项得3分；配备基本合理，每有一项得2分；存在一定欠缺，每有一项得1分；不符合实际、不能满足采购文件要求或未提供相关内容该项不得分。本条满分9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说明：</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rPr>
              <w:t xml:space="preserve">人员应提供花名册及投标人为其在提交投标文件截止时间前一年内至少一个月的社保缴纳证明，原件扫描上传；</w:t>
            </w:r>
            <w:r/>
          </w:p>
          <w:p>
            <w:pPr>
              <w:numPr>
                <w:ilvl w:val="0"/>
                <w:numId w:val="0"/>
              </w:numPr>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lang w:val="en-US" w:eastAsia="zh-CN" w:bidi="ar-SA"/>
              </w:rPr>
              <w:t xml:space="preserve">（2）</w:t>
            </w:r>
            <w:r>
              <w:rPr>
                <w:rFonts w:hint="eastAsia" w:ascii="宋体" w:hAnsi="宋体" w:eastAsia="宋体" w:cs="宋体"/>
                <w:b/>
                <w:bCs/>
                <w:color w:val="auto"/>
                <w:sz w:val="21"/>
                <w:szCs w:val="21"/>
                <w:highlight w:val="none"/>
              </w:rPr>
              <w:t xml:space="preserve">如车辆所有权为投标人，应提供（购车发票或车辆行驶证），并提供车辆彩色图片，车辆所有者应为投标人或其法定代表人；如使用租赁车辆，应提供车辆行驶证、车辆彩色图片、</w:t>
            </w:r>
            <w:r>
              <w:rPr>
                <w:rFonts w:hint="eastAsia" w:ascii="宋体" w:hAnsi="宋体" w:cs="宋体"/>
                <w:b/>
                <w:bCs/>
                <w:color w:val="auto"/>
                <w:sz w:val="21"/>
                <w:szCs w:val="21"/>
                <w:highlight w:val="none"/>
                <w:lang w:val="en-US" w:eastAsia="zh-CN"/>
              </w:rPr>
              <w:t xml:space="preserve">车辆</w:t>
            </w:r>
            <w:r>
              <w:rPr>
                <w:rFonts w:hint="eastAsia" w:ascii="宋体" w:hAnsi="宋体" w:eastAsia="宋体" w:cs="宋体"/>
                <w:b/>
                <w:bCs/>
                <w:color w:val="auto"/>
                <w:sz w:val="21"/>
                <w:szCs w:val="21"/>
                <w:highlight w:val="none"/>
              </w:rPr>
              <w:t xml:space="preserve">租赁协议</w:t>
            </w:r>
            <w:r>
              <w:rPr>
                <w:rFonts w:hint="eastAsia" w:ascii="宋体" w:hAnsi="宋体" w:cs="宋体"/>
                <w:b/>
                <w:bCs/>
                <w:color w:val="auto"/>
                <w:sz w:val="21"/>
                <w:szCs w:val="21"/>
                <w:highlight w:val="none"/>
                <w:lang w:eastAsia="zh-CN"/>
              </w:rPr>
              <w:t xml:space="preserve">（租赁</w:t>
            </w:r>
            <w:r>
              <w:rPr>
                <w:rFonts w:hint="eastAsia" w:ascii="宋体" w:hAnsi="宋体" w:eastAsia="宋体" w:cs="宋体"/>
                <w:b/>
                <w:bCs/>
                <w:color w:val="auto"/>
                <w:sz w:val="21"/>
                <w:szCs w:val="21"/>
                <w:highlight w:val="none"/>
              </w:rPr>
              <w:t xml:space="preserve">协议</w:t>
            </w:r>
            <w:r>
              <w:rPr>
                <w:rFonts w:hint="eastAsia" w:ascii="宋体" w:hAnsi="宋体" w:cs="宋体"/>
                <w:b/>
                <w:bCs/>
                <w:color w:val="auto"/>
                <w:sz w:val="21"/>
                <w:szCs w:val="21"/>
                <w:highlight w:val="none"/>
                <w:lang w:eastAsia="zh-CN"/>
              </w:rPr>
              <w:t xml:space="preserve">的合同时限</w:t>
            </w:r>
            <w:r>
              <w:rPr>
                <w:rFonts w:hint="eastAsia" w:ascii="宋体" w:hAnsi="宋体" w:cs="宋体"/>
                <w:b/>
                <w:bCs/>
                <w:color w:val="auto"/>
                <w:sz w:val="21"/>
                <w:szCs w:val="21"/>
                <w:highlight w:val="none"/>
                <w:lang w:val="en-US" w:eastAsia="zh-CN"/>
              </w:rPr>
              <w:t xml:space="preserve">应</w:t>
            </w:r>
            <w:r>
              <w:rPr>
                <w:rFonts w:hint="eastAsia" w:ascii="宋体" w:hAnsi="宋体" w:cs="宋体"/>
                <w:b/>
                <w:bCs/>
                <w:color w:val="auto"/>
                <w:sz w:val="21"/>
                <w:szCs w:val="21"/>
                <w:highlight w:val="none"/>
                <w:lang w:eastAsia="zh-CN"/>
              </w:rPr>
              <w:t xml:space="preserve">在投标截止之日依旧有效）（</w:t>
            </w:r>
            <w:r>
              <w:rPr>
                <w:rFonts w:hint="eastAsia" w:ascii="宋体" w:hAnsi="宋体" w:eastAsia="宋体" w:cs="宋体"/>
                <w:b/>
                <w:bCs/>
                <w:color w:val="auto"/>
                <w:sz w:val="21"/>
                <w:szCs w:val="21"/>
                <w:highlight w:val="none"/>
              </w:rPr>
              <w:t xml:space="preserve">或其他能够证明投标人拥有车辆使用权的证明材料），原件扫描上传；</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（3）器具应提供购买发票或租赁协议</w:t>
            </w:r>
            <w:r>
              <w:rPr>
                <w:rFonts w:hint="eastAsia" w:ascii="宋体" w:hAnsi="宋体" w:cs="宋体"/>
                <w:b/>
                <w:bCs/>
                <w:color w:val="auto"/>
                <w:sz w:val="21"/>
                <w:szCs w:val="21"/>
                <w:highlight w:val="none"/>
                <w:lang w:eastAsia="zh-CN"/>
              </w:rPr>
              <w:t xml:space="preserve">（租赁</w:t>
            </w:r>
            <w:r>
              <w:rPr>
                <w:rFonts w:hint="eastAsia" w:ascii="宋体" w:hAnsi="宋体" w:eastAsia="宋体" w:cs="宋体"/>
                <w:b/>
                <w:bCs/>
                <w:color w:val="auto"/>
                <w:sz w:val="21"/>
                <w:szCs w:val="21"/>
                <w:highlight w:val="none"/>
              </w:rPr>
              <w:t xml:space="preserve">协议</w:t>
            </w:r>
            <w:r>
              <w:rPr>
                <w:rFonts w:hint="eastAsia" w:ascii="宋体" w:hAnsi="宋体" w:cs="宋体"/>
                <w:b/>
                <w:bCs/>
                <w:color w:val="auto"/>
                <w:sz w:val="21"/>
                <w:szCs w:val="21"/>
                <w:highlight w:val="none"/>
                <w:lang w:eastAsia="zh-CN"/>
              </w:rPr>
              <w:t xml:space="preserve">的合同时限</w:t>
            </w:r>
            <w:r>
              <w:rPr>
                <w:rFonts w:hint="eastAsia" w:ascii="宋体" w:hAnsi="宋体" w:cs="宋体"/>
                <w:b/>
                <w:bCs/>
                <w:color w:val="auto"/>
                <w:sz w:val="21"/>
                <w:szCs w:val="21"/>
                <w:highlight w:val="none"/>
                <w:lang w:val="en-US" w:eastAsia="zh-CN"/>
              </w:rPr>
              <w:t xml:space="preserve">应</w:t>
            </w:r>
            <w:r>
              <w:rPr>
                <w:rFonts w:hint="eastAsia" w:ascii="宋体" w:hAnsi="宋体" w:cs="宋体"/>
                <w:b/>
                <w:bCs/>
                <w:color w:val="auto"/>
                <w:sz w:val="21"/>
                <w:szCs w:val="21"/>
                <w:highlight w:val="none"/>
                <w:lang w:eastAsia="zh-CN"/>
              </w:rPr>
              <w:t xml:space="preserve">在投标截止之日依旧有效）</w:t>
            </w:r>
            <w:r>
              <w:rPr>
                <w:rFonts w:hint="eastAsia" w:ascii="宋体" w:hAnsi="宋体" w:eastAsia="宋体" w:cs="宋体"/>
                <w:b/>
                <w:bCs/>
                <w:color w:val="auto"/>
                <w:sz w:val="21"/>
                <w:szCs w:val="21"/>
                <w:highlight w:val="none"/>
              </w:rPr>
              <w:t xml:space="preserve">，原件扫描上传。】</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4</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季节性变化养护措施（满分5分）</w:t>
            </w:r>
            <w:r>
              <w:rPr>
                <w:rFonts w:hint="eastAsia" w:ascii="宋体" w:hAnsi="宋体" w:eastAsia="宋体" w:cs="宋体"/>
                <w:color w:val="auto"/>
                <w:sz w:val="21"/>
                <w:szCs w:val="21"/>
                <w:highlight w:val="none"/>
              </w:rPr>
              <w:t xml:space="preserve">：季节变化针对性养护措施合理，满足采购文件得5分；内容基本合理，基本满足采购文件要求得3分；内容一般得1分；内容不合理或未提供相关内容不得分。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5</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安全文明养护措施（满分5分）</w:t>
            </w:r>
            <w:r>
              <w:rPr>
                <w:rFonts w:hint="eastAsia" w:ascii="宋体" w:hAnsi="宋体" w:eastAsia="宋体" w:cs="宋体"/>
                <w:color w:val="auto"/>
                <w:sz w:val="21"/>
                <w:szCs w:val="21"/>
                <w:highlight w:val="none"/>
              </w:rPr>
              <w:t xml:space="preserve">：安全文明养护措施规范合理，满足采购文件得5分；基本合理，基本满足采购文件要求得3分；内容一般得1分；内容不合理或未提供相关内容不得分。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6</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绿化养护质量保证措施（满分5分）</w:t>
            </w:r>
            <w:r>
              <w:rPr>
                <w:rFonts w:hint="eastAsia" w:ascii="宋体" w:hAnsi="宋体" w:eastAsia="宋体" w:cs="宋体"/>
                <w:color w:val="auto"/>
                <w:sz w:val="21"/>
                <w:szCs w:val="21"/>
                <w:highlight w:val="none"/>
              </w:rPr>
              <w:t xml:space="preserve">：绿化养护质量保证措施全面合理，满足采购文件要求得5分；内容基本合理，基本满足采购文件要求得3分；内容一般得1分；内容不合理或未提供相关内容不得分。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7</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病虫害防治措施（满分5分）</w:t>
            </w:r>
            <w:r>
              <w:rPr>
                <w:rFonts w:hint="eastAsia" w:ascii="宋体" w:hAnsi="宋体" w:eastAsia="宋体" w:cs="宋体"/>
                <w:color w:val="auto"/>
                <w:sz w:val="21"/>
                <w:szCs w:val="21"/>
                <w:highlight w:val="none"/>
              </w:rPr>
              <w:t xml:space="preserve">：病虫害分析、防治、计划全面合理，满足采购文件要求得5分；内容基本合理，基本满足采购文件要求得3分；内容一般得1分；内容不合理或未提供相关内容不得分。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8</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苗木修剪方案（满分5分）</w:t>
            </w:r>
            <w:r>
              <w:rPr>
                <w:rFonts w:hint="eastAsia" w:ascii="宋体" w:hAnsi="宋体" w:eastAsia="宋体" w:cs="宋体"/>
                <w:color w:val="auto"/>
                <w:sz w:val="21"/>
                <w:szCs w:val="21"/>
                <w:highlight w:val="none"/>
              </w:rPr>
              <w:t xml:space="preserve">：方案具体合理，可操作，针对性强，优于采购文件要求得5分；方案基本合理，可操作，满足采购文件要求得3分；方案一般，满足采购文件要求得1分；方案不合理、不可操作或未提供相关内容不得分。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9</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应急预案（满分5分）</w:t>
            </w:r>
            <w:r>
              <w:rPr>
                <w:rFonts w:hint="eastAsia" w:ascii="宋体" w:hAnsi="宋体" w:eastAsia="宋体" w:cs="宋体"/>
                <w:color w:val="auto"/>
                <w:sz w:val="21"/>
                <w:szCs w:val="21"/>
                <w:highlight w:val="none"/>
              </w:rPr>
              <w:t xml:space="preserve">：针对绿化养护应急预案（抗旱补水、雨、雪季、旅游旺季（清明节、劳动节、国庆节）、重大活动、突发事件等、体现公司层面负责制）全面、措施合理，满足采购文件要求得5分；基本满足采购文件要求得3分；内容一般得1分；内容不合理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10</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与本项目服务内容相关的消防安全、安全生产管理方案（满分</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方案具体合理，可操作，针对性强，优于采购文件要求得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分；方案基本合理，可操作，满足采购文件要求得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分；方案一般，满足采购文件要求得1分；方案不合理、不可操作或未提供相关内容不得分。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11</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成本分析（满分5分）</w:t>
            </w:r>
            <w:r>
              <w:rPr>
                <w:rFonts w:hint="eastAsia" w:ascii="宋体" w:hAnsi="宋体" w:eastAsia="宋体" w:cs="宋体"/>
                <w:color w:val="auto"/>
                <w:sz w:val="21"/>
                <w:szCs w:val="21"/>
                <w:highlight w:val="none"/>
              </w:rPr>
              <w:t xml:space="preserve">：符合相关法律、法规等规定，所列各项服务成本、测算依据及拟用各种耗材的品质、耗量、价格、和项目相对应的机具数量、品牌、价格；人员的社会保险、营业费用、税金等详细、准确，内容具体合理，可操作，针对性强，优于采购文件要求得5分；内容基本合理，可操作，满足采购文件要求得3分；内容一般，基本满足采购文件要求得1分；内容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12</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自评考核体系（满分</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：有健全的内部考核体系、自评价考核体系，内容健全，优于采购文件要求合理得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分；内容基本合理，可操作，满足采购文件要求得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分；内容一般，基本满足采购文件得1分；内容不合理、不可操作或未提供相关内容不得分。</w:t>
            </w:r>
            <w:r/>
          </w:p>
          <w:p>
            <w:pPr>
              <w:numPr>
                <w:ilvl w:val="0"/>
                <w:numId w:val="0"/>
              </w:num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13</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合理化建议（满分</w:t>
            </w:r>
            <w:r>
              <w:rPr>
                <w:rFonts w:hint="eastAsia" w:ascii="宋体" w:hAnsi="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：针对本项目特点提出合理化建议，节约投资明显，可操作，优于采购文件要求得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分；节约投资一般，可操作，满足采购文件要求得2分；节约投资不明显，基本满足采购文件得1分；没有节约投资、不可操作、不能满足采购文件要求或未提供相关内容不得分。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68分</w:t>
            </w:r>
            <w:r/>
          </w:p>
        </w:tc>
      </w:tr>
      <w:tr>
        <w:trPr>
          <w:trHeight w:val="1515"/>
        </w:trPr>
        <w:tc>
          <w:tcPr>
            <w:tcBorders>
              <w:top w:val="single" w:color="000000" w:sz="4" w:space="0"/>
              <w:left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olor w:val="auto"/>
                <w:sz w:val="21"/>
                <w:szCs w:val="21"/>
                <w:highlight w:val="none"/>
              </w:rPr>
              <w:t xml:space="preserve">人员</w:t>
            </w:r>
            <w:r>
              <w:rPr>
                <w:rFonts w:hint="eastAsia" w:ascii="宋体" w:hAnsi="宋体"/>
                <w:color w:val="auto"/>
                <w:sz w:val="21"/>
                <w:szCs w:val="21"/>
                <w:highlight w:val="none"/>
                <w:lang w:val="en-US" w:eastAsia="zh-CN"/>
              </w:rPr>
              <w:t xml:space="preserve">实力</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拟派项目经理具有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大专及以上学历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4A级及以上景区服务经验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5年及以上园林绿化管理服务经验</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不同业主单位服务经验可累计计分</w:t>
            </w:r>
            <w:r>
              <w:rPr>
                <w:rFonts w:hint="eastAsia" w:ascii="宋体" w:hAnsi="宋体" w:cs="宋体"/>
                <w:b/>
                <w:bCs/>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每满足一项得1分，满</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相关证明材料</w:t>
            </w:r>
            <w:r>
              <w:rPr>
                <w:rFonts w:hint="eastAsia" w:ascii="宋体" w:hAnsi="宋体" w:cs="宋体"/>
                <w:b/>
                <w:bCs/>
                <w:color w:val="auto"/>
                <w:sz w:val="21"/>
                <w:szCs w:val="21"/>
                <w:highlight w:val="none"/>
              </w:rPr>
              <w:t xml:space="preserve">及投标人为其在提交投标文件截止时间前一年内至少一个月</w:t>
            </w:r>
            <w:r>
              <w:rPr>
                <w:rFonts w:hint="eastAsia" w:ascii="宋体" w:hAnsi="宋体" w:cs="宋体"/>
                <w:b/>
                <w:color w:val="auto"/>
                <w:sz w:val="21"/>
                <w:szCs w:val="21"/>
                <w:highlight w:val="none"/>
              </w:rPr>
              <w:t xml:space="preserve">的社保缴纳证明</w:t>
            </w:r>
            <w:r>
              <w:rPr>
                <w:rFonts w:hint="eastAsia" w:ascii="宋体" w:hAnsi="宋体" w:cs="宋体"/>
                <w:b/>
                <w:bCs/>
                <w:color w:val="auto"/>
                <w:sz w:val="21"/>
                <w:szCs w:val="21"/>
                <w:highlight w:val="none"/>
              </w:rPr>
              <w:t xml:space="preserve">，原件扫描上传）</w:t>
            </w:r>
            <w:r/>
          </w:p>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拟派绿化养护人员具有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园林绿化及相关专业</w:t>
            </w:r>
            <w:r>
              <w:rPr>
                <w:rFonts w:hint="eastAsia" w:ascii="宋体" w:hAnsi="宋体" w:cs="宋体"/>
                <w:color w:val="auto"/>
                <w:sz w:val="21"/>
                <w:szCs w:val="21"/>
                <w:highlight w:val="none"/>
                <w:lang w:val="en-US" w:eastAsia="zh-CN"/>
              </w:rPr>
              <w:t xml:space="preserve">中级职称或以上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rPr>
              <w:t xml:space="preserve">高级（三级）绿化工</w:t>
            </w:r>
            <w:r>
              <w:rPr>
                <w:rFonts w:hint="eastAsia" w:ascii="宋体" w:hAnsi="宋体" w:cs="宋体"/>
                <w:color w:val="auto"/>
                <w:sz w:val="21"/>
                <w:szCs w:val="21"/>
                <w:highlight w:val="none"/>
                <w:lang w:val="en-US" w:eastAsia="zh-CN"/>
              </w:rPr>
              <w:t xml:space="preserve">或以上】证书</w:t>
            </w:r>
            <w:r>
              <w:rPr>
                <w:rFonts w:hint="eastAsia" w:ascii="宋体" w:hAnsi="宋体" w:cs="宋体"/>
                <w:color w:val="auto"/>
                <w:sz w:val="21"/>
                <w:szCs w:val="21"/>
                <w:highlight w:val="none"/>
              </w:rPr>
              <w:t xml:space="preserve">，每有一人得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分。“园林绿化及相关专业”，包括：与园林绿化工程施工及养护管理相关的专业，包括园林（含园林植物、风景园林、园林绿化等）、园艺、植物（含植保、森保等）等专业。</w:t>
            </w:r>
            <w:r>
              <w:rPr>
                <w:rFonts w:hint="eastAsia" w:ascii="宋体" w:hAnsi="宋体" w:cs="宋体"/>
                <w:b/>
                <w:bCs/>
                <w:color w:val="auto"/>
                <w:sz w:val="21"/>
                <w:szCs w:val="21"/>
                <w:highlight w:val="none"/>
              </w:rPr>
              <w:t xml:space="preserve">（提供证书及投标人为其在提交投标文件截止时间前一年内至少一个月</w:t>
            </w:r>
            <w:r>
              <w:rPr>
                <w:rFonts w:hint="eastAsia" w:ascii="宋体" w:hAnsi="宋体" w:cs="宋体"/>
                <w:b/>
                <w:color w:val="auto"/>
                <w:sz w:val="21"/>
                <w:szCs w:val="21"/>
                <w:highlight w:val="none"/>
              </w:rPr>
              <w:t xml:space="preserve">的社保缴纳证明</w:t>
            </w:r>
            <w:r>
              <w:rPr>
                <w:rFonts w:hint="eastAsia" w:ascii="宋体" w:hAnsi="宋体" w:cs="宋体"/>
                <w:b/>
                <w:bCs/>
                <w:color w:val="auto"/>
                <w:sz w:val="21"/>
                <w:szCs w:val="21"/>
                <w:highlight w:val="none"/>
              </w:rPr>
              <w:t xml:space="preserve">，原件扫描上传）</w:t>
            </w:r>
            <w:r/>
          </w:p>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拟</w:t>
            </w:r>
            <w:r>
              <w:rPr>
                <w:rFonts w:hint="eastAsia" w:ascii="宋体" w:hAnsi="宋体" w:cs="宋体"/>
                <w:color w:val="auto"/>
                <w:sz w:val="21"/>
                <w:szCs w:val="21"/>
                <w:highlight w:val="none"/>
              </w:rPr>
              <w:t xml:space="preserve">派绿化养护人员具有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高级（三级）植保工</w:t>
            </w:r>
            <w:r>
              <w:rPr>
                <w:rFonts w:hint="eastAsia" w:ascii="宋体" w:hAnsi="宋体" w:cs="宋体"/>
                <w:color w:val="auto"/>
                <w:sz w:val="21"/>
                <w:szCs w:val="21"/>
                <w:highlight w:val="none"/>
                <w:lang w:val="en-US" w:eastAsia="zh-CN"/>
              </w:rPr>
              <w:t xml:space="preserve">或以上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证书</w:t>
            </w:r>
            <w:r>
              <w:rPr>
                <w:rFonts w:hint="eastAsia" w:ascii="宋体" w:hAnsi="宋体" w:cs="宋体"/>
                <w:color w:val="auto"/>
                <w:sz w:val="21"/>
                <w:szCs w:val="21"/>
                <w:highlight w:val="none"/>
              </w:rPr>
              <w:t xml:space="preserve">，每有一人得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rPr>
                <w:rFonts w:hint="eastAsia" w:ascii="宋体" w:hAnsi="宋体" w:cs="宋体"/>
                <w:b/>
                <w:bCs/>
                <w:color w:val="auto"/>
                <w:sz w:val="21"/>
                <w:szCs w:val="21"/>
                <w:highlight w:val="none"/>
              </w:rPr>
              <w:t xml:space="preserve">（提供证书及投标人为其在提交投标文件截止时间前一年内至少一个月</w:t>
            </w:r>
            <w:r>
              <w:rPr>
                <w:rFonts w:hint="eastAsia" w:ascii="宋体" w:hAnsi="宋体" w:cs="宋体"/>
                <w:b/>
                <w:color w:val="auto"/>
                <w:sz w:val="21"/>
                <w:szCs w:val="21"/>
                <w:highlight w:val="none"/>
              </w:rPr>
              <w:t xml:space="preserve">的社保缴纳证明</w:t>
            </w:r>
            <w:r>
              <w:rPr>
                <w:rFonts w:hint="eastAsia" w:ascii="宋体" w:hAnsi="宋体" w:cs="宋体"/>
                <w:b/>
                <w:bCs/>
                <w:color w:val="auto"/>
                <w:sz w:val="21"/>
                <w:szCs w:val="21"/>
                <w:highlight w:val="none"/>
              </w:rPr>
              <w:t xml:space="preserve">，原件扫描上传）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400" w:lineRule="exact"/>
              <w:widowControl w:val="off"/>
              <w:rPr>
                <w:rFonts w:hint="default"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b w:val="0"/>
                <w:bCs w:val="0"/>
                <w:color w:val="auto"/>
                <w:sz w:val="21"/>
                <w:szCs w:val="21"/>
                <w:highlight w:val="none"/>
                <w:lang w:val="en-US" w:eastAsia="zh-CN"/>
              </w:rPr>
              <w:t xml:space="preserve">9分</w:t>
            </w:r>
            <w:r/>
          </w:p>
        </w:tc>
      </w:tr>
      <w:tr>
        <w:trPr>
          <w:trHeight w:val="1820"/>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ascii="宋体" w:hAnsi="宋体"/>
                <w:color w:val="auto"/>
                <w:sz w:val="21"/>
                <w:szCs w:val="21"/>
                <w:highlight w:val="none"/>
              </w:rPr>
              <w:suppressLineNumbers w:val="0"/>
            </w:pPr>
            <w:r>
              <w:rPr>
                <w:rFonts w:hint="eastAsia" w:ascii="宋体" w:hAnsi="宋体"/>
                <w:color w:val="auto"/>
                <w:sz w:val="21"/>
                <w:szCs w:val="21"/>
                <w:highlight w:val="none"/>
                <w:lang w:val="en-US" w:eastAsia="zh-CN"/>
              </w:rPr>
              <w:t xml:space="preserve">企业</w:t>
            </w:r>
            <w:r>
              <w:rPr>
                <w:rFonts w:hint="eastAsia" w:ascii="宋体" w:hAnsi="宋体"/>
                <w:color w:val="auto"/>
                <w:sz w:val="21"/>
                <w:szCs w:val="21"/>
                <w:highlight w:val="none"/>
              </w:rPr>
              <w:t xml:space="preserve">业绩</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rPr>
              <w:t xml:space="preserve">投标人202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年1月1日至今具有与本项目类似的业绩（内容应至少包含室外公共区域绿化养护），每提供一份合同得2分，满分6分。</w:t>
            </w:r>
            <w:r>
              <w:rPr>
                <w:rFonts w:hint="eastAsia" w:ascii="宋体" w:hAnsi="宋体"/>
                <w:b/>
                <w:bCs/>
                <w:color w:val="auto"/>
                <w:sz w:val="21"/>
                <w:szCs w:val="21"/>
                <w:highlight w:val="none"/>
                <w:lang w:val="zh-CN"/>
              </w:rPr>
              <w:t xml:space="preserve">（</w:t>
            </w:r>
            <w:r>
              <w:rPr>
                <w:rFonts w:hint="eastAsia" w:ascii="宋体" w:hAnsi="宋体" w:cs="宋体"/>
                <w:b/>
                <w:bCs/>
                <w:color w:val="auto"/>
                <w:sz w:val="21"/>
                <w:szCs w:val="21"/>
                <w:highlight w:val="none"/>
              </w:rPr>
              <w:t xml:space="preserve">以合同签订日期为准，</w:t>
            </w:r>
            <w:r>
              <w:rPr>
                <w:rFonts w:hint="eastAsia" w:ascii="宋体" w:hAnsi="宋体"/>
                <w:b/>
                <w:bCs/>
                <w:color w:val="auto"/>
                <w:sz w:val="21"/>
                <w:szCs w:val="21"/>
                <w:highlight w:val="none"/>
                <w:lang w:val="zh-CN"/>
              </w:rPr>
              <w:t xml:space="preserve">同一项目不同年限的合同不累计，提供合同原件扫描上传，</w:t>
            </w:r>
            <w:r>
              <w:rPr>
                <w:rFonts w:hint="eastAsia" w:ascii="宋体" w:hAnsi="宋体"/>
                <w:b/>
                <w:bCs/>
                <w:color w:val="auto"/>
                <w:sz w:val="21"/>
                <w:szCs w:val="21"/>
                <w:highlight w:val="none"/>
              </w:rPr>
              <w:t xml:space="preserve">合同无法体现详细服务内容的应补充提供业主单位证明</w:t>
            </w:r>
            <w:r>
              <w:rPr>
                <w:rFonts w:hint="eastAsia" w:ascii="宋体" w:hAnsi="宋体"/>
                <w:b/>
                <w:bCs/>
                <w:color w:val="auto"/>
                <w:sz w:val="21"/>
                <w:szCs w:val="21"/>
                <w:highlight w:val="none"/>
                <w:lang w:val="zh-CN"/>
              </w:rPr>
              <w:t xml:space="preserve">扫描上传）</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820"/>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val="en-US" w:eastAsia="zh-CN"/>
              </w:rPr>
              <w:t xml:space="preserve">分</w:t>
            </w:r>
            <w:r/>
          </w:p>
        </w:tc>
      </w:tr>
      <w:tr>
        <w:trPr>
          <w:trHeight w:val="755"/>
        </w:trPr>
        <w:tc>
          <w:tcPr>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1"/>
                <w:szCs w:val="21"/>
                <w:highlight w:val="none"/>
              </w:rPr>
              <w:suppressLineNumbers w:val="0"/>
            </w:pPr>
            <w:r>
              <w:rPr>
                <w:rFonts w:hint="eastAsia" w:ascii="宋体" w:hAnsi="宋体"/>
                <w:color w:val="auto"/>
                <w:sz w:val="21"/>
                <w:szCs w:val="21"/>
                <w:highlight w:val="none"/>
              </w:rPr>
              <w:t xml:space="preserve">履约能力</w:t>
            </w:r>
            <w:r/>
          </w:p>
        </w:tc>
        <w:tc>
          <w:tcPr>
            <w:tcBorders>
              <w:top w:val="single" w:color="000000" w:sz="4" w:space="0"/>
              <w:left w:val="single" w:color="000000" w:sz="4" w:space="0"/>
              <w:bottom w:val="single" w:color="000000" w:sz="4" w:space="0"/>
              <w:right w:val="single" w:color="000000" w:sz="4" w:space="0"/>
            </w:tcBorders>
            <w:tcW w:w="3756" w:type="pct"/>
            <w:vAlign w:val="center"/>
            <w:textDirection w:val="lrTb"/>
            <w:noWrap w:val="false"/>
          </w:tcPr>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投标人具备有效的质量</w:t>
            </w:r>
            <w:r>
              <w:rPr>
                <w:rFonts w:hint="eastAsia" w:ascii="宋体" w:hAnsi="宋体" w:cs="宋体"/>
                <w:color w:val="auto"/>
                <w:sz w:val="21"/>
                <w:szCs w:val="21"/>
                <w:highlight w:val="none"/>
                <w:lang w:bidi="ar"/>
              </w:rPr>
              <w:t xml:space="preserve">管理</w:t>
            </w:r>
            <w:r>
              <w:rPr>
                <w:rFonts w:hint="eastAsia" w:ascii="宋体" w:hAnsi="宋体" w:cs="宋体"/>
                <w:color w:val="auto"/>
                <w:sz w:val="21"/>
                <w:szCs w:val="21"/>
                <w:highlight w:val="none"/>
              </w:rPr>
              <w:t xml:space="preserve">体系证书，得1分。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keepLines w:val="0"/>
              <w:keepNext w:val="0"/>
              <w:pageBreakBefore w:val="0"/>
              <w:spacing w:before="0" w:beforeAutospacing="0" w:after="0" w:afterAutospacing="0" w:line="400" w:lineRule="exact"/>
              <w:widowControl w:val="off"/>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投标人具备有效的环境</w:t>
            </w:r>
            <w:r>
              <w:rPr>
                <w:rFonts w:hint="eastAsia" w:ascii="宋体" w:hAnsi="宋体" w:cs="宋体"/>
                <w:color w:val="auto"/>
                <w:sz w:val="21"/>
                <w:szCs w:val="21"/>
                <w:highlight w:val="none"/>
                <w:lang w:bidi="ar"/>
              </w:rPr>
              <w:t xml:space="preserve">管理</w:t>
            </w:r>
            <w:r>
              <w:rPr>
                <w:rFonts w:hint="eastAsia" w:ascii="宋体" w:hAnsi="宋体" w:cs="宋体"/>
                <w:color w:val="auto"/>
                <w:sz w:val="21"/>
                <w:szCs w:val="21"/>
                <w:highlight w:val="none"/>
              </w:rPr>
              <w:t xml:space="preserve">体系证书，得1分。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keepLines w:val="0"/>
              <w:keepNext w:val="0"/>
              <w:pageBreakBefore w:val="0"/>
              <w:spacing w:before="0" w:beforeAutospacing="0" w:after="0" w:afterAutospacing="0" w:line="400" w:lineRule="exact"/>
              <w:widowControl w:val="off"/>
              <w:rPr>
                <w:rFonts w:hint="eastAsia" w:ascii="宋体" w:hAnsi="宋体" w:cs="宋体"/>
                <w:b/>
                <w:bCs/>
                <w:color w:val="auto"/>
                <w:sz w:val="21"/>
                <w:szCs w:val="21"/>
                <w:highlight w:val="none"/>
              </w:rPr>
              <w:suppressLineNumbers w:val="0"/>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投标人具备有效的职业健康安全管理体系认证证书，得1分。</w:t>
            </w:r>
            <w:r>
              <w:rPr>
                <w:rFonts w:hint="eastAsia" w:ascii="宋体" w:hAnsi="宋体" w:cs="宋体"/>
                <w:b/>
                <w:bCs/>
                <w:color w:val="auto"/>
                <w:sz w:val="21"/>
                <w:szCs w:val="21"/>
                <w:highlight w:val="none"/>
              </w:rPr>
              <w:t xml:space="preserve">（提供证书及国家认监委网站查询截图，</w:t>
            </w:r>
            <w:r>
              <w:rPr>
                <w:rFonts w:hint="eastAsia" w:ascii="宋体" w:hAnsi="宋体" w:cs="宋体"/>
                <w:b/>
                <w:bCs/>
                <w:color w:val="auto"/>
                <w:sz w:val="21"/>
                <w:szCs w:val="21"/>
                <w:highlight w:val="none"/>
                <w:lang w:val="en-US" w:eastAsia="zh-CN"/>
              </w:rPr>
              <w:t xml:space="preserve">原件</w:t>
            </w:r>
            <w:r>
              <w:rPr>
                <w:rFonts w:hint="eastAsia" w:ascii="宋体" w:hAnsi="宋体" w:cs="宋体"/>
                <w:b/>
                <w:bCs/>
                <w:color w:val="auto"/>
                <w:sz w:val="21"/>
                <w:szCs w:val="21"/>
                <w:highlight w:val="none"/>
              </w:rPr>
              <w:t xml:space="preserve">扫描上传）</w:t>
            </w:r>
            <w:r/>
          </w:p>
          <w:p>
            <w:pPr>
              <w:ind w:left="0" w:right="0"/>
              <w:jc w:val="left"/>
              <w:keepLines w:val="0"/>
              <w:keepNext w:val="0"/>
              <w:pageBreakBefore w:val="0"/>
              <w:spacing w:before="0" w:beforeAutospacing="0" w:after="0" w:afterAutospacing="0" w:line="400" w:lineRule="exact"/>
              <w:widowControl w:val="off"/>
              <w:rPr>
                <w:rFonts w:hint="eastAsia" w:ascii="宋体" w:hAnsi="宋体" w:cs="宋体"/>
                <w:color w:val="auto"/>
                <w:sz w:val="21"/>
                <w:szCs w:val="21"/>
                <w:highlight w:val="none"/>
              </w:rPr>
              <w:suppressLineNumbers w:val="0"/>
            </w:pPr>
            <w:r>
              <w:rPr>
                <w:rFonts w:hint="eastAsia" w:ascii="宋体" w:hAnsi="宋体" w:eastAsia="宋体" w:cs="Times New Roman"/>
                <w:b w:val="0"/>
                <w:bCs w:val="0"/>
                <w:color w:val="auto"/>
                <w:sz w:val="21"/>
                <w:szCs w:val="21"/>
                <w:highlight w:val="none"/>
                <w:lang w:val="en-US" w:eastAsia="zh-CN"/>
              </w:rPr>
              <w:t xml:space="preserve">4</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val="0"/>
                <w:bCs w:val="0"/>
                <w:color w:val="auto"/>
                <w:sz w:val="21"/>
                <w:szCs w:val="21"/>
                <w:highlight w:val="none"/>
                <w:lang w:val="en-US" w:eastAsia="zh-CN"/>
              </w:rPr>
              <w:t xml:space="preserve">投标人自有或合作（租赁）苗木基地的，得2分</w:t>
            </w:r>
            <w:r>
              <w:rPr>
                <w:rFonts w:hint="eastAsia" w:ascii="宋体" w:hAnsi="宋体" w:cs="Times New Roman"/>
                <w:b w:val="0"/>
                <w:bCs w:val="0"/>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提供实际场景图片及</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产权证明或合作（租赁）协议</w:t>
            </w:r>
            <w:r>
              <w:rPr>
                <w:rFonts w:hint="eastAsia" w:ascii="宋体" w:hAnsi="宋体" w:cs="Times New Roman"/>
                <w:b/>
                <w:bCs/>
                <w:color w:val="auto"/>
                <w:sz w:val="21"/>
                <w:szCs w:val="21"/>
                <w:highlight w:val="none"/>
                <w:lang w:val="en-US" w:eastAsia="zh-CN"/>
              </w:rPr>
              <w:t xml:space="preserve">，如提供</w:t>
            </w:r>
            <w:r>
              <w:rPr>
                <w:rFonts w:hint="eastAsia" w:ascii="宋体" w:hAnsi="宋体" w:eastAsia="宋体" w:cs="Times New Roman"/>
                <w:b/>
                <w:bCs/>
                <w:color w:val="auto"/>
                <w:sz w:val="21"/>
                <w:szCs w:val="21"/>
                <w:highlight w:val="none"/>
                <w:lang w:val="en-US" w:eastAsia="zh-CN"/>
              </w:rPr>
              <w:t xml:space="preserve">合作（租赁）协议的应在投标截止之日依旧有效</w:t>
            </w:r>
            <w:r>
              <w:rPr>
                <w:rFonts w:hint="eastAsia" w:ascii="宋体" w:hAnsi="宋体" w:cs="Times New Roman"/>
                <w:b/>
                <w:bCs/>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w:t>
            </w:r>
            <w:r>
              <w:rPr>
                <w:rFonts w:hint="eastAsia" w:ascii="宋体" w:hAnsi="宋体" w:cs="Times New Roman"/>
                <w:b/>
                <w:bCs/>
                <w:color w:val="auto"/>
                <w:sz w:val="21"/>
                <w:szCs w:val="21"/>
                <w:highlight w:val="none"/>
                <w:lang w:val="en-US" w:eastAsia="zh-CN"/>
              </w:rPr>
              <w:t xml:space="preserve">原件</w:t>
            </w:r>
            <w:r>
              <w:rPr>
                <w:rFonts w:hint="eastAsia" w:ascii="宋体" w:hAnsi="宋体" w:eastAsia="宋体" w:cs="Times New Roman"/>
                <w:b/>
                <w:bCs/>
                <w:color w:val="auto"/>
                <w:sz w:val="21"/>
                <w:szCs w:val="21"/>
                <w:highlight w:val="none"/>
                <w:lang w:val="en-US" w:eastAsia="zh-CN"/>
              </w:rPr>
              <w:t xml:space="preserve">扫描上传</w:t>
            </w:r>
            <w:r>
              <w:rPr>
                <w:rFonts w:hint="eastAsia" w:ascii="宋体" w:hAnsi="宋体" w:cs="Times New Roman"/>
                <w:b/>
                <w:bCs/>
                <w:color w:val="auto"/>
                <w:sz w:val="21"/>
                <w:szCs w:val="21"/>
                <w:highlight w:val="none"/>
                <w:lang w:val="en-US" w:eastAsia="zh-CN"/>
              </w:rPr>
              <w:t xml:space="preserve">】</w:t>
            </w:r>
            <w:r>
              <w:rPr>
                <w:rFonts w:hint="eastAsia" w:ascii="宋体" w:hAnsi="宋体" w:cs="Times New Roman"/>
                <w:b w:val="0"/>
                <w:bCs w:val="0"/>
                <w:color w:val="auto"/>
                <w:sz w:val="21"/>
                <w:szCs w:val="21"/>
                <w:highlight w:val="none"/>
                <w:lang w:val="en-US" w:eastAsia="zh-CN"/>
              </w:rPr>
              <w:t xml:space="preserve">投标人</w:t>
            </w:r>
            <w:r>
              <w:rPr>
                <w:rFonts w:hint="eastAsia" w:ascii="宋体" w:hAnsi="宋体" w:eastAsia="宋体" w:cs="Times New Roman"/>
                <w:b w:val="0"/>
                <w:bCs w:val="0"/>
                <w:color w:val="auto"/>
                <w:sz w:val="21"/>
                <w:szCs w:val="21"/>
                <w:highlight w:val="none"/>
                <w:lang w:val="en-US" w:eastAsia="zh-CN"/>
              </w:rPr>
              <w:t xml:space="preserve">承诺该苗木基地可以应用于本项目，用于服务期内补栽补植、花木培养、复壮等，得2分</w:t>
            </w:r>
            <w:r>
              <w:rPr>
                <w:rFonts w:hint="eastAsia" w:ascii="宋体" w:hAnsi="宋体" w:cs="Times New Roman"/>
                <w:b w:val="0"/>
                <w:bCs w:val="0"/>
                <w:color w:val="auto"/>
                <w:sz w:val="21"/>
                <w:szCs w:val="21"/>
                <w:highlight w:val="none"/>
                <w:lang w:val="en-US" w:eastAsia="zh-CN"/>
              </w:rPr>
              <w:t xml:space="preserve">；</w:t>
            </w:r>
            <w:r>
              <w:rPr>
                <w:rFonts w:hint="eastAsia" w:ascii="宋体" w:hAnsi="宋体" w:eastAsia="宋体" w:cs="Times New Roman"/>
                <w:b/>
                <w:bCs/>
                <w:color w:val="auto"/>
                <w:sz w:val="21"/>
                <w:szCs w:val="21"/>
                <w:highlight w:val="none"/>
                <w:lang w:val="en-US" w:eastAsia="zh-CN"/>
              </w:rPr>
              <w:t xml:space="preserve">（提供承诺书，格式自拟，原件</w:t>
            </w:r>
            <w:r>
              <w:rPr>
                <w:rFonts w:hint="eastAsia" w:ascii="宋体" w:hAnsi="宋体" w:cs="Times New Roman"/>
                <w:b/>
                <w:bCs/>
                <w:color w:val="auto"/>
                <w:sz w:val="21"/>
                <w:szCs w:val="21"/>
                <w:highlight w:val="none"/>
                <w:lang w:val="en-US" w:eastAsia="zh-CN"/>
              </w:rPr>
              <w:t xml:space="preserve">扫描</w:t>
            </w:r>
            <w:r>
              <w:rPr>
                <w:rFonts w:hint="eastAsia" w:ascii="宋体" w:hAnsi="宋体" w:eastAsia="宋体" w:cs="Times New Roman"/>
                <w:b/>
                <w:bCs/>
                <w:color w:val="auto"/>
                <w:sz w:val="21"/>
                <w:szCs w:val="21"/>
                <w:highlight w:val="none"/>
                <w:lang w:val="en-US" w:eastAsia="zh-CN"/>
              </w:rPr>
              <w:t xml:space="preserve">上传）</w:t>
            </w:r>
            <w:r>
              <w:rPr>
                <w:rFonts w:hint="eastAsia" w:ascii="宋体" w:hAnsi="宋体" w:eastAsia="宋体" w:cs="Times New Roman"/>
                <w:b w:val="0"/>
                <w:bCs w:val="0"/>
                <w:color w:val="auto"/>
                <w:sz w:val="21"/>
                <w:szCs w:val="21"/>
                <w:highlight w:val="none"/>
                <w:lang w:val="en-US" w:eastAsia="zh-CN"/>
              </w:rPr>
              <w:t xml:space="preserve">本项满分4分。</w:t>
            </w:r>
            <w:r/>
          </w:p>
        </w:tc>
        <w:tc>
          <w:tcPr>
            <w:tcBorders>
              <w:top w:val="single" w:color="000000" w:sz="4" w:space="0"/>
              <w:left w:val="single" w:color="000000" w:sz="4" w:space="0"/>
              <w:bottom w:val="single" w:color="000000" w:sz="4" w:space="0"/>
              <w:right w:val="single" w:color="000000" w:sz="4" w:space="0"/>
            </w:tcBorders>
            <w:tcW w:w="529" w:type="pct"/>
            <w:vAlign w:val="center"/>
            <w:textDirection w:val="lrTb"/>
            <w:noWrap w:val="false"/>
          </w:tcPr>
          <w:p>
            <w:pPr>
              <w:pStyle w:val="820"/>
              <w:ind w:left="0" w:right="0"/>
              <w:jc w:val="center"/>
              <w:keepLines w:val="0"/>
              <w:keepNext w:val="0"/>
              <w:pageBreakBefore w:val="0"/>
              <w:spacing w:before="0" w:beforeAutospacing="0" w:after="0" w:afterAutospacing="0" w:line="400" w:lineRule="exact"/>
              <w:widowControl w:val="off"/>
              <w:rPr>
                <w:rFonts w:hint="default" w:ascii="宋体" w:hAnsi="宋体" w:cs="宋体"/>
                <w:b w:val="0"/>
                <w:bCs w:val="0"/>
                <w:color w:val="auto"/>
                <w:sz w:val="21"/>
                <w:szCs w:val="21"/>
                <w:highlight w:val="none"/>
                <w:lang w:val="en-US" w:eastAsia="zh-CN"/>
              </w:rPr>
              <w:suppressLineNumbers w:val="0"/>
            </w:pPr>
            <w:r>
              <w:rPr>
                <w:rFonts w:hint="eastAsia" w:ascii="宋体" w:hAnsi="宋体" w:cs="宋体"/>
                <w:b w:val="0"/>
                <w:bCs w:val="0"/>
                <w:color w:val="auto"/>
                <w:sz w:val="21"/>
                <w:szCs w:val="21"/>
                <w:highlight w:val="none"/>
                <w:lang w:val="en-US" w:eastAsia="zh-CN"/>
              </w:rPr>
              <w:t xml:space="preserve">7分</w:t>
            </w:r>
            <w:r/>
          </w:p>
        </w:tc>
      </w:tr>
    </w:tbl>
    <w:p>
      <w:pPr>
        <w:rPr>
          <w:rFonts w:hint="eastAsia"/>
          <w:color w:val="auto"/>
          <w:highlight w:val="none"/>
        </w:rPr>
      </w:pPr>
      <w:r/>
      <w:bookmarkStart w:id="70" w:name="_Toc3093"/>
      <w:r>
        <w:rPr>
          <w:rFonts w:hint="eastAsia"/>
          <w:color w:val="auto"/>
          <w:highlight w:val="none"/>
        </w:rPr>
        <w:br w:type="page" w:clear="all"/>
      </w:r>
      <w:r/>
    </w:p>
    <w:p>
      <w:pPr>
        <w:pStyle w:val="806"/>
        <w:rPr>
          <w:color w:val="auto"/>
          <w:highlight w:val="none"/>
        </w:rPr>
      </w:pPr>
      <w:r>
        <w:rPr>
          <w:rFonts w:hint="eastAsia"/>
          <w:color w:val="auto"/>
          <w:highlight w:val="none"/>
        </w:rPr>
        <w:t xml:space="preserve">第六章 投标文件格式</w:t>
      </w:r>
      <w:bookmarkEnd w:id="69"/>
      <w:r/>
      <w:bookmarkEnd w:id="70"/>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val="en-US" w:eastAsia="zh-CN"/>
        </w:rPr>
        <w:t xml:space="preserve">项 目</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4"/>
          <w:footnotePr/>
          <w:endnotePr/>
          <w:type w:val="nextPage"/>
          <w:pgSz w:w="11906" w:h="16838" w:orient="portrait"/>
          <w:pgMar w:top="1417" w:right="62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九、其他（投标所需其他相关内容）</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35"/>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1" w:name="_Toc5792"/>
      <w:r/>
      <w:bookmarkStart w:id="72" w:name="_Toc7268"/>
      <w:r/>
      <w:bookmarkStart w:id="73" w:name="_Toc2731"/>
      <w:r/>
      <w:bookmarkStart w:id="74" w:name="_Toc20369"/>
      <w:r/>
      <w:bookmarkStart w:id="75" w:name="_Toc3717"/>
      <w:r>
        <w:rPr>
          <w:rFonts w:hint="eastAsia" w:ascii="宋体" w:hAnsi="宋体" w:eastAsia="宋体" w:cs="宋体"/>
          <w:color w:val="auto"/>
          <w:sz w:val="21"/>
          <w:szCs w:val="21"/>
          <w:highlight w:val="none"/>
        </w:rPr>
        <w:t xml:space="preserve">一、</w:t>
      </w:r>
      <w:bookmarkEnd w:id="71"/>
      <w:r/>
      <w:bookmarkEnd w:id="72"/>
      <w:r/>
      <w:bookmarkEnd w:id="73"/>
      <w:r/>
      <w:bookmarkEnd w:id="74"/>
      <w:r/>
      <w:bookmarkEnd w:id="75"/>
      <w:r>
        <w:rPr>
          <w:rFonts w:hint="eastAsia" w:ascii="宋体" w:hAnsi="宋体" w:eastAsia="宋体" w:cs="宋体"/>
          <w:color w:val="auto"/>
          <w:sz w:val="21"/>
          <w:szCs w:val="21"/>
          <w:highlight w:val="none"/>
        </w:rPr>
        <w:t xml:space="preserve">资格审查响应对照表</w:t>
      </w:r>
      <w:r/>
    </w:p>
    <w:tbl>
      <w:tblPr>
        <w:tblStyle w:val="816"/>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73"/>
        <w:gridCol w:w="1919"/>
      </w:tblGrid>
      <w:tr>
        <w:trPr>
          <w:trHeight w:val="64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687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91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lang w:val="en-US" w:eastAsia="zh-CN"/>
              </w:rPr>
              <w:t xml:space="preserve">上一</w:t>
            </w:r>
            <w:r>
              <w:rPr>
                <w:rFonts w:hint="eastAsia" w:ascii="宋体" w:hAnsi="宋体" w:cs="宋体"/>
                <w:iCs/>
                <w:color w:val="auto"/>
                <w:sz w:val="21"/>
                <w:szCs w:val="21"/>
                <w:highlight w:val="none"/>
              </w:rPr>
              <w:t xml:space="preserve">年度的财务报告情况；（成立不满一年无需提供）</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法律、行政法规规定的其他条件；（投标文件中提供证明材料</w:t>
            </w:r>
            <w:r>
              <w:rPr>
                <w:rFonts w:hint="eastAsia" w:ascii="宋体" w:hAnsi="宋体" w:cs="宋体"/>
                <w:iCs/>
                <w:color w:val="auto"/>
                <w:sz w:val="21"/>
                <w:szCs w:val="21"/>
                <w:highlight w:val="none"/>
                <w:lang w:val="en-US" w:eastAsia="zh-CN"/>
              </w:rPr>
              <w:t xml:space="preserve">或承诺书</w:t>
            </w:r>
            <w:r>
              <w:rPr>
                <w:rFonts w:hint="eastAsia" w:ascii="宋体" w:hAnsi="宋体" w:cs="宋体"/>
                <w:iCs/>
                <w:color w:val="auto"/>
                <w:sz w:val="21"/>
                <w:szCs w:val="21"/>
                <w:highlight w:val="none"/>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52"/>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本项目的特定资格要求：无</w:t>
            </w:r>
            <w:r/>
          </w:p>
        </w:tc>
      </w:tr>
      <w:tr>
        <w:trPr>
          <w:trHeight w:val="40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1.单位负责人为同一人或者存在直接控股、管理关系的不同供应商，不得参加同一合同项下的政府采购活动；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2.除单一来源采购项目外，为采购项目提供整体设计、规范编制或者项目管理、监理、检测等服务的供应商，不得再参加该采购项目的其他采购活动；</w:t>
            </w:r>
            <w:r/>
          </w:p>
          <w:p>
            <w:pPr>
              <w:ind w:left="0" w:right="0"/>
              <w:jc w:val="left"/>
              <w:keepLines w:val="0"/>
              <w:keepNext w:val="0"/>
              <w:spacing w:before="0" w:beforeAutospacing="0" w:after="0" w:afterAutospacing="0" w:line="440" w:lineRule="exact"/>
              <w:rPr>
                <w:rFonts w:hint="default"/>
                <w:color w:val="auto"/>
                <w:highlight w:val="none"/>
                <w:lang w:val="en-US" w:eastAsia="zh-CN"/>
              </w:rPr>
              <w:suppressLineNumbers w:val="0"/>
            </w:pPr>
            <w:r>
              <w:rPr>
                <w:rFonts w:hint="default" w:ascii="宋体" w:hAnsi="宋体" w:eastAsia="宋体" w:cs="宋体"/>
                <w:b/>
                <w:bCs/>
                <w:iCs/>
                <w:color w:val="auto"/>
                <w:sz w:val="21"/>
                <w:szCs w:val="21"/>
                <w:highlight w:val="none"/>
                <w:lang w:val="en-US" w:eastAsia="zh-CN"/>
              </w:rPr>
              <w:t xml:space="preserve">提供承诺书加盖</w:t>
            </w:r>
            <w:r>
              <w:rPr>
                <w:rFonts w:hint="eastAsia" w:ascii="宋体" w:hAnsi="宋体" w:eastAsia="宋体" w:cs="宋体"/>
                <w:b/>
                <w:bCs/>
                <w:iCs/>
                <w:color w:val="auto"/>
                <w:sz w:val="21"/>
                <w:szCs w:val="21"/>
                <w:highlight w:val="none"/>
                <w:lang w:val="en-US" w:eastAsia="zh-CN"/>
              </w:rPr>
              <w:t xml:space="preserve">投标人</w:t>
            </w:r>
            <w:r>
              <w:rPr>
                <w:rFonts w:hint="default" w:ascii="宋体" w:hAnsi="宋体" w:eastAsia="宋体" w:cs="宋体"/>
                <w:b/>
                <w:bCs/>
                <w:iCs/>
                <w:color w:val="auto"/>
                <w:sz w:val="21"/>
                <w:szCs w:val="21"/>
                <w:highlight w:val="none"/>
                <w:lang w:val="en-US" w:eastAsia="zh-CN"/>
              </w:rPr>
              <w:t xml:space="preserve">公章，上传系统，承诺书内容需包含上述内容</w:t>
            </w:r>
            <w:r>
              <w:rPr>
                <w:rFonts w:hint="eastAsia" w:ascii="宋体" w:hAnsi="宋体" w:eastAsia="宋体" w:cs="宋体"/>
                <w:b/>
                <w:bCs/>
                <w:iCs/>
                <w:color w:val="auto"/>
                <w:sz w:val="21"/>
                <w:szCs w:val="21"/>
                <w:highlight w:val="none"/>
                <w:lang w:val="en-US"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41"/>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Cs w:val="21"/>
          <w:highlight w:val="none"/>
        </w:rPr>
        <w:t xml:space="preserve">承诺单位（加盖CA电子公章）：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年    月    日</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JSZC-321092-SWGC-G2026-0095</w:t>
      </w:r>
      <w:r>
        <w:rPr>
          <w:rFonts w:hint="eastAsia" w:ascii="宋体" w:hAnsi="宋体" w:eastAsia="宋体" w:cs="宋体"/>
          <w:color w:val="auto"/>
          <w:sz w:val="21"/>
          <w:szCs w:val="21"/>
          <w:highlight w:val="none"/>
        </w:rPr>
        <w:t xml:space="preserve">号招标文件，正式授权下述签字人_________________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71"/>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7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7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6" w:name="_Toc9345"/>
      <w:r/>
      <w:bookmarkStart w:id="77" w:name="_Toc17479"/>
      <w:r/>
      <w:bookmarkStart w:id="78" w:name="_Toc16911"/>
      <w:r/>
      <w:bookmarkStart w:id="79" w:name="_Toc20616"/>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JSZC-321092-SWGC-G2026-0095</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7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72"/>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日期：</w:t>
      </w:r>
      <w:bookmarkStart w:id="80" w:name="_Hlt26955070"/>
      <w:r/>
      <w:bookmarkEnd w:id="80"/>
      <w:r/>
      <w:bookmarkStart w:id="81" w:name="_Hlt26671380"/>
      <w:r/>
      <w:bookmarkEnd w:id="81"/>
      <w:r/>
      <w:bookmarkStart w:id="82" w:name="_格式3__银行出具的资信证明"/>
      <w:r/>
      <w:bookmarkEnd w:id="82"/>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360" w:lineRule="auto"/>
        <w:rPr>
          <w:rFonts w:hint="eastAsia" w:ascii="Times New Roman" w:hAnsi="Times New Roman" w:eastAsia="宋体"/>
          <w:color w:val="auto"/>
          <w:highlight w:val="none"/>
          <w:lang w:eastAsia="zh-CN"/>
        </w:rPr>
      </w:pPr>
      <w:r>
        <w:rPr>
          <w:rFonts w:hint="eastAsia" w:ascii="Times New Roman" w:hAnsi="Times New Roman" w:eastAsia="宋体"/>
          <w:color w:val="auto"/>
          <w:highlight w:val="none"/>
        </w:rPr>
        <w:t xml:space="preserve">法定代表人身份证复印件</w:t>
      </w:r>
      <w:r>
        <w:rPr>
          <w:rFonts w:hint="eastAsia" w:ascii="Times New Roman" w:hAnsi="Times New Roman" w:eastAsia="宋体"/>
          <w:color w:val="auto"/>
          <w:highlight w:val="none"/>
          <w:lang w:eastAsia="zh-CN"/>
        </w:rPr>
        <w:t xml:space="preserve">：</w:t>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bCs/>
          <w:color w:val="auto"/>
          <w:highlight w:val="none"/>
        </w:rPr>
        <w:t xml:space="preserve">被授权人身份证复印件</w:t>
      </w:r>
      <w:r>
        <w:rPr>
          <w:rFonts w:hint="eastAsia" w:ascii="Times New Roman" w:hAnsi="Times New Roman" w:eastAsia="宋体"/>
          <w:bCs/>
          <w:color w:val="auto"/>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20"/>
        <w:keepLines w:val="0"/>
        <w:keepNext w:val="0"/>
        <w:pageBreakBefore w:val="0"/>
        <w:spacing w:line="360" w:lineRule="auto"/>
        <w:widowControl w:val="off"/>
        <w:rPr>
          <w:rFonts w:hint="eastAsia" w:ascii="Times New Roman" w:hAnsi="Times New Roman" w:eastAsia="宋体" w:cs="Times New Roman"/>
          <w:b w:val="0"/>
          <w:bCs/>
          <w:i/>
          <w:iCs/>
          <w:color w:val="auto"/>
          <w:sz w:val="21"/>
          <w:szCs w:val="21"/>
          <w:highlight w:val="none"/>
          <w:u w:val="single"/>
          <w:lang w:val="en-US" w:eastAsia="zh-CN"/>
        </w:rPr>
      </w:pPr>
      <w:r>
        <w:rPr>
          <w:rFonts w:hint="eastAsia" w:ascii="Times New Roman" w:hAnsi="Times New Roman" w:eastAsia="宋体" w:cs="Times New Roman"/>
          <w:b w:val="0"/>
          <w:bCs/>
          <w:i/>
          <w:iCs/>
          <w:color w:val="auto"/>
          <w:sz w:val="21"/>
          <w:szCs w:val="21"/>
          <w:highlight w:val="none"/>
          <w:u w:val="single"/>
          <w:lang w:val="en-US" w:eastAsia="zh-CN"/>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被授权人社保证明材料（提供提交投标文件截止时间前一年内至少一个月依法缴纳社会保障资金的证明材料）：</w:t>
      </w:r>
      <w:r/>
    </w:p>
    <w:p>
      <w:pPr>
        <w:pStyle w:val="841"/>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061"/>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061"/>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货物类</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061"/>
          <w:rFonts w:hint="eastAsia" w:ascii="宋体" w:hAnsi="宋体" w:eastAsia="宋体" w:cs="宋体"/>
          <w:color w:val="auto"/>
          <w:sz w:val="21"/>
          <w:szCs w:val="21"/>
          <w:highlight w:val="none"/>
        </w:rPr>
      </w:pPr>
      <w:r>
        <w:rPr>
          <w:rStyle w:val="1061"/>
          <w:rFonts w:hint="eastAsia" w:ascii="宋体" w:hAnsi="宋体" w:eastAsia="宋体" w:cs="宋体"/>
          <w:color w:val="auto"/>
          <w:sz w:val="21"/>
          <w:szCs w:val="21"/>
          <w:highlight w:val="none"/>
        </w:rPr>
        <w:br w:type="page" w:clear="all"/>
      </w:r>
      <w:r/>
    </w:p>
    <w:p>
      <w:pPr>
        <w:pStyle w:val="1056"/>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61"/>
          <w:rFonts w:hint="eastAsia" w:ascii="宋体" w:hAnsi="宋体" w:eastAsia="宋体" w:cs="宋体"/>
          <w:color w:val="auto"/>
          <w:sz w:val="21"/>
          <w:szCs w:val="21"/>
          <w:highlight w:val="none"/>
        </w:rPr>
        <w:t xml:space="preserve">中小微企业划型标准如下：</w:t>
      </w:r>
      <w:r/>
    </w:p>
    <w:tbl>
      <w:tblPr>
        <w:tblStyle w:val="816"/>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6"/>
              <w:ind w:left="0" w:right="0"/>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firstLine="42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61"/>
                <w:rFonts w:hint="eastAsia" w:ascii="宋体" w:hAnsi="宋体" w:eastAsia="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6"/>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1"/>
                <w:rFonts w:hint="eastAsia" w:ascii="宋体" w:hAnsi="宋体" w:eastAsia="宋体" w:cs="宋体"/>
                <w:color w:val="auto"/>
                <w:sz w:val="21"/>
                <w:szCs w:val="21"/>
                <w:highlight w:val="none"/>
              </w:rPr>
              <w:t xml:space="preserve">X＜10</w:t>
            </w:r>
            <w:r/>
          </w:p>
        </w:tc>
      </w:tr>
    </w:tbl>
    <w:p>
      <w:pPr>
        <w:pStyle w:val="1056"/>
        <w:spacing w:before="300" w:after="452" w:line="360" w:lineRule="auto"/>
        <w:widowControl/>
        <w:rPr>
          <w:rStyle w:val="1061"/>
          <w:rFonts w:hint="eastAsia" w:ascii="宋体" w:hAnsi="宋体" w:eastAsia="宋体" w:cs="宋体"/>
          <w:color w:val="auto"/>
          <w:sz w:val="21"/>
          <w:szCs w:val="21"/>
          <w:highlight w:val="none"/>
        </w:rPr>
      </w:pPr>
      <w:r>
        <w:rPr>
          <w:rStyle w:val="1061"/>
          <w:rFonts w:hint="eastAsia" w:ascii="宋体" w:hAnsi="宋体" w:eastAsia="宋体" w:cs="宋体"/>
          <w:color w:val="auto"/>
          <w:sz w:val="21"/>
          <w:szCs w:val="21"/>
          <w:highlight w:val="none"/>
        </w:rPr>
        <w:t xml:space="preserve">说明：上述标准参照《关于印发中小企业划型标准规定的通知》（工信部联企业</w:t>
      </w:r>
      <w:r>
        <w:rPr>
          <w:rStyle w:val="1061"/>
          <w:rFonts w:hint="eastAsia" w:ascii="宋体" w:hAnsi="宋体" w:eastAsia="宋体" w:cs="宋体"/>
          <w:color w:val="auto"/>
          <w:sz w:val="21"/>
          <w:szCs w:val="21"/>
          <w:highlight w:val="none"/>
          <w:lang w:eastAsia="zh-CN"/>
        </w:rPr>
        <w:t xml:space="preserve">〔2011〕300号</w:t>
      </w:r>
      <w:r>
        <w:rPr>
          <w:rStyle w:val="1061"/>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1036"/>
        <w:rPr>
          <w:rFonts w:hint="eastAsia" w:ascii="宋体" w:hAnsi="宋体" w:eastAsia="宋体" w:cs="宋体"/>
          <w:color w:val="auto"/>
          <w:sz w:val="21"/>
          <w:szCs w:val="21"/>
          <w:highlight w:val="none"/>
        </w:rPr>
      </w:pPr>
      <w:r>
        <w:rPr>
          <w:rStyle w:val="1061"/>
          <w:rFonts w:hint="eastAsia" w:ascii="宋体" w:hAnsi="宋体" w:eastAsia="宋体" w:cs="宋体"/>
          <w:b w:val="0"/>
          <w:color w:val="auto"/>
          <w:sz w:val="21"/>
          <w:szCs w:val="21"/>
          <w:highlight w:val="none"/>
        </w:rPr>
        <w:br w:type="page" w:clear="all"/>
      </w:r>
      <w:r/>
    </w:p>
    <w:p>
      <w:pPr>
        <w:pStyle w:val="841"/>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lang w:eastAsia="zh-CN"/>
        </w:rPr>
      </w:r>
      <w:r/>
    </w:p>
    <w:p>
      <w:pPr>
        <w:pStyle w:val="1035"/>
        <w:rPr>
          <w:rFonts w:hint="eastAsia" w:ascii="宋体" w:hAnsi="宋体" w:eastAsia="宋体" w:cs="宋体"/>
          <w:color w:val="auto"/>
          <w:sz w:val="21"/>
          <w:szCs w:val="21"/>
          <w:highlight w:val="none"/>
        </w:rPr>
      </w:pPr>
      <w:r/>
      <w:bookmarkStart w:id="83" w:name="_Toc18665"/>
      <w:r>
        <w:rPr>
          <w:rFonts w:hint="eastAsia" w:ascii="宋体" w:hAnsi="宋体" w:eastAsia="宋体" w:cs="宋体"/>
          <w:color w:val="auto"/>
          <w:sz w:val="21"/>
          <w:szCs w:val="21"/>
          <w:highlight w:val="none"/>
        </w:rPr>
        <w:t xml:space="preserve">二、符合性审查响应对照表</w:t>
      </w:r>
      <w:bookmarkEnd w:id="76"/>
      <w:r/>
      <w:bookmarkEnd w:id="77"/>
      <w:r/>
      <w:bookmarkEnd w:id="78"/>
      <w:r/>
      <w:bookmarkEnd w:id="79"/>
      <w:r/>
      <w:bookmarkEnd w:id="83"/>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1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bCs/>
                <w:iCs/>
                <w:color w:val="auto"/>
                <w:szCs w:val="21"/>
                <w:highlight w:val="none"/>
              </w:rPr>
              <w:suppressLineNumbers w:val="0"/>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35"/>
        <w:rPr>
          <w:rFonts w:hint="eastAsia" w:ascii="宋体" w:hAnsi="宋体" w:eastAsia="宋体" w:cs="宋体"/>
          <w:color w:val="auto"/>
          <w:sz w:val="21"/>
          <w:szCs w:val="21"/>
          <w:highlight w:val="none"/>
        </w:rPr>
      </w:pPr>
      <w:r/>
      <w:bookmarkStart w:id="84" w:name="_Toc23068"/>
      <w:r/>
      <w:bookmarkStart w:id="85" w:name="_Toc2005"/>
      <w:r/>
      <w:bookmarkStart w:id="86" w:name="_Toc23420"/>
      <w:r/>
      <w:bookmarkStart w:id="87" w:name="_Toc23689"/>
      <w:r/>
      <w:bookmarkStart w:id="88" w:name="_Toc29406"/>
      <w:r>
        <w:rPr>
          <w:rFonts w:hint="eastAsia" w:ascii="宋体" w:hAnsi="宋体" w:eastAsia="宋体" w:cs="宋体"/>
          <w:color w:val="auto"/>
          <w:sz w:val="21"/>
          <w:szCs w:val="21"/>
          <w:highlight w:val="none"/>
        </w:rPr>
        <w:t xml:space="preserve">三、非实质性响应对照表</w:t>
      </w:r>
      <w:bookmarkEnd w:id="84"/>
      <w:r/>
      <w:bookmarkEnd w:id="85"/>
      <w:r/>
      <w:bookmarkEnd w:id="86"/>
      <w:r/>
      <w:bookmarkEnd w:id="87"/>
      <w:r/>
      <w:bookmarkEnd w:id="88"/>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1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41"/>
        <w:gridCol w:w="1768"/>
        <w:gridCol w:w="1379"/>
      </w:tblGrid>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300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cs="宋体"/>
                <w:color w:val="auto"/>
                <w:szCs w:val="21"/>
                <w:highlight w:val="none"/>
              </w:rPr>
              <w:t xml:space="preserve">1</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2</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cs="宋体"/>
                <w:color w:val="auto"/>
                <w:szCs w:val="21"/>
                <w:highlight w:val="none"/>
              </w:rPr>
              <w:t xml:space="preserve">3</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JSZC-321092-SWGC-G2026-0095</w:t>
      </w:r>
      <w:r>
        <w:rPr>
          <w:rFonts w:hint="eastAsia" w:ascii="宋体" w:hAnsi="宋体" w:eastAsia="宋体" w:cs="宋体"/>
          <w:color w:val="auto"/>
          <w:sz w:val="21"/>
          <w:szCs w:val="21"/>
          <w:highlight w:val="none"/>
          <w:u w:val="single"/>
          <w:lang w:val="en-US" w:eastAsia="zh-CN"/>
        </w:rPr>
        <w:t xml:space="preserve">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839"/>
        <w:ind w:firstLine="420"/>
        <w:spacing w:beforeAutospacing="0" w:afterAutospacing="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18415"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265430</wp:posOffset>
                </wp:positionH>
                <wp:positionV relativeFrom="paragraph">
                  <wp:posOffset>556895</wp:posOffset>
                </wp:positionV>
                <wp:extent cx="641985" cy="104775"/>
                <wp:effectExtent l="635" t="4445" r="5080" b="508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1905" b="1460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1310005</wp:posOffset>
                </wp:positionH>
                <wp:positionV relativeFrom="paragraph">
                  <wp:posOffset>278765</wp:posOffset>
                </wp:positionV>
                <wp:extent cx="566420" cy="97155"/>
                <wp:effectExtent l="635" t="4445" r="4445" b="1270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844"/>
          <w:rFonts w:hint="eastAsia" w:ascii="宋体" w:hAnsi="宋体" w:cs="宋体"/>
          <w:i w:val="0"/>
          <w:color w:val="auto"/>
          <w:sz w:val="21"/>
          <w:szCs w:val="21"/>
          <w:highlight w:val="none"/>
          <w:u w:val="single"/>
          <w:shd w:val="clear" w:color="auto" w:fill="ffffff"/>
        </w:rPr>
        <w:t xml:space="preserve">（产品名称1）</w:t>
      </w:r>
      <w:r>
        <w:rPr>
          <w:rStyle w:val="844"/>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844"/>
          <w:rFonts w:hint="eastAsia" w:ascii="宋体" w:hAnsi="宋体" w:cs="宋体"/>
          <w:i w:val="0"/>
          <w:color w:val="auto"/>
          <w:sz w:val="21"/>
          <w:szCs w:val="21"/>
          <w:highlight w:val="none"/>
          <w:u w:val="single"/>
          <w:shd w:val="clear" w:color="auto" w:fill="ffffff"/>
        </w:rPr>
        <w:t xml:space="preserve">（厂名）</w:t>
      </w:r>
      <w:r>
        <w:rPr>
          <w:rStyle w:val="844"/>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844"/>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Style w:val="844"/>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844"/>
          <w:rFonts w:hint="eastAsia" w:ascii="宋体" w:hAnsi="宋体" w:cs="宋体"/>
          <w:i w:val="0"/>
          <w:color w:val="auto"/>
          <w:sz w:val="21"/>
          <w:szCs w:val="21"/>
          <w:highlight w:val="none"/>
          <w:u w:val="single"/>
          <w:shd w:val="clear" w:color="auto" w:fill="ffffff"/>
        </w:rPr>
        <w:t xml:space="preserve">（规定比例）</w:t>
      </w:r>
      <w:r>
        <w:rPr>
          <w:rStyle w:val="844"/>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844"/>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4"/>
          <w:rFonts w:hint="eastAsia" w:ascii="宋体" w:hAnsi="宋体" w:cs="宋体"/>
          <w:i w:val="0"/>
          <w:color w:val="auto"/>
          <w:sz w:val="21"/>
          <w:szCs w:val="21"/>
          <w:highlight w:val="none"/>
          <w:u w:val="single"/>
          <w:shd w:val="clear" w:color="auto" w:fill="ffffff"/>
        </w:rPr>
        <w:t xml:space="preserve">（关键组件）</w:t>
      </w:r>
      <w:r>
        <w:rPr>
          <w:rStyle w:val="844"/>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844"/>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4"/>
          <w:rFonts w:hint="eastAsia" w:ascii="宋体" w:hAnsi="宋体" w:cs="宋体"/>
          <w:i w:val="0"/>
          <w:color w:val="auto"/>
          <w:sz w:val="21"/>
          <w:szCs w:val="21"/>
          <w:highlight w:val="none"/>
          <w:u w:val="single"/>
          <w:shd w:val="clear" w:color="auto" w:fill="ffffff"/>
        </w:rPr>
        <w:t xml:space="preserve">（关键工序）</w:t>
      </w:r>
      <w:r>
        <w:rPr>
          <w:rStyle w:val="844"/>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237490</wp:posOffset>
                </wp:positionH>
                <wp:positionV relativeFrom="paragraph">
                  <wp:posOffset>537845</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5133975</wp:posOffset>
                </wp:positionH>
                <wp:positionV relativeFrom="paragraph">
                  <wp:posOffset>295275</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3246120</wp:posOffset>
                </wp:positionH>
                <wp:positionV relativeFrom="paragraph">
                  <wp:posOffset>293370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12700" b="22225"/>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1214120</wp:posOffset>
                </wp:positionH>
                <wp:positionV relativeFrom="paragraph">
                  <wp:posOffset>246380</wp:posOffset>
                </wp:positionV>
                <wp:extent cx="816610" cy="147320"/>
                <wp:effectExtent l="635" t="4445" r="1905"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844"/>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844"/>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844"/>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844"/>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844"/>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844"/>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844"/>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844"/>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4"/>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39"/>
        <w:ind w:firstLine="240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839"/>
        <w:ind w:firstLine="240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839"/>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839"/>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839"/>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839"/>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839"/>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839"/>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839"/>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6.用斜线划除的地方无需填写。</w:t>
      </w:r>
      <w:r/>
    </w:p>
    <w:p>
      <w:pPr>
        <w:pStyle w:val="839"/>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p>
    <w:p>
      <w:pPr>
        <w:jc w:val="left"/>
        <w:widowControl/>
        <w:rPr>
          <w:rFonts w:hint="eastAsia" w:ascii="宋体" w:hAnsi="宋体" w:eastAsia="宋体" w:cs="宋体"/>
          <w:b/>
          <w:bCs/>
          <w:color w:val="auto"/>
          <w:sz w:val="21"/>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7"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0"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451.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bCs/>
          <w:color w:val="auto"/>
          <w:sz w:val="21"/>
          <w:szCs w:val="21"/>
          <w:highlight w:val="none"/>
        </w:rPr>
      </w:pPr>
      <w:r/>
      <w:bookmarkStart w:id="89" w:name="_Toc25382"/>
      <w:r/>
      <w:bookmarkStart w:id="90" w:name="_Toc19910"/>
      <w:r>
        <w:rPr>
          <w:rFonts w:hint="eastAsia" w:ascii="宋体" w:hAnsi="宋体" w:eastAsia="宋体" w:cs="宋体"/>
          <w:b/>
          <w:bCs/>
          <w:color w:val="auto"/>
          <w:sz w:val="21"/>
          <w:szCs w:val="21"/>
          <w:highlight w:val="none"/>
        </w:rPr>
        <w:br w:type="page" w:clear="all"/>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四、开标一览表</w:t>
      </w:r>
      <w:bookmarkEnd w:id="89"/>
      <w:r/>
      <w:bookmarkEnd w:id="90"/>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项目编号：</w:t>
      </w:r>
      <w:r>
        <w:rPr>
          <w:rFonts w:hint="eastAsia" w:ascii="宋体" w:hAnsi="宋体" w:eastAsia="宋体" w:cs="宋体"/>
          <w:color w:val="auto"/>
          <w:sz w:val="21"/>
          <w:szCs w:val="21"/>
          <w:highlight w:val="none"/>
        </w:rPr>
        <w:t xml:space="preserve">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6899"/>
      </w:tblGrid>
      <w:tr>
        <w:trPr>
          <w:cantSplit/>
          <w:trHeight w:val="1098"/>
        </w:trPr>
        <w:tc>
          <w:tcPr>
            <w:tcW w:w="1395" w:type="pct"/>
            <w:vAlign w:val="center"/>
            <w:textDirection w:val="lrTb"/>
            <w:noWrap w:val="false"/>
          </w:tcPr>
          <w:p>
            <w:pPr>
              <w:pStyle w:val="1044"/>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投标总报价</w:t>
            </w:r>
            <w:r/>
          </w:p>
        </w:tc>
      </w:tr>
      <w:tr>
        <w:trPr>
          <w:cantSplit/>
          <w:trHeight w:val="1697"/>
        </w:trPr>
        <w:tc>
          <w:tcPr>
            <w:tcW w:w="1395" w:type="pct"/>
            <w:vAlign w:val="center"/>
            <w:textDirection w:val="lrTb"/>
            <w:noWrap w:val="false"/>
          </w:tcPr>
          <w:p>
            <w:pPr>
              <w:pStyle w:val="1044"/>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71"/>
              <w:ind w:left="0" w:right="0" w:firstLine="0"/>
              <w:keepLines w:val="0"/>
              <w:keepNext w:val="0"/>
              <w:spacing w:before="0" w:beforeAutospacing="0" w:after="0" w:afterAutospacing="0"/>
              <w:rPr>
                <w:rFonts w:ascii="Times New Roman" w:hAnsi="Times New Roman" w:cs="宋体"/>
                <w:color w:val="auto"/>
                <w:sz w:val="21"/>
                <w:szCs w:val="21"/>
                <w:highlight w:val="none"/>
              </w:rPr>
              <w:suppressLineNumbers w:val="0"/>
            </w:pPr>
            <w:r>
              <w:rPr>
                <w:rFonts w:hint="eastAsia" w:ascii="Times New Roman" w:hAnsi="Times New Roman" w:cs="宋体"/>
                <w:color w:val="auto"/>
                <w:sz w:val="21"/>
                <w:szCs w:val="21"/>
                <w:highlight w:val="none"/>
              </w:rPr>
              <w:t xml:space="preserve">大写：                       </w:t>
            </w:r>
            <w:r/>
          </w:p>
          <w:p>
            <w:pPr>
              <w:pStyle w:val="1071"/>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Times New Roman" w:hAnsi="Times New Roman" w:cs="宋体"/>
                <w:color w:val="auto"/>
                <w:sz w:val="21"/>
                <w:szCs w:val="21"/>
                <w:highlight w:val="none"/>
              </w:rPr>
              <w:t xml:space="preserve">小写：                            （人民币：元）</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41"/>
        <w:ind w:firstLine="640"/>
        <w:jc w:val="righ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日期：    年   月    日</w:t>
      </w:r>
      <w:r/>
    </w:p>
    <w:p>
      <w:pPr>
        <w:pStyle w:val="1041"/>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91" w:name="_Toc17891"/>
      <w:r/>
      <w:bookmarkStart w:id="92" w:name="_Toc20323"/>
      <w:r>
        <w:rPr>
          <w:rFonts w:hint="eastAsia" w:ascii="宋体" w:hAnsi="宋体" w:eastAsia="宋体" w:cs="宋体"/>
          <w:b/>
          <w:bCs/>
          <w:color w:val="auto"/>
          <w:sz w:val="21"/>
          <w:szCs w:val="21"/>
          <w:highlight w:val="none"/>
        </w:rPr>
        <w:t xml:space="preserve">五、投标分项报价表</w:t>
      </w:r>
      <w:bookmarkEnd w:id="91"/>
      <w:r/>
      <w:bookmarkEnd w:id="92"/>
      <w:r/>
      <w:r/>
    </w:p>
    <w:p>
      <w:pPr>
        <w:pStyle w:val="841"/>
        <w:rPr>
          <w:rFonts w:hint="default" w:eastAsia="宋体"/>
          <w:b/>
          <w:bCs/>
          <w:color w:val="auto"/>
          <w:highlight w:val="none"/>
          <w:lang w:val="en-US" w:eastAsia="zh-CN"/>
        </w:rPr>
      </w:pPr>
      <w:r>
        <w:rPr>
          <w:rFonts w:hint="eastAsia"/>
          <w:b/>
          <w:bCs/>
          <w:color w:val="auto"/>
          <w:highlight w:val="none"/>
          <w:lang w:eastAsia="zh-CN"/>
        </w:rPr>
        <w:t xml:space="preserve">（</w:t>
      </w:r>
      <w:r>
        <w:rPr>
          <w:rFonts w:hint="eastAsia"/>
          <w:b/>
          <w:bCs/>
          <w:color w:val="auto"/>
          <w:highlight w:val="none"/>
          <w:lang w:val="en-US" w:eastAsia="zh-CN"/>
        </w:rPr>
        <w:t xml:space="preserve">1</w:t>
      </w:r>
      <w:r>
        <w:rPr>
          <w:rFonts w:hint="eastAsia"/>
          <w:b/>
          <w:bCs/>
          <w:color w:val="auto"/>
          <w:highlight w:val="none"/>
          <w:lang w:eastAsia="zh-CN"/>
        </w:rPr>
        <w:t xml:space="preserve">）</w:t>
      </w:r>
      <w:r>
        <w:rPr>
          <w:rFonts w:hint="eastAsia"/>
          <w:b/>
          <w:bCs/>
          <w:color w:val="auto"/>
          <w:highlight w:val="none"/>
          <w:lang w:val="en-US" w:eastAsia="zh-CN"/>
        </w:rPr>
        <w:t xml:space="preserve">绿化养护项目清单报价表</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8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7"/>
        <w:gridCol w:w="1286"/>
        <w:gridCol w:w="1378"/>
        <w:gridCol w:w="708"/>
        <w:gridCol w:w="841"/>
        <w:gridCol w:w="890"/>
        <w:gridCol w:w="939"/>
        <w:gridCol w:w="2982"/>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标准、内容</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gridSpan w:val="8"/>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1.绿化养护</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养护人工</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男55周岁以下，女50周岁以</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7710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包括城墙麦冬养护</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养护机械费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包括运输、垃圾处理费</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rPr>
              <w:t xml:space="preserve">463227.87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药剂费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病虫害防治</w:t>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highlight w:val="none"/>
              </w:rPr>
              <w:t xml:space="preserve">463227.87</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left"/>
              <w:keepLines w:val="0"/>
              <w:keepNext w:val="0"/>
              <w:spacing w:before="0" w:beforeAutospacing="0" w:after="0" w:afterAutospacing="0"/>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pacing w:val="-11"/>
                <w:sz w:val="21"/>
                <w:szCs w:val="21"/>
                <w:highlight w:val="none"/>
                <w:u w:val="none"/>
                <w:lang w:eastAsia="zh-CN"/>
              </w:rPr>
              <w:t xml:space="preserve">（</w:t>
            </w:r>
            <w:r>
              <w:rPr>
                <w:rFonts w:hint="eastAsia" w:ascii="宋体" w:hAnsi="宋体" w:eastAsia="宋体" w:cs="宋体"/>
                <w:i w:val="0"/>
                <w:iCs w:val="0"/>
                <w:color w:val="auto"/>
                <w:spacing w:val="-11"/>
                <w:sz w:val="21"/>
                <w:szCs w:val="21"/>
                <w:highlight w:val="none"/>
                <w:u w:val="none"/>
                <w:lang w:val="en-US" w:eastAsia="zh-CN"/>
              </w:rPr>
              <w:t xml:space="preserve">1.1+1.2+1.3+1.4+1.5</w:t>
            </w:r>
            <w:r>
              <w:rPr>
                <w:rFonts w:hint="eastAsia" w:ascii="宋体" w:hAnsi="宋体" w:eastAsia="宋体" w:cs="宋体"/>
                <w:i w:val="0"/>
                <w:iCs w:val="0"/>
                <w:color w:val="auto"/>
                <w:spacing w:val="-11"/>
                <w:sz w:val="21"/>
                <w:szCs w:val="21"/>
                <w:highlight w:val="none"/>
                <w:u w:val="none"/>
                <w:lang w:eastAsia="zh-CN"/>
              </w:rPr>
              <w:t xml:space="preserve">）</w:t>
            </w:r>
            <w:r>
              <w:rPr>
                <w:rFonts w:hint="eastAsia" w:ascii="宋体" w:hAnsi="宋体" w:eastAsia="宋体" w:cs="宋体"/>
                <w:i w:val="0"/>
                <w:iCs w:val="0"/>
                <w:color w:val="auto"/>
                <w:spacing w:val="-11"/>
                <w:sz w:val="21"/>
                <w:szCs w:val="21"/>
                <w:highlight w:val="none"/>
                <w:u w:val="none"/>
                <w:lang w:val="en-US" w:eastAsia="zh-CN" w:bidi="ar"/>
              </w:rPr>
              <w:t xml:space="preserve">×</w:t>
            </w:r>
            <w:r>
              <w:rPr>
                <w:rFonts w:hint="eastAsia" w:ascii="宋体" w:hAnsi="宋体" w:cs="宋体"/>
                <w:i w:val="0"/>
                <w:iCs w:val="0"/>
                <w:color w:val="auto"/>
                <w:spacing w:val="-11"/>
                <w:sz w:val="21"/>
                <w:szCs w:val="21"/>
                <w:highlight w:val="none"/>
                <w:u w:val="none"/>
                <w:lang w:val="en-US" w:eastAsia="zh-CN" w:bidi="ar"/>
              </w:rPr>
              <w:t xml:space="preserve">税率</w:t>
            </w:r>
            <w:r/>
          </w:p>
        </w:tc>
      </w:tr>
      <w:tr>
        <w:trP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295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合计（1.1+1.2+1.3+1.4+1.5+1.6）（元）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val="0"/>
                <w:bCs w:val="0"/>
                <w:i w:val="0"/>
                <w:iCs w:val="0"/>
                <w:color w:val="auto"/>
                <w:sz w:val="21"/>
                <w:szCs w:val="21"/>
                <w:highlight w:val="none"/>
                <w:u w:val="none"/>
                <w:lang w:val="en-US" w:eastAsia="zh-CN"/>
              </w:rPr>
              <w:t xml:space="preserve">/</w:t>
            </w:r>
            <w:r/>
          </w:p>
        </w:tc>
      </w:tr>
      <w:tr>
        <w:trPr>
          <w:trHeight w:val="567"/>
        </w:trPr>
        <w:tc>
          <w:tcPr>
            <w:gridSpan w:val="8"/>
            <w:shd w:val="clear" w:color="auto" w:fill="auto"/>
            <w:tcBorders>
              <w:top w:val="non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2.计时工、机械、绿化用材料等</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计时工</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工时</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60工时/月</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轮胎式起重机 提升质量8t</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挖机</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履带式单斗挖掘机(液压) 斗容量1m3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pStyle w:val="822"/>
              <w:ind w:left="0" w:right="0" w:firstLine="0"/>
              <w:keepLines w:val="0"/>
              <w:keepNext w:val="0"/>
              <w:spacing w:before="0" w:beforeAutospacing="0" w:afterAutospacing="0"/>
              <w:rPr>
                <w:rFonts w:hint="default" w:eastAsia="宋体"/>
                <w:color w:val="auto"/>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绿化用材料</w:t>
            </w:r>
            <w:r>
              <w:rPr>
                <w:rFonts w:hint="eastAsia" w:ascii="宋体" w:hAnsi="宋体" w:cs="宋体"/>
                <w:i w:val="0"/>
                <w:iCs w:val="0"/>
                <w:color w:val="auto"/>
                <w:sz w:val="21"/>
                <w:szCs w:val="21"/>
                <w:highlight w:val="none"/>
                <w:u w:val="none"/>
                <w:lang w:val="en-US" w:eastAsia="zh-CN" w:bidi="ar"/>
              </w:rPr>
              <w:t xml:space="preserve">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详见附表</w:t>
            </w:r>
            <w:r>
              <w:rPr>
                <w:rFonts w:hint="eastAsia" w:ascii="宋体" w:hAnsi="宋体" w:cs="宋体"/>
                <w:i w:val="0"/>
                <w:iCs w:val="0"/>
                <w:color w:val="auto"/>
                <w:sz w:val="21"/>
                <w:szCs w:val="21"/>
                <w:highlight w:val="none"/>
                <w:u w:val="none"/>
                <w:lang w:val="en-US" w:eastAsia="zh-CN"/>
              </w:rPr>
              <w:t xml:space="preserve">（2）</w:t>
            </w:r>
            <w:r/>
          </w:p>
        </w:tc>
      </w:tr>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cs="宋体"/>
                <w:i w:val="0"/>
                <w:iCs w:val="0"/>
                <w:color w:val="auto"/>
                <w:sz w:val="21"/>
                <w:szCs w:val="21"/>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管理费</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cs="宋体"/>
                <w:i w:val="0"/>
                <w:iCs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利润</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7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6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both"/>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pacing w:val="-20"/>
                <w:sz w:val="21"/>
                <w:szCs w:val="21"/>
                <w:highlight w:val="none"/>
                <w:u w:val="none"/>
                <w:lang w:val="en-US" w:eastAsia="zh-CN" w:bidi="ar"/>
              </w:rPr>
              <w:t xml:space="preserve">（2.1+2.2+2.3+2.4+2.5+2.6）×税率</w:t>
            </w:r>
            <w:r/>
          </w:p>
        </w:tc>
      </w:tr>
      <w:tr>
        <w:trPr>
          <w:trHeight w:val="500"/>
        </w:trPr>
        <w:tc>
          <w:tcPr>
            <w:gridSpan w:val="6"/>
            <w:shd w:val="clear" w:color="auto" w:fill="auto"/>
            <w:tcBorders>
              <w:top w:val="single" w:color="000000" w:sz="4" w:space="0"/>
              <w:left w:val="single" w:color="000000" w:sz="4" w:space="0"/>
              <w:bottom w:val="single" w:color="000000" w:sz="4" w:space="0"/>
              <w:right w:val="single" w:color="000000" w:sz="4" w:space="0"/>
            </w:tcBorders>
            <w:tcW w:w="29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合计（2.1+2.2+2.3+2.4+2.5+2.6</w:t>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500"/>
        </w:trPr>
        <w:tc>
          <w:tcPr>
            <w:gridSpan w:val="6"/>
            <w:shd w:val="clear" w:color="auto" w:fill="auto"/>
            <w:tcBorders>
              <w:top w:val="none" w:color="000000" w:sz="4" w:space="0"/>
              <w:left w:val="single" w:color="000000" w:sz="4" w:space="0"/>
              <w:bottom w:val="single" w:color="000000" w:sz="4" w:space="0"/>
              <w:right w:val="single" w:color="000000" w:sz="4" w:space="0"/>
            </w:tcBorders>
            <w:tcW w:w="295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投标总报价（1+2）（元）</w:t>
            </w:r>
            <w:r/>
          </w:p>
        </w:tc>
        <w:tc>
          <w:tcPr>
            <w:shd w:val="clear" w:color="auto" w:fill="auto"/>
            <w:tcBorders>
              <w:top w:val="none" w:color="000000" w:sz="4" w:space="0"/>
              <w:left w:val="single" w:color="000000" w:sz="4" w:space="0"/>
              <w:bottom w:val="single" w:color="000000" w:sz="4" w:space="0"/>
              <w:right w:val="single" w:color="000000" w:sz="4" w:space="0"/>
            </w:tcBorders>
            <w:tcW w:w="4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557"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w:t>
            </w:r>
            <w:r/>
          </w:p>
        </w:tc>
      </w:tr>
      <w:tr>
        <w:trPr>
          <w:trHeight w:val="500"/>
        </w:trPr>
        <w:tc>
          <w:tcPr>
            <w:gridSpan w:val="8"/>
            <w:shd w:val="clear" w:color="auto" w:fill="auto"/>
            <w:tcBorders>
              <w:top w:val="non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日期：_____年______月______日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备注：</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本项目投标报价应按招标文件要求详细列明数量、单价、总价、备注（如有）等内容，报价应清晰、完整、准确。包括绿化养护所需的人工费、机械费、病虫害防治（含药剂）、绿化用材等全部费用，由中标人采购负责。</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2.“投标分项报价表”中“投标总报价”数额应当与“开标一览表”中“投标总报价”数额一致。</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lang w:val="en-US" w:eastAsia="zh-CN" w:bidi="ar"/>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.投标人报价时，全职全日制人员工资低于扬州市最低工资标准及未依法测算缴纳社会保险、医疗保险、住房公积金；非全日制人员工资低于扬州市非全日制用工小时最低工资标准的作无效报价处理。</w:t>
      </w:r>
      <w:r/>
    </w:p>
    <w:p>
      <w:pPr>
        <w:pStyle w:val="841"/>
        <w:rPr>
          <w:rFonts w:hint="eastAsia"/>
          <w:b/>
          <w:bCs/>
          <w:color w:val="auto"/>
          <w:highlight w:val="none"/>
          <w:lang w:val="en-US" w:eastAsia="zh-CN"/>
        </w:rPr>
      </w:pP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本项目招标代理服务费应包含在投标总价中，具体计算方式详见招标文件第二章4.3条要求。</w:t>
      </w:r>
      <w:r>
        <w:rPr>
          <w:rFonts w:hint="eastAsia" w:ascii="宋体" w:hAnsi="宋体" w:eastAsia="宋体" w:cs="宋体"/>
          <w:i w:val="0"/>
          <w:iCs w:val="0"/>
          <w:color w:val="auto"/>
          <w:sz w:val="21"/>
          <w:szCs w:val="21"/>
          <w:highlight w:val="none"/>
          <w:u w:val="none"/>
          <w:lang w:val="en-US" w:eastAsia="zh-CN" w:bidi="ar"/>
        </w:rPr>
        <w:br w:type="page" w:clear="all"/>
      </w:r>
      <w:r>
        <w:rPr>
          <w:rFonts w:hint="eastAsia" w:ascii="宋体" w:hAnsi="宋体" w:cs="宋体"/>
          <w:b/>
          <w:bCs/>
          <w:i w:val="0"/>
          <w:iCs w:val="0"/>
          <w:color w:val="auto"/>
          <w:sz w:val="21"/>
          <w:szCs w:val="21"/>
          <w:highlight w:val="none"/>
          <w:u w:val="none"/>
          <w:lang w:val="en-US" w:eastAsia="zh-CN" w:bidi="ar"/>
        </w:rPr>
        <w:t xml:space="preserve">附表</w:t>
      </w:r>
      <w:r>
        <w:rPr>
          <w:rFonts w:hint="eastAsia"/>
          <w:b/>
          <w:bCs/>
          <w:color w:val="auto"/>
          <w:highlight w:val="none"/>
          <w:lang w:eastAsia="zh-CN"/>
        </w:rPr>
        <w:t xml:space="preserve">（</w:t>
      </w:r>
      <w:r>
        <w:rPr>
          <w:rFonts w:hint="eastAsia"/>
          <w:b/>
          <w:bCs/>
          <w:color w:val="auto"/>
          <w:highlight w:val="none"/>
          <w:lang w:val="en-US" w:eastAsia="zh-CN"/>
        </w:rPr>
        <w:t xml:space="preserve">2</w:t>
      </w:r>
      <w:r>
        <w:rPr>
          <w:rFonts w:hint="eastAsia"/>
          <w:b/>
          <w:bCs/>
          <w:color w:val="auto"/>
          <w:highlight w:val="none"/>
          <w:lang w:eastAsia="zh-CN"/>
        </w:rPr>
        <w:t xml:space="preserve">）</w:t>
      </w:r>
      <w:r>
        <w:rPr>
          <w:rFonts w:hint="eastAsia"/>
          <w:b/>
          <w:bCs/>
          <w:color w:val="auto"/>
          <w:highlight w:val="none"/>
          <w:lang w:val="en-US" w:eastAsia="zh-CN"/>
        </w:rPr>
        <w:t xml:space="preserve">绿化用材料报价表</w:t>
      </w:r>
      <w:r/>
    </w:p>
    <w:tbl>
      <w:tblPr>
        <w:tblStyle w:val="816"/>
        <w:tblW w:w="88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60"/>
        <w:gridCol w:w="2190"/>
        <w:gridCol w:w="1575"/>
        <w:gridCol w:w="980"/>
        <w:gridCol w:w="885"/>
        <w:gridCol w:w="1080"/>
        <w:gridCol w:w="1335"/>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日本矮麦冬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大塘麦冬</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菜籽饼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乌龙珠复合肥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二月兰花籽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多年生黑麦草草种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狗牙根（脱壳）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沙培草皮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639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pStyle w:val="841"/>
        <w:rPr>
          <w:rFonts w:hint="default"/>
          <w:b/>
          <w:bCs/>
          <w:color w:val="auto"/>
          <w:highlight w:val="none"/>
          <w:lang w:val="en-US" w:eastAsia="zh-CN"/>
        </w:rPr>
      </w:pPr>
      <w:r>
        <w:rPr>
          <w:rFonts w:hint="default"/>
          <w:b/>
          <w:bCs/>
          <w:color w:val="auto"/>
          <w:highlight w:val="none"/>
          <w:lang w:val="en-US" w:eastAsia="zh-CN"/>
        </w:rPr>
      </w:r>
      <w:r/>
    </w:p>
    <w:tbl>
      <w:tblPr>
        <w:tblStyle w:val="816"/>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71"/>
      </w:tblGrid>
      <w:tr>
        <w:trPr>
          <w:trHeight w:val="500"/>
        </w:trPr>
        <w:tc>
          <w:tcPr>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pStyle w:val="822"/>
              <w:ind w:right="0"/>
              <w:keepLines w:val="0"/>
              <w:keepNext w:val="0"/>
              <w:spacing w:before="0" w:beforeAutospacing="0" w:afterAutospacing="0"/>
              <w:rPr>
                <w:rFonts w:hint="eastAsia"/>
                <w:color w:val="auto"/>
                <w:highlight w:val="none"/>
                <w:lang w:val="en-US" w:eastAsia="zh-CN"/>
              </w:rPr>
              <w:suppressLineNumbers w:val="0"/>
            </w:pPr>
            <w:r>
              <w:rPr>
                <w:rFonts w:hint="eastAsia"/>
                <w:color w:val="auto"/>
                <w:highlight w:val="none"/>
                <w:lang w:val="en-US" w:eastAsia="zh-CN"/>
              </w:rPr>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suppressLineNumbers w:val="0"/>
            </w:pPr>
            <w:r>
              <w:rPr>
                <w:rFonts w:hint="eastAsia" w:ascii="宋体" w:hAnsi="宋体" w:eastAsia="宋体" w:cs="宋体"/>
                <w:color w:val="auto"/>
                <w:sz w:val="21"/>
                <w:szCs w:val="21"/>
                <w:highlight w:val="none"/>
              </w:rPr>
              <w:t xml:space="preserve">投标人名称（加盖CA电子公章）</w:t>
            </w:r>
            <w:r>
              <w:rPr>
                <w:rFonts w:hint="eastAsia" w:ascii="宋体" w:hAnsi="宋体" w:eastAsia="宋体" w:cs="宋体"/>
                <w:color w:val="auto"/>
                <w:sz w:val="21"/>
                <w:szCs w:val="21"/>
                <w:highlight w:val="none"/>
                <w:lang w:val="zh-CN"/>
              </w:rPr>
              <w:t xml:space="preserve">：____________</w:t>
            </w:r>
            <w:r/>
          </w:p>
          <w:p>
            <w:pPr>
              <w:ind w:left="0" w:right="0"/>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日期：_____年______月______日  </w:t>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firstLine="420"/>
              <w:jc w:val="left"/>
              <w:keepLines w:val="0"/>
              <w:keepNext w:val="0"/>
              <w:pageBreakBefore w:val="0"/>
              <w:spacing w:before="0" w:beforeAutospacing="0" w:after="0" w:afterAutospacing="0"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pStyle w:val="841"/>
        <w:numPr>
          <w:ilvl w:val="0"/>
          <w:numId w:val="0"/>
        </w:numPr>
        <w:rPr>
          <w:rFonts w:hint="eastAsia"/>
          <w:b/>
          <w:bCs/>
          <w:color w:val="auto"/>
          <w:highlight w:val="none"/>
          <w:lang w:val="en-US" w:eastAsia="zh-CN"/>
        </w:rPr>
      </w:pPr>
      <w:r>
        <w:rPr>
          <w:rFonts w:hint="eastAsia"/>
          <w:b/>
          <w:bCs/>
          <w:color w:val="auto"/>
          <w:highlight w:val="none"/>
          <w:lang w:val="en-US" w:eastAsia="zh-CN"/>
        </w:rPr>
      </w:r>
      <w:r/>
    </w:p>
    <w:p>
      <w:pPr>
        <w:rPr>
          <w:rFonts w:hint="eastAsia" w:ascii="宋体" w:hAnsi="宋体" w:eastAsia="宋体" w:cs="宋体"/>
          <w:color w:val="auto"/>
          <w:sz w:val="21"/>
          <w:szCs w:val="21"/>
          <w:highlight w:val="none"/>
        </w:rPr>
      </w:pPr>
      <w:r/>
      <w:bookmarkStart w:id="93" w:name="_Toc10043"/>
      <w:r/>
      <w:bookmarkStart w:id="94" w:name="_Toc462564146"/>
      <w:r/>
      <w:r/>
    </w:p>
    <w:p>
      <w:pPr>
        <w:pStyle w:val="10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六、技术要求响应及偏离表</w:t>
      </w:r>
      <w:bookmarkEnd w:id="93"/>
      <w:r/>
      <w:r/>
    </w:p>
    <w:tbl>
      <w:tblPr>
        <w:tblStyle w:val="816"/>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3124"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5"/>
        <w:rPr>
          <w:rFonts w:hint="eastAsia" w:ascii="宋体" w:hAnsi="宋体" w:eastAsia="宋体" w:cs="宋体"/>
          <w:color w:val="auto"/>
          <w:sz w:val="21"/>
          <w:szCs w:val="21"/>
          <w:highlight w:val="none"/>
        </w:rPr>
      </w:pPr>
      <w:r/>
      <w:bookmarkStart w:id="95" w:name="_Hlt26955054"/>
      <w:r/>
      <w:bookmarkEnd w:id="95"/>
      <w:r/>
      <w:bookmarkStart w:id="96" w:name="_Toc16820"/>
      <w:r/>
      <w:bookmarkStart w:id="97" w:name="_Toc32154"/>
      <w:r>
        <w:rPr>
          <w:rFonts w:hint="eastAsia" w:ascii="宋体" w:hAnsi="宋体" w:eastAsia="宋体" w:cs="宋体"/>
          <w:color w:val="auto"/>
          <w:sz w:val="21"/>
          <w:szCs w:val="21"/>
          <w:highlight w:val="none"/>
        </w:rPr>
        <w:t xml:space="preserve">七、</w:t>
      </w:r>
      <w:bookmarkEnd w:id="96"/>
      <w:r/>
      <w:bookmarkEnd w:id="97"/>
      <w:r>
        <w:rPr>
          <w:rFonts w:hint="eastAsia" w:ascii="宋体" w:hAnsi="宋体" w:eastAsia="宋体" w:cs="宋体"/>
          <w:color w:val="auto"/>
          <w:sz w:val="21"/>
          <w:szCs w:val="21"/>
          <w:highlight w:val="none"/>
        </w:rPr>
        <w:t xml:space="preserve">商务要求响应及偏离表</w:t>
      </w:r>
      <w:r/>
    </w:p>
    <w:tbl>
      <w:tblPr>
        <w:tblStyle w:val="81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bookmarkStart w:id="98" w:name="_Hlt26671343"/>
            <w:r/>
            <w:bookmarkEnd w:id="98"/>
            <w:r/>
            <w:bookmarkStart w:id="99" w:name="_Hlt26609391"/>
            <w:r/>
            <w:bookmarkEnd w:id="99"/>
            <w:r/>
            <w:bookmarkStart w:id="100" w:name="_Hlt24879081"/>
            <w:r/>
            <w:bookmarkEnd w:id="100"/>
            <w:r/>
            <w:bookmarkStart w:id="101" w:name="_Hlt26782999"/>
            <w:r/>
            <w:bookmarkEnd w:id="101"/>
            <w:r/>
            <w:bookmarkStart w:id="102" w:name="_Hlt26955064"/>
            <w:r/>
            <w:bookmarkEnd w:id="102"/>
            <w:r/>
            <w:bookmarkStart w:id="103" w:name="_Hlt26580838"/>
            <w:r/>
            <w:bookmarkEnd w:id="103"/>
            <w:r/>
            <w:bookmarkStart w:id="104" w:name="_Hlt26955056"/>
            <w:r/>
            <w:bookmarkEnd w:id="104"/>
            <w:r/>
            <w:bookmarkStart w:id="105" w:name="_Hlt26671372"/>
            <w:r/>
            <w:bookmarkEnd w:id="105"/>
            <w:r>
              <w:rPr>
                <w:rFonts w:hint="eastAsia" w:ascii="宋体" w:hAnsi="宋体" w:cs="宋体"/>
                <w:color w:val="auto"/>
                <w:szCs w:val="21"/>
                <w:highlight w:val="none"/>
              </w:rPr>
              <w:t xml:space="preserve">序号</w:t>
            </w:r>
            <w:r/>
          </w:p>
        </w:tc>
        <w:tc>
          <w:tcPr>
            <w:tcW w:w="24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w:t>
      </w:r>
      <w:r>
        <w:rPr>
          <w:rFonts w:hint="eastAsia" w:ascii="宋体" w:hAnsi="宋体" w:cs="宋体"/>
          <w:color w:val="auto"/>
          <w:szCs w:val="21"/>
          <w:highlight w:val="none"/>
          <w:lang w:val="en-US" w:eastAsia="zh-CN"/>
        </w:rPr>
        <w:t xml:space="preserve">商务</w:t>
      </w:r>
      <w:r>
        <w:rPr>
          <w:rFonts w:hint="eastAsia" w:ascii="宋体" w:hAnsi="宋体" w:cs="宋体"/>
          <w:color w:val="auto"/>
          <w:szCs w:val="21"/>
          <w:highlight w:val="none"/>
        </w:rPr>
        <w:t xml:space="preserve">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35"/>
        <w:rPr>
          <w:rFonts w:hint="eastAsia" w:ascii="宋体" w:hAnsi="宋体" w:eastAsia="宋体" w:cs="宋体"/>
          <w:color w:val="auto"/>
          <w:sz w:val="21"/>
          <w:szCs w:val="21"/>
          <w:highlight w:val="none"/>
        </w:rPr>
      </w:pPr>
      <w:r/>
      <w:bookmarkStart w:id="106" w:name="_Hlt26955066"/>
      <w:r/>
      <w:bookmarkEnd w:id="106"/>
      <w:r/>
      <w:bookmarkStart w:id="107" w:name="_Hlt26671374"/>
      <w:r/>
      <w:bookmarkEnd w:id="107"/>
      <w:r/>
      <w:bookmarkStart w:id="108" w:name="_Hlt26609389"/>
      <w:r/>
      <w:bookmarkEnd w:id="108"/>
      <w:r>
        <w:rPr>
          <w:rFonts w:hint="eastAsia" w:ascii="宋体" w:hAnsi="宋体" w:eastAsia="宋体" w:cs="宋体"/>
          <w:color w:val="auto"/>
          <w:sz w:val="21"/>
          <w:szCs w:val="21"/>
          <w:highlight w:val="none"/>
        </w:rPr>
        <w:t xml:space="preserve">八、人员一览表</w:t>
      </w:r>
      <w:r/>
    </w:p>
    <w:tbl>
      <w:tblPr>
        <w:tblStyle w:val="81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1.如果招标文件要求提供证明材料，投标人需将证明材料列于该表之下。</w:t>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numPr>
          <w:ilvl w:val="0"/>
          <w:numId w:val="5"/>
        </w:num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pStyle w:val="1041"/>
        <w:numPr>
          <w:ilvl w:val="0"/>
          <w:numId w:val="0"/>
        </w:num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投标所需其他相关内容（包括资格要求、评分标准、项目需求中涉及的证件证明及其它投标人认为有必要提供的资料）</w:t>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94"/>
      <w:r/>
      <w:r/>
    </w:p>
    <w:p>
      <w:pPr>
        <w:pStyle w:val="1041"/>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rPr>
          <w:rFonts w:hint="eastAsia" w:ascii="宋体" w:hAnsi="宋体" w:eastAsia="宋体" w:cs="宋体"/>
          <w:b/>
          <w:color w:val="auto"/>
          <w:sz w:val="21"/>
          <w:szCs w:val="21"/>
          <w:highlight w:val="none"/>
        </w:rPr>
      </w:pPr>
      <w:r/>
      <w:bookmarkStart w:id="109" w:name="_格式2__法定代表人授权书"/>
      <w:r/>
      <w:bookmarkEnd w:id="109"/>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p>
    <w:tbl>
      <w:tblPr>
        <w:tblStyle w:val="816"/>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服务标准：</w:t>
            </w:r>
            <w:r/>
          </w:p>
        </w:tc>
      </w:tr>
    </w:tbl>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业绩表（格式仅供参考）</w:t>
      </w:r>
      <w:r/>
    </w:p>
    <w:p>
      <w:pPr>
        <w:pStyle w:val="841"/>
        <w:rPr>
          <w:rFonts w:hint="eastAsia"/>
          <w:color w:val="auto"/>
          <w:highlight w:val="none"/>
          <w:lang w:val="en-US" w:eastAsia="zh-CN"/>
        </w:rPr>
      </w:pPr>
      <w:r>
        <w:rPr>
          <w:rFonts w:hint="eastAsia"/>
          <w:color w:val="auto"/>
          <w:highlight w:val="none"/>
          <w:lang w:val="en-US" w:eastAsia="zh-CN"/>
        </w:rPr>
      </w:r>
      <w:r/>
    </w:p>
    <w:tbl>
      <w:tblPr>
        <w:tblStyle w:val="1105"/>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合同内容</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合同金额</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签订时间</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4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rPr>
        <w:rFonts w:hint="eastAsia" w:ascii="宋体" w:hAnsi="宋体" w:eastAsia="宋体" w:cs="宋体"/>
      </w:rPr>
    </w:pPr>
    <w:r>
      <w:rPr>
        <w:rFonts w:hint="eastAsia" w:ascii="宋体" w:hAnsi="宋体" w:cs="宋体"/>
        <w:lang w:eastAsia="zh-CN"/>
      </w:rPr>
      <w:t xml:space="preserve">JSZC-321092-SWGC-G2026-0095</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rPr>
        <w:rFonts w:hint="eastAsia" w:ascii="宋体" w:hAnsi="宋体" w:eastAsia="宋体" w:cs="宋体"/>
      </w:rPr>
    </w:pPr>
    <w:r>
      <w:rPr>
        <w:rFonts w:hint="eastAsia" w:ascii="宋体" w:hAnsi="宋体" w:cs="宋体"/>
        <w:lang w:eastAsia="zh-CN"/>
      </w:rPr>
      <w:t xml:space="preserve">JSZC-321092-SWGC-G2026-0095</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829"/>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both"/>
    </w:pPr>
    <w:r>
      <w:rPr>
        <w:rFonts w:hint="eastAsia"/>
        <w:lang w:eastAsia="zh-CN"/>
      </w:rPr>
      <w:t xml:space="preserve">JSZC-321092-SWGC-G2026-0095号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4"/>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link w:val="1094"/>
    <w:uiPriority w:val="0"/>
    <w:qFormat/>
    <w:pPr>
      <w:jc w:val="both"/>
      <w:widowControl w:val="off"/>
    </w:pPr>
    <w:rPr>
      <w:rFonts w:hint="default" w:ascii="Calibri" w:hAnsi="Calibri" w:eastAsia="宋体" w:cs="Times New Roman"/>
      <w:sz w:val="21"/>
      <w:szCs w:val="22"/>
      <w:lang w:val="en-US" w:eastAsia="zh-CN" w:bidi="ar-SA"/>
    </w:rPr>
  </w:style>
  <w:style w:type="paragraph" w:styleId="806">
    <w:name w:val="Heading 1"/>
    <w:basedOn w:val="805"/>
    <w:next w:val="805"/>
    <w:link w:val="886"/>
    <w:uiPriority w:val="9"/>
    <w:qFormat/>
    <w:pPr>
      <w:jc w:val="center"/>
      <w:keepLines/>
      <w:keepNext/>
      <w:spacing w:line="360" w:lineRule="auto"/>
      <w:outlineLvl w:val="0"/>
    </w:pPr>
    <w:rPr>
      <w:rFonts w:ascii="Arial" w:hAnsi="Arial" w:cs="Arial"/>
      <w:b/>
      <w:sz w:val="30"/>
      <w:szCs w:val="40"/>
    </w:rPr>
  </w:style>
  <w:style w:type="paragraph" w:styleId="807">
    <w:name w:val="Heading 2"/>
    <w:basedOn w:val="805"/>
    <w:next w:val="805"/>
    <w:link w:val="887"/>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17"/>
    <w:link w:val="888"/>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89"/>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90"/>
    <w:uiPriority w:val="9"/>
    <w:unhideWhenUsed/>
    <w:qFormat/>
    <w:pPr>
      <w:keepLines/>
      <w:keepNext/>
      <w:spacing w:before="320" w:after="200"/>
      <w:outlineLvl w:val="4"/>
    </w:pPr>
    <w:rPr>
      <w:rFonts w:ascii="Arial" w:hAnsi="Arial" w:eastAsia="Arial" w:cs="Arial"/>
      <w:b/>
      <w:bCs/>
      <w:sz w:val="24"/>
      <w:szCs w:val="24"/>
    </w:rPr>
  </w:style>
  <w:style w:type="paragraph" w:styleId="811">
    <w:name w:val="Heading 6"/>
    <w:basedOn w:val="805"/>
    <w:next w:val="805"/>
    <w:link w:val="891"/>
    <w:uiPriority w:val="9"/>
    <w:unhideWhenUsed/>
    <w:qFormat/>
    <w:pPr>
      <w:keepLines/>
      <w:keepNext/>
      <w:spacing w:before="320" w:after="200"/>
      <w:outlineLvl w:val="5"/>
    </w:pPr>
    <w:rPr>
      <w:rFonts w:ascii="Arial" w:hAnsi="Arial" w:eastAsia="Arial" w:cs="Arial"/>
      <w:b/>
      <w:bCs/>
      <w:sz w:val="22"/>
    </w:rPr>
  </w:style>
  <w:style w:type="paragraph" w:styleId="812">
    <w:name w:val="Heading 7"/>
    <w:basedOn w:val="805"/>
    <w:next w:val="805"/>
    <w:link w:val="892"/>
    <w:uiPriority w:val="9"/>
    <w:unhideWhenUsed/>
    <w:qFormat/>
    <w:pPr>
      <w:keepLines/>
      <w:keepNext/>
      <w:spacing w:before="320" w:after="200"/>
      <w:outlineLvl w:val="6"/>
    </w:pPr>
    <w:rPr>
      <w:rFonts w:ascii="Arial" w:hAnsi="Arial" w:eastAsia="Arial" w:cs="Arial"/>
      <w:b/>
      <w:bCs/>
      <w:i/>
      <w:iCs/>
      <w:sz w:val="22"/>
    </w:rPr>
  </w:style>
  <w:style w:type="paragraph" w:styleId="813">
    <w:name w:val="Heading 8"/>
    <w:basedOn w:val="805"/>
    <w:next w:val="805"/>
    <w:link w:val="893"/>
    <w:uiPriority w:val="9"/>
    <w:unhideWhenUsed/>
    <w:qFormat/>
    <w:pPr>
      <w:keepLines/>
      <w:keepNext/>
      <w:spacing w:before="320" w:after="200"/>
      <w:outlineLvl w:val="7"/>
    </w:pPr>
    <w:rPr>
      <w:rFonts w:ascii="Arial" w:hAnsi="Arial" w:eastAsia="Arial" w:cs="Arial"/>
      <w:i/>
      <w:iCs/>
      <w:sz w:val="22"/>
    </w:rPr>
  </w:style>
  <w:style w:type="paragraph" w:styleId="814">
    <w:name w:val="Heading 9"/>
    <w:basedOn w:val="805"/>
    <w:next w:val="805"/>
    <w:link w:val="894"/>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7">
    <w:name w:val="Normal Indent"/>
    <w:basedOn w:val="805"/>
    <w:uiPriority w:val="99"/>
    <w:qFormat/>
    <w:pPr>
      <w:ind w:firstLine="420"/>
    </w:pPr>
  </w:style>
  <w:style w:type="paragraph" w:styleId="818">
    <w:name w:val="toc 7"/>
    <w:basedOn w:val="805"/>
    <w:next w:val="805"/>
    <w:uiPriority w:val="39"/>
    <w:unhideWhenUsed/>
    <w:qFormat/>
    <w:pPr>
      <w:ind w:left="1701"/>
      <w:spacing w:after="57"/>
    </w:pPr>
  </w:style>
  <w:style w:type="paragraph" w:styleId="819">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0">
    <w:name w:val="annotation text"/>
    <w:basedOn w:val="805"/>
    <w:uiPriority w:val="99"/>
    <w:semiHidden/>
    <w:unhideWhenUsed/>
    <w:qFormat/>
    <w:pPr>
      <w:jc w:val="left"/>
    </w:pPr>
  </w:style>
  <w:style w:type="paragraph" w:styleId="821">
    <w:name w:val="Body Text"/>
    <w:basedOn w:val="805"/>
    <w:uiPriority w:val="0"/>
    <w:qFormat/>
    <w:pPr>
      <w:spacing w:after="120"/>
    </w:pPr>
    <w:rPr>
      <w:rFonts w:ascii="Times New Roman" w:hAnsi="Times New Roman"/>
    </w:rPr>
  </w:style>
  <w:style w:type="paragraph" w:styleId="822">
    <w:name w:val="Body Text Indent"/>
    <w:basedOn w:val="805"/>
    <w:next w:val="805"/>
    <w:uiPriority w:val="0"/>
    <w:qFormat/>
    <w:pPr>
      <w:ind w:left="420"/>
      <w:spacing w:after="120"/>
    </w:pPr>
    <w:rPr>
      <w:rFonts w:ascii="等线" w:hAnsi="等线" w:eastAsia="等线"/>
    </w:rPr>
  </w:style>
  <w:style w:type="paragraph" w:styleId="823">
    <w:name w:val="toc 5"/>
    <w:basedOn w:val="805"/>
    <w:next w:val="805"/>
    <w:uiPriority w:val="39"/>
    <w:unhideWhenUsed/>
    <w:qFormat/>
    <w:pPr>
      <w:ind w:left="1134"/>
      <w:spacing w:after="57"/>
    </w:pPr>
  </w:style>
  <w:style w:type="paragraph" w:styleId="824">
    <w:name w:val="toc 3"/>
    <w:basedOn w:val="805"/>
    <w:next w:val="805"/>
    <w:uiPriority w:val="39"/>
    <w:unhideWhenUsed/>
    <w:qFormat/>
    <w:pPr>
      <w:ind w:left="567"/>
      <w:spacing w:after="57"/>
    </w:pPr>
  </w:style>
  <w:style w:type="paragraph" w:styleId="825">
    <w:name w:val="Plain Text"/>
    <w:basedOn w:val="805"/>
    <w:uiPriority w:val="0"/>
    <w:qFormat/>
    <w:rPr>
      <w:rFonts w:ascii="宋体" w:hAnsi="Courier New"/>
      <w:sz w:val="20"/>
      <w:szCs w:val="21"/>
    </w:rPr>
  </w:style>
  <w:style w:type="paragraph" w:styleId="826">
    <w:name w:val="toc 8"/>
    <w:basedOn w:val="805"/>
    <w:next w:val="805"/>
    <w:uiPriority w:val="39"/>
    <w:unhideWhenUsed/>
    <w:qFormat/>
    <w:pPr>
      <w:ind w:left="1984"/>
      <w:spacing w:after="57"/>
    </w:pPr>
  </w:style>
  <w:style w:type="paragraph" w:styleId="827">
    <w:name w:val="endnote text"/>
    <w:basedOn w:val="805"/>
    <w:link w:val="1032"/>
    <w:uiPriority w:val="99"/>
    <w:semiHidden/>
    <w:unhideWhenUsed/>
    <w:qFormat/>
    <w:rPr>
      <w:sz w:val="20"/>
    </w:rPr>
  </w:style>
  <w:style w:type="paragraph" w:styleId="828">
    <w:name w:val="Footer"/>
    <w:basedOn w:val="805"/>
    <w:link w:val="905"/>
    <w:uiPriority w:val="99"/>
    <w:unhideWhenUsed/>
    <w:qFormat/>
    <w:pPr>
      <w:tabs>
        <w:tab w:val="center" w:pos="7143" w:leader="none"/>
        <w:tab w:val="right" w:pos="14287" w:leader="none"/>
      </w:tabs>
    </w:pPr>
  </w:style>
  <w:style w:type="paragraph" w:styleId="829">
    <w:name w:val="Header"/>
    <w:basedOn w:val="805"/>
    <w:link w:val="903"/>
    <w:uiPriority w:val="99"/>
    <w:unhideWhenUsed/>
    <w:qFormat/>
    <w:pPr>
      <w:tabs>
        <w:tab w:val="center" w:pos="7143" w:leader="none"/>
        <w:tab w:val="right" w:pos="14287" w:leader="none"/>
      </w:tabs>
    </w:pPr>
  </w:style>
  <w:style w:type="paragraph" w:styleId="830">
    <w:name w:val="toc 1"/>
    <w:basedOn w:val="805"/>
    <w:next w:val="805"/>
    <w:uiPriority w:val="39"/>
    <w:unhideWhenUsed/>
    <w:qFormat/>
    <w:pPr>
      <w:spacing w:after="57"/>
    </w:pPr>
  </w:style>
  <w:style w:type="paragraph" w:styleId="831">
    <w:name w:val="toc 4"/>
    <w:basedOn w:val="805"/>
    <w:next w:val="805"/>
    <w:uiPriority w:val="39"/>
    <w:unhideWhenUsed/>
    <w:qFormat/>
    <w:pPr>
      <w:ind w:left="850"/>
      <w:spacing w:after="57"/>
    </w:pPr>
  </w:style>
  <w:style w:type="paragraph" w:styleId="832">
    <w:name w:val="Subtitle"/>
    <w:basedOn w:val="805"/>
    <w:next w:val="805"/>
    <w:link w:val="898"/>
    <w:uiPriority w:val="11"/>
    <w:qFormat/>
    <w:pPr>
      <w:spacing w:before="200" w:after="200"/>
    </w:pPr>
    <w:rPr>
      <w:sz w:val="24"/>
      <w:szCs w:val="24"/>
    </w:rPr>
  </w:style>
  <w:style w:type="paragraph" w:styleId="833">
    <w:name w:val="footnote text"/>
    <w:basedOn w:val="805"/>
    <w:link w:val="1031"/>
    <w:uiPriority w:val="99"/>
    <w:semiHidden/>
    <w:unhideWhenUsed/>
    <w:qFormat/>
    <w:pPr>
      <w:spacing w:after="40"/>
    </w:pPr>
    <w:rPr>
      <w:sz w:val="18"/>
    </w:rPr>
  </w:style>
  <w:style w:type="paragraph" w:styleId="834">
    <w:name w:val="toc 6"/>
    <w:basedOn w:val="805"/>
    <w:next w:val="805"/>
    <w:uiPriority w:val="39"/>
    <w:unhideWhenUsed/>
    <w:qFormat/>
    <w:pPr>
      <w:ind w:left="1417"/>
      <w:spacing w:after="57"/>
    </w:pPr>
  </w:style>
  <w:style w:type="paragraph" w:styleId="835">
    <w:name w:val="table of figures"/>
    <w:basedOn w:val="805"/>
    <w:next w:val="805"/>
    <w:uiPriority w:val="99"/>
    <w:unhideWhenUsed/>
    <w:qFormat/>
  </w:style>
  <w:style w:type="paragraph" w:styleId="836">
    <w:name w:val="toc 2"/>
    <w:basedOn w:val="805"/>
    <w:next w:val="805"/>
    <w:uiPriority w:val="39"/>
    <w:unhideWhenUsed/>
    <w:qFormat/>
    <w:pPr>
      <w:ind w:left="283"/>
      <w:spacing w:after="57"/>
    </w:pPr>
  </w:style>
  <w:style w:type="paragraph" w:styleId="837">
    <w:name w:val="toc 9"/>
    <w:basedOn w:val="805"/>
    <w:next w:val="805"/>
    <w:uiPriority w:val="39"/>
    <w:unhideWhenUsed/>
    <w:qFormat/>
    <w:pPr>
      <w:ind w:left="2268"/>
      <w:spacing w:after="57"/>
    </w:pPr>
  </w:style>
  <w:style w:type="paragraph" w:styleId="838">
    <w:name w:val="Body Text 2"/>
    <w:basedOn w:val="805"/>
    <w:uiPriority w:val="0"/>
    <w:qFormat/>
    <w:pPr>
      <w:spacing w:after="120" w:line="480" w:lineRule="auto"/>
    </w:pPr>
  </w:style>
  <w:style w:type="paragraph" w:styleId="839">
    <w:name w:val="Normal (Web)"/>
    <w:basedOn w:val="805"/>
    <w:uiPriority w:val="99"/>
    <w:semiHidden/>
    <w:unhideWhenUsed/>
    <w:qFormat/>
    <w:pPr>
      <w:jc w:val="left"/>
      <w:spacing w:beforeAutospacing="1" w:afterAutospacing="1"/>
    </w:pPr>
    <w:rPr>
      <w:sz w:val="24"/>
    </w:rPr>
  </w:style>
  <w:style w:type="paragraph" w:styleId="840">
    <w:name w:val="Title"/>
    <w:basedOn w:val="805"/>
    <w:next w:val="805"/>
    <w:link w:val="897"/>
    <w:uiPriority w:val="10"/>
    <w:qFormat/>
    <w:pPr>
      <w:contextualSpacing/>
      <w:spacing w:before="300" w:after="200"/>
    </w:pPr>
    <w:rPr>
      <w:sz w:val="48"/>
      <w:szCs w:val="48"/>
    </w:rPr>
  </w:style>
  <w:style w:type="paragraph" w:styleId="841">
    <w:name w:val="Body Text First Indent"/>
    <w:basedOn w:val="821"/>
    <w:uiPriority w:val="0"/>
    <w:unhideWhenUsed/>
    <w:qFormat/>
    <w:pPr>
      <w:ind w:firstLine="420"/>
    </w:pPr>
    <w:rPr>
      <w:szCs w:val="21"/>
    </w:rPr>
  </w:style>
  <w:style w:type="table" w:styleId="8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3">
    <w:name w:val="endnote reference"/>
    <w:uiPriority w:val="99"/>
    <w:semiHidden/>
    <w:unhideWhenUsed/>
    <w:qFormat/>
    <w:rPr>
      <w:vertAlign w:val="superscript"/>
    </w:rPr>
  </w:style>
  <w:style w:type="character" w:styleId="844">
    <w:name w:val="Emphasis"/>
    <w:uiPriority w:val="0"/>
    <w:qFormat/>
    <w:rPr>
      <w:i/>
    </w:rPr>
  </w:style>
  <w:style w:type="character" w:styleId="845">
    <w:name w:val="Hyperlink"/>
    <w:uiPriority w:val="99"/>
    <w:unhideWhenUsed/>
    <w:qFormat/>
    <w:rPr>
      <w:color w:val="0000ff" w:themeColor="hyperlink"/>
      <w:u w:val="single"/>
      <w14:textFill>
        <w14:solidFill>
          <w14:schemeClr w14:val="hlink"/>
        </w14:solidFill>
      </w14:textFill>
    </w:rPr>
  </w:style>
  <w:style w:type="character" w:styleId="846">
    <w:name w:val="annotation reference"/>
    <w:basedOn w:val="815"/>
    <w:uiPriority w:val="0"/>
    <w:qFormat/>
    <w:rPr>
      <w:sz w:val="21"/>
      <w:szCs w:val="21"/>
    </w:rPr>
  </w:style>
  <w:style w:type="character" w:styleId="847">
    <w:name w:val="footnote reference"/>
    <w:uiPriority w:val="99"/>
    <w:unhideWhenUsed/>
    <w:qFormat/>
    <w:rPr>
      <w:vertAlign w:val="superscript"/>
    </w:rPr>
  </w:style>
  <w:style w:type="character" w:styleId="848" w:customStyle="1">
    <w:name w:val="Heading 1 Char"/>
    <w:basedOn w:val="815"/>
    <w:uiPriority w:val="9"/>
    <w:qFormat/>
    <w:rPr>
      <w:rFonts w:ascii="Arial" w:hAnsi="Arial" w:eastAsia="Arial" w:cs="Arial"/>
      <w:sz w:val="40"/>
      <w:szCs w:val="40"/>
    </w:rPr>
  </w:style>
  <w:style w:type="character" w:styleId="849" w:customStyle="1">
    <w:name w:val="Heading 2 Char"/>
    <w:basedOn w:val="815"/>
    <w:uiPriority w:val="9"/>
    <w:qFormat/>
    <w:rPr>
      <w:rFonts w:ascii="Arial" w:hAnsi="Arial" w:eastAsia="Arial" w:cs="Arial"/>
      <w:sz w:val="34"/>
    </w:rPr>
  </w:style>
  <w:style w:type="character" w:styleId="850" w:customStyle="1">
    <w:name w:val="Heading 3 Char"/>
    <w:basedOn w:val="815"/>
    <w:uiPriority w:val="9"/>
    <w:qFormat/>
    <w:rPr>
      <w:rFonts w:ascii="Arial" w:hAnsi="Arial" w:eastAsia="Arial" w:cs="Arial"/>
      <w:sz w:val="30"/>
      <w:szCs w:val="30"/>
    </w:rPr>
  </w:style>
  <w:style w:type="character" w:styleId="851" w:customStyle="1">
    <w:name w:val="Heading 4 Char"/>
    <w:basedOn w:val="815"/>
    <w:uiPriority w:val="9"/>
    <w:qFormat/>
    <w:rPr>
      <w:rFonts w:ascii="Arial" w:hAnsi="Arial" w:eastAsia="Arial" w:cs="Arial"/>
      <w:b/>
      <w:bCs/>
      <w:sz w:val="26"/>
      <w:szCs w:val="26"/>
    </w:rPr>
  </w:style>
  <w:style w:type="character" w:styleId="852" w:customStyle="1">
    <w:name w:val="Heading 5 Char"/>
    <w:basedOn w:val="815"/>
    <w:uiPriority w:val="9"/>
    <w:qFormat/>
    <w:rPr>
      <w:rFonts w:ascii="Arial" w:hAnsi="Arial" w:eastAsia="Arial" w:cs="Arial"/>
      <w:b/>
      <w:bCs/>
      <w:sz w:val="24"/>
      <w:szCs w:val="24"/>
    </w:rPr>
  </w:style>
  <w:style w:type="character" w:styleId="853" w:customStyle="1">
    <w:name w:val="Heading 6 Char"/>
    <w:basedOn w:val="815"/>
    <w:uiPriority w:val="9"/>
    <w:qFormat/>
    <w:rPr>
      <w:rFonts w:ascii="Arial" w:hAnsi="Arial" w:eastAsia="Arial" w:cs="Arial"/>
      <w:b/>
      <w:bCs/>
      <w:sz w:val="22"/>
      <w:szCs w:val="22"/>
    </w:rPr>
  </w:style>
  <w:style w:type="character" w:styleId="854" w:customStyle="1">
    <w:name w:val="Heading 7 Char"/>
    <w:basedOn w:val="815"/>
    <w:uiPriority w:val="9"/>
    <w:qFormat/>
    <w:rPr>
      <w:rFonts w:ascii="Arial" w:hAnsi="Arial" w:eastAsia="Arial" w:cs="Arial"/>
      <w:b/>
      <w:bCs/>
      <w:i/>
      <w:iCs/>
      <w:sz w:val="22"/>
      <w:szCs w:val="22"/>
    </w:rPr>
  </w:style>
  <w:style w:type="character" w:styleId="855" w:customStyle="1">
    <w:name w:val="Heading 8 Char"/>
    <w:basedOn w:val="815"/>
    <w:uiPriority w:val="9"/>
    <w:qFormat/>
    <w:rPr>
      <w:rFonts w:ascii="Arial" w:hAnsi="Arial" w:eastAsia="Arial" w:cs="Arial"/>
      <w:i/>
      <w:iCs/>
      <w:sz w:val="22"/>
      <w:szCs w:val="22"/>
    </w:rPr>
  </w:style>
  <w:style w:type="character" w:styleId="856" w:customStyle="1">
    <w:name w:val="Heading 9 Char"/>
    <w:basedOn w:val="815"/>
    <w:uiPriority w:val="9"/>
    <w:qFormat/>
    <w:rPr>
      <w:rFonts w:ascii="Arial" w:hAnsi="Arial" w:eastAsia="Arial" w:cs="Arial"/>
      <w:i/>
      <w:iCs/>
      <w:sz w:val="21"/>
      <w:szCs w:val="21"/>
    </w:rPr>
  </w:style>
  <w:style w:type="character" w:styleId="857" w:customStyle="1">
    <w:name w:val="Title Char"/>
    <w:basedOn w:val="815"/>
    <w:uiPriority w:val="10"/>
    <w:qFormat/>
    <w:rPr>
      <w:sz w:val="48"/>
      <w:szCs w:val="48"/>
    </w:rPr>
  </w:style>
  <w:style w:type="character" w:styleId="858" w:customStyle="1">
    <w:name w:val="Subtitle Char"/>
    <w:basedOn w:val="815"/>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character" w:styleId="861" w:customStyle="1">
    <w:name w:val="Header Char"/>
    <w:basedOn w:val="815"/>
    <w:uiPriority w:val="99"/>
    <w:qFormat/>
  </w:style>
  <w:style w:type="character" w:styleId="862" w:customStyle="1">
    <w:name w:val="Caption Char"/>
    <w:uiPriority w:val="99"/>
    <w:qFormat/>
  </w:style>
  <w:style w:type="table" w:styleId="863" w:customStyle="1">
    <w:name w:val="Plain Table 1"/>
    <w:basedOn w:val="81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2"/>
    <w:basedOn w:val="81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3"/>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Plain Table 4"/>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Plain Table 5"/>
    <w:basedOn w:val="81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Grid Table 1 Light"/>
    <w:basedOn w:val="81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3"/>
    <w:basedOn w:val="81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basedOn w:val="81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5 Dark"/>
    <w:basedOn w:val="81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6 Colorful"/>
    <w:basedOn w:val="81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7 Colorful"/>
    <w:basedOn w:val="81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1 Light"/>
    <w:basedOn w:val="81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2"/>
    <w:basedOn w:val="81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3"/>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w:basedOn w:val="81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5 Dark"/>
    <w:basedOn w:val="81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81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7 Colorful"/>
    <w:basedOn w:val="81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2" w:customStyle="1">
    <w:name w:val="Footnote Text Char"/>
    <w:uiPriority w:val="99"/>
    <w:qFormat/>
    <w:rPr>
      <w:sz w:val="18"/>
    </w:rPr>
  </w:style>
  <w:style w:type="character" w:styleId="883" w:customStyle="1">
    <w:name w:val="Endnote Text Char"/>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Default"/>
    <w:next w:val="805"/>
    <w:uiPriority w:val="0"/>
    <w:qFormat/>
    <w:pPr>
      <w:widowControl w:val="off"/>
    </w:pPr>
    <w:rPr>
      <w:rFonts w:hint="default" w:ascii="黑体" w:hAnsi="Times New Roman" w:eastAsia="黑体" w:cs="Times New Roman"/>
      <w:lang w:val="en-US" w:eastAsia="zh-CN" w:bidi="ar-SA"/>
    </w:rPr>
  </w:style>
  <w:style w:type="character" w:styleId="886" w:customStyle="1">
    <w:name w:val="标题 1 字符"/>
    <w:link w:val="806"/>
    <w:uiPriority w:val="9"/>
    <w:qFormat/>
    <w:rPr>
      <w:rFonts w:ascii="Arial" w:hAnsi="Arial" w:eastAsia="宋体" w:cs="Arial"/>
      <w:b/>
      <w:sz w:val="30"/>
      <w:szCs w:val="40"/>
    </w:rPr>
  </w:style>
  <w:style w:type="character" w:styleId="887" w:customStyle="1">
    <w:name w:val="标题 2 字符"/>
    <w:link w:val="807"/>
    <w:uiPriority w:val="9"/>
    <w:qFormat/>
    <w:rPr>
      <w:rFonts w:ascii="Arial" w:hAnsi="Arial" w:eastAsia="Arial" w:cs="Arial"/>
      <w:sz w:val="34"/>
    </w:rPr>
  </w:style>
  <w:style w:type="character" w:styleId="888" w:customStyle="1">
    <w:name w:val="标题 3 字符"/>
    <w:link w:val="808"/>
    <w:uiPriority w:val="9"/>
    <w:qFormat/>
    <w:rPr>
      <w:rFonts w:ascii="Arial" w:hAnsi="Arial" w:eastAsia="Arial" w:cs="Arial"/>
      <w:sz w:val="30"/>
      <w:szCs w:val="30"/>
    </w:rPr>
  </w:style>
  <w:style w:type="character" w:styleId="889" w:customStyle="1">
    <w:name w:val="标题 4 字符"/>
    <w:link w:val="809"/>
    <w:uiPriority w:val="9"/>
    <w:qFormat/>
    <w:rPr>
      <w:rFonts w:ascii="Arial" w:hAnsi="Arial" w:eastAsia="Arial" w:cs="Arial"/>
      <w:b/>
      <w:bCs/>
      <w:sz w:val="26"/>
      <w:szCs w:val="26"/>
    </w:rPr>
  </w:style>
  <w:style w:type="character" w:styleId="890" w:customStyle="1">
    <w:name w:val="标题 5 字符"/>
    <w:link w:val="810"/>
    <w:uiPriority w:val="9"/>
    <w:qFormat/>
    <w:rPr>
      <w:rFonts w:ascii="Arial" w:hAnsi="Arial" w:eastAsia="Arial" w:cs="Arial"/>
      <w:b/>
      <w:bCs/>
      <w:sz w:val="24"/>
      <w:szCs w:val="24"/>
    </w:rPr>
  </w:style>
  <w:style w:type="character" w:styleId="891" w:customStyle="1">
    <w:name w:val="标题 6 字符"/>
    <w:link w:val="811"/>
    <w:uiPriority w:val="9"/>
    <w:qFormat/>
    <w:rPr>
      <w:rFonts w:ascii="Arial" w:hAnsi="Arial" w:eastAsia="Arial" w:cs="Arial"/>
      <w:b/>
      <w:bCs/>
      <w:sz w:val="22"/>
      <w:szCs w:val="22"/>
    </w:rPr>
  </w:style>
  <w:style w:type="character" w:styleId="892" w:customStyle="1">
    <w:name w:val="标题 7 字符"/>
    <w:link w:val="812"/>
    <w:uiPriority w:val="9"/>
    <w:qFormat/>
    <w:rPr>
      <w:rFonts w:ascii="Arial" w:hAnsi="Arial" w:eastAsia="Arial" w:cs="Arial"/>
      <w:b/>
      <w:bCs/>
      <w:i/>
      <w:iCs/>
      <w:sz w:val="22"/>
      <w:szCs w:val="22"/>
    </w:rPr>
  </w:style>
  <w:style w:type="character" w:styleId="893" w:customStyle="1">
    <w:name w:val="标题 8 字符"/>
    <w:link w:val="813"/>
    <w:uiPriority w:val="9"/>
    <w:qFormat/>
    <w:rPr>
      <w:rFonts w:ascii="Arial" w:hAnsi="Arial" w:eastAsia="Arial" w:cs="Arial"/>
      <w:i/>
      <w:iCs/>
      <w:sz w:val="22"/>
      <w:szCs w:val="22"/>
    </w:rPr>
  </w:style>
  <w:style w:type="character" w:styleId="894" w:customStyle="1">
    <w:name w:val="标题 9 字符"/>
    <w:link w:val="814"/>
    <w:uiPriority w:val="9"/>
    <w:qFormat/>
    <w:rPr>
      <w:rFonts w:ascii="Arial" w:hAnsi="Arial" w:eastAsia="Arial" w:cs="Arial"/>
      <w:i/>
      <w:iCs/>
      <w:sz w:val="21"/>
      <w:szCs w:val="21"/>
    </w:rPr>
  </w:style>
  <w:style w:type="paragraph" w:styleId="895">
    <w:name w:val="List Paragraph"/>
    <w:basedOn w:val="805"/>
    <w:uiPriority w:val="34"/>
    <w:qFormat/>
    <w:pPr>
      <w:contextualSpacing/>
      <w:ind w:left="720"/>
    </w:pPr>
  </w:style>
  <w:style w:type="paragraph" w:styleId="896">
    <w:name w:val="No Spacing"/>
    <w:uiPriority w:val="1"/>
    <w:qFormat/>
    <w:rPr>
      <w:rFonts w:hint="default" w:ascii="Times New Roman" w:hAnsi="Times New Roman" w:eastAsia="宋体" w:cs="Times New Roman"/>
      <w:lang w:val="en-US" w:eastAsia="zh-CN" w:bidi="ar-SA"/>
    </w:rPr>
  </w:style>
  <w:style w:type="character" w:styleId="897" w:customStyle="1">
    <w:name w:val="标题 字符"/>
    <w:link w:val="840"/>
    <w:uiPriority w:val="10"/>
    <w:qFormat/>
    <w:rPr>
      <w:sz w:val="48"/>
      <w:szCs w:val="48"/>
    </w:rPr>
  </w:style>
  <w:style w:type="character" w:styleId="898" w:customStyle="1">
    <w:name w:val="副标题 字符"/>
    <w:link w:val="832"/>
    <w:uiPriority w:val="11"/>
    <w:qFormat/>
    <w:rPr>
      <w:sz w:val="24"/>
      <w:szCs w:val="24"/>
    </w:rPr>
  </w:style>
  <w:style w:type="paragraph" w:styleId="899">
    <w:name w:val="Quote"/>
    <w:basedOn w:val="805"/>
    <w:next w:val="805"/>
    <w:link w:val="900"/>
    <w:uiPriority w:val="29"/>
    <w:qFormat/>
    <w:pPr>
      <w:ind w:left="720" w:right="720"/>
    </w:pPr>
    <w:rPr>
      <w:i/>
    </w:rPr>
  </w:style>
  <w:style w:type="character" w:styleId="900" w:customStyle="1">
    <w:name w:val="引用 字符"/>
    <w:link w:val="899"/>
    <w:uiPriority w:val="29"/>
    <w:qFormat/>
    <w:rPr>
      <w:i/>
    </w:rPr>
  </w:style>
  <w:style w:type="paragraph" w:styleId="901">
    <w:name w:val="Intense Quote"/>
    <w:basedOn w:val="805"/>
    <w:next w:val="805"/>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character" w:styleId="903" w:customStyle="1">
    <w:name w:val="页眉 字符"/>
    <w:link w:val="829"/>
    <w:uiPriority w:val="99"/>
    <w:qFormat/>
  </w:style>
  <w:style w:type="character" w:styleId="904" w:customStyle="1">
    <w:name w:val="Footer Char"/>
    <w:uiPriority w:val="99"/>
    <w:qFormat/>
  </w:style>
  <w:style w:type="character" w:styleId="905" w:customStyle="1">
    <w:name w:val="页脚 字符"/>
    <w:link w:val="828"/>
    <w:uiPriority w:val="99"/>
    <w:qFormat/>
  </w:style>
  <w:style w:type="table" w:styleId="90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1" w:customStyle="1">
    <w:name w:val="脚注文本 字符"/>
    <w:link w:val="833"/>
    <w:uiPriority w:val="99"/>
    <w:qFormat/>
    <w:rPr>
      <w:sz w:val="18"/>
    </w:rPr>
  </w:style>
  <w:style w:type="character" w:styleId="1032" w:customStyle="1">
    <w:name w:val="尾注文本 字符"/>
    <w:link w:val="827"/>
    <w:uiPriority w:val="99"/>
    <w:qFormat/>
    <w:rPr>
      <w:sz w:val="20"/>
    </w:rPr>
  </w:style>
  <w:style w:type="paragraph" w:styleId="1033" w:customStyle="1">
    <w:name w:val="TOC 标题1"/>
    <w:uiPriority w:val="39"/>
    <w:unhideWhenUsed/>
    <w:qFormat/>
    <w:rPr>
      <w:rFonts w:hint="default" w:ascii="Times New Roman" w:hAnsi="Times New Roman" w:eastAsia="宋体" w:cs="Times New Roman"/>
      <w:lang w:val="en-US" w:eastAsia="zh-CN" w:bidi="ar-SA"/>
    </w:rPr>
  </w:style>
  <w:style w:type="paragraph" w:styleId="1034" w:customStyle="1">
    <w:name w:val="标题 11"/>
    <w:basedOn w:val="805"/>
    <w:next w:val="805"/>
    <w:uiPriority w:val="9"/>
    <w:qFormat/>
    <w:pPr>
      <w:keepLines/>
      <w:keepNext/>
      <w:spacing w:before="340" w:after="330" w:line="578" w:lineRule="auto"/>
      <w:outlineLvl w:val="0"/>
    </w:pPr>
    <w:rPr>
      <w:b/>
      <w:bCs/>
      <w:sz w:val="44"/>
      <w:szCs w:val="44"/>
    </w:rPr>
  </w:style>
  <w:style w:type="paragraph" w:styleId="1035" w:customStyle="1">
    <w:name w:val="标题 21"/>
    <w:basedOn w:val="805"/>
    <w:next w:val="80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6" w:customStyle="1">
    <w:name w:val="标题 31"/>
    <w:basedOn w:val="805"/>
    <w:next w:val="805"/>
    <w:uiPriority w:val="0"/>
    <w:qFormat/>
    <w:pPr>
      <w:keepLines/>
      <w:keepNext/>
      <w:spacing w:before="260" w:after="260" w:line="416" w:lineRule="auto"/>
      <w:outlineLvl w:val="2"/>
    </w:pPr>
    <w:rPr>
      <w:b/>
      <w:bCs/>
      <w:sz w:val="32"/>
      <w:szCs w:val="32"/>
    </w:rPr>
  </w:style>
  <w:style w:type="character" w:styleId="1037" w:customStyle="1">
    <w:name w:val="默认段落字体1"/>
    <w:uiPriority w:val="1"/>
    <w:unhideWhenUsed/>
    <w:qFormat/>
  </w:style>
  <w:style w:type="table" w:styleId="1038" w:customStyle="1">
    <w:name w:val="普通表格1"/>
    <w:uiPriority w:val="99"/>
    <w:unhideWhenUsed/>
    <w:qFormat/>
    <w:tblPr>
      <w:tblCellMar>
        <w:left w:w="0" w:type="dxa"/>
        <w:top w:w="0" w:type="dxa"/>
        <w:right w:w="0" w:type="dxa"/>
        <w:bottom w:w="0" w:type="dxa"/>
      </w:tblCellMar>
    </w:tblPr>
  </w:style>
  <w:style w:type="paragraph" w:styleId="1039" w:customStyle="1">
    <w:name w:val="正文文本缩进1"/>
    <w:basedOn w:val="805"/>
    <w:next w:val="1040"/>
    <w:uiPriority w:val="0"/>
    <w:qFormat/>
    <w:pPr>
      <w:ind w:left="420"/>
      <w:spacing w:after="120"/>
    </w:pPr>
    <w:rPr>
      <w:rFonts w:ascii="等线" w:hAnsi="等线" w:eastAsia="等线"/>
    </w:rPr>
  </w:style>
  <w:style w:type="paragraph" w:styleId="1040" w:customStyle="1">
    <w:name w:val="寄信人地址1"/>
    <w:basedOn w:val="805"/>
    <w:uiPriority w:val="99"/>
    <w:unhideWhenUsed/>
    <w:qFormat/>
    <w:rPr>
      <w:rFonts w:ascii="Arial" w:hAnsi="Arial"/>
    </w:rPr>
  </w:style>
  <w:style w:type="paragraph" w:styleId="1041" w:customStyle="1">
    <w:name w:val="正文缩进1"/>
    <w:basedOn w:val="805"/>
    <w:uiPriority w:val="0"/>
    <w:unhideWhenUsed/>
    <w:qFormat/>
    <w:pPr>
      <w:ind w:firstLine="420"/>
    </w:pPr>
  </w:style>
  <w:style w:type="paragraph" w:styleId="1042" w:customStyle="1">
    <w:name w:val="批注文字1"/>
    <w:basedOn w:val="805"/>
    <w:link w:val="1043"/>
    <w:uiPriority w:val="0"/>
    <w:qFormat/>
    <w:pPr>
      <w:jc w:val="left"/>
    </w:pPr>
  </w:style>
  <w:style w:type="character" w:styleId="1043" w:customStyle="1">
    <w:name w:val="批注文字 Char"/>
    <w:link w:val="1042"/>
    <w:uiPriority w:val="0"/>
    <w:qFormat/>
    <w:rPr>
      <w:rFonts w:ascii="Calibri" w:hAnsi="Calibri"/>
      <w:sz w:val="21"/>
      <w:szCs w:val="22"/>
    </w:rPr>
  </w:style>
  <w:style w:type="paragraph" w:styleId="1044" w:customStyle="1">
    <w:name w:val="正文文本11"/>
    <w:basedOn w:val="805"/>
    <w:next w:val="1045"/>
    <w:uiPriority w:val="0"/>
    <w:qFormat/>
    <w:rPr>
      <w:rFonts w:ascii="楷体_GB2312" w:hAnsi="Arial" w:eastAsia="楷体_GB2312"/>
      <w:sz w:val="28"/>
      <w:szCs w:val="28"/>
    </w:rPr>
  </w:style>
  <w:style w:type="paragraph" w:styleId="1045" w:customStyle="1">
    <w:name w:val="标题1"/>
    <w:basedOn w:val="805"/>
    <w:next w:val="805"/>
    <w:uiPriority w:val="0"/>
    <w:qFormat/>
    <w:pPr>
      <w:jc w:val="center"/>
      <w:spacing w:before="240" w:after="60" w:line="360" w:lineRule="auto"/>
      <w:outlineLvl w:val="0"/>
    </w:pPr>
    <w:rPr>
      <w:rFonts w:ascii="宋体" w:hAnsi="宋体"/>
      <w:b/>
      <w:bCs/>
      <w:sz w:val="32"/>
      <w:szCs w:val="32"/>
    </w:rPr>
  </w:style>
  <w:style w:type="paragraph" w:styleId="1046" w:customStyle="1">
    <w:name w:val="纯文本1"/>
    <w:basedOn w:val="805"/>
    <w:uiPriority w:val="99"/>
    <w:qFormat/>
    <w:rPr>
      <w:rFonts w:ascii="宋体" w:hAnsi="Courier New"/>
      <w:sz w:val="20"/>
      <w:szCs w:val="21"/>
    </w:rPr>
  </w:style>
  <w:style w:type="paragraph" w:styleId="1047" w:customStyle="1">
    <w:name w:val="正文文本缩进 21"/>
    <w:basedOn w:val="805"/>
    <w:uiPriority w:val="0"/>
    <w:qFormat/>
    <w:pPr>
      <w:ind w:left="640"/>
      <w:spacing w:after="120" w:line="480" w:lineRule="auto"/>
    </w:pPr>
    <w:rPr>
      <w:rFonts w:eastAsia="仿宋_GB2312"/>
      <w:sz w:val="32"/>
      <w:szCs w:val="28"/>
    </w:rPr>
  </w:style>
  <w:style w:type="paragraph" w:styleId="1048" w:customStyle="1">
    <w:name w:val="批注框文本1"/>
    <w:basedOn w:val="805"/>
    <w:link w:val="1049"/>
    <w:uiPriority w:val="0"/>
    <w:qFormat/>
    <w:rPr>
      <w:sz w:val="18"/>
      <w:szCs w:val="18"/>
    </w:rPr>
  </w:style>
  <w:style w:type="character" w:styleId="1049" w:customStyle="1">
    <w:name w:val="批注框文本 Char"/>
    <w:link w:val="1048"/>
    <w:uiPriority w:val="0"/>
    <w:qFormat/>
    <w:rPr>
      <w:sz w:val="18"/>
      <w:szCs w:val="18"/>
    </w:rPr>
  </w:style>
  <w:style w:type="paragraph" w:styleId="1050" w:customStyle="1">
    <w:name w:val="页脚1"/>
    <w:basedOn w:val="805"/>
    <w:uiPriority w:val="99"/>
    <w:unhideWhenUsed/>
    <w:qFormat/>
    <w:pPr>
      <w:jc w:val="left"/>
      <w:tabs>
        <w:tab w:val="center" w:pos="4153" w:leader="none"/>
        <w:tab w:val="right" w:pos="8306" w:leader="none"/>
      </w:tabs>
    </w:pPr>
    <w:rPr>
      <w:sz w:val="18"/>
      <w:szCs w:val="18"/>
    </w:rPr>
  </w:style>
  <w:style w:type="paragraph" w:styleId="1051" w:customStyle="1">
    <w:name w:val="页眉1"/>
    <w:basedOn w:val="8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2" w:customStyle="1">
    <w:name w:val="目录 11"/>
    <w:basedOn w:val="805"/>
    <w:next w:val="805"/>
    <w:uiPriority w:val="39"/>
    <w:unhideWhenUsed/>
    <w:qFormat/>
  </w:style>
  <w:style w:type="paragraph" w:styleId="1053" w:customStyle="1">
    <w:name w:val="目录 21"/>
    <w:basedOn w:val="805"/>
    <w:next w:val="805"/>
    <w:uiPriority w:val="0"/>
    <w:qFormat/>
    <w:pPr>
      <w:ind w:left="420"/>
    </w:pPr>
  </w:style>
  <w:style w:type="paragraph" w:styleId="1054" w:customStyle="1">
    <w:name w:val="正文文本 21"/>
    <w:basedOn w:val="805"/>
    <w:uiPriority w:val="0"/>
    <w:qFormat/>
    <w:pPr>
      <w:spacing w:after="120" w:line="480" w:lineRule="auto"/>
    </w:pPr>
  </w:style>
  <w:style w:type="paragraph" w:styleId="1055" w:customStyle="1">
    <w:name w:val="信息标题1"/>
    <w:basedOn w:val="805"/>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56" w:customStyle="1">
    <w:name w:val="普通(网站)1"/>
    <w:basedOn w:val="805"/>
    <w:uiPriority w:val="0"/>
    <w:qFormat/>
    <w:rPr>
      <w:rFonts w:ascii="Times New Roman" w:hAnsi="Times New Roman"/>
      <w:sz w:val="24"/>
    </w:rPr>
  </w:style>
  <w:style w:type="paragraph" w:styleId="1057" w:customStyle="1">
    <w:name w:val="批注主题1"/>
    <w:basedOn w:val="1042"/>
    <w:next w:val="1042"/>
    <w:link w:val="1058"/>
    <w:uiPriority w:val="0"/>
    <w:qFormat/>
    <w:rPr>
      <w:b/>
      <w:bCs/>
    </w:rPr>
  </w:style>
  <w:style w:type="character" w:styleId="1058" w:customStyle="1">
    <w:name w:val="批注主题 Char"/>
    <w:link w:val="1057"/>
    <w:uiPriority w:val="0"/>
    <w:qFormat/>
    <w:rPr>
      <w:rFonts w:ascii="Calibri" w:hAnsi="Calibri"/>
      <w:b/>
      <w:bCs/>
      <w:sz w:val="21"/>
      <w:szCs w:val="22"/>
    </w:rPr>
  </w:style>
  <w:style w:type="paragraph" w:styleId="1059" w:customStyle="1">
    <w:name w:val="正文首行缩进 21"/>
    <w:basedOn w:val="1039"/>
    <w:next w:val="805"/>
    <w:uiPriority w:val="0"/>
    <w:qFormat/>
    <w:pPr>
      <w:ind w:firstLine="420"/>
      <w:spacing w:before="100" w:beforeAutospacing="1"/>
    </w:pPr>
    <w:rPr>
      <w:rFonts w:ascii="Times New Roman" w:hAnsi="Times New Roman" w:eastAsia="宋体"/>
      <w:sz w:val="20"/>
      <w:szCs w:val="21"/>
    </w:rPr>
  </w:style>
  <w:style w:type="table" w:styleId="1060" w:customStyle="1">
    <w:name w:val="网格型1"/>
    <w:basedOn w:val="1038"/>
    <w:uiPriority w:val="0"/>
    <w:qFormat/>
    <w:pPr>
      <w:jc w:val="both"/>
      <w:widowControl w:val="off"/>
    </w:pPr>
    <w:tblPr/>
  </w:style>
  <w:style w:type="character" w:styleId="1061" w:customStyle="1">
    <w:name w:val="要点1"/>
    <w:uiPriority w:val="0"/>
    <w:qFormat/>
    <w:rPr>
      <w:b/>
    </w:rPr>
  </w:style>
  <w:style w:type="character" w:styleId="1062" w:customStyle="1">
    <w:name w:val="强调1"/>
    <w:uiPriority w:val="0"/>
    <w:qFormat/>
    <w:rPr>
      <w:i/>
    </w:rPr>
  </w:style>
  <w:style w:type="character" w:styleId="1063" w:customStyle="1">
    <w:name w:val="超链接1"/>
    <w:uiPriority w:val="0"/>
    <w:qFormat/>
    <w:rPr>
      <w:color w:val="0000ff"/>
      <w:u w:val="single"/>
    </w:rPr>
  </w:style>
  <w:style w:type="character" w:styleId="1064" w:customStyle="1">
    <w:name w:val="批注引用1"/>
    <w:uiPriority w:val="0"/>
    <w:qFormat/>
    <w:rPr>
      <w:sz w:val="21"/>
      <w:szCs w:val="21"/>
    </w:rPr>
  </w:style>
  <w:style w:type="paragraph" w:styleId="1065" w:customStyle="1">
    <w:name w:val="正文（缩进）"/>
    <w:basedOn w:val="805"/>
    <w:uiPriority w:val="0"/>
    <w:qFormat/>
    <w:pPr>
      <w:ind w:firstLine="480"/>
      <w:spacing w:before="156" w:after="156"/>
    </w:pPr>
  </w:style>
  <w:style w:type="paragraph" w:styleId="1066" w:customStyle="1">
    <w:name w:val="正文1"/>
    <w:basedOn w:val="805"/>
    <w:next w:val="1067"/>
    <w:uiPriority w:val="0"/>
    <w:qFormat/>
    <w:pPr>
      <w:jc w:val="left"/>
      <w:spacing w:line="360" w:lineRule="atLeast"/>
    </w:pPr>
    <w:rPr>
      <w:rFonts w:ascii="宋体" w:cs="Arial"/>
      <w:sz w:val="24"/>
      <w:szCs w:val="20"/>
    </w:rPr>
  </w:style>
  <w:style w:type="paragraph" w:styleId="1067" w:customStyle="1">
    <w:name w:val="正文文本1"/>
    <w:basedOn w:val="1066"/>
    <w:next w:val="1068"/>
    <w:uiPriority w:val="0"/>
    <w:qFormat/>
    <w:pPr>
      <w:spacing w:after="120"/>
    </w:pPr>
    <w:rPr>
      <w:lang w:eastAsia="en-US"/>
    </w:rPr>
  </w:style>
  <w:style w:type="paragraph" w:styleId="1068" w:customStyle="1">
    <w:name w:val="一级条标题"/>
    <w:basedOn w:val="1069"/>
    <w:next w:val="107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9" w:customStyle="1">
    <w:name w:val="章标题"/>
    <w:next w:val="8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0" w:customStyle="1">
    <w:name w:val="段"/>
    <w:basedOn w:val="1066"/>
    <w:next w:val="805"/>
    <w:uiPriority w:val="0"/>
    <w:qFormat/>
    <w:pPr>
      <w:ind w:firstLine="200"/>
      <w:widowControl/>
    </w:pPr>
    <w:rPr>
      <w:sz w:val="20"/>
    </w:rPr>
  </w:style>
  <w:style w:type="paragraph" w:styleId="1071" w:customStyle="1">
    <w:name w:val="普通正文"/>
    <w:basedOn w:val="805"/>
    <w:uiPriority w:val="0"/>
    <w:qFormat/>
    <w:pPr>
      <w:ind w:firstLine="480"/>
      <w:jc w:val="left"/>
      <w:spacing w:before="120" w:after="120" w:line="360" w:lineRule="auto"/>
    </w:pPr>
    <w:rPr>
      <w:rFonts w:ascii="Arial" w:hAnsi="Arial"/>
      <w:sz w:val="24"/>
      <w:szCs w:val="24"/>
    </w:rPr>
  </w:style>
  <w:style w:type="paragraph" w:styleId="1072" w:customStyle="1">
    <w:name w:val="Char"/>
    <w:basedOn w:val="805"/>
    <w:uiPriority w:val="0"/>
    <w:qFormat/>
    <w:pPr>
      <w:ind w:firstLine="200"/>
      <w:tabs>
        <w:tab w:val="left" w:pos="360" w:leader="none"/>
      </w:tabs>
    </w:pPr>
    <w:rPr>
      <w:rFonts w:ascii="Times New Roman" w:hAnsi="Times New Roman"/>
      <w:sz w:val="28"/>
      <w:szCs w:val="30"/>
    </w:rPr>
  </w:style>
  <w:style w:type="paragraph" w:styleId="1073" w:customStyle="1">
    <w:name w:val="Table Paragraph"/>
    <w:basedOn w:val="805"/>
    <w:uiPriority w:val="1"/>
    <w:qFormat/>
    <w:rPr>
      <w:rFonts w:ascii="Noto Sans CJK JP Regular" w:hAnsi="Noto Sans CJK JP Regular" w:eastAsia="Noto Sans CJK JP Regular" w:cs="Noto Sans CJK JP Regular"/>
    </w:rPr>
  </w:style>
  <w:style w:type="paragraph" w:styleId="1074" w:customStyle="1">
    <w:name w:val="正文（1）"/>
    <w:basedOn w:val="805"/>
    <w:uiPriority w:val="0"/>
    <w:qFormat/>
    <w:pPr>
      <w:numPr>
        <w:ilvl w:val="0"/>
        <w:numId w:val="1"/>
      </w:numPr>
      <w:ind w:firstLine="200"/>
    </w:pPr>
    <w:rPr>
      <w:szCs w:val="24"/>
    </w:rPr>
  </w:style>
  <w:style w:type="paragraph" w:styleId="1075" w:customStyle="1">
    <w:name w:val="朱-正文"/>
    <w:basedOn w:val="805"/>
    <w:uiPriority w:val="0"/>
    <w:qFormat/>
    <w:pPr>
      <w:ind w:firstLine="200"/>
    </w:pPr>
    <w:rPr>
      <w:rFonts w:ascii="Times New Roman"/>
      <w:color w:val="000000"/>
      <w:szCs w:val="24"/>
      <w:lang w:val="en-GB"/>
    </w:rPr>
  </w:style>
  <w:style w:type="paragraph" w:styleId="1076" w:customStyle="1">
    <w:name w:val="GP正文(首行缩进)"/>
    <w:basedOn w:val="805"/>
    <w:uiPriority w:val="0"/>
    <w:qFormat/>
    <w:pPr>
      <w:ind w:firstLine="480"/>
      <w:jc w:val="left"/>
    </w:pPr>
    <w:rPr>
      <w:rFonts w:ascii="Times New Roman" w:hAnsi="宋体"/>
      <w:sz w:val="24"/>
      <w:szCs w:val="24"/>
    </w:rPr>
  </w:style>
  <w:style w:type="character" w:styleId="1077" w:customStyle="1">
    <w:name w:val="font71"/>
    <w:uiPriority w:val="0"/>
    <w:qFormat/>
    <w:rPr>
      <w:rFonts w:hint="eastAsia" w:ascii="宋体" w:hAnsi="宋体" w:eastAsia="宋体" w:cs="宋体"/>
      <w:color w:val="ff0000"/>
      <w:sz w:val="21"/>
      <w:szCs w:val="21"/>
      <w:u w:val="none"/>
    </w:rPr>
  </w:style>
  <w:style w:type="character" w:styleId="1078" w:customStyle="1">
    <w:name w:val="font41"/>
    <w:uiPriority w:val="0"/>
    <w:qFormat/>
    <w:rPr>
      <w:rFonts w:hint="eastAsia" w:ascii="宋体" w:hAnsi="宋体" w:eastAsia="宋体" w:cs="宋体"/>
      <w:color w:val="000000"/>
      <w:sz w:val="21"/>
      <w:szCs w:val="21"/>
      <w:u w:val="none"/>
    </w:rPr>
  </w:style>
  <w:style w:type="paragraph" w:styleId="1079" w:customStyle="1">
    <w:name w:val="列出段落"/>
    <w:basedOn w:val="805"/>
    <w:uiPriority w:val="0"/>
    <w:qFormat/>
    <w:pPr>
      <w:ind w:firstLine="420"/>
    </w:pPr>
  </w:style>
  <w:style w:type="paragraph" w:styleId="1080" w:customStyle="1">
    <w:name w:val="列出段落2"/>
    <w:basedOn w:val="805"/>
    <w:uiPriority w:val="34"/>
    <w:qFormat/>
    <w:pPr>
      <w:ind w:firstLine="420"/>
    </w:pPr>
    <w:rPr>
      <w:rFonts w:ascii="宋体"/>
      <w:color w:val="404040"/>
    </w:rPr>
  </w:style>
  <w:style w:type="paragraph" w:styleId="1081" w:customStyle="1">
    <w:name w:val="列表段落1"/>
    <w:basedOn w:val="805"/>
    <w:uiPriority w:val="0"/>
    <w:qFormat/>
    <w:pPr>
      <w:ind w:firstLine="200"/>
    </w:pPr>
    <w:rPr>
      <w:rFonts w:cs="宋体"/>
    </w:rPr>
  </w:style>
  <w:style w:type="character" w:styleId="1082" w:customStyle="1">
    <w:name w:val="font51"/>
    <w:uiPriority w:val="0"/>
    <w:qFormat/>
    <w:rPr>
      <w:rFonts w:hint="eastAsia" w:ascii="宋体" w:hAnsi="宋体" w:eastAsia="宋体" w:cs="宋体"/>
      <w:color w:val="000000"/>
      <w:sz w:val="24"/>
      <w:szCs w:val="24"/>
      <w:u w:val="none"/>
      <w:vertAlign w:val="subscript"/>
    </w:rPr>
  </w:style>
  <w:style w:type="character" w:styleId="1083" w:customStyle="1">
    <w:name w:val="font61"/>
    <w:uiPriority w:val="0"/>
    <w:qFormat/>
    <w:rPr>
      <w:rFonts w:hint="eastAsia" w:ascii="宋体" w:hAnsi="宋体" w:eastAsia="宋体" w:cs="宋体"/>
      <w:color w:val="000000"/>
      <w:sz w:val="24"/>
      <w:szCs w:val="24"/>
      <w:u w:val="none"/>
    </w:rPr>
  </w:style>
  <w:style w:type="character" w:styleId="1084" w:customStyle="1">
    <w:name w:val="font01"/>
    <w:uiPriority w:val="0"/>
    <w:qFormat/>
    <w:rPr>
      <w:rFonts w:hint="eastAsia" w:ascii="宋体" w:hAnsi="宋体" w:eastAsia="宋体" w:cs="宋体"/>
      <w:color w:val="000000"/>
      <w:sz w:val="24"/>
      <w:szCs w:val="24"/>
      <w:u w:val="none"/>
    </w:rPr>
  </w:style>
  <w:style w:type="character" w:styleId="1085" w:customStyle="1">
    <w:name w:val="font81"/>
    <w:uiPriority w:val="0"/>
    <w:qFormat/>
    <w:rPr>
      <w:rFonts w:ascii="微软雅黑" w:hAnsi="微软雅黑" w:eastAsia="微软雅黑" w:cs="微软雅黑"/>
      <w:color w:val="000000"/>
      <w:sz w:val="24"/>
      <w:szCs w:val="24"/>
      <w:u w:val="none"/>
    </w:rPr>
  </w:style>
  <w:style w:type="character" w:styleId="1086" w:customStyle="1">
    <w:name w:val="font91"/>
    <w:uiPriority w:val="0"/>
    <w:qFormat/>
    <w:rPr>
      <w:rFonts w:ascii="Segoe UI Symbol" w:hAnsi="Segoe UI Symbol" w:eastAsia="Segoe UI Symbol" w:cs="Segoe UI Symbol"/>
      <w:color w:val="000000"/>
      <w:sz w:val="24"/>
      <w:szCs w:val="24"/>
      <w:u w:val="none"/>
    </w:rPr>
  </w:style>
  <w:style w:type="character" w:styleId="1087" w:customStyle="1">
    <w:name w:val="font101"/>
    <w:uiPriority w:val="0"/>
    <w:qFormat/>
    <w:rPr>
      <w:rFonts w:ascii="Calibri" w:hAnsi="Calibri" w:cs="Calibri"/>
      <w:color w:val="000000"/>
      <w:sz w:val="24"/>
      <w:szCs w:val="24"/>
      <w:u w:val="none"/>
    </w:rPr>
  </w:style>
  <w:style w:type="paragraph" w:styleId="1088"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89" w:customStyle="1">
    <w:name w:val="TableEmphasis"/>
    <w:basedOn w:val="805"/>
    <w:uiPriority w:val="0"/>
    <w:qFormat/>
    <w:rPr>
      <w:rFonts w:ascii="Times New Roman" w:hAnsi="Times New Roman" w:eastAsia="Times New Roman"/>
      <w:b/>
      <w:bCs/>
      <w:color w:val="3333ff"/>
      <w:sz w:val="16"/>
      <w:szCs w:val="18"/>
    </w:rPr>
  </w:style>
  <w:style w:type="paragraph" w:styleId="1090" w:customStyle="1">
    <w:name w:val="修订1"/>
    <w:uiPriority w:val="99"/>
    <w:unhideWhenUsed/>
    <w:qFormat/>
    <w:rPr>
      <w:rFonts w:hint="default" w:ascii="Calibri" w:hAnsi="Calibri" w:eastAsia="宋体" w:cs="Times New Roman"/>
      <w:sz w:val="21"/>
      <w:szCs w:val="22"/>
      <w:lang w:val="en-US" w:eastAsia="zh-CN" w:bidi="ar-SA"/>
    </w:rPr>
  </w:style>
  <w:style w:type="paragraph" w:styleId="1091" w:customStyle="1">
    <w:name w:val="修订2"/>
    <w:uiPriority w:val="99"/>
    <w:semiHidden/>
    <w:qFormat/>
    <w:rPr>
      <w:rFonts w:hint="default" w:ascii="Calibri" w:hAnsi="Calibri" w:eastAsia="宋体" w:cs="Times New Roman"/>
      <w:sz w:val="21"/>
      <w:szCs w:val="22"/>
      <w:lang w:val="en-US" w:eastAsia="zh-CN" w:bidi="ar-SA"/>
    </w:rPr>
  </w:style>
  <w:style w:type="character" w:styleId="1092" w:customStyle="1">
    <w:name w:val="font11"/>
    <w:uiPriority w:val="0"/>
    <w:qFormat/>
    <w:rPr>
      <w:rFonts w:hint="eastAsia" w:ascii="宋体" w:hAnsi="宋体" w:eastAsia="宋体" w:cs="宋体"/>
      <w:color w:val="000000"/>
      <w:sz w:val="24"/>
      <w:szCs w:val="24"/>
      <w:u w:val="none"/>
    </w:rPr>
  </w:style>
  <w:style w:type="character" w:styleId="1093" w:customStyle="1">
    <w:name w:val="font21"/>
    <w:link w:val="805"/>
    <w:uiPriority w:val="0"/>
    <w:qFormat/>
    <w:rPr>
      <w:rFonts w:ascii="Segoe UI Symbol" w:hAnsi="Segoe UI Symbol" w:eastAsia="Segoe UI Symbol" w:cs="Segoe UI Symbol"/>
      <w:color w:val="000000"/>
      <w:sz w:val="24"/>
      <w:szCs w:val="24"/>
      <w:u w:val="none"/>
    </w:rPr>
  </w:style>
  <w:style w:type="character" w:styleId="1094" w:customStyle="1">
    <w:name w:val="NormalCharacter1"/>
    <w:link w:val="805"/>
    <w:uiPriority w:val="0"/>
    <w:semiHidden/>
    <w:qFormat/>
    <w:rPr>
      <w:rFonts w:ascii="Calibri" w:hAnsi="Calibri" w:eastAsia="宋体" w:cs="Times New Roman"/>
      <w:sz w:val="21"/>
      <w:szCs w:val="22"/>
      <w:lang w:val="en-US" w:eastAsia="zh-CN" w:bidi="ar-SA"/>
    </w:rPr>
  </w:style>
  <w:style w:type="character" w:styleId="1095" w:customStyle="1">
    <w:name w:val="font31"/>
    <w:uiPriority w:val="0"/>
    <w:qFormat/>
    <w:rPr>
      <w:rFonts w:hint="eastAsia" w:ascii="宋体" w:hAnsi="宋体" w:eastAsia="宋体" w:cs="宋体"/>
      <w:color w:val="000000"/>
      <w:sz w:val="21"/>
      <w:szCs w:val="21"/>
      <w:u w:val="none"/>
    </w:rPr>
  </w:style>
  <w:style w:type="paragraph" w:styleId="1096" w:customStyle="1">
    <w:name w:val="无间隔1"/>
    <w:uiPriority w:val="1"/>
    <w:qFormat/>
    <w:rPr>
      <w:rFonts w:hint="default" w:ascii="Times New Roman" w:hAnsi="Times New Roman" w:eastAsia="宋体" w:cs="Times New Roman"/>
      <w:lang w:val="en-US" w:eastAsia="zh-CN" w:bidi="ar-SA"/>
    </w:rPr>
  </w:style>
  <w:style w:type="paragraph" w:styleId="1097" w:customStyle="1">
    <w:name w:val="索引 41"/>
    <w:basedOn w:val="805"/>
    <w:next w:val="805"/>
    <w:uiPriority w:val="99"/>
    <w:unhideWhenUsed/>
    <w:qFormat/>
    <w:pPr>
      <w:ind w:left="600"/>
    </w:pPr>
    <w:rPr>
      <w:rFonts w:ascii="Verdana" w:hAnsi="Verdana" w:eastAsia="微软雅黑"/>
      <w:szCs w:val="20"/>
    </w:rPr>
  </w:style>
  <w:style w:type="paragraph" w:styleId="1098" w:customStyle="1">
    <w:name w:val="首行缩进"/>
    <w:basedOn w:val="805"/>
    <w:uiPriority w:val="0"/>
    <w:qFormat/>
    <w:pPr>
      <w:ind w:firstLine="420"/>
      <w:spacing w:line="360" w:lineRule="auto"/>
    </w:pPr>
  </w:style>
  <w:style w:type="paragraph" w:styleId="1099" w:customStyle="1">
    <w:name w:val="表格文字"/>
    <w:basedOn w:val="805"/>
    <w:uiPriority w:val="0"/>
    <w:qFormat/>
    <w:pPr>
      <w:ind w:firstLine="0"/>
    </w:pPr>
    <w:rPr>
      <w:rFonts w:cs="宋体"/>
      <w:spacing w:val="2"/>
      <w:szCs w:val="21"/>
      <w:lang w:eastAsia="en-US"/>
    </w:rPr>
  </w:style>
  <w:style w:type="paragraph" w:styleId="1100" w:customStyle="1">
    <w:name w:val="列出段落1"/>
    <w:basedOn w:val="805"/>
    <w:uiPriority w:val="0"/>
    <w:qFormat/>
    <w:pPr>
      <w:ind w:firstLine="420"/>
      <w:jc w:val="left"/>
      <w:spacing w:line="240" w:lineRule="auto"/>
      <w:widowControl/>
    </w:pPr>
    <w:rPr>
      <w:rFonts w:ascii="Times New Roman" w:hAnsi="Times New Roman"/>
    </w:rPr>
  </w:style>
  <w:style w:type="paragraph" w:styleId="1101" w:customStyle="1">
    <w:name w:val="页眉11"/>
    <w:basedOn w:val="8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02" w:customStyle="1">
    <w:name w:val="页脚11"/>
    <w:basedOn w:val="805"/>
    <w:uiPriority w:val="99"/>
    <w:unhideWhenUsed/>
    <w:qFormat/>
    <w:pPr>
      <w:jc w:val="left"/>
      <w:tabs>
        <w:tab w:val="center" w:pos="4153" w:leader="none"/>
        <w:tab w:val="right" w:pos="8306" w:leader="none"/>
      </w:tabs>
    </w:pPr>
    <w:rPr>
      <w:sz w:val="18"/>
      <w:szCs w:val="18"/>
    </w:rPr>
  </w:style>
  <w:style w:type="paragraph" w:styleId="1103" w:customStyle="1">
    <w:name w:val="标题 311"/>
    <w:basedOn w:val="805"/>
    <w:next w:val="1104"/>
    <w:uiPriority w:val="0"/>
    <w:qFormat/>
    <w:pPr>
      <w:keepLines/>
      <w:keepNext/>
      <w:spacing w:before="260" w:after="260" w:line="416" w:lineRule="auto"/>
      <w:outlineLvl w:val="2"/>
    </w:pPr>
    <w:rPr>
      <w:b/>
      <w:bCs/>
      <w:sz w:val="32"/>
      <w:szCs w:val="32"/>
    </w:rPr>
  </w:style>
  <w:style w:type="paragraph" w:styleId="1104" w:customStyle="1">
    <w:name w:val="正文缩进11"/>
    <w:basedOn w:val="805"/>
    <w:uiPriority w:val="0"/>
    <w:unhideWhenUsed/>
    <w:qFormat/>
    <w:pPr>
      <w:ind w:firstLine="420"/>
    </w:pPr>
  </w:style>
  <w:style w:type="table" w:styleId="1105" w:customStyle="1">
    <w:name w:val="table"/>
    <w:basedOn w:val="816"/>
    <w:uiPriority w:val="0"/>
    <w:qFormat/>
    <w:rPr>
      <w:rFonts w:eastAsiaTheme="minorEastAsia"/>
    </w:rPr>
    <w:tblPr/>
  </w:style>
  <w:style w:type="numbering" w:styleId="11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陈秋萍</cp:lastModifiedBy>
  <cp:revision>8</cp:revision>
  <dcterms:created xsi:type="dcterms:W3CDTF">2024-11-07T06:15:00Z</dcterms:created>
  <dcterms:modified xsi:type="dcterms:W3CDTF">2026-07-23T10:02:18Z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20932898211345549A5C6153E7DAE601_13</vt:lpwstr>
  </property>
  <property fmtid="{D5CDD505-2E9C-101B-9397-08002B2CF9AE}" pid="4" name="KSOTemplateDocerSaveRecord">
    <vt:lpwstr>eyJoZGlkIjoiMmU0ZDNiZGQ3MGE0MGI4YjY5ZGRmN2U5ZDI5YWYzMTEiLCJ1c2VySWQiOiI0NjY3MzgyMDAifQ==</vt:lpwstr>
  </property>
</Properties>
</file>