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B5C5B">
      <w:pPr>
        <w:spacing w:line="360" w:lineRule="auto"/>
        <w:jc w:val="right"/>
        <w:rPr>
          <w:rFonts w:hint="eastAsia" w:ascii="宋体" w:hAnsi="宋体" w:eastAsia="宋体" w:cs="宋体"/>
          <w:bCs/>
          <w:color w:val="000000" w:themeColor="text1"/>
          <w:sz w:val="32"/>
          <w:szCs w:val="32"/>
          <w:lang w:eastAsia="zh-CN"/>
          <w14:textFill>
            <w14:solidFill>
              <w14:schemeClr w14:val="tx1"/>
            </w14:solidFill>
          </w14:textFill>
        </w:rPr>
      </w:pPr>
      <w:bookmarkStart w:id="0" w:name="_Hlk69393945"/>
      <w:bookmarkStart w:id="1" w:name="_Toc528771312"/>
      <w:bookmarkStart w:id="2" w:name="_Toc27744861"/>
      <w:r>
        <w:rPr>
          <w:rFonts w:hint="eastAsia" w:ascii="宋体" w:hAnsi="宋体" w:cs="宋体"/>
          <w:bCs/>
          <w:color w:val="000000" w:themeColor="text1"/>
          <w:sz w:val="32"/>
          <w:szCs w:val="32"/>
          <w14:textFill>
            <w14:solidFill>
              <w14:schemeClr w14:val="tx1"/>
            </w14:solidFill>
          </w14:textFill>
        </w:rPr>
        <w:t>编号：</w:t>
      </w:r>
      <w:r>
        <w:rPr>
          <w:rFonts w:hint="eastAsia" w:ascii="宋体" w:hAnsi="宋体" w:cs="宋体"/>
          <w:bCs/>
          <w:color w:val="000000" w:themeColor="text1"/>
          <w:sz w:val="32"/>
          <w:szCs w:val="32"/>
          <w:lang w:eastAsia="zh-CN"/>
          <w14:textFill>
            <w14:solidFill>
              <w14:schemeClr w14:val="tx1"/>
            </w14:solidFill>
          </w14:textFill>
        </w:rPr>
        <w:t>JSZC-321084-SYZX-C2026-0003</w:t>
      </w:r>
    </w:p>
    <w:p w14:paraId="17F463EF">
      <w:pPr>
        <w:spacing w:line="360" w:lineRule="auto"/>
        <w:jc w:val="right"/>
        <w:rPr>
          <w:rFonts w:ascii="宋体" w:hAnsi="宋体" w:cs="宋体"/>
          <w:bCs/>
          <w:color w:val="000000" w:themeColor="text1"/>
          <w:sz w:val="32"/>
          <w:szCs w:val="32"/>
          <w14:textFill>
            <w14:solidFill>
              <w14:schemeClr w14:val="tx1"/>
            </w14:solidFill>
          </w14:textFill>
        </w:rPr>
      </w:pPr>
    </w:p>
    <w:p w14:paraId="22F684E7">
      <w:pPr>
        <w:pStyle w:val="6"/>
        <w:spacing w:line="360" w:lineRule="auto"/>
        <w:jc w:val="center"/>
        <w:rPr>
          <w:rFonts w:hint="eastAsia" w:ascii="宋体" w:hAnsi="宋体" w:eastAsia="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高邮市海潮口袋公园项目</w:t>
      </w:r>
    </w:p>
    <w:p w14:paraId="545163DC">
      <w:pPr>
        <w:spacing w:line="360" w:lineRule="auto"/>
        <w:rPr>
          <w:rFonts w:ascii="宋体" w:hAnsi="宋体" w:cs="宋体"/>
          <w:b/>
          <w:color w:val="000000" w:themeColor="text1"/>
          <w:sz w:val="48"/>
          <w:szCs w:val="48"/>
          <w14:textFill>
            <w14:solidFill>
              <w14:schemeClr w14:val="tx1"/>
            </w14:solidFill>
          </w14:textFill>
        </w:rPr>
      </w:pPr>
    </w:p>
    <w:p w14:paraId="7DDD07AF">
      <w:pPr>
        <w:spacing w:line="360" w:lineRule="auto"/>
        <w:rPr>
          <w:rFonts w:ascii="宋体" w:hAnsi="宋体" w:cs="宋体"/>
          <w:b/>
          <w:color w:val="000000" w:themeColor="text1"/>
          <w:sz w:val="48"/>
          <w:szCs w:val="48"/>
          <w14:textFill>
            <w14:solidFill>
              <w14:schemeClr w14:val="tx1"/>
            </w14:solidFill>
          </w14:textFill>
        </w:rPr>
      </w:pPr>
    </w:p>
    <w:p w14:paraId="7F564465">
      <w:pPr>
        <w:spacing w:line="360" w:lineRule="auto"/>
        <w:rPr>
          <w:rFonts w:ascii="宋体" w:hAnsi="宋体" w:cs="宋体"/>
          <w:b/>
          <w:color w:val="000000" w:themeColor="text1"/>
          <w14:textFill>
            <w14:solidFill>
              <w14:schemeClr w14:val="tx1"/>
            </w14:solidFill>
          </w14:textFill>
        </w:rPr>
      </w:pPr>
    </w:p>
    <w:p w14:paraId="45BBDBA1">
      <w:pPr>
        <w:pStyle w:val="6"/>
        <w:spacing w:line="360" w:lineRule="auto"/>
        <w:rPr>
          <w:rFonts w:ascii="宋体" w:hAnsi="宋体" w:cs="宋体"/>
          <w:color w:val="000000" w:themeColor="text1"/>
          <w14:textFill>
            <w14:solidFill>
              <w14:schemeClr w14:val="tx1"/>
            </w14:solidFill>
          </w14:textFill>
        </w:rPr>
      </w:pPr>
    </w:p>
    <w:p w14:paraId="0A2CE49C">
      <w:pPr>
        <w:widowControl/>
        <w:kinsoku w:val="0"/>
        <w:autoSpaceDE w:val="0"/>
        <w:autoSpaceDN w:val="0"/>
        <w:adjustRightInd w:val="0"/>
        <w:snapToGrid w:val="0"/>
        <w:spacing w:line="360" w:lineRule="auto"/>
        <w:jc w:val="center"/>
        <w:textAlignment w:val="baseline"/>
        <w:rPr>
          <w:rFonts w:ascii="宋体" w:hAnsi="宋体" w:cs="宋体"/>
          <w:b/>
          <w:snapToGrid w:val="0"/>
          <w:color w:val="000000" w:themeColor="text1"/>
          <w:kern w:val="0"/>
          <w:sz w:val="84"/>
          <w:szCs w:val="84"/>
          <w14:textFill>
            <w14:solidFill>
              <w14:schemeClr w14:val="tx1"/>
            </w14:solidFill>
          </w14:textFill>
        </w:rPr>
      </w:pPr>
      <w:r>
        <w:rPr>
          <w:rFonts w:hint="eastAsia" w:ascii="宋体" w:hAnsi="宋体" w:cs="宋体"/>
          <w:b/>
          <w:snapToGrid w:val="0"/>
          <w:color w:val="000000" w:themeColor="text1"/>
          <w:kern w:val="0"/>
          <w:sz w:val="84"/>
          <w:szCs w:val="84"/>
          <w14:textFill>
            <w14:solidFill>
              <w14:schemeClr w14:val="tx1"/>
            </w14:solidFill>
          </w14:textFill>
        </w:rPr>
        <w:t>竞争性磋商文件</w:t>
      </w:r>
    </w:p>
    <w:p w14:paraId="1339C9B4">
      <w:pPr>
        <w:spacing w:line="360" w:lineRule="auto"/>
        <w:jc w:val="center"/>
        <w:rPr>
          <w:rFonts w:ascii="宋体" w:hAnsi="宋体" w:cs="宋体"/>
          <w:b/>
          <w:color w:val="000000" w:themeColor="text1"/>
          <w:sz w:val="36"/>
          <w14:textFill>
            <w14:solidFill>
              <w14:schemeClr w14:val="tx1"/>
            </w14:solidFill>
          </w14:textFill>
        </w:rPr>
      </w:pPr>
    </w:p>
    <w:p w14:paraId="298D71BA">
      <w:pPr>
        <w:spacing w:line="360" w:lineRule="auto"/>
        <w:jc w:val="center"/>
        <w:rPr>
          <w:rFonts w:ascii="宋体" w:hAnsi="宋体" w:cs="宋体"/>
          <w:b/>
          <w:color w:val="000000" w:themeColor="text1"/>
          <w:sz w:val="36"/>
          <w14:textFill>
            <w14:solidFill>
              <w14:schemeClr w14:val="tx1"/>
            </w14:solidFill>
          </w14:textFill>
        </w:rPr>
      </w:pPr>
    </w:p>
    <w:p w14:paraId="416EB46D">
      <w:pPr>
        <w:pStyle w:val="6"/>
        <w:spacing w:line="360" w:lineRule="auto"/>
        <w:rPr>
          <w:rFonts w:ascii="宋体" w:hAnsi="宋体" w:cs="宋体"/>
          <w:color w:val="000000" w:themeColor="text1"/>
          <w14:textFill>
            <w14:solidFill>
              <w14:schemeClr w14:val="tx1"/>
            </w14:solidFill>
          </w14:textFill>
        </w:rPr>
      </w:pPr>
    </w:p>
    <w:p w14:paraId="66BBF102">
      <w:pPr>
        <w:pStyle w:val="6"/>
        <w:spacing w:line="360" w:lineRule="auto"/>
        <w:rPr>
          <w:rFonts w:ascii="宋体" w:hAnsi="宋体" w:cs="宋体"/>
          <w:color w:val="000000" w:themeColor="text1"/>
          <w14:textFill>
            <w14:solidFill>
              <w14:schemeClr w14:val="tx1"/>
            </w14:solidFill>
          </w14:textFill>
        </w:rPr>
      </w:pPr>
    </w:p>
    <w:p w14:paraId="4B4B6929">
      <w:pPr>
        <w:spacing w:line="360" w:lineRule="auto"/>
        <w:rPr>
          <w:rFonts w:ascii="宋体" w:hAnsi="宋体" w:cs="宋体"/>
          <w:color w:val="000000" w:themeColor="text1"/>
          <w14:textFill>
            <w14:solidFill>
              <w14:schemeClr w14:val="tx1"/>
            </w14:solidFill>
          </w14:textFill>
        </w:rPr>
      </w:pPr>
    </w:p>
    <w:p w14:paraId="1E179335">
      <w:pPr>
        <w:spacing w:line="360" w:lineRule="auto"/>
        <w:jc w:val="center"/>
        <w:rPr>
          <w:rFonts w:ascii="宋体" w:hAnsi="宋体" w:cs="宋体"/>
          <w:b/>
          <w:color w:val="000000" w:themeColor="text1"/>
          <w:sz w:val="36"/>
          <w14:textFill>
            <w14:solidFill>
              <w14:schemeClr w14:val="tx1"/>
            </w14:solidFill>
          </w14:textFill>
        </w:rPr>
      </w:pPr>
    </w:p>
    <w:p w14:paraId="27CB510B">
      <w:pPr>
        <w:spacing w:line="360" w:lineRule="auto"/>
        <w:ind w:right="120" w:firstLine="1880" w:firstLineChars="650"/>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   购   人：</w:t>
      </w:r>
      <w:r>
        <w:rPr>
          <w:rFonts w:hint="eastAsia" w:ascii="宋体" w:hAnsi="宋体" w:cs="宋体"/>
          <w:b/>
          <w:bCs/>
          <w:color w:val="000000" w:themeColor="text1"/>
          <w:w w:val="90"/>
          <w:kern w:val="0"/>
          <w:sz w:val="32"/>
          <w:szCs w:val="32"/>
          <w:lang w:eastAsia="zh-CN"/>
          <w14:textFill>
            <w14:solidFill>
              <w14:schemeClr w14:val="tx1"/>
            </w14:solidFill>
          </w14:textFill>
        </w:rPr>
        <w:t>高邮市住房和城乡建设局</w:t>
      </w:r>
    </w:p>
    <w:p w14:paraId="13E90250">
      <w:pPr>
        <w:spacing w:line="360" w:lineRule="auto"/>
        <w:ind w:firstLine="1845" w:firstLineChars="638"/>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采购代理机构：</w:t>
      </w:r>
      <w:r>
        <w:rPr>
          <w:rFonts w:hint="eastAsia" w:ascii="宋体" w:hAnsi="宋体" w:cs="宋体"/>
          <w:b/>
          <w:bCs/>
          <w:color w:val="000000" w:themeColor="text1"/>
          <w:w w:val="90"/>
          <w:kern w:val="0"/>
          <w:sz w:val="32"/>
          <w:szCs w:val="32"/>
          <w:lang w:eastAsia="zh-CN"/>
          <w14:textFill>
            <w14:solidFill>
              <w14:schemeClr w14:val="tx1"/>
            </w14:solidFill>
          </w14:textFill>
        </w:rPr>
        <w:t>扬州市盛业工程咨询有限公司</w:t>
      </w:r>
    </w:p>
    <w:p w14:paraId="6F442CB9">
      <w:pPr>
        <w:pStyle w:val="21"/>
        <w:tabs>
          <w:tab w:val="right" w:leader="dot" w:pos="8296"/>
        </w:tabs>
        <w:spacing w:line="360" w:lineRule="auto"/>
        <w:ind w:left="-13" w:leftChars="-6" w:firstLine="1937" w:firstLineChars="643"/>
        <w:rPr>
          <w:rFonts w:ascii="宋体" w:hAnsi="宋体" w:cs="宋体"/>
          <w:b/>
          <w:color w:val="000000" w:themeColor="text1"/>
          <w:sz w:val="30"/>
          <w:szCs w:val="30"/>
          <w14:textFill>
            <w14:solidFill>
              <w14:schemeClr w14:val="tx1"/>
            </w14:solidFill>
          </w14:textFill>
        </w:rPr>
        <w:sectPr>
          <w:headerReference r:id="rId3" w:type="default"/>
          <w:pgSz w:w="11906" w:h="16838"/>
          <w:pgMar w:top="1440" w:right="1134" w:bottom="1440" w:left="1134" w:header="851" w:footer="992" w:gutter="0"/>
          <w:cols w:space="720" w:num="1"/>
          <w:docGrid w:type="lines" w:linePitch="312" w:charSpace="0"/>
        </w:sectPr>
      </w:pPr>
      <w:r>
        <w:rPr>
          <w:rFonts w:hint="eastAsia" w:ascii="宋体" w:hAnsi="宋体" w:cs="宋体"/>
          <w:b/>
          <w:bCs/>
          <w:color w:val="000000" w:themeColor="text1"/>
          <w:spacing w:val="6"/>
          <w:w w:val="90"/>
          <w:kern w:val="0"/>
          <w:sz w:val="32"/>
          <w:szCs w:val="32"/>
          <w14:textFill>
            <w14:solidFill>
              <w14:schemeClr w14:val="tx1"/>
            </w14:solidFill>
          </w14:textFill>
        </w:rPr>
        <w:t>发 放 日 期</w:t>
      </w:r>
      <w:r>
        <w:rPr>
          <w:rFonts w:hint="eastAsia" w:ascii="宋体" w:hAnsi="宋体" w:cs="宋体"/>
          <w:b/>
          <w:bCs/>
          <w:color w:val="000000" w:themeColor="text1"/>
          <w:w w:val="90"/>
          <w:kern w:val="0"/>
          <w:sz w:val="32"/>
          <w:szCs w:val="32"/>
          <w14:textFill>
            <w14:solidFill>
              <w14:schemeClr w14:val="tx1"/>
            </w14:solidFill>
          </w14:textFill>
        </w:rPr>
        <w:t>：</w:t>
      </w:r>
      <w:bookmarkStart w:id="3" w:name="EB59c3faf64f2a4bd092a206fb1d0c3c03"/>
      <w:r>
        <w:rPr>
          <w:rFonts w:hint="eastAsia" w:ascii="宋体" w:hAnsi="宋体" w:cs="宋体"/>
          <w:b/>
          <w:bCs/>
          <w:color w:val="000000" w:themeColor="text1"/>
          <w:w w:val="90"/>
          <w:kern w:val="0"/>
          <w:sz w:val="32"/>
          <w:szCs w:val="32"/>
          <w14:textFill>
            <w14:solidFill>
              <w14:schemeClr w14:val="tx1"/>
            </w14:solidFill>
          </w14:textFill>
        </w:rPr>
        <w:t>2026年</w:t>
      </w:r>
      <w:bookmarkEnd w:id="3"/>
      <w:r>
        <w:rPr>
          <w:rFonts w:hint="eastAsia" w:ascii="宋体" w:hAnsi="宋体" w:cs="宋体"/>
          <w:b/>
          <w:bCs/>
          <w:color w:val="000000" w:themeColor="text1"/>
          <w:w w:val="90"/>
          <w:kern w:val="0"/>
          <w:sz w:val="32"/>
          <w:szCs w:val="32"/>
          <w14:textFill>
            <w14:solidFill>
              <w14:schemeClr w14:val="tx1"/>
            </w14:solidFill>
          </w14:textFill>
        </w:rPr>
        <w:t>0</w:t>
      </w:r>
      <w:r>
        <w:rPr>
          <w:rFonts w:hint="eastAsia" w:ascii="宋体" w:hAnsi="宋体" w:cs="宋体"/>
          <w:b/>
          <w:bCs/>
          <w:color w:val="000000" w:themeColor="text1"/>
          <w:w w:val="90"/>
          <w:kern w:val="0"/>
          <w:sz w:val="32"/>
          <w:szCs w:val="32"/>
          <w:lang w:val="en-US" w:eastAsia="zh-CN"/>
          <w14:textFill>
            <w14:solidFill>
              <w14:schemeClr w14:val="tx1"/>
            </w14:solidFill>
          </w14:textFill>
        </w:rPr>
        <w:t>6</w:t>
      </w:r>
      <w:r>
        <w:rPr>
          <w:rFonts w:hint="eastAsia" w:ascii="宋体" w:hAnsi="宋体" w:cs="宋体"/>
          <w:b/>
          <w:bCs/>
          <w:color w:val="000000" w:themeColor="text1"/>
          <w:w w:val="90"/>
          <w:kern w:val="0"/>
          <w:sz w:val="32"/>
          <w:szCs w:val="32"/>
          <w14:textFill>
            <w14:solidFill>
              <w14:schemeClr w14:val="tx1"/>
            </w14:solidFill>
          </w14:textFill>
        </w:rPr>
        <w:t>月</w:t>
      </w:r>
    </w:p>
    <w:p w14:paraId="2D97225C">
      <w:pPr>
        <w:spacing w:line="360" w:lineRule="auto"/>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目 录</w:t>
      </w:r>
    </w:p>
    <w:p w14:paraId="175B1136">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begin"/>
      </w:r>
      <w:r>
        <w:rPr>
          <w:rFonts w:hint="eastAsia" w:ascii="宋体" w:hAnsi="宋体" w:cs="宋体"/>
          <w:color w:val="000000" w:themeColor="text1"/>
          <w:sz w:val="28"/>
          <w14:textFill>
            <w14:solidFill>
              <w14:schemeClr w14:val="tx1"/>
            </w14:solidFill>
          </w14:textFill>
        </w:rPr>
        <w:instrText xml:space="preserve"> TOC \o "1-3" \f </w:instrText>
      </w:r>
      <w:r>
        <w:rPr>
          <w:rFonts w:hint="eastAsia" w:ascii="宋体" w:hAnsi="宋体" w:cs="宋体"/>
          <w:color w:val="000000" w:themeColor="text1"/>
          <w:sz w:val="28"/>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第一章  </w:t>
      </w:r>
      <w:r>
        <w:rPr>
          <w:rFonts w:hint="eastAsia" w:ascii="宋体" w:hAnsi="宋体" w:cs="宋体"/>
          <w:color w:val="000000" w:themeColor="text1"/>
          <w:lang w:eastAsia="zh-CN"/>
          <w14:textFill>
            <w14:solidFill>
              <w14:schemeClr w14:val="tx1"/>
            </w14:solidFill>
          </w14:textFill>
        </w:rPr>
        <w:t>高邮市住房和城乡建设局</w:t>
      </w:r>
      <w:r>
        <w:rPr>
          <w:rFonts w:hint="eastAsia" w:ascii="宋体" w:hAnsi="宋体" w:cs="宋体"/>
          <w:color w:val="000000" w:themeColor="text1"/>
          <w:lang w:val="en-US" w:eastAsia="zh-CN"/>
          <w14:textFill>
            <w14:solidFill>
              <w14:schemeClr w14:val="tx1"/>
            </w14:solidFill>
          </w14:textFill>
        </w:rPr>
        <w:t>关于</w:t>
      </w:r>
      <w:r>
        <w:rPr>
          <w:rFonts w:hint="eastAsia" w:ascii="宋体" w:hAnsi="宋体" w:cs="宋体"/>
          <w:color w:val="000000" w:themeColor="text1"/>
          <w:lang w:eastAsia="zh-CN"/>
          <w14:textFill>
            <w14:solidFill>
              <w14:schemeClr w14:val="tx1"/>
            </w14:solidFill>
          </w14:textFill>
        </w:rPr>
        <w:t>高邮市海潮口袋公园项目</w:t>
      </w:r>
      <w:r>
        <w:rPr>
          <w:rFonts w:hint="eastAsia" w:ascii="宋体" w:hAnsi="宋体" w:cs="宋体"/>
          <w:color w:val="000000" w:themeColor="text1"/>
          <w14:textFill>
            <w14:solidFill>
              <w14:schemeClr w14:val="tx1"/>
            </w14:solidFill>
          </w14:textFill>
        </w:rPr>
        <w:t>的采购公告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w:t>
      </w:r>
    </w:p>
    <w:p w14:paraId="0BB4C14E">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  磋商须知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5</w:t>
      </w:r>
    </w:p>
    <w:p w14:paraId="598451A1">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16</w:t>
      </w:r>
    </w:p>
    <w:p w14:paraId="3CCDD53D">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第四章  项目需求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fldChar w:fldCharType="end"/>
      </w:r>
    </w:p>
    <w:p w14:paraId="6926B6E0">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第五章  评审方法及评审标准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p>
    <w:p w14:paraId="60EA52F5">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第六章  竞争性磋商响应文件格式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fldChar w:fldCharType="end"/>
      </w:r>
    </w:p>
    <w:p w14:paraId="1EFB4693">
      <w:pPr>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end"/>
      </w:r>
    </w:p>
    <w:p w14:paraId="4FD32862">
      <w:pPr>
        <w:spacing w:line="360" w:lineRule="auto"/>
        <w:rPr>
          <w:rFonts w:ascii="宋体" w:hAnsi="宋体" w:cs="宋体"/>
          <w:color w:val="000000" w:themeColor="text1"/>
          <w14:textFill>
            <w14:solidFill>
              <w14:schemeClr w14:val="tx1"/>
            </w14:solidFill>
          </w14:textFill>
        </w:rPr>
      </w:pPr>
    </w:p>
    <w:p w14:paraId="0E770CB9">
      <w:pPr>
        <w:pStyle w:val="3"/>
        <w:numPr>
          <w:ilvl w:val="0"/>
          <w:numId w:val="1"/>
        </w:numPr>
        <w:spacing w:line="360" w:lineRule="auto"/>
        <w:jc w:val="center"/>
        <w:rPr>
          <w:rFonts w:ascii="宋体" w:hAnsi="宋体" w:cs="宋体"/>
          <w:color w:val="000000" w:themeColor="text1"/>
          <w:sz w:val="32"/>
          <w:szCs w:val="32"/>
          <w14:textFill>
            <w14:solidFill>
              <w14:schemeClr w14:val="tx1"/>
            </w14:solidFill>
          </w14:textFill>
        </w:rPr>
        <w:sectPr>
          <w:footerReference r:id="rId6" w:type="first"/>
          <w:headerReference r:id="rId4" w:type="default"/>
          <w:footerReference r:id="rId5" w:type="default"/>
          <w:pgSz w:w="11906" w:h="16838"/>
          <w:pgMar w:top="1417" w:right="1134" w:bottom="1417" w:left="1134" w:header="851" w:footer="992" w:gutter="0"/>
          <w:cols w:space="720" w:num="1"/>
          <w:titlePg/>
          <w:docGrid w:linePitch="360" w:charSpace="0"/>
        </w:sectPr>
      </w:pPr>
      <w:bookmarkStart w:id="46" w:name="_GoBack"/>
      <w:bookmarkEnd w:id="46"/>
      <w:bookmarkStart w:id="4" w:name="_Toc109304962"/>
      <w:bookmarkStart w:id="5" w:name="_Toc109304965"/>
    </w:p>
    <w:p w14:paraId="1249C440">
      <w:pPr>
        <w:pStyle w:val="3"/>
        <w:spacing w:line="240" w:lineRule="auto"/>
        <w:ind w:left="1080" w:hanging="108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t>第一章</w:t>
      </w:r>
      <w:r>
        <w:rPr>
          <w:rFonts w:hint="eastAsia" w:ascii="宋体" w:hAnsi="宋体" w:cs="宋体"/>
          <w:color w:val="000000" w:themeColor="text1"/>
          <w:sz w:val="32"/>
          <w:szCs w:val="32"/>
          <w14:textFill>
            <w14:solidFill>
              <w14:schemeClr w14:val="tx1"/>
            </w14:solidFill>
          </w14:textFill>
        </w:rPr>
        <w:t xml:space="preserve"> </w:t>
      </w:r>
      <w:r>
        <w:rPr>
          <w:rFonts w:hint="eastAsia" w:ascii="宋体" w:hAnsi="宋体" w:cs="宋体"/>
          <w:color w:val="000000" w:themeColor="text1"/>
          <w:sz w:val="32"/>
          <w:szCs w:val="32"/>
          <w:lang w:eastAsia="zh-CN"/>
          <w14:textFill>
            <w14:solidFill>
              <w14:schemeClr w14:val="tx1"/>
            </w14:solidFill>
          </w14:textFill>
        </w:rPr>
        <w:t>高邮市住房和城乡建设局</w:t>
      </w:r>
      <w:r>
        <w:rPr>
          <w:rFonts w:hint="eastAsia" w:ascii="宋体" w:hAnsi="宋体" w:cs="宋体"/>
          <w:color w:val="000000" w:themeColor="text1"/>
          <w:sz w:val="32"/>
          <w:szCs w:val="32"/>
          <w:lang w:val="en-US" w:eastAsia="zh-CN"/>
          <w14:textFill>
            <w14:solidFill>
              <w14:schemeClr w14:val="tx1"/>
            </w14:solidFill>
          </w14:textFill>
        </w:rPr>
        <w:t>关于</w:t>
      </w:r>
      <w:r>
        <w:rPr>
          <w:rFonts w:hint="eastAsia" w:ascii="宋体" w:hAnsi="宋体" w:cs="宋体"/>
          <w:color w:val="000000" w:themeColor="text1"/>
          <w:sz w:val="32"/>
          <w:szCs w:val="32"/>
          <w:lang w:eastAsia="zh-CN"/>
          <w14:textFill>
            <w14:solidFill>
              <w14:schemeClr w14:val="tx1"/>
            </w14:solidFill>
          </w14:textFill>
        </w:rPr>
        <w:t>高邮市海潮口袋公园项目</w:t>
      </w:r>
      <w:r>
        <w:rPr>
          <w:rFonts w:hint="eastAsia" w:ascii="宋体" w:hAnsi="宋体" w:cs="宋体"/>
          <w:color w:val="000000" w:themeColor="text1"/>
          <w:sz w:val="32"/>
          <w:szCs w:val="32"/>
          <w14:textFill>
            <w14:solidFill>
              <w14:schemeClr w14:val="tx1"/>
            </w14:solidFill>
          </w14:textFill>
        </w:rPr>
        <w:t>的采购公告</w:t>
      </w:r>
      <w:bookmarkEnd w:id="4"/>
    </w:p>
    <w:p w14:paraId="6CB27181">
      <w:pPr>
        <w:pBdr>
          <w:top w:val="single" w:color="auto" w:sz="4" w:space="1"/>
          <w:left w:val="single" w:color="auto" w:sz="4" w:space="4"/>
          <w:bottom w:val="single" w:color="auto" w:sz="4" w:space="1"/>
          <w:right w:val="single" w:color="auto" w:sz="4" w:space="4"/>
        </w:pBd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项目概况：</w:t>
      </w:r>
    </w:p>
    <w:p w14:paraId="209A99B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高邮市海潮口袋公园项目</w:t>
      </w:r>
      <w:r>
        <w:rPr>
          <w:rFonts w:hint="eastAsia" w:ascii="宋体" w:hAnsi="宋体" w:cs="宋体"/>
          <w:color w:val="000000" w:themeColor="text1"/>
          <w:szCs w:val="21"/>
          <w14:textFill>
            <w14:solidFill>
              <w14:schemeClr w14:val="tx1"/>
            </w14:solidFill>
          </w14:textFill>
        </w:rPr>
        <w:t>的潜在供应商可在</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苏采云</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系统内（网址：http://jszfcg.jsczt.cn/）获取采购文件，并于</w:t>
      </w:r>
      <w:r>
        <w:rPr>
          <w:rFonts w:hint="eastAsia" w:ascii="宋体" w:hAnsi="宋体" w:cs="宋体"/>
          <w:color w:val="000000" w:themeColor="text1"/>
          <w:szCs w:val="21"/>
          <w:u w:val="single"/>
          <w:lang w:eastAsia="zh-CN"/>
          <w14:textFill>
            <w14:solidFill>
              <w14:schemeClr w14:val="tx1"/>
            </w14:solidFill>
          </w14:textFill>
        </w:rPr>
        <w:t>2026年07月13日</w:t>
      </w:r>
      <w:r>
        <w:rPr>
          <w:rFonts w:hint="eastAsia" w:ascii="宋体" w:hAnsi="宋体" w:cs="宋体"/>
          <w:color w:val="000000" w:themeColor="text1"/>
          <w:szCs w:val="21"/>
          <w:u w:val="single"/>
          <w14:textFill>
            <w14:solidFill>
              <w14:schemeClr w14:val="tx1"/>
            </w14:solidFill>
          </w14:textFill>
        </w:rPr>
        <w:t>09时00分</w:t>
      </w:r>
      <w:r>
        <w:rPr>
          <w:rFonts w:hint="eastAsia" w:ascii="宋体" w:hAnsi="宋体" w:cs="宋体"/>
          <w:color w:val="000000" w:themeColor="text1"/>
          <w:szCs w:val="21"/>
          <w14:textFill>
            <w14:solidFill>
              <w14:schemeClr w14:val="tx1"/>
            </w14:solidFill>
          </w14:textFill>
        </w:rPr>
        <w:t>（北京时间）前提交响应文件。</w:t>
      </w:r>
    </w:p>
    <w:p w14:paraId="28FFF6D5">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6" w:name="_Toc109304963"/>
      <w:r>
        <w:rPr>
          <w:rFonts w:hint="eastAsia" w:ascii="宋体" w:hAnsi="宋体" w:cs="宋体"/>
          <w:bCs w:val="0"/>
          <w:color w:val="000000" w:themeColor="text1"/>
          <w:sz w:val="21"/>
          <w:szCs w:val="21"/>
          <w14:textFill>
            <w14:solidFill>
              <w14:schemeClr w14:val="tx1"/>
            </w14:solidFill>
          </w14:textFill>
        </w:rPr>
        <w:t>一、项目基本情况</w:t>
      </w:r>
      <w:bookmarkEnd w:id="6"/>
    </w:p>
    <w:p w14:paraId="07CAC083">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1.项目编号：</w:t>
      </w:r>
      <w:r>
        <w:rPr>
          <w:rFonts w:hint="eastAsia" w:ascii="宋体" w:hAnsi="宋体" w:cs="宋体"/>
          <w:color w:val="000000" w:themeColor="text1"/>
          <w:szCs w:val="21"/>
          <w:lang w:eastAsia="zh-CN"/>
          <w14:textFill>
            <w14:solidFill>
              <w14:schemeClr w14:val="tx1"/>
            </w14:solidFill>
          </w14:textFill>
        </w:rPr>
        <w:t>JSZC-321084-SYZX-C2026-0003</w:t>
      </w:r>
    </w:p>
    <w:p w14:paraId="0D7CCD01">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w:t>
      </w:r>
      <w:r>
        <w:rPr>
          <w:rFonts w:hint="eastAsia" w:ascii="宋体" w:hAnsi="宋体" w:cs="宋体"/>
          <w:color w:val="000000" w:themeColor="text1"/>
          <w:szCs w:val="21"/>
          <w:lang w:eastAsia="zh-CN"/>
          <w14:textFill>
            <w14:solidFill>
              <w14:schemeClr w14:val="tx1"/>
            </w14:solidFill>
          </w14:textFill>
        </w:rPr>
        <w:t>高邮市海潮口袋公园项目</w:t>
      </w:r>
    </w:p>
    <w:p w14:paraId="0723258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3.采购方式：□竞争性谈判 ☑竞争性磋商 □询价</w:t>
      </w:r>
    </w:p>
    <w:p w14:paraId="1CA1EEBA">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4.项目预算价：</w:t>
      </w:r>
      <w:r>
        <w:rPr>
          <w:rFonts w:hint="eastAsia" w:ascii="宋体" w:hAnsi="宋体" w:cs="宋体"/>
          <w:color w:val="000000" w:themeColor="text1"/>
          <w:szCs w:val="21"/>
          <w:lang w:eastAsia="zh-CN"/>
          <w14:textFill>
            <w14:solidFill>
              <w14:schemeClr w14:val="tx1"/>
            </w14:solidFill>
          </w14:textFill>
        </w:rPr>
        <w:t>219.66万元</w:t>
      </w:r>
    </w:p>
    <w:p w14:paraId="0A9F3F7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5.最高限价：</w:t>
      </w:r>
      <w:r>
        <w:rPr>
          <w:rFonts w:hint="eastAsia" w:ascii="宋体" w:hAnsi="宋体" w:cs="宋体"/>
          <w:color w:val="000000" w:themeColor="text1"/>
          <w:szCs w:val="21"/>
          <w:lang w:val="en-US" w:eastAsia="zh-CN"/>
          <w14:textFill>
            <w14:solidFill>
              <w14:schemeClr w14:val="tx1"/>
            </w14:solidFill>
          </w14:textFill>
        </w:rPr>
        <w:t>219.66万元</w:t>
      </w:r>
      <w:r>
        <w:rPr>
          <w:rFonts w:hint="eastAsia" w:ascii="宋体" w:hAnsi="宋体" w:cs="宋体"/>
          <w:color w:val="000000" w:themeColor="text1"/>
          <w:spacing w:val="-1"/>
          <w14:textFill>
            <w14:solidFill>
              <w14:schemeClr w14:val="tx1"/>
            </w14:solidFill>
          </w14:textFill>
        </w:rPr>
        <w:t>（报价高于最高限价的</w:t>
      </w:r>
      <w:r>
        <w:rPr>
          <w:rFonts w:hint="eastAsia" w:ascii="宋体" w:hAnsi="宋体" w:cs="宋体"/>
          <w:color w:val="000000" w:themeColor="text1"/>
          <w:spacing w:val="-1"/>
          <w:lang w:val="en-US" w:eastAsia="zh-CN"/>
          <w14:textFill>
            <w14:solidFill>
              <w14:schemeClr w14:val="tx1"/>
            </w14:solidFill>
          </w14:textFill>
        </w:rPr>
        <w:t>按</w:t>
      </w:r>
      <w:r>
        <w:rPr>
          <w:rFonts w:hint="eastAsia" w:ascii="宋体" w:hAnsi="宋体" w:cs="宋体"/>
          <w:color w:val="000000" w:themeColor="text1"/>
          <w:spacing w:val="-1"/>
          <w14:textFill>
            <w14:solidFill>
              <w14:schemeClr w14:val="tx1"/>
            </w14:solidFill>
          </w14:textFill>
        </w:rPr>
        <w:t>无效</w:t>
      </w:r>
      <w:r>
        <w:rPr>
          <w:rFonts w:hint="eastAsia" w:ascii="宋体" w:hAnsi="宋体" w:cs="宋体"/>
          <w:color w:val="000000" w:themeColor="text1"/>
          <w:spacing w:val="-1"/>
          <w:lang w:val="en-US" w:eastAsia="zh-CN"/>
          <w14:textFill>
            <w14:solidFill>
              <w14:schemeClr w14:val="tx1"/>
            </w14:solidFill>
          </w14:textFill>
        </w:rPr>
        <w:t>响应处理</w:t>
      </w:r>
      <w:r>
        <w:rPr>
          <w:rFonts w:hint="eastAsia" w:ascii="宋体" w:hAnsi="宋体" w:cs="宋体"/>
          <w:color w:val="000000" w:themeColor="text1"/>
          <w:spacing w:val="-1"/>
          <w14:textFill>
            <w14:solidFill>
              <w14:schemeClr w14:val="tx1"/>
            </w14:solidFill>
          </w14:textFill>
        </w:rPr>
        <w:t>）</w:t>
      </w:r>
    </w:p>
    <w:p w14:paraId="4DD3292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6.采购需求：拟</w:t>
      </w:r>
      <w:r>
        <w:rPr>
          <w:rFonts w:hint="eastAsia" w:ascii="宋体" w:hAnsi="宋体" w:cs="宋体"/>
          <w:color w:val="000000" w:themeColor="text1"/>
          <w:szCs w:val="21"/>
          <w:lang w:val="en-US" w:eastAsia="zh-CN"/>
          <w14:textFill>
            <w14:solidFill>
              <w14:schemeClr w14:val="tx1"/>
            </w14:solidFill>
          </w14:textFill>
        </w:rPr>
        <w:t>于</w:t>
      </w:r>
      <w:r>
        <w:rPr>
          <w:rFonts w:hint="eastAsia" w:ascii="宋体" w:hAnsi="宋体" w:cs="宋体"/>
          <w:color w:val="000000" w:themeColor="text1"/>
          <w:szCs w:val="21"/>
          <w14:textFill>
            <w14:solidFill>
              <w14:schemeClr w14:val="tx1"/>
            </w14:solidFill>
          </w14:textFill>
        </w:rPr>
        <w:t>海潮路南侧、欧洲城二期北侧、平安路西侧、珠光路东侧</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占地面积约5140㎡</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建设 1 个口袋公园，主要内容包括路面铺设、绿化、设施等</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楷体"/>
          <w:color w:val="000000" w:themeColor="text1"/>
          <w:spacing w:val="-1"/>
          <w:highlight w:val="none"/>
          <w14:textFill>
            <w14:solidFill>
              <w14:schemeClr w14:val="tx1"/>
            </w14:solidFill>
          </w14:textFill>
        </w:rPr>
        <w:t>具体详见</w:t>
      </w:r>
      <w:r>
        <w:rPr>
          <w:rFonts w:hint="eastAsia" w:ascii="宋体" w:hAnsi="宋体" w:cs="楷体"/>
          <w:color w:val="000000" w:themeColor="text1"/>
          <w:spacing w:val="-1"/>
          <w:highlight w:val="none"/>
          <w:lang w:val="en-US" w:eastAsia="zh-CN"/>
          <w14:textFill>
            <w14:solidFill>
              <w14:schemeClr w14:val="tx1"/>
            </w14:solidFill>
          </w14:textFill>
        </w:rPr>
        <w:t>图纸</w:t>
      </w:r>
      <w:r>
        <w:rPr>
          <w:rFonts w:hint="eastAsia" w:ascii="宋体" w:hAnsi="宋体" w:cs="楷体"/>
          <w:color w:val="000000" w:themeColor="text1"/>
          <w:spacing w:val="-1"/>
          <w:highlight w:val="none"/>
          <w:lang w:eastAsia="zh-CN"/>
          <w14:textFill>
            <w14:solidFill>
              <w14:schemeClr w14:val="tx1"/>
            </w14:solidFill>
          </w14:textFill>
        </w:rPr>
        <w:t>、</w:t>
      </w:r>
      <w:r>
        <w:rPr>
          <w:rFonts w:hint="eastAsia" w:ascii="宋体" w:hAnsi="宋体" w:cs="楷体"/>
          <w:color w:val="000000" w:themeColor="text1"/>
          <w:spacing w:val="-1"/>
          <w:highlight w:val="none"/>
          <w14:textFill>
            <w14:solidFill>
              <w14:schemeClr w14:val="tx1"/>
            </w14:solidFill>
          </w14:textFill>
        </w:rPr>
        <w:t>工程量清单</w:t>
      </w:r>
      <w:r>
        <w:rPr>
          <w:rFonts w:hint="eastAsia" w:ascii="宋体" w:hAnsi="宋体" w:cs="宋体"/>
          <w:color w:val="000000" w:themeColor="text1"/>
          <w:szCs w:val="21"/>
          <w:highlight w:val="none"/>
          <w14:textFill>
            <w14:solidFill>
              <w14:schemeClr w14:val="tx1"/>
            </w14:solidFill>
          </w14:textFill>
        </w:rPr>
        <w:t>及采购文件第四章项目需求。</w:t>
      </w:r>
    </w:p>
    <w:p w14:paraId="120D9DE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7.合同履行期限：</w:t>
      </w:r>
      <w:r>
        <w:rPr>
          <w:rFonts w:hint="eastAsia" w:ascii="宋体" w:hAnsi="宋体" w:cs="宋体"/>
          <w:color w:val="000000" w:themeColor="text1"/>
          <w:szCs w:val="21"/>
          <w:lang w:eastAsia="zh-CN"/>
          <w14:textFill>
            <w14:solidFill>
              <w14:schemeClr w14:val="tx1"/>
            </w14:solidFill>
          </w14:textFill>
        </w:rPr>
        <w:t>90日历天</w:t>
      </w:r>
      <w:r>
        <w:rPr>
          <w:rFonts w:hint="eastAsia" w:ascii="宋体" w:hAnsi="宋体" w:cs="宋体"/>
          <w:color w:val="000000" w:themeColor="text1"/>
          <w:szCs w:val="21"/>
          <w14:textFill>
            <w14:solidFill>
              <w14:schemeClr w14:val="tx1"/>
            </w14:solidFill>
          </w14:textFill>
        </w:rPr>
        <w:t xml:space="preserve"> (以实际开工日期为准)。</w:t>
      </w:r>
    </w:p>
    <w:p w14:paraId="6378F62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8.本项目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不接受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联合体响应，中标后禁止转包和分包。</w:t>
      </w:r>
    </w:p>
    <w:p w14:paraId="4735210C">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7" w:name="_Toc109304964"/>
      <w:r>
        <w:rPr>
          <w:rFonts w:hint="eastAsia" w:ascii="宋体" w:hAnsi="宋体" w:cs="宋体"/>
          <w:bCs w:val="0"/>
          <w:color w:val="000000" w:themeColor="text1"/>
          <w:sz w:val="21"/>
          <w:szCs w:val="21"/>
          <w14:textFill>
            <w14:solidFill>
              <w14:schemeClr w14:val="tx1"/>
            </w14:solidFill>
          </w14:textFill>
        </w:rPr>
        <w:t>二、申请人的资格要求：</w:t>
      </w:r>
      <w:bookmarkEnd w:id="7"/>
    </w:p>
    <w:p w14:paraId="5BBDBD2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37615ACE">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1.1法人或者其他组织的营业执照等证明文件，自然人身份证明；</w:t>
      </w:r>
    </w:p>
    <w:p w14:paraId="61007608">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p w14:paraId="414B2F09">
      <w:pPr>
        <w:spacing w:line="360" w:lineRule="auto"/>
        <w:ind w:firstLine="420" w:firstLineChars="200"/>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1.3供应商近三个月内任意一份依法纳税的缴款凭证；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（供应商依法享受缓缴、免缴的提供证明材料）</w:t>
      </w:r>
    </w:p>
    <w:p w14:paraId="0EF03EBE">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1.4上一年度财务</w:t>
      </w:r>
      <w:r>
        <w:rPr>
          <w:rFonts w:hint="eastAsia" w:ascii="宋体" w:hAnsi="宋体" w:cs="宋体"/>
          <w:i/>
          <w:iCs/>
          <w:color w:val="000000" w:themeColor="text1"/>
          <w:szCs w:val="21"/>
          <w:u w:val="single"/>
          <w:lang w:val="en-US" w:eastAsia="zh-CN"/>
          <w14:textFill>
            <w14:solidFill>
              <w14:schemeClr w14:val="tx1"/>
            </w14:solidFill>
          </w14:textFill>
        </w:rPr>
        <w:t>状况</w:t>
      </w:r>
      <w:r>
        <w:rPr>
          <w:rFonts w:hint="eastAsia" w:ascii="宋体" w:hAnsi="宋体" w:cs="宋体"/>
          <w:i/>
          <w:iCs/>
          <w:color w:val="000000" w:themeColor="text1"/>
          <w:szCs w:val="21"/>
          <w:u w:val="single"/>
          <w14:textFill>
            <w14:solidFill>
              <w14:schemeClr w14:val="tx1"/>
            </w14:solidFill>
          </w14:textFill>
        </w:rPr>
        <w:t>报告；</w:t>
      </w:r>
      <w:r>
        <w:rPr>
          <w:rFonts w:hint="eastAsia" w:ascii="宋体" w:hAnsi="宋体" w:cs="宋体"/>
          <w:b/>
          <w:bCs/>
          <w:i/>
          <w:iCs/>
          <w:color w:val="000000" w:themeColor="text1"/>
          <w:szCs w:val="21"/>
          <w:u w:val="single"/>
          <w14:textFill>
            <w14:solidFill>
              <w14:schemeClr w14:val="tx1"/>
            </w14:solidFill>
          </w14:textFill>
        </w:rPr>
        <w:t>（注册不满一年的无需提供）</w:t>
      </w:r>
    </w:p>
    <w:p w14:paraId="1B81D85D">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1.5具备履行合同所必需的设备和专业技术能力的证明材料；</w:t>
      </w:r>
    </w:p>
    <w:p w14:paraId="5FE25797">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1.6参加本次政府采购活动前3年内在经营活动中没有重大违法记录的书面声明；</w:t>
      </w:r>
    </w:p>
    <w:p w14:paraId="34157E1F">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1.7未被“信用中国”网站（www.creditchina.gov.cn）、“中国政府采购网"(www.ccgp.gov.cn)列入失信被执行人、重大税收违法案件当事人名单、政府采购严重违法失信行为记录名单；</w:t>
      </w:r>
    </w:p>
    <w:p w14:paraId="58AD20A4">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1.8供应商信用承诺函。</w:t>
      </w:r>
    </w:p>
    <w:p w14:paraId="5F1BA6E3">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w:t>
      </w:r>
      <w:r>
        <w:rPr>
          <w:rFonts w:hint="eastAsia" w:ascii="宋体" w:hAnsi="宋体" w:cs="宋体"/>
          <w:i/>
          <w:iCs/>
          <w:color w:val="000000" w:themeColor="text1"/>
          <w:szCs w:val="21"/>
          <w:u w:val="single"/>
          <w14:textFill>
            <w14:solidFill>
              <w14:schemeClr w14:val="tx1"/>
            </w14:solidFill>
          </w14:textFill>
        </w:rPr>
        <w:t>根据《政府采购促进中小企业发展管理办法》（财库〔2020〕46 号）规定，本项目专门面向中小企业采购，供应商磋商响应时须提供《中小企业声明函》，《中小企业声明函》不符合要求或未提供的，响应文件无效。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本项目采购标的按中小企业划分标准所属行业区分为建筑业。</w:t>
      </w:r>
    </w:p>
    <w:p w14:paraId="0EF9811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p>
    <w:p w14:paraId="76EEEB7A">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3.1供应商须具备市政公用工程施工总承包叁级及以上资质和</w:t>
      </w:r>
      <w:r>
        <w:rPr>
          <w:rFonts w:hint="eastAsia" w:ascii="宋体" w:hAnsi="宋体" w:cs="宋体"/>
          <w:i/>
          <w:iCs/>
          <w:color w:val="000000" w:themeColor="text1"/>
          <w:szCs w:val="21"/>
          <w:u w:val="single"/>
          <w:lang w:val="en"/>
          <w14:textFill>
            <w14:solidFill>
              <w14:schemeClr w14:val="tx1"/>
            </w14:solidFill>
          </w14:textFill>
        </w:rPr>
        <w:t>省级及以上建设行政主管部门核发的《安全生产许可证》</w:t>
      </w:r>
      <w:r>
        <w:rPr>
          <w:rFonts w:hint="eastAsia" w:ascii="宋体" w:hAnsi="宋体" w:cs="宋体"/>
          <w:i/>
          <w:iCs/>
          <w:color w:val="000000" w:themeColor="text1"/>
          <w:szCs w:val="21"/>
          <w:u w:val="single"/>
          <w14:textFill>
            <w14:solidFill>
              <w14:schemeClr w14:val="tx1"/>
            </w14:solidFill>
          </w14:textFill>
        </w:rPr>
        <w:t>；</w:t>
      </w:r>
    </w:p>
    <w:p w14:paraId="2A5D4A43">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3.2</w:t>
      </w:r>
      <w:r>
        <w:rPr>
          <w:rFonts w:hint="eastAsia" w:ascii="宋体" w:hAnsi="宋体" w:cs="宋体"/>
          <w:i/>
          <w:iCs/>
          <w:color w:val="000000" w:themeColor="text1"/>
          <w:szCs w:val="21"/>
          <w:u w:val="single"/>
          <w:lang w:val="en"/>
          <w14:textFill>
            <w14:solidFill>
              <w14:schemeClr w14:val="tx1"/>
            </w14:solidFill>
          </w14:textFill>
        </w:rPr>
        <w:t>拟投入本项目的项目负责人</w:t>
      </w:r>
      <w:r>
        <w:rPr>
          <w:rFonts w:hint="eastAsia" w:ascii="宋体" w:hAnsi="宋体" w:cs="宋体"/>
          <w:i/>
          <w:iCs/>
          <w:color w:val="000000" w:themeColor="text1"/>
          <w:szCs w:val="21"/>
          <w:u w:val="single"/>
          <w14:textFill>
            <w14:solidFill>
              <w14:schemeClr w14:val="tx1"/>
            </w14:solidFill>
          </w14:textFill>
        </w:rPr>
        <w:t>须</w:t>
      </w:r>
      <w:r>
        <w:rPr>
          <w:rFonts w:hint="eastAsia" w:ascii="宋体" w:hAnsi="宋体" w:cs="宋体"/>
          <w:i/>
          <w:iCs/>
          <w:color w:val="000000" w:themeColor="text1"/>
          <w:szCs w:val="21"/>
          <w:u w:val="single"/>
          <w:lang w:val="en"/>
          <w14:textFill>
            <w14:solidFill>
              <w14:schemeClr w14:val="tx1"/>
            </w14:solidFill>
          </w14:textFill>
        </w:rPr>
        <w:t>具备</w:t>
      </w:r>
      <w:r>
        <w:rPr>
          <w:rFonts w:hint="eastAsia" w:ascii="宋体" w:hAnsi="宋体" w:cs="宋体"/>
          <w:i/>
          <w:iCs/>
          <w:color w:val="000000" w:themeColor="text1"/>
          <w:szCs w:val="21"/>
          <w:u w:val="single"/>
          <w:lang w:val="en-US" w:eastAsia="zh-CN"/>
          <w14:textFill>
            <w14:solidFill>
              <w14:schemeClr w14:val="tx1"/>
            </w14:solidFill>
          </w14:textFill>
        </w:rPr>
        <w:t>市政公用工程专业</w:t>
      </w:r>
      <w:r>
        <w:rPr>
          <w:rFonts w:hint="eastAsia" w:ascii="宋体" w:hAnsi="宋体" w:cs="宋体"/>
          <w:i/>
          <w:iCs/>
          <w:color w:val="000000" w:themeColor="text1"/>
          <w:szCs w:val="21"/>
          <w:u w:val="single"/>
          <w:lang w:val="en"/>
          <w14:textFill>
            <w14:solidFill>
              <w14:schemeClr w14:val="tx1"/>
            </w14:solidFill>
          </w14:textFill>
        </w:rPr>
        <w:t>二级（含）以上注册建造师执业资格</w:t>
      </w:r>
      <w:r>
        <w:rPr>
          <w:rFonts w:hint="eastAsia" w:ascii="宋体" w:hAnsi="宋体" w:cs="宋体"/>
          <w:i/>
          <w:iCs/>
          <w:color w:val="000000" w:themeColor="text1"/>
          <w:szCs w:val="21"/>
          <w:u w:val="single"/>
          <w14:textFill>
            <w14:solidFill>
              <w14:schemeClr w14:val="tx1"/>
            </w14:solidFill>
          </w14:textFill>
        </w:rPr>
        <w:t>和</w:t>
      </w:r>
      <w:r>
        <w:rPr>
          <w:rFonts w:hint="eastAsia" w:ascii="宋体" w:hAnsi="宋体" w:cs="宋体"/>
          <w:i/>
          <w:iCs/>
          <w:color w:val="000000" w:themeColor="text1"/>
          <w:szCs w:val="21"/>
          <w:u w:val="single"/>
          <w:lang w:val="en"/>
          <w14:textFill>
            <w14:solidFill>
              <w14:schemeClr w14:val="tx1"/>
            </w14:solidFill>
          </w14:textFill>
        </w:rPr>
        <w:t>有效的安全生产考核合格证书（</w:t>
      </w:r>
      <w:r>
        <w:rPr>
          <w:rFonts w:hint="eastAsia" w:ascii="宋体" w:hAnsi="宋体" w:cs="宋体"/>
          <w:i/>
          <w:iCs/>
          <w:color w:val="000000" w:themeColor="text1"/>
          <w:szCs w:val="21"/>
          <w:u w:val="single"/>
          <w14:textFill>
            <w14:solidFill>
              <w14:schemeClr w14:val="tx1"/>
            </w14:solidFill>
          </w14:textFill>
        </w:rPr>
        <w:t>B证</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并提供近三个月内任意一个月社保缴纳证明材料，</w:t>
      </w:r>
      <w:r>
        <w:rPr>
          <w:rFonts w:hint="eastAsia" w:ascii="宋体" w:hAnsi="宋体" w:cs="宋体"/>
          <w:i/>
          <w:iCs/>
          <w:color w:val="000000" w:themeColor="text1"/>
          <w:szCs w:val="21"/>
          <w:u w:val="single"/>
          <w:lang w:val="en"/>
          <w14:textFill>
            <w14:solidFill>
              <w14:schemeClr w14:val="tx1"/>
            </w14:solidFill>
          </w14:textFill>
        </w:rPr>
        <w:t>且无在</w:t>
      </w:r>
      <w:r>
        <w:rPr>
          <w:rFonts w:hint="eastAsia" w:ascii="宋体" w:hAnsi="宋体" w:cs="宋体"/>
          <w:i/>
          <w:iCs/>
          <w:color w:val="000000" w:themeColor="text1"/>
          <w:szCs w:val="21"/>
          <w:u w:val="single"/>
          <w14:textFill>
            <w14:solidFill>
              <w14:schemeClr w14:val="tx1"/>
            </w14:solidFill>
          </w14:textFill>
        </w:rPr>
        <w:t>建</w:t>
      </w:r>
      <w:r>
        <w:rPr>
          <w:rFonts w:hint="eastAsia" w:ascii="宋体" w:hAnsi="宋体" w:cs="宋体"/>
          <w:i/>
          <w:iCs/>
          <w:color w:val="000000" w:themeColor="text1"/>
          <w:szCs w:val="21"/>
          <w:u w:val="single"/>
          <w:lang w:val="en"/>
          <w14:textFill>
            <w14:solidFill>
              <w14:schemeClr w14:val="tx1"/>
            </w14:solidFill>
          </w14:textFill>
        </w:rPr>
        <w:t>工程（</w:t>
      </w:r>
      <w:r>
        <w:rPr>
          <w:rFonts w:hint="eastAsia" w:ascii="宋体" w:hAnsi="宋体" w:cs="宋体"/>
          <w:i/>
          <w:iCs/>
          <w:color w:val="000000" w:themeColor="text1"/>
          <w:szCs w:val="21"/>
          <w:u w:val="single"/>
          <w14:textFill>
            <w14:solidFill>
              <w14:schemeClr w14:val="tx1"/>
            </w14:solidFill>
          </w14:textFill>
        </w:rPr>
        <w:t>提供无在建工程承诺书</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w:t>
      </w:r>
    </w:p>
    <w:p w14:paraId="0D0B3526">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三、获取采购文件</w:t>
      </w:r>
      <w:bookmarkEnd w:id="5"/>
    </w:p>
    <w:p w14:paraId="0B9D5410">
      <w:pPr>
        <w:spacing w:line="360" w:lineRule="auto"/>
        <w:ind w:firstLine="420" w:firstLineChars="20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r>
        <w:rPr>
          <w:rFonts w:hint="eastAsia" w:ascii="宋体" w:hAnsi="宋体" w:cs="宋体"/>
          <w:color w:val="000000" w:themeColor="text1"/>
          <w14:textFill>
            <w14:solidFill>
              <w14:schemeClr w14:val="tx1"/>
            </w14:solidFill>
          </w14:textFill>
        </w:rPr>
        <w:t>自磋商公告发布之日起5个工作日。5个工作日后仍可下载采购文件，但不作为供应商权益受到损害的证明材料和依据。</w:t>
      </w:r>
    </w:p>
    <w:p w14:paraId="668BAFF4">
      <w:pPr>
        <w:spacing w:line="360" w:lineRule="auto"/>
        <w:ind w:firstLine="420" w:firstLineChars="200"/>
        <w:rPr>
          <w:rFonts w:ascii="宋体" w:hAnsi="宋体" w:cs="宋体"/>
          <w:color w:val="000000" w:themeColor="text1"/>
          <w:szCs w:val="21"/>
          <w14:textFill>
            <w14:solidFill>
              <w14:schemeClr w14:val="tx1"/>
            </w14:solidFill>
          </w14:textFill>
        </w:rPr>
      </w:pPr>
      <w:bookmarkStart w:id="8" w:name="_Toc109304966"/>
      <w:r>
        <w:rPr>
          <w:rFonts w:hint="eastAsia" w:ascii="宋体" w:hAnsi="宋体" w:cs="宋体"/>
          <w:color w:val="000000" w:themeColor="text1"/>
          <w:szCs w:val="21"/>
          <w14:textFill>
            <w14:solidFill>
              <w14:schemeClr w14:val="tx1"/>
            </w14:solidFill>
          </w14:textFill>
        </w:rPr>
        <w:t>2.地点：“苏采云”系统（网址：http://jszfcg.jsczt.cn/）  </w:t>
      </w:r>
    </w:p>
    <w:p w14:paraId="379057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3.方式：自行免费下载 </w:t>
      </w:r>
    </w:p>
    <w:p w14:paraId="159EEB3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4.售价：0.00元 </w:t>
      </w:r>
    </w:p>
    <w:p w14:paraId="5AC2DA42">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四、响应文件提交</w:t>
      </w:r>
      <w:bookmarkEnd w:id="8"/>
    </w:p>
    <w:p w14:paraId="480D31E9">
      <w:pPr>
        <w:spacing w:line="360" w:lineRule="auto"/>
        <w:ind w:firstLine="420" w:firstLineChars="200"/>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1.截止时间：</w:t>
      </w:r>
      <w:bookmarkStart w:id="9" w:name="XMTBJSR_2"/>
      <w:r>
        <w:rPr>
          <w:rFonts w:hint="eastAsia" w:ascii="宋体" w:hAnsi="宋体" w:cs="宋体"/>
          <w:bCs/>
          <w:color w:val="000000" w:themeColor="text1"/>
          <w:szCs w:val="21"/>
          <w:u w:val="single"/>
          <w:lang w:eastAsia="zh-CN"/>
          <w14:textFill>
            <w14:solidFill>
              <w14:schemeClr w14:val="tx1"/>
            </w14:solidFill>
          </w14:textFill>
        </w:rPr>
        <w:t>2026年07月13日</w:t>
      </w:r>
      <w:r>
        <w:rPr>
          <w:rFonts w:hint="eastAsia" w:ascii="宋体" w:hAnsi="宋体" w:cs="宋体"/>
          <w:bCs/>
          <w:color w:val="000000" w:themeColor="text1"/>
          <w:szCs w:val="21"/>
          <w:u w:val="single"/>
          <w14:textFill>
            <w14:solidFill>
              <w14:schemeClr w14:val="tx1"/>
            </w14:solidFill>
          </w14:textFill>
        </w:rPr>
        <w:t xml:space="preserve"> 09时00分</w:t>
      </w:r>
      <w:bookmarkEnd w:id="9"/>
      <w:r>
        <w:rPr>
          <w:rFonts w:hint="eastAsia" w:ascii="宋体" w:hAnsi="宋体" w:cs="宋体"/>
          <w:bCs/>
          <w:color w:val="000000" w:themeColor="text1"/>
          <w:szCs w:val="21"/>
          <w14:textFill>
            <w14:solidFill>
              <w14:schemeClr w14:val="tx1"/>
            </w14:solidFill>
          </w14:textFill>
        </w:rPr>
        <w:t>（北京时间）</w:t>
      </w:r>
    </w:p>
    <w:p w14:paraId="6F698F28">
      <w:pPr>
        <w:spacing w:line="360" w:lineRule="auto"/>
        <w:ind w:firstLine="422" w:firstLineChars="200"/>
        <w:rPr>
          <w:rFonts w:ascii="宋体" w:hAnsi="宋体" w:cs="宋体"/>
          <w:bCs/>
          <w:color w:val="000000" w:themeColor="text1"/>
          <w:szCs w:val="21"/>
          <w:u w:val="single"/>
          <w14:textFill>
            <w14:solidFill>
              <w14:schemeClr w14:val="tx1"/>
            </w14:solidFill>
          </w14:textFill>
        </w:rPr>
      </w:pPr>
      <w:bookmarkStart w:id="10" w:name="_Toc109304967"/>
      <w:r>
        <w:rPr>
          <w:rFonts w:hint="eastAsia" w:ascii="宋体" w:hAnsi="宋体" w:cs="宋体"/>
          <w:b/>
          <w:bCs/>
          <w:color w:val="000000" w:themeColor="text1"/>
          <w:szCs w:val="21"/>
          <w14:textFill>
            <w14:solidFill>
              <w14:schemeClr w14:val="tx1"/>
            </w14:solidFill>
          </w14:textFill>
        </w:rPr>
        <w:t>2.投标地点：“苏采云”系统（网址： http://jszfcg.jsczt.cn/）“报名详情”</w:t>
      </w:r>
    </w:p>
    <w:p w14:paraId="0B792E07">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五、开启</w:t>
      </w:r>
      <w:bookmarkEnd w:id="10"/>
    </w:p>
    <w:p w14:paraId="5AC6DB03">
      <w:pPr>
        <w:pStyle w:val="5"/>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bookmarkStart w:id="11" w:name="XMTBJSR_3"/>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u w:val="single"/>
          <w:lang w:eastAsia="zh-CN"/>
          <w14:textFill>
            <w14:solidFill>
              <w14:schemeClr w14:val="tx1"/>
            </w14:solidFill>
          </w14:textFill>
        </w:rPr>
        <w:t>2026年07月13日</w:t>
      </w:r>
      <w:r>
        <w:rPr>
          <w:rFonts w:hint="eastAsia" w:ascii="宋体" w:hAnsi="宋体" w:cs="宋体"/>
          <w:bCs/>
          <w:color w:val="000000" w:themeColor="text1"/>
          <w:szCs w:val="21"/>
          <w:u w:val="single"/>
          <w14:textFill>
            <w14:solidFill>
              <w14:schemeClr w14:val="tx1"/>
            </w14:solidFill>
          </w14:textFill>
        </w:rPr>
        <w:t xml:space="preserve"> 09时00分</w:t>
      </w:r>
      <w:bookmarkEnd w:id="11"/>
      <w:r>
        <w:rPr>
          <w:rFonts w:hint="eastAsia" w:ascii="宋体" w:hAnsi="宋体" w:cs="宋体"/>
          <w:bCs/>
          <w:color w:val="000000" w:themeColor="text1"/>
          <w:szCs w:val="21"/>
          <w14:textFill>
            <w14:solidFill>
              <w14:schemeClr w14:val="tx1"/>
            </w14:solidFill>
          </w14:textFill>
        </w:rPr>
        <w:t>（北京时间）</w:t>
      </w:r>
    </w:p>
    <w:p w14:paraId="33A8D55C">
      <w:pPr>
        <w:spacing w:line="360" w:lineRule="auto"/>
        <w:ind w:firstLine="422" w:firstLineChars="200"/>
        <w:rPr>
          <w:rFonts w:ascii="宋体" w:hAnsi="宋体" w:cs="宋体"/>
          <w:b/>
          <w:color w:val="000000" w:themeColor="text1"/>
          <w:szCs w:val="21"/>
          <w14:textFill>
            <w14:solidFill>
              <w14:schemeClr w14:val="tx1"/>
            </w14:solidFill>
          </w14:textFill>
        </w:rPr>
      </w:pPr>
      <w:bookmarkStart w:id="12" w:name="_Toc109304968"/>
      <w:r>
        <w:rPr>
          <w:rFonts w:hint="eastAsia" w:ascii="宋体" w:hAnsi="宋体" w:cs="宋体"/>
          <w:b/>
          <w:color w:val="000000" w:themeColor="text1"/>
          <w:szCs w:val="21"/>
          <w14:textFill>
            <w14:solidFill>
              <w14:schemeClr w14:val="tx1"/>
            </w14:solidFill>
          </w14:textFill>
        </w:rPr>
        <w:t>2.开标地点：“苏采云”系统（网址： http://jszfcg.jsczt.cn/）“开标大厅”</w:t>
      </w:r>
    </w:p>
    <w:p w14:paraId="3E3817FC">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六、公告期限</w:t>
      </w:r>
      <w:bookmarkEnd w:id="12"/>
    </w:p>
    <w:p w14:paraId="37A489B6">
      <w:pPr>
        <w:spacing w:line="360" w:lineRule="auto"/>
        <w:ind w:firstLine="420"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自本公告发布之日起5个工作日。</w:t>
      </w:r>
      <w:bookmarkStart w:id="13" w:name="_Toc109304969"/>
    </w:p>
    <w:p w14:paraId="1836ABFE">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七、其他补充事宜</w:t>
      </w:r>
      <w:bookmarkEnd w:id="13"/>
    </w:p>
    <w:p w14:paraId="090F1A8B">
      <w:pPr>
        <w:widowControl/>
        <w:spacing w:line="360" w:lineRule="auto"/>
        <w:ind w:firstLine="420" w:firstLineChars="200"/>
        <w:jc w:val="left"/>
        <w:rPr>
          <w:rFonts w:ascii="宋体" w:hAnsi="宋体" w:cs="宋体"/>
          <w:color w:val="000000" w:themeColor="text1"/>
          <w14:textFill>
            <w14:solidFill>
              <w14:schemeClr w14:val="tx1"/>
            </w14:solidFill>
          </w14:textFill>
        </w:rPr>
      </w:pPr>
      <w:bookmarkStart w:id="14" w:name="_Toc109304970"/>
      <w:r>
        <w:rPr>
          <w:rFonts w:hint="eastAsia" w:ascii="宋体" w:hAnsi="宋体" w:cs="宋体"/>
          <w:color w:val="000000" w:themeColor="text1"/>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A12E4C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2.供应商如确定参加磋商，可自行下载采购文件及有关资料，按照《操作手册》进行注册，领取CA和办理电子签章，并按《操作手册》要求制作、上传电子响应文件，技术支持联系方式：13813140731。</w:t>
      </w:r>
    </w:p>
    <w:p w14:paraId="7FA30245">
      <w:pPr>
        <w:widowControl/>
        <w:spacing w:line="360" w:lineRule="auto"/>
        <w:ind w:firstLine="420" w:firstLineChars="20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6177A1D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4.潜在供应商对采购文件项目需求部分的询问、质疑请向采购人提出，由采购人负责答复。</w:t>
      </w:r>
    </w:p>
    <w:p w14:paraId="4C812530">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5.本次采购不收取投标保证金和履约保证金。</w:t>
      </w:r>
    </w:p>
    <w:p w14:paraId="7C476D0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6.有关本次采购的事项若存在变动或修改，敬请及时关注“扬州市政府采购网”、“江苏省政府采购网”发布的信息。</w:t>
      </w:r>
    </w:p>
    <w:p w14:paraId="40BD23A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7.落实好政府采购履约资金扶持政策。中标/成交供应商可凭政府采购合同办理融资贷款，详见江苏政府采购网“政采贷”专栏。</w:t>
      </w:r>
    </w:p>
    <w:p w14:paraId="27941D2F">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83CBA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FFB0BA3">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10.潜在供应商访问政府采购管理交易系统（苏采云）的网络地址和方法：</w:t>
      </w:r>
    </w:p>
    <w:p w14:paraId="070D308C">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669BB2D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（2）“CA数字证书”的获取：供应商需办理CA锁，“苏采云”系统目前仅支持“苏采云”系统下的政务CA，省内各地区办理的“苏采云”系统下的政务CA全省通用。</w:t>
      </w:r>
    </w:p>
    <w:p w14:paraId="6D30917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（3）“CA数字证书”的办理材料以及供应商操作手册详见：</w:t>
      </w:r>
    </w:p>
    <w:p w14:paraId="4774598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http://zfcg.yangzhou.gov.cn/zfcg/xzzx/202309/4d7de1f7865f4a2894fc22bc452f94d8.shtml。</w:t>
      </w:r>
    </w:p>
    <w:p w14:paraId="28937C3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（4）潜在供应商访问“苏采云”系统的网络地址和方法：“苏采云”系统的网址：http://jszfcg.jsczt.cn/。</w:t>
      </w:r>
    </w:p>
    <w:p w14:paraId="03B8615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（5）采购文件（后缀名为“.kedt”）、供应商操作手册及政府采购客户端工具也可通过“苏采云”系统--已报名项目--报名详情页面内相应链接进行下载。</w:t>
      </w:r>
    </w:p>
    <w:p w14:paraId="19BF0736">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（6）招标代理机构（采购代理机构）将数据电文形式的采购文件加载至“苏采云”系统，供潜在供应商下载或者查阅。     </w:t>
      </w:r>
    </w:p>
    <w:p w14:paraId="46223168">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（7）苏采云系统使用谷歌浏览器参与不见面开标。</w:t>
      </w:r>
    </w:p>
    <w:p w14:paraId="52EE02B5">
      <w:pPr>
        <w:widowControl/>
        <w:spacing w:line="360" w:lineRule="auto"/>
        <w:ind w:firstLine="420" w:firstLineChars="200"/>
        <w:jc w:val="left"/>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w:t>
      </w:r>
      <w:r>
        <w:rPr>
          <w:rFonts w:hint="eastAsia" w:ascii="宋体" w:hAnsi="宋体" w:cs="宋体"/>
          <w:b w:val="0"/>
          <w:bCs w:val="0"/>
          <w:color w:val="000000" w:themeColor="text1"/>
          <w14:textFill>
            <w14:solidFill>
              <w14:schemeClr w14:val="tx1"/>
            </w14:solidFill>
          </w14:textFill>
        </w:rPr>
        <w:t>本项目严格按照</w:t>
      </w:r>
      <w:r>
        <w:rPr>
          <w:rFonts w:hint="eastAsia" w:ascii="宋体" w:hAnsi="宋体" w:cs="宋体"/>
          <w:b w:val="0"/>
          <w:bCs w:val="0"/>
          <w:color w:val="000000" w:themeColor="text1"/>
          <w:lang w:val="en-US" w:eastAsia="zh-CN"/>
          <w14:textFill>
            <w14:solidFill>
              <w14:schemeClr w14:val="tx1"/>
            </w14:solidFill>
          </w14:textFill>
        </w:rPr>
        <w:t>财库</w:t>
      </w:r>
      <w:r>
        <w:rPr>
          <w:rFonts w:hint="eastAsia" w:ascii="宋体" w:hAnsi="宋体" w:cs="宋体"/>
          <w:b w:val="0"/>
          <w:bCs w:val="0"/>
          <w:color w:val="000000" w:themeColor="text1"/>
          <w14:textFill>
            <w14:solidFill>
              <w14:schemeClr w14:val="tx1"/>
            </w14:solidFill>
          </w14:textFill>
        </w:rPr>
        <w:t>[202</w:t>
      </w:r>
      <w:r>
        <w:rPr>
          <w:rFonts w:hint="eastAsia" w:ascii="宋体" w:hAnsi="宋体" w:cs="宋体"/>
          <w:b w:val="0"/>
          <w:bCs w:val="0"/>
          <w:color w:val="000000" w:themeColor="text1"/>
          <w:lang w:val="en-US" w:eastAsia="zh-CN"/>
          <w14:textFill>
            <w14:solidFill>
              <w14:schemeClr w14:val="tx1"/>
            </w14:solidFill>
          </w14:textFill>
        </w:rPr>
        <w:t>6</w:t>
      </w:r>
      <w:r>
        <w:rPr>
          <w:rFonts w:hint="eastAsia" w:ascii="宋体" w:hAnsi="宋体" w:cs="宋体"/>
          <w:b w:val="0"/>
          <w:bCs w:val="0"/>
          <w:color w:val="000000" w:themeColor="text1"/>
          <w14:textFill>
            <w14:solidFill>
              <w14:schemeClr w14:val="tx1"/>
            </w14:solidFill>
          </w14:textFill>
        </w:rPr>
        <w:t>]2号文的规定，进行异常低价投标的审查程序。</w:t>
      </w:r>
    </w:p>
    <w:p w14:paraId="6A174FB3">
      <w:pPr>
        <w:widowControl/>
        <w:spacing w:line="360" w:lineRule="auto"/>
        <w:ind w:firstLine="420" w:firstLineChars="200"/>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12.拒绝下述供应商参加本次采购活动</w:t>
      </w:r>
      <w:r>
        <w:rPr>
          <w:rFonts w:hint="eastAsia" w:ascii="宋体" w:hAnsi="宋体" w:cs="宋体"/>
          <w:color w:val="000000" w:themeColor="text1"/>
          <w:lang w:eastAsia="zh-CN"/>
          <w14:textFill>
            <w14:solidFill>
              <w14:schemeClr w14:val="tx1"/>
            </w14:solidFill>
          </w14:textFill>
        </w:rPr>
        <w:t>：</w:t>
      </w:r>
    </w:p>
    <w:p w14:paraId="6A0475A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①供应商单位负责人为同一人或者存在直接控股、管理关系的不同供应商，不得参加同一合同项下的政府采购活动。</w:t>
      </w:r>
    </w:p>
    <w:p w14:paraId="756FA42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②凡为采购项目提供整体设计、规范编制或者项目管理、监理、检测等服务的供应商，不得再参加该项目的其他采购活动。</w:t>
      </w:r>
    </w:p>
    <w:p w14:paraId="6B5BE051">
      <w:pPr>
        <w:widowControl/>
        <w:spacing w:line="360" w:lineRule="auto"/>
        <w:ind w:firstLine="420" w:firstLineChars="200"/>
        <w:jc w:val="left"/>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13.</w:t>
      </w:r>
      <w:r>
        <w:rPr>
          <w:rFonts w:hint="eastAsia" w:ascii="宋体" w:hAnsi="宋体" w:cs="宋体"/>
          <w:b/>
          <w:bCs/>
          <w:i/>
          <w:iCs/>
          <w:color w:val="000000" w:themeColor="text1"/>
          <w:u w:val="single"/>
          <w14:textFill>
            <w14:solidFill>
              <w14:schemeClr w14:val="tx1"/>
            </w14:solidFill>
          </w14:textFill>
        </w:rPr>
        <w:t>本项目采购文件中所有斜体下划线部分为实质性条款，如不满足，则为无效响应。</w:t>
      </w:r>
    </w:p>
    <w:p w14:paraId="4E7E9D6A">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八、本次竞争性磋商联系方式</w:t>
      </w:r>
      <w:bookmarkEnd w:id="14"/>
    </w:p>
    <w:p w14:paraId="4B224D1D">
      <w:pPr>
        <w:pStyle w:val="15"/>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1.采购人信息</w:t>
      </w:r>
    </w:p>
    <w:bookmarkEnd w:id="0"/>
    <w:p w14:paraId="4F3493EE">
      <w:pPr>
        <w:pStyle w:val="15"/>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bookmarkStart w:id="15" w:name="_Toc109304972"/>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高邮市住房和城乡建设局</w:t>
      </w:r>
    </w:p>
    <w:p w14:paraId="56C933CA">
      <w:pPr>
        <w:pStyle w:val="15"/>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地址：高邮市长生路 25 号‌</w:t>
      </w:r>
    </w:p>
    <w:p w14:paraId="17CA1AB8">
      <w:pPr>
        <w:pStyle w:val="15"/>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w:t>
      </w:r>
      <w:r>
        <w:rPr>
          <w:rFonts w:hint="eastAsia" w:hAnsi="宋体" w:cs="宋体"/>
          <w:color w:val="000000" w:themeColor="text1"/>
          <w:kern w:val="2"/>
          <w:sz w:val="21"/>
          <w:szCs w:val="22"/>
          <w:lang w:val="en-US" w:eastAsia="zh-CN"/>
          <w14:textFill>
            <w14:solidFill>
              <w14:schemeClr w14:val="tx1"/>
            </w14:solidFill>
          </w14:textFill>
        </w:rPr>
        <w:t>王先生</w:t>
      </w:r>
    </w:p>
    <w:p w14:paraId="0ECC65E3">
      <w:pPr>
        <w:pStyle w:val="15"/>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bookmarkStart w:id="16" w:name="_Toc28359020"/>
      <w:bookmarkStart w:id="17" w:name="_Toc35393807"/>
      <w:bookmarkStart w:id="18" w:name="_Toc35393638"/>
      <w:bookmarkStart w:id="19" w:name="_Toc28359097"/>
      <w:r>
        <w:rPr>
          <w:rFonts w:hint="eastAsia" w:hAnsi="宋体" w:cs="宋体"/>
          <w:color w:val="000000" w:themeColor="text1"/>
          <w:kern w:val="2"/>
          <w:sz w:val="21"/>
          <w:szCs w:val="22"/>
          <w14:textFill>
            <w14:solidFill>
              <w14:schemeClr w14:val="tx1"/>
            </w14:solidFill>
          </w14:textFill>
        </w:rPr>
        <w:t>联系电话：</w:t>
      </w:r>
      <w:r>
        <w:rPr>
          <w:rFonts w:hint="eastAsia" w:hAnsi="宋体" w:cs="宋体"/>
          <w:color w:val="000000" w:themeColor="text1"/>
          <w:kern w:val="2"/>
          <w:sz w:val="21"/>
          <w:szCs w:val="22"/>
          <w:lang w:val="en-US" w:eastAsia="zh-CN"/>
          <w14:textFill>
            <w14:solidFill>
              <w14:schemeClr w14:val="tx1"/>
            </w14:solidFill>
          </w14:textFill>
        </w:rPr>
        <w:t>15895737191</w:t>
      </w:r>
    </w:p>
    <w:p w14:paraId="398C7323">
      <w:pPr>
        <w:pStyle w:val="15"/>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2.采购代理机构信息</w:t>
      </w:r>
      <w:bookmarkEnd w:id="16"/>
      <w:bookmarkEnd w:id="17"/>
      <w:bookmarkEnd w:id="18"/>
      <w:bookmarkEnd w:id="19"/>
    </w:p>
    <w:p w14:paraId="33045EE1">
      <w:pPr>
        <w:pStyle w:val="15"/>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扬州市盛业工程咨询有限公司</w:t>
      </w:r>
    </w:p>
    <w:p w14:paraId="06C44AF1">
      <w:pPr>
        <w:pStyle w:val="15"/>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w:t>
      </w:r>
      <w:r>
        <w:rPr>
          <w:rFonts w:hint="eastAsia" w:hAnsi="宋体" w:cs="宋体"/>
          <w:color w:val="000000" w:themeColor="text1"/>
          <w:kern w:val="2"/>
          <w:sz w:val="21"/>
          <w:szCs w:val="22"/>
          <w:lang w:val="en" w:eastAsia="zh-CN"/>
          <w14:textFill>
            <w14:solidFill>
              <w14:schemeClr w14:val="tx1"/>
            </w14:solidFill>
          </w14:textFill>
        </w:rPr>
        <w:t>高邮市翰林路步康花苑11号楼西楼3层</w:t>
      </w:r>
    </w:p>
    <w:p w14:paraId="756A2CB1">
      <w:pPr>
        <w:pStyle w:val="15"/>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w:t>
      </w:r>
      <w:r>
        <w:rPr>
          <w:rFonts w:hint="eastAsia" w:hAnsi="宋体" w:cs="宋体"/>
          <w:color w:val="000000" w:themeColor="text1"/>
          <w:kern w:val="2"/>
          <w:sz w:val="21"/>
          <w:szCs w:val="22"/>
          <w:lang w:val="en-US" w:eastAsia="zh-CN"/>
          <w14:textFill>
            <w14:solidFill>
              <w14:schemeClr w14:val="tx1"/>
            </w14:solidFill>
          </w14:textFill>
        </w:rPr>
        <w:t xml:space="preserve">朱  </w:t>
      </w:r>
      <w:r>
        <w:rPr>
          <w:rFonts w:hint="eastAsia" w:hAnsi="宋体" w:cs="宋体"/>
          <w:color w:val="000000" w:themeColor="text1"/>
          <w:kern w:val="2"/>
          <w:sz w:val="21"/>
          <w:szCs w:val="22"/>
          <w14:textFill>
            <w14:solidFill>
              <w14:schemeClr w14:val="tx1"/>
            </w14:solidFill>
          </w14:textFill>
        </w:rPr>
        <w:t>工</w:t>
      </w:r>
    </w:p>
    <w:p w14:paraId="208A9069">
      <w:pPr>
        <w:pStyle w:val="15"/>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联系电话：0514-84630965</w:t>
      </w:r>
    </w:p>
    <w:p w14:paraId="795B46E9">
      <w:pPr>
        <w:spacing w:line="360" w:lineRule="auto"/>
        <w:rPr>
          <w:rFonts w:ascii="宋体" w:hAnsi="宋体" w:cs="宋体"/>
          <w:color w:val="000000" w:themeColor="text1"/>
          <w14:textFill>
            <w14:solidFill>
              <w14:schemeClr w14:val="tx1"/>
            </w14:solidFill>
          </w14:textFill>
        </w:rPr>
      </w:pPr>
    </w:p>
    <w:p w14:paraId="1D28DE30">
      <w:pPr>
        <w:spacing w:line="360" w:lineRule="auto"/>
        <w:rPr>
          <w:rFonts w:ascii="宋体" w:hAnsi="宋体" w:cs="宋体"/>
          <w:color w:val="000000" w:themeColor="text1"/>
          <w14:textFill>
            <w14:solidFill>
              <w14:schemeClr w14:val="tx1"/>
            </w14:solidFill>
          </w14:textFill>
        </w:rPr>
      </w:pPr>
    </w:p>
    <w:p w14:paraId="1B0452B6">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7330321A">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第二章 磋商须知</w:t>
      </w:r>
      <w:bookmarkEnd w:id="15"/>
    </w:p>
    <w:p w14:paraId="1014C0D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1、采购方式</w:t>
      </w:r>
    </w:p>
    <w:p w14:paraId="42A17D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 本次采购采取竞争性磋商方式，本采购文件仅适用于本公告中所述项目。</w:t>
      </w:r>
    </w:p>
    <w:p w14:paraId="463B0B2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2、供应商</w:t>
      </w:r>
    </w:p>
    <w:p w14:paraId="6C131EA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2.1 参加竞争性磋商的供应商以下简称“供应商”，是指参加磋商并符合采购文件规定资格条件的法人、其他组织或者自然人。</w:t>
      </w:r>
    </w:p>
    <w:p w14:paraId="16BFD7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2.2合格的供应商</w:t>
      </w:r>
    </w:p>
    <w:p w14:paraId="0D4B7F8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 满足采购公告中供应商的资格条件要求的规定。</w:t>
      </w:r>
    </w:p>
    <w:p w14:paraId="718D5AB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 满足本文件实质性条款的规定。</w:t>
      </w:r>
    </w:p>
    <w:p w14:paraId="1005CB4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3、适用法律</w:t>
      </w:r>
    </w:p>
    <w:p w14:paraId="45D0335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3.1 本次采购及由此产生的合同受中华人民共和国有关的法律法规制约和保护。</w:t>
      </w:r>
    </w:p>
    <w:p w14:paraId="3A1A7ACD">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4、参加磋商费用</w:t>
      </w:r>
    </w:p>
    <w:p w14:paraId="61CC1F4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 供应商应自行承担所有与参加磋商有关的费用，无论磋商过程中的做法和结果如何，(以下简称代理机构)在任何情况下均无义务和责任承担这些费用。</w:t>
      </w:r>
    </w:p>
    <w:p w14:paraId="5D1975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w:t>
      </w:r>
      <w:bookmarkStart w:id="20" w:name="_Hlk115095815"/>
      <w:r>
        <w:rPr>
          <w:rFonts w:hint="eastAsia" w:ascii="宋体" w:hAnsi="宋体" w:cs="宋体"/>
          <w:color w:val="000000" w:themeColor="text1"/>
          <w14:textFill>
            <w14:solidFill>
              <w14:schemeClr w14:val="tx1"/>
            </w14:solidFill>
          </w14:textFill>
        </w:rPr>
        <w:t>本次采购代理服务费由成交单位在领取成交通知书前，按照国家计委印发的《招标代理服务收费管理暂行办法》(计价格【2002】1980号文)标准一次性支付给招标代理机构。</w:t>
      </w:r>
    </w:p>
    <w:p w14:paraId="1103C8F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（1）代理服务费以人民币支付；</w:t>
      </w:r>
    </w:p>
    <w:p w14:paraId="2414B8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（2）代理服务费一次性以电汇、转账等非现金形式支付；</w:t>
      </w:r>
    </w:p>
    <w:p w14:paraId="7BBC892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（3）招标代理服务费不在报价中单列，包含在磋商总价中，由成交单位</w:t>
      </w:r>
      <w:r>
        <w:rPr>
          <w:rFonts w:hint="eastAsia" w:ascii="宋体" w:hAnsi="宋体" w:cs="宋体"/>
          <w:color w:val="000000" w:themeColor="text1"/>
          <w:lang w:val="en-US" w:eastAsia="zh-CN"/>
          <w14:textFill>
            <w14:solidFill>
              <w14:schemeClr w14:val="tx1"/>
            </w14:solidFill>
          </w14:textFill>
        </w:rPr>
        <w:t>综合考虑报价</w:t>
      </w:r>
      <w:r>
        <w:rPr>
          <w:rFonts w:hint="eastAsia" w:ascii="宋体" w:hAnsi="宋体" w:cs="宋体"/>
          <w:color w:val="000000" w:themeColor="text1"/>
          <w14:textFill>
            <w14:solidFill>
              <w14:schemeClr w14:val="tx1"/>
            </w14:solidFill>
          </w14:textFill>
        </w:rPr>
        <w:t>。</w:t>
      </w:r>
    </w:p>
    <w:p w14:paraId="3AA3C564">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4.3专家评审费按扬财购【2020】40号文《关于进一步规范扬州市政府采购专家评审费标准的通知》执行。 </w:t>
      </w:r>
    </w:p>
    <w:bookmarkEnd w:id="20"/>
    <w:p w14:paraId="0DC833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5、采购文件的约束力</w:t>
      </w:r>
    </w:p>
    <w:p w14:paraId="46A8B8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5.1 供应商一旦参加本项目采购活动，即被认为接受了本采购文件的规定和约束。</w:t>
      </w:r>
    </w:p>
    <w:p w14:paraId="4D88CEA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6、采购文件构成</w:t>
      </w:r>
    </w:p>
    <w:p w14:paraId="0A10EBB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6.1 采购文件有以下部分组成：</w:t>
      </w:r>
    </w:p>
    <w:p w14:paraId="536740A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（1）采购公告</w:t>
      </w:r>
    </w:p>
    <w:p w14:paraId="3248CE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（2）磋商须知</w:t>
      </w:r>
      <w:r>
        <w:rPr>
          <w:rFonts w:hint="eastAsia" w:ascii="宋体" w:hAnsi="宋体" w:cs="宋体"/>
          <w:color w:val="000000" w:themeColor="text1"/>
          <w14:textFill>
            <w14:solidFill>
              <w14:schemeClr w14:val="tx1"/>
            </w14:solidFill>
          </w14:textFill>
        </w:rPr>
        <w:tab/>
      </w:r>
    </w:p>
    <w:p w14:paraId="3F01C48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（3）合同条款及格式</w:t>
      </w:r>
    </w:p>
    <w:p w14:paraId="42C28ED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（4）项目需求</w:t>
      </w:r>
    </w:p>
    <w:p w14:paraId="3B7DED3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（5）评审方法与评审标准</w:t>
      </w:r>
    </w:p>
    <w:p w14:paraId="775245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（6）竞争性磋商响应文件格式</w:t>
      </w:r>
    </w:p>
    <w:p w14:paraId="06BA01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请仔细检查采购文件是否齐全，如有缺漏请立即与代理机构联系解决。</w:t>
      </w:r>
    </w:p>
    <w:p w14:paraId="69F720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采购的最小单位是包。采购服务数量及技术要求中未分包的，供应商对要求提供的服务不得部分响应；采购服务数量及技术要求中已经分包的，应当以包为单位响应。</w:t>
      </w:r>
    </w:p>
    <w:p w14:paraId="47ECAD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 采购文件如果要求供应商提交备选响应方案的，供应商可以提交备选方案；否则，备选方案将被拒绝。</w:t>
      </w:r>
    </w:p>
    <w:p w14:paraId="7C48BEA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C109B0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7、采购文件的澄清</w:t>
      </w:r>
    </w:p>
    <w:p w14:paraId="7DF0CC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7.1 任何要求对采购文件进行澄清的供应商，应在提交首次响应文件截止时间至少5日前按采购公告中的通讯地址，以书面形式通知代理机构。</w:t>
      </w:r>
    </w:p>
    <w:p w14:paraId="7865D0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8、采购文件的修改</w:t>
      </w:r>
    </w:p>
    <w:p w14:paraId="411B5E9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DA5A53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8.2采购文件的修改将在“扬州市政府采购网”、“江苏省政府采购网”公布，补充文件将作为采购文件的组成部分，并对供应商具有约束力。</w:t>
      </w:r>
    </w:p>
    <w:p w14:paraId="46ED3A2B">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9、采购文件的语言、度量衡单位、货币</w:t>
      </w:r>
    </w:p>
    <w:p w14:paraId="11F2D95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9.1供应商提交的响应文件以及供应商与代理机构就有关磋商的所有来往通知、函件和文件均应使用简体中文。</w:t>
      </w:r>
    </w:p>
    <w:p w14:paraId="278288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9.2 除技术性能另有规定外，采购文件所使用的度量衡单位，均须采用国家法定计量单位。</w:t>
      </w:r>
    </w:p>
    <w:p w14:paraId="30660A8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9.3采购文件中的服务单价和总价无特殊规定的采用人民币报价，以元为单位标注。采购文件中另有规定的按规定执行。</w:t>
      </w:r>
    </w:p>
    <w:p w14:paraId="5D10730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10、响应文件构成</w:t>
      </w:r>
    </w:p>
    <w:p w14:paraId="46CCE3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10.1磋商文件由以下部分组成</w:t>
      </w:r>
    </w:p>
    <w:p w14:paraId="673CE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（1）资格审查响应对照表</w:t>
      </w:r>
    </w:p>
    <w:p w14:paraId="78E885F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（2）符合性审查响应对照表</w:t>
      </w:r>
    </w:p>
    <w:p w14:paraId="486761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（3）非实质性响应对照表</w:t>
      </w:r>
    </w:p>
    <w:p w14:paraId="49A0DF6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（4）磋商响应报价表 </w:t>
      </w:r>
    </w:p>
    <w:p w14:paraId="4C949C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（5）分项报价表</w:t>
      </w:r>
    </w:p>
    <w:p w14:paraId="71E1E88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（6）技术参数响应及偏离表 </w:t>
      </w:r>
    </w:p>
    <w:p w14:paraId="6D6BDF1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（7）商务条款响应及偏离表 </w:t>
      </w:r>
    </w:p>
    <w:p w14:paraId="57F09F5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（8）其他（供应商认为有必要提供的声明和文件，如有自拟并自行添加）</w:t>
      </w:r>
    </w:p>
    <w:p w14:paraId="6816CEE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10.2 供应商应当根据采购文件要求编制响应文件，响应文件应对采购文件提出的要求和条件作出响应，并在相应的响应文件中逐条标明满足与否。</w:t>
      </w:r>
    </w:p>
    <w:p w14:paraId="4E59810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11、证明供应商资格及符合采购文件规定的文件</w:t>
      </w:r>
    </w:p>
    <w:p w14:paraId="266AC7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11.1供应商应按要求提交资格证明文件及符合采购文件规定的文件。</w:t>
      </w:r>
    </w:p>
    <w:p w14:paraId="030E7F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11.2供应商应提交证明其有资格参加磋商和成交后有能力独立履行合同的文件。</w:t>
      </w:r>
    </w:p>
    <w:p w14:paraId="32D3470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11.3供应商除必须具有履行合同所需提供的产品或服务的能力外，还必须具备相应的财务、技术方面的能力。</w:t>
      </w:r>
    </w:p>
    <w:p w14:paraId="656B5D3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11.4供应商应提交根据合同要求提供的证明服务质量合格以及符合采购文件规定的证明文件。</w:t>
      </w:r>
    </w:p>
    <w:p w14:paraId="1E8CD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11.5证明供应商所提供服务与采购文件的要求相一致的文件可以是手册、图纸、文字资料和数据。</w:t>
      </w:r>
    </w:p>
    <w:p w14:paraId="0BCCDE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12、磋商响应报价表</w:t>
      </w:r>
    </w:p>
    <w:p w14:paraId="61ACE9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 供应商应按照采购文件规定格式填报磋商响应报价表，每项服务只允许有一个报价，任何有选择的报价将不予接受。</w:t>
      </w:r>
    </w:p>
    <w:p w14:paraId="2F397F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 标的物</w:t>
      </w:r>
    </w:p>
    <w:p w14:paraId="4202E14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采购人需求的服务供应、安装，调试及有关技术服务等。</w:t>
      </w:r>
    </w:p>
    <w:p w14:paraId="06F590A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12.3其它费用处理</w:t>
      </w:r>
    </w:p>
    <w:p w14:paraId="62A27D3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采购文件未列明，而供应商认为必需的费用也需列入报价。</w:t>
      </w:r>
    </w:p>
    <w:p w14:paraId="2D9AB17E">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13、技术参数响应及偏离表、商务条款响应及偏离表及磋商服务说明</w:t>
      </w:r>
    </w:p>
    <w:p w14:paraId="66F2750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对采购文件中的技术与商务条款要求逐项作出响应或偏离，并说明原因；</w:t>
      </w:r>
    </w:p>
    <w:p w14:paraId="7884C7C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提供参加本项目类似案例简介；</w:t>
      </w:r>
    </w:p>
    <w:p w14:paraId="4E8EE70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 详细阐述所投服务的主要组成部分、功能设计、实现思路及关键技术；</w:t>
      </w:r>
    </w:p>
    <w:p w14:paraId="242E9C4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13.4 供应商认为需要的其他技术文件或说明。</w:t>
      </w:r>
    </w:p>
    <w:p w14:paraId="3E315F76">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14、服务承诺及售后服务机构、人员的情况介绍</w:t>
      </w:r>
    </w:p>
    <w:p w14:paraId="37D064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14.1供应商的服务承诺应按不低于采购文件中商务要求的标准。</w:t>
      </w:r>
    </w:p>
    <w:p w14:paraId="695591D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14.2提供供应商有关售后服务的管理制度、售后服务机构的分布情况、售后服务人员的数量、素质、技术水平及售后服务的反应能力。</w:t>
      </w:r>
    </w:p>
    <w:p w14:paraId="6D3D431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15、磋商响应函</w:t>
      </w:r>
    </w:p>
    <w:p w14:paraId="0B7D01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15.1 供应商应按照扬州市政府采购交易管理系统提供的格式完整、正确填写磋商响应函。</w:t>
      </w:r>
    </w:p>
    <w:p w14:paraId="4FBD677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16、磋商响应有效期</w:t>
      </w:r>
    </w:p>
    <w:p w14:paraId="59C0D76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16.1 磋商响应有效期为代理机构规定的响应文件接收截止时间后</w:t>
      </w:r>
      <w:r>
        <w:rPr>
          <w:rFonts w:hint="eastAsia" w:ascii="宋体" w:hAnsi="宋体" w:cs="宋体"/>
          <w:b/>
          <w:bCs/>
          <w:color w:val="000000" w:themeColor="text1"/>
          <w:u w:val="single"/>
          <w14:textFill>
            <w14:solidFill>
              <w14:schemeClr w14:val="tx1"/>
            </w14:solidFill>
          </w14:textFill>
        </w:rPr>
        <w:t>六十（60）天</w:t>
      </w:r>
      <w:r>
        <w:rPr>
          <w:rFonts w:hint="eastAsia" w:ascii="宋体" w:hAnsi="宋体" w:cs="宋体"/>
          <w:color w:val="000000" w:themeColor="text1"/>
          <w14:textFill>
            <w14:solidFill>
              <w14:schemeClr w14:val="tx1"/>
            </w14:solidFill>
          </w14:textFill>
        </w:rPr>
        <w:t>。磋商响应有效期比规定短的将被视为非实质性响应性而予以拒绝。</w:t>
      </w:r>
    </w:p>
    <w:p w14:paraId="79EDF1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37980C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1" w:name="_Toc20823297"/>
      <w:bookmarkStart w:id="22" w:name="_Toc16938541"/>
      <w:r>
        <w:rPr>
          <w:rFonts w:hint="eastAsia" w:ascii="宋体" w:hAnsi="宋体" w:cs="宋体"/>
          <w:b/>
          <w:bCs/>
          <w:color w:val="000000" w:themeColor="text1"/>
          <w14:textFill>
            <w14:solidFill>
              <w14:schemeClr w14:val="tx1"/>
            </w14:solidFill>
          </w14:textFill>
        </w:rPr>
        <w:t>17、响应文件</w:t>
      </w:r>
      <w:bookmarkEnd w:id="21"/>
      <w:bookmarkEnd w:id="22"/>
      <w:r>
        <w:rPr>
          <w:rFonts w:hint="eastAsia" w:ascii="宋体" w:hAnsi="宋体" w:cs="宋体"/>
          <w:b/>
          <w:bCs/>
          <w:color w:val="000000" w:themeColor="text1"/>
          <w14:textFill>
            <w14:solidFill>
              <w14:schemeClr w14:val="tx1"/>
            </w14:solidFill>
          </w14:textFill>
        </w:rPr>
        <w:t>的递交</w:t>
      </w:r>
    </w:p>
    <w:p w14:paraId="1C4384A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 电子响应文件的递交供应商应当按照《操作手册》规定，在磋商响应截止时间前制作并上传电子响应文件。</w:t>
      </w:r>
      <w:bookmarkStart w:id="23" w:name="_Toc20823298"/>
      <w:bookmarkStart w:id="24" w:name="_Toc16938542"/>
    </w:p>
    <w:p w14:paraId="66A08AE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w:t>
      </w:r>
      <w:r>
        <w:rPr>
          <w:rFonts w:hint="eastAsia" w:ascii="宋体" w:hAnsi="宋体" w:cs="宋体"/>
          <w:bCs/>
          <w:color w:val="000000" w:themeColor="text1"/>
          <w:szCs w:val="21"/>
          <w14:textFill>
            <w14:solidFill>
              <w14:schemeClr w14:val="tx1"/>
            </w14:solidFill>
          </w14:textFill>
        </w:rPr>
        <w:t>政府采购管理交易系统（苏采云）</w:t>
      </w:r>
      <w:r>
        <w:rPr>
          <w:rFonts w:hint="eastAsia" w:ascii="宋体" w:hAnsi="宋体" w:cs="宋体"/>
          <w:color w:val="000000" w:themeColor="text1"/>
          <w:szCs w:val="21"/>
          <w14:textFill>
            <w14:solidFill>
              <w14:schemeClr w14:val="tx1"/>
            </w14:solidFill>
          </w14:textFill>
        </w:rPr>
        <w:t>相关要求是本采购文件的组成部分。</w:t>
      </w:r>
    </w:p>
    <w:p w14:paraId="24F0E16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17.3供应商应对 CA 证书妥善保管，如被他人盗用投标，因此带来的结果均由供应商自行承担。</w:t>
      </w:r>
    </w:p>
    <w:p w14:paraId="2C8F20A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17.4供应商应当对采购文件提出的要求和条件作出实质性响应，并在电子投标系统逐条应答。</w:t>
      </w:r>
    </w:p>
    <w:p w14:paraId="28EC09C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应对要求提供的资格证明文件（如资质证书、资格证书）、技术资料（如白皮书、彩页、手册、检测报告等）扫描上传至投标系统。</w:t>
      </w:r>
    </w:p>
    <w:p w14:paraId="00D864D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17.6各</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应在规定时间内凭CA证书进行网上解密。</w:t>
      </w:r>
    </w:p>
    <w:p w14:paraId="36313027">
      <w:pPr>
        <w:adjustRightInd w:val="0"/>
        <w:spacing w:line="360" w:lineRule="auto"/>
        <w:ind w:firstLine="422" w:firstLineChars="200"/>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kern w:val="0"/>
          <w14:textFill>
            <w14:solidFill>
              <w14:schemeClr w14:val="tx1"/>
            </w14:solidFill>
          </w14:textFill>
        </w:rPr>
        <w:t>18、磋商响应截止日期</w:t>
      </w:r>
      <w:bookmarkEnd w:id="23"/>
      <w:bookmarkEnd w:id="24"/>
    </w:p>
    <w:p w14:paraId="7365C571">
      <w:pPr>
        <w:adjustRightInd w:val="0"/>
        <w:spacing w:line="360" w:lineRule="auto"/>
        <w:ind w:firstLine="422" w:firstLineChars="200"/>
        <w:rPr>
          <w:rFonts w:ascii="宋体" w:hAnsi="宋体" w:cs="宋体"/>
          <w:b/>
          <w:bCs/>
          <w:i/>
          <w:color w:val="000000" w:themeColor="text1"/>
          <w:u w:val="single"/>
          <w14:textFill>
            <w14:solidFill>
              <w14:schemeClr w14:val="tx1"/>
            </w14:solidFill>
          </w14:textFill>
        </w:rPr>
      </w:pPr>
      <w:r>
        <w:rPr>
          <w:rFonts w:hint="eastAsia" w:ascii="宋体" w:hAnsi="宋体" w:cs="宋体"/>
          <w:b/>
          <w:i/>
          <w:color w:val="000000" w:themeColor="text1"/>
          <w:u w:val="single"/>
          <w14:textFill>
            <w14:solidFill>
              <w14:schemeClr w14:val="tx1"/>
            </w14:solidFill>
          </w14:textFill>
        </w:rPr>
        <w:t>18.1</w:t>
      </w:r>
      <w:r>
        <w:rPr>
          <w:rFonts w:hint="eastAsia" w:ascii="宋体" w:hAnsi="宋体" w:cs="宋体"/>
          <w:b/>
          <w:bCs/>
          <w:i/>
          <w:color w:val="000000" w:themeColor="text1"/>
          <w:u w:val="single"/>
          <w14:textFill>
            <w14:solidFill>
              <w14:schemeClr w14:val="tx1"/>
            </w14:solidFill>
          </w14:textFill>
        </w:rPr>
        <w:t xml:space="preserve"> 供应商上传电子响应文件的时间不得迟于采购公告中规定的磋商响应截止时间。</w:t>
      </w:r>
    </w:p>
    <w:p w14:paraId="0C93535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供应商应充分考虑到网络环境、网络带宽等风险因素，如因供应商自身原因造成的电子响应文件上传不成功由供应商自行承担全部责任。</w:t>
      </w:r>
    </w:p>
    <w:p w14:paraId="0E3FBA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18.2 代理机构可以按照规定，通过修改采购文件延长磋商截止日期，在此情况下，供应商的所有权利和义务以及供应商受制的截止日期均应以延长后新的截止日期为准。</w:t>
      </w:r>
    </w:p>
    <w:p w14:paraId="526A0D8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5" w:name="_Toc20823299"/>
      <w:bookmarkStart w:id="26" w:name="_Toc16938543"/>
      <w:r>
        <w:rPr>
          <w:rFonts w:hint="eastAsia" w:ascii="宋体" w:hAnsi="宋体" w:cs="宋体"/>
          <w:b/>
          <w:bCs/>
          <w:color w:val="000000" w:themeColor="text1"/>
          <w14:textFill>
            <w14:solidFill>
              <w14:schemeClr w14:val="tx1"/>
            </w14:solidFill>
          </w14:textFill>
        </w:rPr>
        <w:t>19、响应文件</w:t>
      </w:r>
      <w:bookmarkEnd w:id="25"/>
      <w:bookmarkEnd w:id="26"/>
      <w:r>
        <w:rPr>
          <w:rFonts w:hint="eastAsia" w:ascii="宋体" w:hAnsi="宋体" w:cs="宋体"/>
          <w:b/>
          <w:bCs/>
          <w:color w:val="000000" w:themeColor="text1"/>
          <w14:textFill>
            <w14:solidFill>
              <w14:schemeClr w14:val="tx1"/>
            </w14:solidFill>
          </w14:textFill>
        </w:rPr>
        <w:t>的拒收</w:t>
      </w:r>
    </w:p>
    <w:p w14:paraId="2263CC8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19.1代理机构拒绝接收在其规定的磋商截止时间后上传的任何响应文件。</w:t>
      </w:r>
    </w:p>
    <w:p w14:paraId="49B21EF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7" w:name="_Toc16938544"/>
      <w:bookmarkStart w:id="28" w:name="_Toc20823300"/>
      <w:r>
        <w:rPr>
          <w:rFonts w:hint="eastAsia" w:ascii="宋体" w:hAnsi="宋体" w:cs="宋体"/>
          <w:b/>
          <w:bCs/>
          <w:color w:val="000000" w:themeColor="text1"/>
          <w14:textFill>
            <w14:solidFill>
              <w14:schemeClr w14:val="tx1"/>
            </w14:solidFill>
          </w14:textFill>
        </w:rPr>
        <w:t>20、响应文件的撤回和修改</w:t>
      </w:r>
      <w:bookmarkEnd w:id="27"/>
      <w:bookmarkEnd w:id="28"/>
    </w:p>
    <w:p w14:paraId="3314000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 响应文件的撤回</w:t>
      </w:r>
    </w:p>
    <w:p w14:paraId="47D5C3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20.1.1 电子响应文件的撤回</w:t>
      </w:r>
    </w:p>
    <w:p w14:paraId="7FC5830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供应商可在磋商截止时间前，撤回其电子响应文件，具体操作方法见《操作手册》。</w:t>
      </w:r>
    </w:p>
    <w:p w14:paraId="40DCB15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20.1.2 供应商撤回电子响应文件，则认为其不再参与本项目磋商谈判。</w:t>
      </w:r>
    </w:p>
    <w:p w14:paraId="081DD2C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20.2 响应文件的修改</w:t>
      </w:r>
    </w:p>
    <w:p w14:paraId="70A6F4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供应商可在磋商截止时间前，对其电子响应文件进行修改，具体操作方法见《操作手册》。</w:t>
      </w:r>
    </w:p>
    <w:p w14:paraId="3A4B71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20.3 在磋商截止时间之后，供应商不得对其电子响应文件作任何修改。</w:t>
      </w:r>
    </w:p>
    <w:p w14:paraId="2436A7F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20.4 在磋商截止时间至采购文件中规定的磋商有效期满之间的这段时间内，供应商不得撤回其响应文件。</w:t>
      </w:r>
    </w:p>
    <w:p w14:paraId="3550FDA3">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21、磋商</w:t>
      </w:r>
    </w:p>
    <w:p w14:paraId="3AAC51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21.1 代理机构将在采购公告中规定的时间和地点组织磋商开始仪式。供应商应当按照《操作手册》规定，参加磋商活动。</w:t>
      </w:r>
    </w:p>
    <w:p w14:paraId="18592D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21.2供应商在磋商过程中涉及到的响应文件解密等工作，应按照《操作手册》规定执行。</w:t>
      </w:r>
    </w:p>
    <w:p w14:paraId="44AE410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22、磋商小组</w:t>
      </w:r>
    </w:p>
    <w:p w14:paraId="6F1B350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22.1磋商开始后，代理机构将立即组织磋商小组进行评审。</w:t>
      </w:r>
    </w:p>
    <w:p w14:paraId="7444066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22.2磋商小组由采购人代表和有关技术、经济等方面的专家组成，且人员构成符合政府采购有关规定。</w:t>
      </w:r>
    </w:p>
    <w:p w14:paraId="04EA5E2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22.3磋商小组独立工作，负责评审有效响应文件并确定成交候选供应商。</w:t>
      </w:r>
    </w:p>
    <w:p w14:paraId="64FE423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23、评审过程的保密与公正</w:t>
      </w:r>
    </w:p>
    <w:p w14:paraId="7B21AE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23.1评审专家应当遵守评审工作纪律，不得泄露评审情况和评审中获悉的商业秘密。</w:t>
      </w:r>
    </w:p>
    <w:p w14:paraId="2A7643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23.2在评审过程中，供应商不得以任何行为影响评审过程，否则其响应文件将被作为无效响应文件。</w:t>
      </w:r>
    </w:p>
    <w:p w14:paraId="1229009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23.3 在评审期间，代理机构将设专门工作人员与供应商联系。</w:t>
      </w:r>
    </w:p>
    <w:p w14:paraId="798734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23.4 代理机构和磋商小组不向未成交的供应商解释未成交原因，也不公布评审过程中的相关细节。</w:t>
      </w:r>
    </w:p>
    <w:p w14:paraId="12B195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24、磋商的澄清</w:t>
      </w:r>
    </w:p>
    <w:p w14:paraId="6981D9E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24.1评审期间，磋商小组要求供应商澄清、说明或者更正响应文件以电子函件形式提交但并非对每个供应商都作澄清要求。</w:t>
      </w:r>
    </w:p>
    <w:p w14:paraId="0702472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24.2接到磋商小组澄清要求的供应商应按磋商小组规定的时间和格式在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中做出澄清，澄清的内容作为响应文件的补充部分。具体操作方式见</w:t>
      </w:r>
      <w:r>
        <w:rPr>
          <w:rFonts w:hint="eastAsia" w:ascii="宋体" w:hAnsi="宋体" w:cs="宋体"/>
          <w:bCs/>
          <w:color w:val="000000" w:themeColor="text1"/>
          <w14:textFill>
            <w14:solidFill>
              <w14:schemeClr w14:val="tx1"/>
            </w14:solidFill>
          </w14:textFill>
        </w:rPr>
        <w:t>《操作手册》</w:t>
      </w:r>
      <w:r>
        <w:rPr>
          <w:rFonts w:hint="eastAsia" w:ascii="宋体" w:hAnsi="宋体" w:cs="宋体"/>
          <w:color w:val="000000" w:themeColor="text1"/>
          <w14:textFill>
            <w14:solidFill>
              <w14:schemeClr w14:val="tx1"/>
            </w14:solidFill>
          </w14:textFill>
        </w:rPr>
        <w:t>。</w:t>
      </w:r>
    </w:p>
    <w:p w14:paraId="58B2B6D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24.3 接到磋商小组澄清要求的供应商如未按规定做出澄清，其风险由供应商自行承担。</w:t>
      </w:r>
    </w:p>
    <w:p w14:paraId="5D786C8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25、对响应文件的初审</w:t>
      </w:r>
    </w:p>
    <w:p w14:paraId="467C19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25.1响应文件初审分为资格审查和符合性审查。</w:t>
      </w:r>
    </w:p>
    <w:p w14:paraId="1DB0211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25.1.1资格审查：依据法律法规和采购文件的规定，对响应文件中的资格证明文件进行审查。以确定供应商是否具备参加磋商的资格。</w:t>
      </w:r>
    </w:p>
    <w:p w14:paraId="790B2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25.1.2符合性检查：依据采购文件的规定，由磋商小组从响应文件的有效性、完整性和对采购文件的响应程度进行审查，以确定是否对采购文件的实质性要求作出响应。</w:t>
      </w:r>
    </w:p>
    <w:p w14:paraId="77858C1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25.1.3 未通过资格审查或符合性审查的供应商，代理机构将在</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中告知未通过资格审查或符合性审查的原因，评审结束后，代理机构将不再告知未通过资格审查或符合性审查的原因。</w:t>
      </w:r>
    </w:p>
    <w:p w14:paraId="252809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25.2在详细评审之前，磋商小组将首先审查每份响应文件是否实质性响应了采购文件的要求。实质性响应的响应文件应该是与采购文件要求的全部条款、条件和规格相符，没有重大偏离或保留。</w:t>
      </w:r>
    </w:p>
    <w:p w14:paraId="422289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E18B58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25.3如果响应文件实质上没有响应采购文件的要求，磋商小组将予以拒绝，供应商不得通过修改或撤销不合要求的偏离或保留而使其响应文件成为实质性响应的文件。</w:t>
      </w:r>
    </w:p>
    <w:p w14:paraId="3890F64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 供应商在开、评标全过程中应保持通讯畅通，并安排专人与代理机构及磋商小组联系。</w:t>
      </w:r>
    </w:p>
    <w:p w14:paraId="3414ABE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26、磋商程序及评审方法和标准</w:t>
      </w:r>
    </w:p>
    <w:p w14:paraId="6919035C">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26.1磋商程序</w:t>
      </w:r>
    </w:p>
    <w:p w14:paraId="72A3D9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26.1.1 对于通过资格性和符合性审查的供应商，磋商小组所有成员将集中与单一供应商在“政府采购管理交易系统（苏采云）”中分别进行磋商。</w:t>
      </w:r>
    </w:p>
    <w:p w14:paraId="36AEAB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0235534A">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p>
    <w:p w14:paraId="72C0099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80E8F7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3BE568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26.1.3 供应商未在磋商小组规定的时间内完成最后报价的视为放弃磋商，其响应按无效响应处理。最后报价须加盖电子签章。已提交响应文件的供应商，在提交最后报价之前，可以根据磋商情况退出磋商。</w:t>
      </w:r>
    </w:p>
    <w:p w14:paraId="41081D7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 评审方法和标准</w:t>
      </w:r>
    </w:p>
    <w:p w14:paraId="0CFE0C6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1BF557F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6EA41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26.2.2评审标准</w:t>
      </w:r>
    </w:p>
    <w:p w14:paraId="00791D5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见本采购文件第五章规定。</w:t>
      </w:r>
    </w:p>
    <w:p w14:paraId="06BCF441">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27、无效响应及采购活动终止的情况</w:t>
      </w:r>
    </w:p>
    <w:p w14:paraId="642B970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27.1无效响应条款</w:t>
      </w:r>
    </w:p>
    <w:p w14:paraId="243475C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27.1.1 供应商未按照采购文件要求上传电子磋商响应文件的。</w:t>
      </w:r>
    </w:p>
    <w:p w14:paraId="2249F93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27.1.2 供应商未成功解密电子磋商响应文件的。</w:t>
      </w:r>
    </w:p>
    <w:p w14:paraId="6373862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27.1.3 供应商不具备采购文件中规定资格要求的。</w:t>
      </w:r>
    </w:p>
    <w:p w14:paraId="15A7CA56">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27.1.4 未通过符合性审查的。</w:t>
      </w:r>
    </w:p>
    <w:p w14:paraId="16DC6C39">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27.1.5 不符合采购文件中规定的其他实质性要求和条件的</w:t>
      </w:r>
      <w:r>
        <w:rPr>
          <w:rFonts w:hint="eastAsia" w:ascii="宋体" w:hAnsi="宋体" w:cs="宋体"/>
          <w:b/>
          <w:bCs/>
          <w:color w:val="000000" w:themeColor="text1"/>
          <w14:textFill>
            <w14:solidFill>
              <w14:schemeClr w14:val="tx1"/>
            </w14:solidFill>
          </w14:textFill>
        </w:rPr>
        <w:t>（</w:t>
      </w:r>
      <w:r>
        <w:rPr>
          <w:rFonts w:hint="eastAsia" w:ascii="宋体" w:hAnsi="宋体" w:cs="宋体"/>
          <w:b/>
          <w:bCs/>
          <w:i/>
          <w:color w:val="000000" w:themeColor="text1"/>
          <w:u w:val="single"/>
          <w14:textFill>
            <w14:solidFill>
              <w14:schemeClr w14:val="tx1"/>
            </w14:solidFill>
          </w14:textFill>
        </w:rPr>
        <w:t>本采购文件中斜体且有下划线部分为实质性要求和条件）</w:t>
      </w:r>
      <w:r>
        <w:rPr>
          <w:rFonts w:hint="eastAsia" w:ascii="宋体" w:hAnsi="宋体" w:cs="宋体"/>
          <w:bCs/>
          <w:i/>
          <w:color w:val="000000" w:themeColor="text1"/>
          <w:u w:val="single"/>
          <w14:textFill>
            <w14:solidFill>
              <w14:schemeClr w14:val="tx1"/>
            </w14:solidFill>
          </w14:textFill>
        </w:rPr>
        <w:t>。</w:t>
      </w:r>
    </w:p>
    <w:p w14:paraId="64D9600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27.1.6 </w:t>
      </w:r>
      <w:r>
        <w:rPr>
          <w:rFonts w:hint="eastAsia" w:ascii="宋体" w:hAnsi="宋体" w:cs="宋体"/>
          <w:color w:val="000000" w:themeColor="text1"/>
          <w14:textFill>
            <w14:solidFill>
              <w14:schemeClr w14:val="tx1"/>
            </w14:solidFill>
          </w14:textFill>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w:t>
      </w:r>
      <w:r>
        <w:rPr>
          <w:rFonts w:hint="eastAsia" w:ascii="宋体" w:hAnsi="宋体" w:cs="宋体"/>
          <w:color w:val="000000" w:themeColor="text1"/>
          <w:lang w:eastAsia="zh-CN"/>
          <w14:textFill>
            <w14:solidFill>
              <w14:schemeClr w14:val="tx1"/>
            </w14:solidFill>
          </w14:textFill>
        </w:rPr>
        <w:t>不良信用记录</w:t>
      </w:r>
      <w:r>
        <w:rPr>
          <w:rFonts w:hint="eastAsia" w:ascii="宋体" w:hAnsi="宋体" w:cs="宋体"/>
          <w:color w:val="000000" w:themeColor="text1"/>
          <w14:textFill>
            <w14:solidFill>
              <w14:schemeClr w14:val="tx1"/>
            </w14:solidFill>
          </w14:textFill>
        </w:rPr>
        <w:t>。</w:t>
      </w:r>
    </w:p>
    <w:p w14:paraId="5FCC72C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27.1.7 本项目采购产品被财政部、国家发改委、生态环境部等列入“节能产品品目清单”、“环境标志产品品目清单”强制采购范围，而供应商所磋商产品不在强制采购范围内的。</w:t>
      </w:r>
    </w:p>
    <w:p w14:paraId="54B0200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27.1.8 响应文件未按照采购文件要求加盖电子签章。</w:t>
      </w:r>
    </w:p>
    <w:p w14:paraId="385266C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27.1.9 其他法律、法规及本采购文件规定的属无效响应的情形。</w:t>
      </w:r>
    </w:p>
    <w:p w14:paraId="1996FE97">
      <w:pPr>
        <w:spacing w:line="360" w:lineRule="auto"/>
        <w:ind w:firstLine="422" w:firstLineChars="200"/>
        <w:jc w:val="left"/>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bCs/>
          <w:color w:val="000000" w:themeColor="text1"/>
          <w14:textFill>
            <w14:solidFill>
              <w14:schemeClr w14:val="tx1"/>
            </w14:solidFill>
          </w14:textFill>
        </w:rPr>
        <w:t xml:space="preserve"> 异常低价投标（响应）</w:t>
      </w:r>
    </w:p>
    <w:p w14:paraId="66092408">
      <w:pPr>
        <w:spacing w:line="360" w:lineRule="auto"/>
        <w:ind w:firstLine="422" w:firstLineChars="200"/>
        <w:jc w:val="lef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.1投标（响应）报价低于全部通过符合性审查供应商投标（响应）报价平均值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%的，即投标（响应）报价&lt;全部通过符合性审查供应商投标（响应）报价平均值×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w:t>
      </w:r>
    </w:p>
    <w:p w14:paraId="0F26BDA5">
      <w:pPr>
        <w:spacing w:line="360" w:lineRule="auto"/>
        <w:ind w:firstLine="422"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.2投标（响应）报价低于通过符合性审查的次低报价供应商投标（响应）报价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%的，即投标（响应）报价&lt;通过符合性审查的次低报价供应商投标（响应）报价×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 xml:space="preserve">.3投标（响应）报价低于采购项目最高限价 </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 的，即投标（响应）报价&lt;采购项目最高限价×</w:t>
      </w:r>
      <w:r>
        <w:rPr>
          <w:rFonts w:hint="eastAsia" w:ascii="宋体" w:hAnsi="宋体" w:cs="宋体"/>
          <w:b/>
          <w:color w:val="000000" w:themeColor="text1"/>
          <w:szCs w:val="21"/>
          <w:lang w:val="en-US" w:eastAsia="zh-CN"/>
          <w14:textFill>
            <w14:solidFill>
              <w14:schemeClr w14:val="tx1"/>
            </w14:solidFill>
          </w14:textFill>
        </w:rPr>
        <w:t>60</w:t>
      </w:r>
      <w:r>
        <w:rPr>
          <w:rFonts w:hint="eastAsia" w:ascii="宋体" w:hAnsi="宋体" w:cs="宋体"/>
          <w:b/>
          <w:color w:val="000000" w:themeColor="text1"/>
          <w:szCs w:val="21"/>
          <w14:textFill>
            <w14:solidFill>
              <w14:schemeClr w14:val="tx1"/>
            </w14:solidFill>
          </w14:textFill>
        </w:rPr>
        <w:t>% ；</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.4评审委员会认定的供应商报价过低、有可能影响产品质量或者不能诚信履约的其他情形。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.5评审委员会启动异常低价投标（响应）审查后，属于前述第1项至第</w:t>
      </w:r>
      <w:r>
        <w:rPr>
          <w:rFonts w:hint="eastAsia" w:ascii="宋体" w:hAnsi="宋体" w:cs="宋体"/>
          <w:b/>
          <w:color w:val="000000" w:themeColor="text1"/>
          <w:szCs w:val="21"/>
          <w:lang w:val="en-US" w:eastAsia="zh-CN"/>
          <w14:textFill>
            <w14:solidFill>
              <w14:schemeClr w14:val="tx1"/>
            </w14:solidFill>
          </w14:textFill>
        </w:rPr>
        <w:t>4</w:t>
      </w:r>
      <w:r>
        <w:rPr>
          <w:rFonts w:hint="eastAsia" w:ascii="宋体" w:hAnsi="宋体" w:cs="宋体"/>
          <w:b/>
          <w:color w:val="000000" w:themeColor="text1"/>
          <w:szCs w:val="21"/>
          <w14:textFill>
            <w14:solidFill>
              <w14:schemeClr w14:val="tx1"/>
            </w14:solidFill>
          </w14:textFil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w:t>
      </w:r>
    </w:p>
    <w:p w14:paraId="43AD2193">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 </w:t>
      </w:r>
      <w:r>
        <w:rPr>
          <w:rFonts w:hint="eastAsia" w:ascii="宋体" w:hAnsi="宋体" w:cs="宋体"/>
          <w:color w:val="000000" w:themeColor="text1"/>
          <w14:textFill>
            <w14:solidFill>
              <w14:schemeClr w14:val="tx1"/>
            </w14:solidFill>
          </w14:textFill>
        </w:rPr>
        <w:t>采购活动终止的情况</w:t>
      </w:r>
      <w:r>
        <w:rPr>
          <w:rFonts w:hint="eastAsia" w:ascii="宋体" w:hAnsi="宋体" w:cs="宋体"/>
          <w:bCs/>
          <w:color w:val="000000" w:themeColor="text1"/>
          <w14:textFill>
            <w14:solidFill>
              <w14:schemeClr w14:val="tx1"/>
            </w14:solidFill>
          </w14:textFill>
        </w:rPr>
        <w:t>：</w:t>
      </w:r>
    </w:p>
    <w:p w14:paraId="36921FB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27.2.1 因情况变化，不再符合规定的竞争性磋商采购方式适用情形的；</w:t>
      </w:r>
    </w:p>
    <w:p w14:paraId="14A92A9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27.2.2 出现影响采购公正的违法、违规行为的；</w:t>
      </w:r>
    </w:p>
    <w:p w14:paraId="007FEDFE">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27.2.3 </w:t>
      </w:r>
      <w:r>
        <w:rPr>
          <w:rFonts w:hint="eastAsia" w:ascii="宋体" w:hAnsi="宋体" w:cs="宋体"/>
          <w:color w:val="000000" w:themeColor="text1"/>
          <w14:textFill>
            <w14:solidFill>
              <w14:schemeClr w14:val="tx1"/>
            </w14:solidFill>
          </w14:textFill>
        </w:rPr>
        <w:t>除本磋商文件第26.1.2条第三款规定的情形外，在采购过程中符合要求的供应商或者报价未超过采购预算的供应商不足3家的。</w:t>
      </w:r>
    </w:p>
    <w:p w14:paraId="23D2BAD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27.2.4 因重大变故，采购任务取消的。</w:t>
      </w:r>
    </w:p>
    <w:p w14:paraId="0269A890">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28、确定成交单位</w:t>
      </w:r>
    </w:p>
    <w:p w14:paraId="51428C2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B407D4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 采购人应根据磋商推荐的成交候选人，确定最终成交供应商。</w:t>
      </w:r>
    </w:p>
    <w:p w14:paraId="5FBD9CE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 代理机构将在“扬州市政府采购网”、“江苏省政府采购网”发布成交公告，公告期限为1个工作日。</w:t>
      </w:r>
    </w:p>
    <w:p w14:paraId="2F923F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 若有充分证据证明，成交供应商出现下列情况之一的，一经查实，将被取消成交资格：</w:t>
      </w:r>
    </w:p>
    <w:p w14:paraId="0DD47B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28.4.1 提供虚假材料谋取成交的；</w:t>
      </w:r>
    </w:p>
    <w:p w14:paraId="2C764C4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28.4.2 向采购人、代理机构行贿或者提供其他不正当利益的；</w:t>
      </w:r>
    </w:p>
    <w:p w14:paraId="7415D0D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28.4.3 恶意竞争，最终总报价明显低于其自身合理成本且又无法提供证明的；</w:t>
      </w:r>
    </w:p>
    <w:p w14:paraId="06F130E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28.4.4 属于本文件规定的无效条件，但在评审过程中又未被磋商小组发现的；</w:t>
      </w:r>
    </w:p>
    <w:p w14:paraId="5A81B52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28.4.5 与采购人或者其他供应商恶意串通的；</w:t>
      </w:r>
    </w:p>
    <w:p w14:paraId="7BDE981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28.4.6 采取不正当手段诋毁、排挤其他供应商的；</w:t>
      </w:r>
    </w:p>
    <w:p w14:paraId="7C130F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28.4.7 不符合法律、法规的规定的。</w:t>
      </w:r>
    </w:p>
    <w:p w14:paraId="183E6A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29、质疑处理</w:t>
      </w:r>
    </w:p>
    <w:p w14:paraId="1C1EAB9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29.1提出质疑的供应商应当是参与所质疑项目采购活动的供应商。潜在供应商依法获取其可质疑的采购文件的，可以对采购文件提出质疑。</w:t>
      </w:r>
    </w:p>
    <w:p w14:paraId="442AC3C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对项目需求部分的质疑，潜在供应商应向采购人提出，由采购人负责答复。</w:t>
      </w:r>
    </w:p>
    <w:p w14:paraId="4FA895E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29.2供应商认为采购文件、采购过程和中标或成交结果使自己的权益受到损害的，可以在知道或应知其权益受到损害之日起7个工作日内，以书面形式向采购人或代理机构提出质疑。</w:t>
      </w:r>
    </w:p>
    <w:p w14:paraId="2D22807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29.2.1对采购文件提出质疑的，应当在获取采购文件之日或者采购文件公告期限届满之日起7个工作日内提出。</w:t>
      </w:r>
    </w:p>
    <w:p w14:paraId="0DDD23DE">
      <w:pPr>
        <w:adjustRightInd w:val="0"/>
        <w:spacing w:line="360" w:lineRule="auto"/>
        <w:ind w:firstLine="315" w:firstLineChars="15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29.2.2对采购过程提出质疑的，为各采购程序环节结束之日起7个工作日内提出。</w:t>
      </w:r>
    </w:p>
    <w:p w14:paraId="6F4FE3F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29.2.3对成交结果提出质疑的，为成交结果公告期限届满之日起7个工作日内提出。</w:t>
      </w:r>
    </w:p>
    <w:p w14:paraId="44FC211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56A82C4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345DA39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29.5 代理机构及采购人只接收以纸质原件形式送达的质疑。</w:t>
      </w:r>
    </w:p>
    <w:p w14:paraId="584F8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采购人质疑接收人及联系方式见采购文件第一章。</w:t>
      </w:r>
    </w:p>
    <w:p w14:paraId="09ACDAB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29.6代理机构收到质疑申请后，将对质疑的形式和内容进行审查，如质疑内容、格式不符合规定，代理机构将告知质疑人进行补正。</w:t>
      </w:r>
    </w:p>
    <w:p w14:paraId="0F912F3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29.7质疑人应当在法定质疑期限内进行补正并重新提交质疑函。</w:t>
      </w:r>
    </w:p>
    <w:p w14:paraId="7B6FCEE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 以下情形的质疑不予受理</w:t>
      </w:r>
    </w:p>
    <w:p w14:paraId="5312A2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29.8.1 内容不符合《政府采购质疑和投诉办法》第十二条规定的质疑。</w:t>
      </w:r>
    </w:p>
    <w:p w14:paraId="43F346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29.8.2 超出政府采购法定期限的质疑。</w:t>
      </w:r>
    </w:p>
    <w:p w14:paraId="738FAD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29.8.3 以传真、电子邮件等方式递交的非原件形式的质疑。</w:t>
      </w:r>
    </w:p>
    <w:p w14:paraId="3FBBDAF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29.8.4 未参加磋商活动的供应商或在磋商活动中自身权益未受到损害的供应商所提出的质疑。</w:t>
      </w:r>
    </w:p>
    <w:p w14:paraId="0A0E473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29.8.5供应商组成联合体参加磋商，联合体中任何一方或多方未按要求签字、盖章、加盖公章的质疑。</w:t>
      </w:r>
    </w:p>
    <w:p w14:paraId="731932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1D0A6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7A9A273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30、成交通知书</w:t>
      </w:r>
    </w:p>
    <w:p w14:paraId="0B9F5C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30.l成交结果确定后，代理机构将向成交供应商发出成通知书。</w:t>
      </w:r>
    </w:p>
    <w:p w14:paraId="0CF5B4B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30.2 成交供应商可在”扬州市政府采购交易管理系统（苏采云）”成交通知书下载模块中自行下载成交通知书。</w:t>
      </w:r>
    </w:p>
    <w:p w14:paraId="3E46DD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30.3成交通知书将是合同的一个组成部分。对采购人和成交供应商均具有法律效力。成交通知书发出后，采购人改变成交结果的，或者成交供应商放弃成交项目的，应当依法承担法律责任。</w:t>
      </w:r>
    </w:p>
    <w:p w14:paraId="0C0401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30.4</w:t>
      </w:r>
      <w:r>
        <w:rPr>
          <w:rFonts w:hint="eastAsia" w:ascii="宋体" w:hAnsi="宋体" w:cs="宋体"/>
          <w:b/>
          <w:bCs/>
          <w:color w:val="000000" w:themeColor="text1"/>
          <w14:textFill>
            <w14:solidFill>
              <w14:schemeClr w14:val="tx1"/>
            </w14:solidFill>
          </w14:textFill>
        </w:rPr>
        <w:t>成交供应商需在成交通知书发出后3日内，向代理机构提供肆份纸质响应文件并加盖公章（</w:t>
      </w:r>
      <w:r>
        <w:rPr>
          <w:rFonts w:hint="eastAsia" w:ascii="宋体" w:hAnsi="宋体" w:cs="宋体"/>
          <w:b/>
          <w:bCs/>
          <w:color w:val="000000" w:themeColor="text1"/>
          <w:lang w:val="en-US" w:eastAsia="zh-CN"/>
          <w14:textFill>
            <w14:solidFill>
              <w14:schemeClr w14:val="tx1"/>
            </w14:solidFill>
          </w14:textFill>
        </w:rPr>
        <w:t>壹</w:t>
      </w:r>
      <w:r>
        <w:rPr>
          <w:rFonts w:hint="eastAsia" w:ascii="宋体" w:hAnsi="宋体" w:cs="宋体"/>
          <w:b/>
          <w:bCs/>
          <w:color w:val="000000" w:themeColor="text1"/>
          <w14:textFill>
            <w14:solidFill>
              <w14:schemeClr w14:val="tx1"/>
            </w14:solidFill>
          </w14:textFill>
        </w:rPr>
        <w:t>正叁副）。</w:t>
      </w:r>
    </w:p>
    <w:p w14:paraId="542923B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31、签订合同</w:t>
      </w:r>
    </w:p>
    <w:p w14:paraId="25DEF0A4">
      <w:pPr>
        <w:adjustRightInd w:val="0"/>
        <w:snapToGrid w:val="0"/>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31.l成交供应商应在成交通知书发出之日起十五日内，按照采购文件确定的事项与采购人签订政府采购合同。</w:t>
      </w:r>
      <w:r>
        <w:rPr>
          <w:rFonts w:hint="eastAsia" w:ascii="宋体" w:hAnsi="宋体" w:cs="宋体"/>
          <w:b/>
          <w:color w:val="000000" w:themeColor="text1"/>
          <w:szCs w:val="21"/>
          <w14:textFill>
            <w14:solidFill>
              <w14:schemeClr w14:val="tx1"/>
            </w14:solidFill>
          </w14:textFill>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t>‌</w:t>
      </w:r>
    </w:p>
    <w:p w14:paraId="2B6216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31.2采购文件、成交供应商的响应文件及磋商过程中有关澄清、承诺文件均应作为合同附件。</w:t>
      </w:r>
    </w:p>
    <w:p w14:paraId="6190720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31.3 合同在“政府采购管理交易系统（苏采云）”中签订，签订合同后，</w:t>
      </w:r>
      <w:r>
        <w:rPr>
          <w:rFonts w:hint="eastAsia" w:ascii="宋体" w:hAnsi="宋体" w:cs="宋体"/>
          <w:b/>
          <w:bCs/>
          <w:i/>
          <w:iCs/>
          <w:color w:val="000000" w:themeColor="text1"/>
          <w:szCs w:val="21"/>
          <w:u w:val="single"/>
          <w14:textFill>
            <w14:solidFill>
              <w14:schemeClr w14:val="tx1"/>
            </w14:solidFill>
          </w14:textFill>
        </w:rPr>
        <w:t>成交供应商不得将工程及其他内容进行转包或分包</w:t>
      </w:r>
      <w:r>
        <w:rPr>
          <w:rFonts w:hint="eastAsia" w:ascii="宋体" w:hAnsi="宋体" w:cs="宋体"/>
          <w:bCs/>
          <w:color w:val="000000" w:themeColor="text1"/>
          <w:szCs w:val="21"/>
          <w14:textFill>
            <w14:solidFill>
              <w14:schemeClr w14:val="tx1"/>
            </w14:solidFill>
          </w14:textFill>
        </w:rPr>
        <w:t>。未经采购人同意，成交供应商也不得采用分包的形式履行合同，否则采购人有权终止合同，成交供应商的履约保证金将不予退还。转包或分包造成采购人损失的，成交供应商应承担赔偿责任。</w:t>
      </w:r>
    </w:p>
    <w:p w14:paraId="32BE02F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32DF0E2">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32、其他</w:t>
      </w:r>
    </w:p>
    <w:p w14:paraId="253F4306">
      <w:pPr>
        <w:adjustRightInd w:val="0"/>
        <w:snapToGrid w:val="0"/>
        <w:spacing w:line="360" w:lineRule="auto"/>
        <w:ind w:firstLine="420" w:firstLineChars="200"/>
        <w:rPr>
          <w:rFonts w:ascii="宋体" w:hAnsi="宋体" w:cs="宋体"/>
          <w:color w:val="000000" w:themeColor="text1"/>
          <w14:textFill>
            <w14:solidFill>
              <w14:schemeClr w14:val="tx1"/>
            </w14:solidFill>
          </w14:textFill>
        </w:rPr>
      </w:pPr>
      <w:bookmarkStart w:id="29" w:name="_Toc107582398"/>
      <w:r>
        <w:rPr>
          <w:rFonts w:hint="eastAsia" w:ascii="宋体" w:hAnsi="宋体" w:cs="宋体"/>
          <w:color w:val="000000" w:themeColor="text1"/>
          <w:szCs w:val="21"/>
          <w14:textFill>
            <w14:solidFill>
              <w14:schemeClr w14:val="tx1"/>
            </w14:solidFill>
          </w14:textFill>
        </w:rPr>
        <w:t>32.1依据《政府采购促进中小企业发展管理办法》享受扶持政策获得政府采购合同的，小微企业不得将合同分包给大中型企业，中型企业不得将合同分包给大型企业</w:t>
      </w:r>
      <w:bookmarkStart w:id="30" w:name="_Toc50734661"/>
      <w:bookmarkEnd w:id="30"/>
      <w:r>
        <w:rPr>
          <w:rFonts w:hint="eastAsia" w:ascii="宋体" w:hAnsi="宋体" w:cs="宋体"/>
          <w:color w:val="000000" w:themeColor="text1"/>
          <w:szCs w:val="21"/>
          <w14:textFill>
            <w14:solidFill>
              <w14:schemeClr w14:val="tx1"/>
            </w14:solidFill>
          </w14:textFill>
        </w:rPr>
        <w:t>。</w:t>
      </w:r>
    </w:p>
    <w:p w14:paraId="322FE13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32.2</w:t>
      </w:r>
      <w:r>
        <w:rPr>
          <w:rFonts w:hint="eastAsia" w:ascii="宋体" w:hAnsi="宋体" w:cs="宋体"/>
          <w:b/>
          <w:bCs/>
          <w:color w:val="000000" w:themeColor="text1"/>
          <w14:textFill>
            <w14:solidFill>
              <w14:schemeClr w14:val="tx1"/>
            </w14:solidFill>
          </w14:textFill>
        </w:rPr>
        <w:t>本项目不收取履约保证金</w:t>
      </w:r>
      <w:r>
        <w:rPr>
          <w:rFonts w:hint="eastAsia" w:ascii="宋体" w:hAnsi="宋体" w:cs="宋体"/>
          <w:color w:val="000000" w:themeColor="text1"/>
          <w14:textFill>
            <w14:solidFill>
              <w14:schemeClr w14:val="tx1"/>
            </w14:solidFill>
          </w14:textFill>
        </w:rPr>
        <w:t>：</w:t>
      </w:r>
    </w:p>
    <w:p w14:paraId="6ECAE4D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 政府采购履约验收</w:t>
      </w:r>
    </w:p>
    <w:p w14:paraId="5BC05E8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32.3.2政府采购合同约定的履约验收条件达到时，采购人应当在 5 个工作日内启动履约验收工作，并向供应商发出《政府采购履约验收通知单》，供应商可以主动联系采购人启动履约验收工作。</w:t>
      </w:r>
    </w:p>
    <w:p w14:paraId="472440C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32.3.3、采购人、供应商应当对验收小组出具的验收意见进行确认，并形成政府采购履约验收书《政府采购履约验收书》。</w:t>
      </w:r>
    </w:p>
    <w:p w14:paraId="48BBFCC3">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68F3681D">
      <w:pPr>
        <w:adjustRightInd w:val="0"/>
        <w:spacing w:line="360" w:lineRule="auto"/>
        <w:ind w:firstLine="643" w:firstLineChars="200"/>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第三章 合同条款及格式</w:t>
      </w:r>
      <w:bookmarkEnd w:id="29"/>
    </w:p>
    <w:p w14:paraId="12959477">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建设工程施工合同采用合同示范文本（GF—2017—0201）。</w:t>
      </w:r>
    </w:p>
    <w:p w14:paraId="0FA0B8FB">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（一）协议书</w:t>
      </w:r>
    </w:p>
    <w:p w14:paraId="67026ABC">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（二）通用条款</w:t>
      </w:r>
    </w:p>
    <w:p w14:paraId="7754669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（三）专用条款</w:t>
      </w:r>
    </w:p>
    <w:p w14:paraId="0A62516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（四）主要条款</w:t>
      </w:r>
    </w:p>
    <w:p w14:paraId="15239D0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1、工期</w:t>
      </w:r>
    </w:p>
    <w:p w14:paraId="698AF5D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本工程的工期见采购文件，工期延误每延误一天按2000元/天</w:t>
      </w:r>
      <w:r>
        <w:rPr>
          <w:rFonts w:hint="eastAsia" w:ascii="宋体" w:hAnsi="宋体" w:cs="宋体"/>
          <w:color w:val="000000" w:themeColor="text1"/>
          <w:lang w:val="en-US" w:eastAsia="zh-CN"/>
          <w14:textFill>
            <w14:solidFill>
              <w14:schemeClr w14:val="tx1"/>
            </w14:solidFill>
          </w14:textFill>
        </w:rPr>
        <w:t>缴纳违约金</w:t>
      </w:r>
      <w:r>
        <w:rPr>
          <w:rFonts w:hint="eastAsia" w:ascii="宋体" w:hAnsi="宋体" w:cs="宋体"/>
          <w:color w:val="000000" w:themeColor="text1"/>
          <w14:textFill>
            <w14:solidFill>
              <w14:schemeClr w14:val="tx1"/>
            </w14:solidFill>
          </w14:textFill>
        </w:rPr>
        <w:t>，最多不得超过合同工期后一个月，否则采购人有权终止合同。工期延误赔偿限额为合同价的10%，具体开工日期以甲方开工令为准。</w:t>
      </w:r>
    </w:p>
    <w:p w14:paraId="30293EC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2、质量</w:t>
      </w:r>
    </w:p>
    <w:p w14:paraId="3B2C041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13AB637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3、材料设备供应</w:t>
      </w:r>
    </w:p>
    <w:p w14:paraId="49467E38">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本工程材料：部分材料保留甲控乙供的权力，本工程所有材料价格均为固定价，不考虑任何施工因素及市场价格因素；</w:t>
      </w:r>
    </w:p>
    <w:p w14:paraId="14CE234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本项目为固定单价合同，竣工结算均按投标单价执行。</w:t>
      </w:r>
    </w:p>
    <w:p w14:paraId="43889B00">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4、履约保证金：</w:t>
      </w:r>
      <w:r>
        <w:rPr>
          <w:rFonts w:hint="eastAsia" w:ascii="宋体" w:hAnsi="宋体" w:cs="宋体"/>
          <w:b/>
          <w:bCs/>
          <w:color w:val="000000" w:themeColor="text1"/>
          <w14:textFill>
            <w14:solidFill>
              <w14:schemeClr w14:val="tx1"/>
            </w14:solidFill>
          </w14:textFill>
        </w:rPr>
        <w:t>本项目不收取履约保证金。</w:t>
      </w:r>
    </w:p>
    <w:p w14:paraId="449D3263">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5、工程付款</w:t>
      </w:r>
    </w:p>
    <w:p w14:paraId="38BCCEA9">
      <w:pPr>
        <w:tabs>
          <w:tab w:val="left" w:pos="992"/>
          <w:tab w:val="left" w:pos="1133"/>
        </w:tabs>
        <w:spacing w:line="360" w:lineRule="auto"/>
        <w:ind w:firstLine="422" w:firstLineChars="20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工程竣工验收合格</w:t>
      </w:r>
      <w:r>
        <w:rPr>
          <w:rFonts w:hint="eastAsia" w:ascii="宋体" w:hAnsi="宋体" w:cs="宋体"/>
          <w:b/>
          <w:bCs/>
          <w:color w:val="000000" w:themeColor="text1"/>
          <w:lang w:val="en-US" w:eastAsia="zh-CN"/>
          <w14:textFill>
            <w14:solidFill>
              <w14:schemeClr w14:val="tx1"/>
            </w14:solidFill>
          </w14:textFill>
        </w:rPr>
        <w:t>后</w:t>
      </w:r>
      <w:r>
        <w:rPr>
          <w:rFonts w:hint="eastAsia" w:ascii="宋体" w:hAnsi="宋体" w:cs="宋体"/>
          <w:b/>
          <w:bCs/>
          <w:color w:val="000000" w:themeColor="text1"/>
          <w14:textFill>
            <w14:solidFill>
              <w14:schemeClr w14:val="tx1"/>
            </w14:solidFill>
          </w14:textFill>
        </w:rPr>
        <w:t>付</w:t>
      </w:r>
      <w:r>
        <w:rPr>
          <w:rFonts w:hint="eastAsia" w:ascii="宋体" w:hAnsi="宋体" w:cs="宋体"/>
          <w:b/>
          <w:bCs/>
          <w:color w:val="000000" w:themeColor="text1"/>
          <w:lang w:val="en-US" w:eastAsia="zh-CN"/>
          <w14:textFill>
            <w14:solidFill>
              <w14:schemeClr w14:val="tx1"/>
            </w14:solidFill>
          </w14:textFill>
        </w:rPr>
        <w:t>至</w:t>
      </w:r>
      <w:r>
        <w:rPr>
          <w:rFonts w:hint="eastAsia" w:ascii="宋体" w:hAnsi="宋体" w:cs="宋体"/>
          <w:b/>
          <w:bCs/>
          <w:color w:val="000000" w:themeColor="text1"/>
          <w14:textFill>
            <w14:solidFill>
              <w14:schemeClr w14:val="tx1"/>
            </w14:solidFill>
          </w14:textFill>
        </w:rPr>
        <w:t xml:space="preserve">合同价的 </w:t>
      </w:r>
      <w:r>
        <w:rPr>
          <w:rFonts w:hint="eastAsia" w:ascii="宋体" w:hAnsi="宋体" w:cs="宋体"/>
          <w:b/>
          <w:bCs/>
          <w:color w:val="000000" w:themeColor="text1"/>
          <w:lang w:val="en-US" w:eastAsia="zh-CN"/>
          <w14:textFill>
            <w14:solidFill>
              <w14:schemeClr w14:val="tx1"/>
            </w14:solidFill>
          </w14:textFill>
        </w:rPr>
        <w:t>7</w:t>
      </w:r>
      <w:r>
        <w:rPr>
          <w:rFonts w:hint="eastAsia" w:ascii="宋体" w:hAnsi="宋体" w:cs="宋体"/>
          <w:b/>
          <w:bCs/>
          <w:color w:val="000000" w:themeColor="text1"/>
          <w14:textFill>
            <w14:solidFill>
              <w14:schemeClr w14:val="tx1"/>
            </w14:solidFill>
          </w14:textFill>
        </w:rPr>
        <w:t>0%，</w:t>
      </w:r>
      <w:r>
        <w:rPr>
          <w:rFonts w:hint="eastAsia" w:ascii="宋体" w:hAnsi="宋体" w:cs="宋体"/>
          <w:b/>
          <w:bCs/>
          <w:color w:val="000000" w:themeColor="text1"/>
          <w:lang w:val="en-US" w:eastAsia="zh-CN"/>
          <w14:textFill>
            <w14:solidFill>
              <w14:schemeClr w14:val="tx1"/>
            </w14:solidFill>
          </w14:textFill>
        </w:rPr>
        <w:t>工程竣工验收合格满一年且经审计结束后付至审定价的90%，工程竣工验收合格满二年后结清审定价余款，工程款不计息</w:t>
      </w:r>
      <w:r>
        <w:rPr>
          <w:rFonts w:hint="eastAsia" w:ascii="宋体" w:hAnsi="宋体" w:cs="宋体"/>
          <w:b/>
          <w:bCs/>
          <w:color w:val="000000" w:themeColor="text1"/>
          <w14:textFill>
            <w14:solidFill>
              <w14:schemeClr w14:val="tx1"/>
            </w14:solidFill>
          </w14:textFill>
        </w:rPr>
        <w:t>。</w:t>
      </w:r>
    </w:p>
    <w:p w14:paraId="4AF45349">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6、变更结算方式</w:t>
      </w:r>
    </w:p>
    <w:p w14:paraId="62B29D3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变更结算调整方法：以图纸设计变更和采购人要求变更为依据，只调整变更部分，变更费用按投标让利幅度同等让利[投标让利幅度=1-投标报价/采购人预算价]。</w:t>
      </w:r>
    </w:p>
    <w:p w14:paraId="7D88846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风险范围以外合同价款调整方法：</w:t>
      </w:r>
    </w:p>
    <w:p w14:paraId="2F7AB60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 由工程设计变更或采购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348E041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⑵新增零星工程以实际签证为准，其价格由承包人提出，并经发包人认可后作为结算的依据。让利按投标时让利幅度同等让利[投标让利幅度=1-投标报价/采购人预算价]。</w:t>
      </w:r>
    </w:p>
    <w:p w14:paraId="618E8D1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⑶附属工程的工程量按实结算，让利幅度同投标让利幅度。</w:t>
      </w:r>
    </w:p>
    <w:p w14:paraId="2F4C5CF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7、保修</w:t>
      </w:r>
    </w:p>
    <w:p w14:paraId="4999FC3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保修按国家有关规定执行。</w:t>
      </w:r>
    </w:p>
    <w:p w14:paraId="15F4BA8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8、分包规定</w:t>
      </w:r>
    </w:p>
    <w:p w14:paraId="593FFB9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本工程不得进行分包，如承包人擅自将工程全部或其中的一部分转包或分包给其它单位，发包人有权终止合同，由此造成的一切损失由承包人承担。</w:t>
      </w:r>
    </w:p>
    <w:p w14:paraId="55FD164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9、违约责任</w:t>
      </w:r>
    </w:p>
    <w:p w14:paraId="5D58A72F">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甲乙双方如发生违约纠纷，应在分清责任的前提下，协商解决，如实在无法协商，可提请高邮市人民法院诉讼。违约责任详见专用条款。</w:t>
      </w:r>
    </w:p>
    <w:p w14:paraId="220DB63F">
      <w:pPr>
        <w:spacing w:line="360" w:lineRule="auto"/>
        <w:ind w:firstLine="457" w:firstLineChars="218"/>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双方约定的承包人其他违约责任：</w:t>
      </w:r>
      <w:r>
        <w:rPr>
          <w:rFonts w:hint="eastAsia" w:ascii="宋体" w:hAnsi="宋体" w:cs="宋体"/>
          <w:b w:val="0"/>
          <w:bCs w:val="0"/>
          <w:color w:val="000000" w:themeColor="text1"/>
          <w:szCs w:val="21"/>
          <w14:textFill>
            <w14:solidFill>
              <w14:schemeClr w14:val="tx1"/>
            </w14:solidFill>
          </w14:textFill>
        </w:rPr>
        <w:t>承包人明确表示或者以其行为表明不履行合同主要义务的，发包人有权解除合同。承包人除赔偿发包人的损失外，另按工程总价的5%支付违约金。</w:t>
      </w:r>
    </w:p>
    <w:p w14:paraId="5E7C24D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10、设计变更</w:t>
      </w:r>
    </w:p>
    <w:p w14:paraId="7421069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⑴施工期间，建设单位设计变更通知是合同及施工设计图纸的补充和完善，承包人不得拒绝。</w:t>
      </w:r>
    </w:p>
    <w:p w14:paraId="59377D47">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⑵由于工程设计变更导致本合同工程量增减变化时，是对合同价款增减调整的依据。</w:t>
      </w:r>
    </w:p>
    <w:p w14:paraId="312C475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⑶承包人不得以设计变更或工程量的变化为理由，解除或修改合同对其规定的责任和义务。</w:t>
      </w:r>
    </w:p>
    <w:p w14:paraId="039CAF3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11、其他</w:t>
      </w:r>
    </w:p>
    <w:p w14:paraId="7F1DB14E">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（1）承包人应按江苏省和扬州市的有关安全文明施工规定进行施工。</w:t>
      </w:r>
    </w:p>
    <w:p w14:paraId="0C55FE9E">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442CB3C8">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（3）</w:t>
      </w:r>
      <w:r>
        <w:rPr>
          <w:rFonts w:hint="eastAsia" w:ascii="宋体" w:hAnsi="宋体" w:cs="宋体"/>
          <w:color w:val="000000" w:themeColor="text1"/>
          <w:kern w:val="2"/>
          <w:szCs w:val="22"/>
          <w:lang w:val="en-US" w:eastAsia="zh-CN"/>
          <w14:textFill>
            <w14:solidFill>
              <w14:schemeClr w14:val="tx1"/>
            </w14:solidFill>
          </w14:textFill>
        </w:rPr>
        <w:t>承包人</w:t>
      </w:r>
      <w:r>
        <w:rPr>
          <w:rFonts w:hint="eastAsia" w:ascii="宋体" w:hAnsi="宋体" w:cs="宋体"/>
          <w:color w:val="000000" w:themeColor="text1"/>
          <w:kern w:val="2"/>
          <w:szCs w:val="22"/>
          <w:lang w:val="zh-CN"/>
          <w14:textFill>
            <w14:solidFill>
              <w14:schemeClr w14:val="tx1"/>
            </w14:solidFill>
          </w14:textFill>
        </w:rPr>
        <w:t>负责本工程施工过程中的所有安全生产责任，如发生安全事故与发包人无关。</w:t>
      </w:r>
    </w:p>
    <w:p w14:paraId="69CFD30F">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（4）本工程要求承包人合理施工，协调周边关系、噪音污染防治等工作由承包方负责。</w:t>
      </w:r>
    </w:p>
    <w:p w14:paraId="7C43CDD0">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14:paraId="2629007C">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（6）在保修期内施工方承诺无条件承担工程质量保修责任：因质量问题返工、返修产生的一切责任和费用均由施工方负责；因建设方责任所引起的质量问题返工、返修，施工方有权向建设方收取适当的工本费。</w:t>
      </w:r>
    </w:p>
    <w:p w14:paraId="5D5327CA">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（7）工程所用材料、设备进场前须报发包人认可，经发包人书面同意后方可进场使用。</w:t>
      </w:r>
    </w:p>
    <w:p w14:paraId="1C0C1E67">
      <w:pPr>
        <w:pStyle w:val="55"/>
        <w:spacing w:line="360" w:lineRule="auto"/>
        <w:ind w:firstLine="420" w:firstLineChars="200"/>
        <w:rPr>
          <w:rFonts w:hint="eastAsia"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w:t>
      </w:r>
      <w:r>
        <w:rPr>
          <w:rFonts w:hint="eastAsia" w:ascii="宋体" w:hAnsi="宋体" w:cs="宋体"/>
          <w:color w:val="000000" w:themeColor="text1"/>
          <w:kern w:val="2"/>
          <w:szCs w:val="22"/>
          <w14:textFill>
            <w14:solidFill>
              <w14:schemeClr w14:val="tx1"/>
            </w14:solidFill>
          </w14:textFill>
        </w:rPr>
        <w:t>8</w:t>
      </w:r>
      <w:r>
        <w:rPr>
          <w:rFonts w:hint="eastAsia" w:ascii="宋体" w:hAnsi="宋体" w:cs="宋体"/>
          <w:color w:val="000000" w:themeColor="text1"/>
          <w:kern w:val="2"/>
          <w:szCs w:val="22"/>
          <w:lang w:val="zh-CN"/>
          <w14:textFill>
            <w14:solidFill>
              <w14:schemeClr w14:val="tx1"/>
            </w14:solidFill>
          </w14:textFill>
        </w:rPr>
        <w:t>）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p>
    <w:p w14:paraId="7AA7A3B8">
      <w:pPr>
        <w:pStyle w:val="55"/>
        <w:pageBreakBefore w:val="0"/>
        <w:wordWrap/>
        <w:overflowPunct/>
        <w:topLinePunct w:val="0"/>
        <w:bidi w:val="0"/>
        <w:spacing w:line="360" w:lineRule="auto"/>
        <w:ind w:firstLine="420" w:firstLineChars="200"/>
        <w:rPr>
          <w:rFonts w:hint="eastAsia" w:ascii="宋体" w:hAnsi="宋体" w:eastAsia="宋体" w:cs="宋体"/>
          <w:color w:val="000000"/>
          <w:kern w:val="2"/>
          <w:szCs w:val="22"/>
          <w:highlight w:val="none"/>
        </w:rPr>
      </w:pPr>
      <w:r>
        <w:rPr>
          <w:rFonts w:hint="eastAsia" w:ascii="宋体" w:hAnsi="宋体" w:eastAsia="宋体" w:cs="宋体"/>
          <w:color w:val="000000"/>
          <w:kern w:val="2"/>
          <w:szCs w:val="22"/>
          <w:highlight w:val="none"/>
          <w:lang w:val="zh-CN"/>
        </w:rPr>
        <w:t>（</w:t>
      </w:r>
      <w:r>
        <w:rPr>
          <w:rFonts w:hint="eastAsia" w:ascii="宋体" w:hAnsi="宋体" w:eastAsia="宋体" w:cs="宋体"/>
          <w:color w:val="000000"/>
          <w:kern w:val="2"/>
          <w:szCs w:val="22"/>
          <w:highlight w:val="none"/>
          <w:lang w:val="en-US" w:eastAsia="zh-CN"/>
        </w:rPr>
        <w:t>9</w:t>
      </w:r>
      <w:r>
        <w:rPr>
          <w:rFonts w:hint="eastAsia" w:ascii="宋体" w:hAnsi="宋体" w:eastAsia="宋体" w:cs="宋体"/>
          <w:color w:val="000000"/>
          <w:kern w:val="2"/>
          <w:szCs w:val="22"/>
          <w:highlight w:val="none"/>
          <w:lang w:val="zh-CN"/>
        </w:rPr>
        <w:t>）</w:t>
      </w:r>
      <w:r>
        <w:rPr>
          <w:rFonts w:hint="eastAsia" w:ascii="宋体" w:hAnsi="宋体" w:eastAsia="宋体" w:cs="宋体"/>
          <w:b/>
          <w:bCs/>
          <w:kern w:val="2"/>
          <w:szCs w:val="22"/>
          <w:highlight w:val="none"/>
          <w:lang w:val="zh-CN"/>
        </w:rPr>
        <w:t>结算总价应依据工程量及有关规定报送，若结算审计核减额度大于10% ，审计费用</w:t>
      </w:r>
      <w:r>
        <w:rPr>
          <w:rFonts w:hint="eastAsia" w:ascii="宋体" w:hAnsi="宋体" w:cs="宋体"/>
          <w:b/>
          <w:bCs/>
          <w:kern w:val="2"/>
          <w:szCs w:val="22"/>
          <w:highlight w:val="none"/>
          <w:lang w:val="en-US" w:eastAsia="zh-CN"/>
        </w:rPr>
        <w:t>全部</w:t>
      </w:r>
      <w:r>
        <w:rPr>
          <w:rFonts w:hint="eastAsia" w:ascii="宋体" w:hAnsi="宋体" w:eastAsia="宋体" w:cs="宋体"/>
          <w:b/>
          <w:bCs/>
          <w:kern w:val="2"/>
          <w:szCs w:val="22"/>
          <w:highlight w:val="none"/>
          <w:lang w:val="zh-CN"/>
        </w:rPr>
        <w:t>由</w:t>
      </w:r>
      <w:r>
        <w:rPr>
          <w:rFonts w:hint="eastAsia" w:ascii="宋体" w:hAnsi="宋体" w:eastAsia="宋体" w:cs="宋体"/>
          <w:b/>
          <w:bCs/>
          <w:kern w:val="2"/>
          <w:szCs w:val="22"/>
          <w:highlight w:val="none"/>
          <w:lang w:val="en-US" w:eastAsia="zh-CN"/>
        </w:rPr>
        <w:t>承包人</w:t>
      </w:r>
      <w:r>
        <w:rPr>
          <w:rFonts w:hint="eastAsia" w:ascii="宋体" w:hAnsi="宋体" w:eastAsia="宋体" w:cs="宋体"/>
          <w:b/>
          <w:bCs/>
          <w:kern w:val="2"/>
          <w:szCs w:val="22"/>
          <w:highlight w:val="none"/>
          <w:lang w:val="zh-CN"/>
        </w:rPr>
        <w:t>承担。</w:t>
      </w:r>
    </w:p>
    <w:p w14:paraId="03C46160">
      <w:pPr>
        <w:pStyle w:val="56"/>
      </w:pPr>
    </w:p>
    <w:p w14:paraId="7CA3933E">
      <w:pPr>
        <w:pStyle w:val="55"/>
        <w:spacing w:line="360" w:lineRule="auto"/>
        <w:rPr>
          <w:rFonts w:ascii="宋体" w:hAnsi="宋体" w:cs="宋体"/>
          <w:color w:val="000000" w:themeColor="text1"/>
          <w:kern w:val="2"/>
          <w:szCs w:val="22"/>
          <w14:textFill>
            <w14:solidFill>
              <w14:schemeClr w14:val="tx1"/>
            </w14:solidFill>
          </w14:textFill>
        </w:rPr>
        <w:sectPr>
          <w:footerReference r:id="rId8" w:type="first"/>
          <w:footerReference r:id="rId7" w:type="default"/>
          <w:pgSz w:w="11906" w:h="16838"/>
          <w:pgMar w:top="1417" w:right="1701" w:bottom="1417" w:left="1701" w:header="851" w:footer="992" w:gutter="0"/>
          <w:pgNumType w:start="1"/>
          <w:cols w:space="720" w:num="1"/>
          <w:docGrid w:linePitch="360" w:charSpace="0"/>
        </w:sectPr>
      </w:pPr>
    </w:p>
    <w:p w14:paraId="3A9DB071">
      <w:pPr>
        <w:pStyle w:val="3"/>
        <w:spacing w:line="360" w:lineRule="auto"/>
        <w:jc w:val="center"/>
        <w:rPr>
          <w:rFonts w:ascii="宋体" w:hAnsi="宋体" w:cs="宋体"/>
          <w:color w:val="000000" w:themeColor="text1"/>
          <w:sz w:val="32"/>
          <w:szCs w:val="32"/>
          <w14:textFill>
            <w14:solidFill>
              <w14:schemeClr w14:val="tx1"/>
            </w14:solidFill>
          </w14:textFill>
        </w:rPr>
      </w:pPr>
      <w:bookmarkStart w:id="31" w:name="_Toc109304974"/>
      <w:r>
        <w:rPr>
          <w:rFonts w:hint="eastAsia" w:ascii="宋体" w:hAnsi="宋体" w:cs="宋体"/>
          <w:color w:val="000000" w:themeColor="text1"/>
          <w:sz w:val="32"/>
          <w:szCs w:val="32"/>
          <w14:textFill>
            <w14:solidFill>
              <w14:schemeClr w14:val="tx1"/>
            </w14:solidFill>
          </w14:textFill>
        </w:rPr>
        <w:t>第四章 项目需求</w:t>
      </w:r>
      <w:bookmarkEnd w:id="31"/>
    </w:p>
    <w:bookmarkEnd w:id="1"/>
    <w:p w14:paraId="34907EF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一、项目概况</w:t>
      </w:r>
    </w:p>
    <w:p w14:paraId="66D41D7D">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1、本项目预算价为</w:t>
      </w:r>
      <w:r>
        <w:rPr>
          <w:rFonts w:hint="eastAsia" w:ascii="宋体" w:hAnsi="宋体" w:cs="宋体"/>
          <w:color w:val="000000" w:themeColor="text1"/>
          <w:lang w:eastAsia="zh-CN"/>
          <w14:textFill>
            <w14:solidFill>
              <w14:schemeClr w14:val="tx1"/>
            </w14:solidFill>
          </w14:textFill>
        </w:rPr>
        <w:t>219.66万元</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最高限价：</w:t>
      </w:r>
      <w:r>
        <w:rPr>
          <w:rFonts w:hint="eastAsia" w:ascii="宋体" w:hAnsi="宋体" w:cs="宋体"/>
          <w:color w:val="000000" w:themeColor="text1"/>
          <w:szCs w:val="21"/>
          <w:lang w:val="en-US" w:eastAsia="zh-CN"/>
          <w14:textFill>
            <w14:solidFill>
              <w14:schemeClr w14:val="tx1"/>
            </w14:solidFill>
          </w14:textFill>
        </w:rPr>
        <w:t>219.66万元</w:t>
      </w:r>
      <w:r>
        <w:rPr>
          <w:rFonts w:hint="eastAsia" w:ascii="宋体" w:hAnsi="宋体" w:cs="宋体"/>
          <w:color w:val="000000" w:themeColor="text1"/>
          <w:spacing w:val="-1"/>
          <w14:textFill>
            <w14:solidFill>
              <w14:schemeClr w14:val="tx1"/>
            </w14:solidFill>
          </w14:textFill>
        </w:rPr>
        <w:t>（报价高于最高限价的为无效投标）</w:t>
      </w:r>
    </w:p>
    <w:p w14:paraId="3B7D9D6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2、项目主要实施内容：</w:t>
      </w:r>
      <w:r>
        <w:rPr>
          <w:rFonts w:hint="eastAsia" w:ascii="宋体" w:hAnsi="宋体" w:cs="宋体"/>
          <w:color w:val="000000" w:themeColor="text1"/>
          <w:szCs w:val="21"/>
          <w14:textFill>
            <w14:solidFill>
              <w14:schemeClr w14:val="tx1"/>
            </w14:solidFill>
          </w14:textFill>
        </w:rPr>
        <w:t>拟</w:t>
      </w:r>
      <w:r>
        <w:rPr>
          <w:rFonts w:hint="eastAsia" w:ascii="宋体" w:hAnsi="宋体" w:cs="宋体"/>
          <w:color w:val="000000" w:themeColor="text1"/>
          <w:szCs w:val="21"/>
          <w:lang w:val="en-US" w:eastAsia="zh-CN"/>
          <w14:textFill>
            <w14:solidFill>
              <w14:schemeClr w14:val="tx1"/>
            </w14:solidFill>
          </w14:textFill>
        </w:rPr>
        <w:t>于</w:t>
      </w:r>
      <w:r>
        <w:rPr>
          <w:rFonts w:hint="eastAsia" w:ascii="宋体" w:hAnsi="宋体" w:cs="宋体"/>
          <w:color w:val="000000" w:themeColor="text1"/>
          <w:szCs w:val="21"/>
          <w14:textFill>
            <w14:solidFill>
              <w14:schemeClr w14:val="tx1"/>
            </w14:solidFill>
          </w14:textFill>
        </w:rPr>
        <w:t>海潮路南侧、欧洲城二期北侧、平安路西侧、珠光路东侧</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占地面积约5140㎡</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建设 1 个口袋公园，主要内容包括路面铺设、绿化、设施等</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楷体"/>
          <w:color w:val="000000" w:themeColor="text1"/>
          <w:spacing w:val="-1"/>
          <w:highlight w:val="none"/>
          <w14:textFill>
            <w14:solidFill>
              <w14:schemeClr w14:val="tx1"/>
            </w14:solidFill>
          </w14:textFill>
        </w:rPr>
        <w:t>具体详见工程量清单</w:t>
      </w:r>
      <w:r>
        <w:rPr>
          <w:rFonts w:hint="eastAsia" w:ascii="宋体" w:hAnsi="宋体" w:cs="楷体"/>
          <w:color w:val="000000" w:themeColor="text1"/>
          <w:spacing w:val="-1"/>
          <w:highlight w:val="none"/>
          <w:lang w:eastAsia="zh-CN"/>
          <w14:textFill>
            <w14:solidFill>
              <w14:schemeClr w14:val="tx1"/>
            </w14:solidFill>
          </w14:textFill>
        </w:rPr>
        <w:t>、</w:t>
      </w:r>
      <w:r>
        <w:rPr>
          <w:rFonts w:hint="eastAsia" w:ascii="宋体" w:hAnsi="宋体" w:cs="楷体"/>
          <w:color w:val="000000" w:themeColor="text1"/>
          <w:spacing w:val="-1"/>
          <w:highlight w:val="none"/>
          <w:lang w:val="en-US" w:eastAsia="zh-CN"/>
          <w14:textFill>
            <w14:solidFill>
              <w14:schemeClr w14:val="tx1"/>
            </w14:solidFill>
          </w14:textFill>
        </w:rPr>
        <w:t>图纸</w:t>
      </w:r>
      <w:r>
        <w:rPr>
          <w:rFonts w:hint="eastAsia" w:ascii="宋体" w:hAnsi="宋体" w:cs="宋体"/>
          <w:color w:val="000000" w:themeColor="text1"/>
          <w:szCs w:val="21"/>
          <w:highlight w:val="none"/>
          <w14:textFill>
            <w14:solidFill>
              <w14:schemeClr w14:val="tx1"/>
            </w14:solidFill>
          </w14:textFill>
        </w:rPr>
        <w:t>及采购文件。</w:t>
      </w:r>
    </w:p>
    <w:p w14:paraId="357F2792">
      <w:pPr>
        <w:adjustRightInd w:val="0"/>
        <w:spacing w:line="360" w:lineRule="auto"/>
        <w:ind w:firstLine="416" w:firstLineChars="200"/>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3、</w:t>
      </w:r>
      <w:r>
        <w:rPr>
          <w:rFonts w:hint="eastAsia" w:ascii="宋体" w:hAnsi="宋体" w:cs="宋体"/>
          <w:color w:val="000000" w:themeColor="text1"/>
          <w14:textFill>
            <w14:solidFill>
              <w14:schemeClr w14:val="tx1"/>
            </w14:solidFill>
          </w14:textFill>
        </w:rPr>
        <w:t>工程地点：海潮路南侧、欧洲城二期北侧、平安路西侧、珠光路东侧。</w:t>
      </w:r>
      <w:r>
        <w:rPr>
          <w:rFonts w:hint="eastAsia" w:ascii="宋体" w:hAnsi="宋体" w:cs="宋体"/>
          <w:color w:val="000000" w:themeColor="text1"/>
          <w:lang w:val="en-US" w:eastAsia="zh-CN"/>
          <w14:textFill>
            <w14:solidFill>
              <w14:schemeClr w14:val="tx1"/>
            </w14:solidFill>
          </w14:textFill>
        </w:rPr>
        <w:t>本项目地处小区出入口、沿街商铺与城市交通要道交汇处，周边居民往来频繁、商铺客流集中、道路车流量大，属于人员高度密集施工区域。承包人须全面统筹施工全过程安全管理工作，承包人需结合项目实施地点详细踏勘现场后配备相应的项目安全技术力量。</w:t>
      </w:r>
    </w:p>
    <w:p w14:paraId="6072D184">
      <w:pPr>
        <w:adjustRightInd w:val="0"/>
        <w:spacing w:line="360" w:lineRule="auto"/>
        <w:ind w:firstLine="416"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4、工期：</w:t>
      </w:r>
      <w:r>
        <w:rPr>
          <w:rFonts w:hint="eastAsia" w:ascii="宋体" w:hAnsi="宋体" w:cs="宋体"/>
          <w:color w:val="000000" w:themeColor="text1"/>
          <w:spacing w:val="-1"/>
          <w:lang w:eastAsia="zh-CN"/>
          <w14:textFill>
            <w14:solidFill>
              <w14:schemeClr w14:val="tx1"/>
            </w14:solidFill>
          </w14:textFill>
        </w:rPr>
        <w:t>90日历天</w:t>
      </w:r>
      <w:r>
        <w:rPr>
          <w:rFonts w:hint="eastAsia" w:ascii="宋体" w:hAnsi="宋体" w:cs="宋体"/>
          <w:color w:val="000000" w:themeColor="text1"/>
          <w:szCs w:val="21"/>
          <w14:textFill>
            <w14:solidFill>
              <w14:schemeClr w14:val="tx1"/>
            </w14:solidFill>
          </w14:textFill>
        </w:rPr>
        <w:t>，实际开工时间以采购人的通知为准。</w:t>
      </w:r>
    </w:p>
    <w:p w14:paraId="3A77347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5、质量要求：合格</w:t>
      </w:r>
    </w:p>
    <w:p w14:paraId="1FF7A05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6、本工程采用的技术规范</w:t>
      </w:r>
    </w:p>
    <w:p w14:paraId="7C9A72D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本工程施工中的工序验收、分部项工程验收、中间验收及竣工验收等按现行的有关施工及验收规范、质量检验评定标准执行；材料检验、试验按国家和地方颁布的技术规范、标准、规程执行。</w:t>
      </w:r>
    </w:p>
    <w:p w14:paraId="5A692E9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7、对材料的质量和试验要求</w:t>
      </w:r>
    </w:p>
    <w:p w14:paraId="177FA2E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所有工程中使用的材料、设备、成品、半成品等必须提供齐全的质量保证资料，并按现行的有关规定进行检验、试验；承包方必须主动按工程监理的程序向监理方报验，经监理方书面认可后方可用于工程。</w:t>
      </w:r>
    </w:p>
    <w:p w14:paraId="60D33F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8、对施工工艺的特殊要求：按现行的国家和地方的规定及标准执行。</w:t>
      </w:r>
    </w:p>
    <w:p w14:paraId="1BB0EC5A">
      <w:pPr>
        <w:adjustRightIn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9、施工做法：</w:t>
      </w:r>
      <w:r>
        <w:rPr>
          <w:rFonts w:hint="eastAsia" w:ascii="宋体" w:hAnsi="宋体"/>
          <w:color w:val="000000" w:themeColor="text1"/>
          <w:szCs w:val="21"/>
          <w14:textFill>
            <w14:solidFill>
              <w14:schemeClr w14:val="tx1"/>
            </w14:solidFill>
          </w14:textFill>
        </w:rPr>
        <w:t>根据图纸及招标清单进行施工。</w:t>
      </w:r>
    </w:p>
    <w:p w14:paraId="2EE5998F">
      <w:pPr>
        <w:adjustRightInd w:val="0"/>
        <w:spacing w:line="360" w:lineRule="auto"/>
        <w:ind w:firstLine="420" w:firstLineChars="200"/>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10、承包人承担本项目全周期安全生产全部主体责任；</w:t>
      </w:r>
    </w:p>
    <w:p w14:paraId="2FF2688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二、工程量清单编制说明</w:t>
      </w:r>
    </w:p>
    <w:p w14:paraId="5A85468E">
      <w:pPr>
        <w:adjustRightInd w:val="0"/>
        <w:spacing w:line="360" w:lineRule="auto"/>
        <w:ind w:firstLine="420" w:firstLineChars="200"/>
        <w:rPr>
          <w:rFonts w:ascii="宋体" w:hAnsi="宋体" w:cs="宋体"/>
          <w:color w:val="000000" w:themeColor="text1"/>
          <w14:textFill>
            <w14:solidFill>
              <w14:schemeClr w14:val="tx1"/>
            </w14:solidFill>
          </w14:textFill>
        </w:rPr>
      </w:pPr>
      <w:bookmarkStart w:id="32" w:name="_Toc109304975"/>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报价应按照采购人提供的工程量清单的格式，不得改变工程量清单，不可竞争费用不得让利。供应商首轮报价应有详细的报价组成，不可竞争费用不得降低标准计取应按采购人提供的工程量清单及相关费用、费率报价。</w:t>
      </w:r>
      <w:r>
        <w:rPr>
          <w:rFonts w:hint="eastAsia" w:ascii="宋体" w:hAnsi="宋体" w:cs="宋体"/>
          <w:color w:val="000000" w:themeColor="text1"/>
          <w14:textFill>
            <w14:solidFill>
              <w14:schemeClr w14:val="tx1"/>
            </w14:solidFill>
          </w14:textFill>
        </w:rPr>
        <w:t>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cs="宋体"/>
          <w:i/>
          <w:iCs/>
          <w:color w:val="000000" w:themeColor="text1"/>
          <w:u w:val="single"/>
          <w14:textFill>
            <w14:solidFill>
              <w14:schemeClr w14:val="tx1"/>
            </w14:solidFill>
          </w14:textFill>
        </w:rPr>
        <w:t>提供已标价的工程量清单</w:t>
      </w:r>
      <w:r>
        <w:rPr>
          <w:rFonts w:hint="eastAsia" w:ascii="宋体" w:hAnsi="宋体" w:cs="宋体"/>
          <w:color w:val="000000" w:themeColor="text1"/>
          <w14:textFill>
            <w14:solidFill>
              <w14:schemeClr w14:val="tx1"/>
            </w14:solidFill>
          </w14:textFill>
        </w:rPr>
        <w:t>。</w:t>
      </w:r>
    </w:p>
    <w:p w14:paraId="415D828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i/>
          <w:iCs/>
          <w:color w:val="000000" w:themeColor="text1"/>
          <w:u w:val="single"/>
          <w14:textFill>
            <w14:solidFill>
              <w14:schemeClr w14:val="tx1"/>
            </w14:solidFill>
          </w14:textFill>
        </w:rPr>
        <w:t>响应文件不得改变或者遗漏工程量清单中分部分项工程量清单规定的项目编码、项目名称、项目特征、计量单位、工程量。</w:t>
      </w:r>
    </w:p>
    <w:p w14:paraId="10F814B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3、供应商应对清单中的每一个项目进行报价（包括综合单价及合价），如漏项或缺项，则视为其费用已含在其他项目的综合单价或合价中，结算时不再增加，</w:t>
      </w:r>
      <w:r>
        <w:rPr>
          <w:rFonts w:hint="eastAsia" w:ascii="宋体" w:hAnsi="宋体" w:cs="宋体"/>
          <w:color w:val="000000" w:themeColor="text1"/>
          <w:szCs w:val="21"/>
          <w:lang w:bidi="ar"/>
          <w14:textFill>
            <w14:solidFill>
              <w14:schemeClr w14:val="tx1"/>
            </w14:solidFill>
          </w14:textFill>
        </w:rPr>
        <w:t>由供应商自行承担</w:t>
      </w:r>
      <w:r>
        <w:rPr>
          <w:rFonts w:hint="eastAsia" w:ascii="宋体" w:hAnsi="宋体" w:cs="宋体"/>
          <w:color w:val="000000" w:themeColor="text1"/>
          <w14:textFill>
            <w14:solidFill>
              <w14:schemeClr w14:val="tx1"/>
            </w14:solidFill>
          </w14:textFill>
        </w:rPr>
        <w:t>。</w:t>
      </w:r>
    </w:p>
    <w:p w14:paraId="17BB4B2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4、投标报价方式</w:t>
      </w:r>
    </w:p>
    <w:p w14:paraId="3F23846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本工程采用</w:t>
      </w:r>
      <w:r>
        <w:rPr>
          <w:rFonts w:hint="eastAsia" w:ascii="宋体" w:hAnsi="宋体" w:cs="宋体"/>
          <w:b/>
          <w:bCs/>
          <w:color w:val="000000" w:themeColor="text1"/>
          <w:u w:val="single"/>
          <w14:textFill>
            <w14:solidFill>
              <w14:schemeClr w14:val="tx1"/>
            </w14:solidFill>
          </w14:textFill>
        </w:rPr>
        <w:t xml:space="preserve"> 固定单价 </w:t>
      </w:r>
      <w:r>
        <w:rPr>
          <w:rFonts w:hint="eastAsia" w:ascii="宋体" w:hAnsi="宋体" w:cs="宋体"/>
          <w:color w:val="000000" w:themeColor="text1"/>
          <w14:textFill>
            <w14:solidFill>
              <w14:schemeClr w14:val="tx1"/>
            </w14:solidFill>
          </w14:textFill>
        </w:rPr>
        <w:t>报价，</w:t>
      </w:r>
      <w:r>
        <w:rPr>
          <w:rFonts w:hint="eastAsia" w:ascii="宋体" w:hAnsi="宋体" w:cs="宋体"/>
          <w:iCs/>
          <w:color w:val="000000" w:themeColor="text1"/>
          <w14:textFill>
            <w14:solidFill>
              <w14:schemeClr w14:val="tx1"/>
            </w14:solidFill>
          </w14:textFill>
        </w:rPr>
        <w:t>本项目承包范围为采购文件、工程量清单、</w:t>
      </w:r>
      <w:r>
        <w:rPr>
          <w:rFonts w:hint="eastAsia" w:ascii="宋体" w:hAnsi="宋体" w:cs="宋体"/>
          <w:iCs/>
          <w:color w:val="000000" w:themeColor="text1"/>
          <w:lang w:val="en-US" w:eastAsia="zh-CN"/>
          <w14:textFill>
            <w14:solidFill>
              <w14:schemeClr w14:val="tx1"/>
            </w14:solidFill>
          </w14:textFill>
        </w:rPr>
        <w:t>图纸、</w:t>
      </w:r>
      <w:r>
        <w:rPr>
          <w:rFonts w:hint="eastAsia" w:ascii="宋体" w:hAnsi="宋体" w:cs="宋体"/>
          <w:iCs/>
          <w:color w:val="000000" w:themeColor="text1"/>
          <w14:textFill>
            <w14:solidFill>
              <w14:schemeClr w14:val="tx1"/>
            </w14:solidFill>
          </w14:textFill>
        </w:rPr>
        <w:t>附件范围相关的内容</w:t>
      </w:r>
      <w:r>
        <w:rPr>
          <w:rFonts w:hint="eastAsia" w:ascii="宋体" w:hAnsi="宋体" w:cs="宋体"/>
          <w:color w:val="000000" w:themeColor="text1"/>
          <w14:textFill>
            <w14:solidFill>
              <w14:schemeClr w14:val="tx1"/>
            </w14:solidFill>
          </w14:textFill>
        </w:rPr>
        <w:t>。</w:t>
      </w:r>
    </w:p>
    <w:p w14:paraId="5E0F124B">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0112F743">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到现场实地，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657283FF">
      <w:pPr>
        <w:pStyle w:val="76"/>
        <w:spacing w:line="360" w:lineRule="auto"/>
        <w:ind w:firstLine="422"/>
        <w:rPr>
          <w:rFonts w:hAnsi="宋体" w:cs="宋体"/>
          <w:b/>
          <w:bCs/>
          <w:iCs/>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hAnsi="宋体" w:cs="宋体"/>
          <w:iCs/>
          <w:color w:val="000000" w:themeColor="text1"/>
          <w:sz w:val="21"/>
          <w14:textFill>
            <w14:solidFill>
              <w14:schemeClr w14:val="tx1"/>
            </w14:solidFill>
          </w14:textFill>
        </w:rPr>
        <w:t>视为采购人提供的工程量清单不存在问题。</w:t>
      </w:r>
    </w:p>
    <w:p w14:paraId="33F1948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4085772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、变更估价原则</w:t>
      </w:r>
    </w:p>
    <w:p w14:paraId="1C26BF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（1）已标价工程量清单中有适用于变更工程项目的，应采用该项目的单价。</w:t>
      </w:r>
    </w:p>
    <w:p w14:paraId="7F1D772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（2）由设计变更和采购人要求变动的内容引起的新的工程量清单项目，其对应的综合单价按下列方法确定：</w:t>
      </w:r>
    </w:p>
    <w:p w14:paraId="110C5EF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 响应文件中已有适用的综合单价，按响应文件中已有的综合单价确定；</w:t>
      </w:r>
    </w:p>
    <w:p w14:paraId="0A479DB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 响应文件中有类似的综合单价，参照类似的综合单价确定；</w:t>
      </w:r>
    </w:p>
    <w:p w14:paraId="220BF595">
      <w:pPr>
        <w:adjustRightInd w:val="0"/>
        <w:spacing w:line="360" w:lineRule="auto"/>
        <w:ind w:firstLine="420" w:firstLineChars="20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③. 响应文件中没有适用或类似的综合单价，由承包人提出综合单价，经发包人确认，审计单位审核后，按响应文件中的让利幅度同比率进行下浮结算。</w:t>
      </w:r>
    </w:p>
    <w:p w14:paraId="236F6F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4D8239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8</w:t>
      </w:r>
      <w:r>
        <w:rPr>
          <w:rFonts w:hint="eastAsia" w:ascii="宋体" w:hAnsi="宋体" w:cs="宋体"/>
          <w:color w:val="000000" w:themeColor="text1"/>
          <w14:textFill>
            <w14:solidFill>
              <w14:schemeClr w14:val="tx1"/>
            </w14:solidFill>
          </w14:textFill>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7566AB80">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60B17692">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第五章 评审方法及评审标准</w:t>
      </w:r>
      <w:bookmarkEnd w:id="32"/>
    </w:p>
    <w:p w14:paraId="50916613">
      <w:pPr>
        <w:pStyle w:val="62"/>
        <w:wordWrap w:val="0"/>
        <w:spacing w:before="0" w:after="0"/>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一、评审方法</w:t>
      </w:r>
    </w:p>
    <w:p w14:paraId="569F0C24">
      <w:pPr>
        <w:pStyle w:val="25"/>
        <w:wordWrap w:val="0"/>
        <w:spacing w:after="0" w:line="360" w:lineRule="auto"/>
        <w:ind w:left="0" w:left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61B0CF28">
      <w:pPr>
        <w:pStyle w:val="25"/>
        <w:wordWrap w:val="0"/>
        <w:spacing w:after="0" w:line="360" w:lineRule="auto"/>
        <w:ind w:left="0" w:leftChars="0" w:firstLine="422"/>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二、政府采购政策功能落实</w:t>
      </w:r>
    </w:p>
    <w:p w14:paraId="098DC316">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CE02436">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1、小微型企业价格扣除</w:t>
      </w:r>
    </w:p>
    <w:p w14:paraId="7F455D8B">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（1）对小型和微型企业产品给予20%的扣除价格，用扣除后的价格参与评审。</w:t>
      </w:r>
    </w:p>
    <w:p w14:paraId="5688E754">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（2）供应商需按照采购文件的要求提供相应的《企业声明函》。</w:t>
      </w:r>
    </w:p>
    <w:p w14:paraId="36EF3120">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2、残疾人福利单位价格扣除</w:t>
      </w:r>
    </w:p>
    <w:p w14:paraId="1438C766">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（1）对残疾人福利性单位视同小型、微型企业，给予20%的价格扣除，用扣除后的价格参与评审。</w:t>
      </w:r>
    </w:p>
    <w:p w14:paraId="7ACD68E0">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（2）残疾人福利单位需按照采购文件的要求提供《残疾人福利性单位声明函》。</w:t>
      </w:r>
    </w:p>
    <w:p w14:paraId="0243C382">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（3）残疾人福利单位标准请参照《关于促进残疾人就业政府采购政策的通知》（财库〔2017〕141号）。</w:t>
      </w:r>
    </w:p>
    <w:p w14:paraId="22AC2CE4">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3、监狱和戒毒企业价格扣除</w:t>
      </w:r>
    </w:p>
    <w:p w14:paraId="7E14391D">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（1）对监狱和戒毒企业（简称监狱企业）视同小型、微型企业，给予20%的价格扣除，用扣除后的价格参与评审。</w:t>
      </w:r>
    </w:p>
    <w:p w14:paraId="1195480A">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29E7075A">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（3）监狱企业标准请参照《关于政府采购支持监狱企业发展有关问题的通知》（财库</w:t>
      </w:r>
      <w:r>
        <w:rPr>
          <w:rFonts w:hint="eastAsia" w:ascii="宋体" w:hAnsi="宋体" w:cs="宋体"/>
          <w:color w:val="000000" w:themeColor="text1"/>
          <w14:textFill>
            <w14:solidFill>
              <w14:schemeClr w14:val="tx1"/>
            </w14:solidFill>
          </w14:textFill>
        </w:rPr>
        <w:cr/>
      </w:r>
      <w:r>
        <w:rPr>
          <w:rFonts w:hint="eastAsia" w:ascii="宋体" w:hAnsi="宋体" w:cs="宋体"/>
          <w:color w:val="000000" w:themeColor="text1"/>
          <w14:textFill>
            <w14:solidFill>
              <w14:schemeClr w14:val="tx1"/>
            </w14:solidFill>
          </w14:textFill>
        </w:rPr>
        <w:t>[2014]68号）。</w:t>
      </w:r>
    </w:p>
    <w:p w14:paraId="3BAE659C">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4、残疾人福利单位、监狱企业属于小型、微型企业的，不重复享受政策。</w:t>
      </w:r>
    </w:p>
    <w:p w14:paraId="73557FA7">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0F51ED86">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6、联合体各方均为小型、微型企业（残疾人福利单位、监狱企业）的，联合体享受20%价格扣除，用扣除后的价格参与评审。</w:t>
      </w:r>
    </w:p>
    <w:p w14:paraId="3994766B">
      <w:pPr>
        <w:pStyle w:val="25"/>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7、大中型企业向小型、微型企业分包的，分包意向协议约定小型、微型企业合同份额占到合同总金额30%以上的，给予6%的价格扣除，用扣除后的价格参与评审。</w:t>
      </w:r>
    </w:p>
    <w:p w14:paraId="5EE437EE">
      <w:pPr>
        <w:wordWrap w:val="0"/>
        <w:spacing w:line="360" w:lineRule="auto"/>
        <w:ind w:firstLine="422" w:firstLineChars="200"/>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注：本项目专门面</w:t>
      </w:r>
      <w:r>
        <w:rPr>
          <w:rFonts w:hint="eastAsia" w:ascii="宋体" w:hAnsi="宋体" w:cs="宋体"/>
          <w:b/>
          <w:color w:val="000000" w:themeColor="text1"/>
          <w:lang w:val="en-US" w:eastAsia="zh-CN"/>
          <w14:textFill>
            <w14:solidFill>
              <w14:schemeClr w14:val="tx1"/>
            </w14:solidFill>
          </w14:textFill>
        </w:rPr>
        <w:t>向</w:t>
      </w:r>
      <w:r>
        <w:rPr>
          <w:rFonts w:hint="eastAsia" w:ascii="宋体" w:hAnsi="宋体" w:cs="宋体"/>
          <w:b/>
          <w:color w:val="000000" w:themeColor="text1"/>
          <w14:textFill>
            <w14:solidFill>
              <w14:schemeClr w14:val="tx1"/>
            </w14:solidFill>
          </w14:textFill>
        </w:rPr>
        <w:t>中小企业采购，故对小微、残疾人和监狱戒毒企业不做价格扣除优惠。</w:t>
      </w:r>
    </w:p>
    <w:p w14:paraId="73528018">
      <w:pPr>
        <w:spacing w:line="360" w:lineRule="auto"/>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349F3FDA">
      <w:pPr>
        <w:pStyle w:val="62"/>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三、评审标准</w:t>
      </w:r>
    </w:p>
    <w:tbl>
      <w:tblPr>
        <w:tblStyle w:val="26"/>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29BF6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7088A585">
            <w:pPr>
              <w:rPr>
                <w:rFonts w:ascii="宋体" w:hAnsi="宋体" w:cs="宋体"/>
                <w:b/>
                <w:color w:val="000000" w:themeColor="text1"/>
                <w14:textFill>
                  <w14:solidFill>
                    <w14:schemeClr w14:val="tx1"/>
                  </w14:solidFill>
                </w14:textFill>
              </w:rPr>
            </w:pPr>
            <w:bookmarkStart w:id="33" w:name="_Toc109304976"/>
            <w:r>
              <w:rPr>
                <w:rFonts w:hint="eastAsia" w:ascii="宋体" w:hAnsi="宋体" w:cs="宋体"/>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评审分项</w:t>
            </w:r>
          </w:p>
        </w:tc>
        <w:tc>
          <w:tcPr>
            <w:tcW w:w="7715" w:type="dxa"/>
            <w:gridSpan w:val="2"/>
            <w:noWrap/>
            <w:vAlign w:val="center"/>
          </w:tcPr>
          <w:p w14:paraId="108FBA40">
            <w:pPr>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评审细则</w:t>
            </w:r>
          </w:p>
        </w:tc>
      </w:tr>
      <w:tr w14:paraId="7EA6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5EF253C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报价得分（40分）</w:t>
            </w:r>
          </w:p>
        </w:tc>
        <w:tc>
          <w:tcPr>
            <w:tcW w:w="7715" w:type="dxa"/>
            <w:gridSpan w:val="2"/>
            <w:noWrap/>
            <w:vAlign w:val="center"/>
          </w:tcPr>
          <w:p w14:paraId="72CB3C1A">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1DFA87E8">
            <w:pPr>
              <w:rPr>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1380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60EE9C7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施工方案</w:t>
            </w:r>
          </w:p>
          <w:p w14:paraId="483E3AB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55</w:t>
            </w:r>
            <w:r>
              <w:rPr>
                <w:rFonts w:hint="eastAsia" w:ascii="宋体" w:hAnsi="宋体" w:cs="宋体"/>
                <w:bCs/>
                <w:color w:val="000000" w:themeColor="text1"/>
                <w14:textFill>
                  <w14:solidFill>
                    <w14:schemeClr w14:val="tx1"/>
                  </w14:solidFill>
                </w14:textFill>
              </w:rPr>
              <w:t>分）</w:t>
            </w:r>
          </w:p>
        </w:tc>
        <w:tc>
          <w:tcPr>
            <w:tcW w:w="1125" w:type="dxa"/>
            <w:noWrap/>
            <w:vAlign w:val="center"/>
          </w:tcPr>
          <w:p w14:paraId="731E128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施工总体部署（</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14C83B30">
            <w:pPr>
              <w:keepNext w:val="0"/>
              <w:keepLines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对整个建设项目全局作出的统筹规划和全面安排，包括但不限于</w:t>
            </w:r>
            <w:r>
              <w:rPr>
                <w:rFonts w:hint="eastAsia" w:ascii="宋体" w:hAnsi="宋体" w:cs="仿宋"/>
                <w:color w:val="000000"/>
                <w:szCs w:val="21"/>
                <w:highlight w:val="none"/>
                <w:lang w:eastAsia="zh-CN" w:bidi="ar"/>
              </w:rPr>
              <w:t>：</w:t>
            </w:r>
            <w:r>
              <w:rPr>
                <w:rFonts w:hint="eastAsia" w:ascii="宋体" w:hAnsi="宋体" w:cs="仿宋"/>
                <w:color w:val="000000"/>
                <w:szCs w:val="21"/>
                <w:highlight w:val="none"/>
                <w:lang w:bidi="ar"/>
              </w:rPr>
              <w:t>施工准备、施工组织</w:t>
            </w:r>
            <w:r>
              <w:rPr>
                <w:rFonts w:hint="eastAsia" w:ascii="宋体" w:hAnsi="宋体" w:cs="仿宋"/>
                <w:color w:val="000000"/>
                <w:szCs w:val="21"/>
                <w:highlight w:val="none"/>
                <w:lang w:val="en-US" w:eastAsia="zh-CN" w:bidi="ar"/>
              </w:rPr>
              <w:t>机构</w:t>
            </w:r>
            <w:r>
              <w:rPr>
                <w:rFonts w:hint="eastAsia" w:ascii="宋体" w:hAnsi="宋体" w:cs="仿宋"/>
                <w:color w:val="000000"/>
                <w:szCs w:val="21"/>
                <w:highlight w:val="none"/>
                <w:lang w:bidi="ar"/>
              </w:rPr>
              <w:t>、劳动力调配计划、周转材料调配计划、</w:t>
            </w:r>
            <w:r>
              <w:rPr>
                <w:rFonts w:hint="eastAsia" w:ascii="宋体" w:hAnsi="宋体" w:cs="仿宋"/>
                <w:color w:val="000000"/>
                <w:szCs w:val="21"/>
                <w:highlight w:val="none"/>
                <w:lang w:val="en-US" w:eastAsia="zh-CN" w:bidi="ar"/>
              </w:rPr>
              <w:t>机械设备进退场计划、现场平面布置、</w:t>
            </w:r>
            <w:r>
              <w:rPr>
                <w:rFonts w:hint="eastAsia" w:ascii="宋体" w:hAnsi="宋体" w:cs="仿宋"/>
                <w:color w:val="000000"/>
                <w:szCs w:val="21"/>
                <w:highlight w:val="none"/>
                <w:lang w:bidi="ar"/>
              </w:rPr>
              <w:t>现场及运输组织、施工总体安排</w:t>
            </w:r>
            <w:r>
              <w:rPr>
                <w:rFonts w:hint="eastAsia" w:ascii="宋体" w:hAnsi="宋体" w:cs="仿宋"/>
                <w:color w:val="000000"/>
                <w:szCs w:val="21"/>
                <w:highlight w:val="none"/>
                <w:lang w:eastAsia="zh-CN" w:bidi="ar"/>
              </w:rPr>
              <w:t>、</w:t>
            </w:r>
            <w:r>
              <w:rPr>
                <w:rFonts w:hint="eastAsia" w:ascii="宋体" w:hAnsi="宋体" w:cs="仿宋"/>
                <w:color w:val="000000"/>
                <w:szCs w:val="21"/>
                <w:highlight w:val="none"/>
                <w:lang w:val="en-US" w:eastAsia="zh-CN" w:bidi="ar"/>
              </w:rPr>
              <w:t>小品设施定制</w:t>
            </w:r>
            <w:r>
              <w:rPr>
                <w:rFonts w:hint="eastAsia" w:ascii="宋体" w:hAnsi="宋体" w:cs="仿宋"/>
                <w:color w:val="000000"/>
                <w:szCs w:val="21"/>
                <w:highlight w:val="none"/>
                <w:lang w:bidi="ar"/>
              </w:rPr>
              <w:t>等</w:t>
            </w:r>
            <w:r>
              <w:rPr>
                <w:rFonts w:hint="eastAsia" w:ascii="宋体" w:hAnsi="宋体" w:cs="仿宋"/>
                <w:color w:val="000000"/>
                <w:szCs w:val="21"/>
                <w:highlight w:val="none"/>
                <w:lang w:val="en-US" w:eastAsia="zh-CN" w:bidi="ar"/>
              </w:rPr>
              <w:t>内容</w:t>
            </w:r>
            <w:r>
              <w:rPr>
                <w:rFonts w:hint="eastAsia" w:ascii="宋体" w:hAnsi="宋体" w:cs="仿宋"/>
                <w:color w:val="000000"/>
                <w:szCs w:val="21"/>
                <w:highlight w:val="none"/>
                <w:lang w:bidi="ar"/>
              </w:rPr>
              <w:t>。</w:t>
            </w:r>
          </w:p>
          <w:p w14:paraId="3A40791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14C5D7C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13780D8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1638B87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6294E99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5030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1098" w:type="dxa"/>
            <w:vMerge w:val="continue"/>
            <w:noWrap/>
            <w:vAlign w:val="center"/>
          </w:tcPr>
          <w:p w14:paraId="091FC1D8">
            <w:pPr>
              <w:rPr>
                <w:rFonts w:ascii="宋体" w:hAnsi="宋体" w:cs="宋体"/>
                <w:bCs/>
                <w:color w:val="000000" w:themeColor="text1"/>
                <w14:textFill>
                  <w14:solidFill>
                    <w14:schemeClr w14:val="tx1"/>
                  </w14:solidFill>
                </w14:textFill>
              </w:rPr>
            </w:pPr>
          </w:p>
        </w:tc>
        <w:tc>
          <w:tcPr>
            <w:tcW w:w="1125" w:type="dxa"/>
            <w:noWrap/>
            <w:vAlign w:val="center"/>
          </w:tcPr>
          <w:p w14:paraId="1CD6A92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5AFBED1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主要分部、分项施工方法，包含且不限于：各主要分部分项工程（</w:t>
            </w:r>
            <w:r>
              <w:rPr>
                <w:rFonts w:hint="eastAsia" w:ascii="宋体" w:hAnsi="宋体" w:cs="宋体"/>
                <w:bCs/>
                <w:color w:val="000000" w:themeColor="text1"/>
                <w:lang w:val="en-US" w:eastAsia="zh-CN"/>
                <w14:textFill>
                  <w14:solidFill>
                    <w14:schemeClr w14:val="tx1"/>
                  </w14:solidFill>
                </w14:textFill>
              </w:rPr>
              <w:t>场地清表</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路面工程</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排水工程</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绿化工程</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景观照明工程</w:t>
            </w: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智能化工程、健身器材及儿童娱乐设施</w:t>
            </w:r>
            <w:r>
              <w:rPr>
                <w:rFonts w:hint="eastAsia" w:ascii="宋体" w:hAnsi="宋体" w:cs="宋体"/>
                <w:bCs/>
                <w:color w:val="000000" w:themeColor="text1"/>
                <w14:textFill>
                  <w14:solidFill>
                    <w14:schemeClr w14:val="tx1"/>
                  </w14:solidFill>
                </w14:textFill>
              </w:rPr>
              <w:t>安装</w:t>
            </w:r>
            <w:r>
              <w:rPr>
                <w:rFonts w:hint="eastAsia" w:ascii="宋体" w:hAnsi="宋体" w:cs="宋体"/>
                <w:bCs/>
                <w:color w:val="000000" w:themeColor="text1"/>
                <w:lang w:eastAsia="zh-CN"/>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小品标识</w:t>
            </w:r>
            <w:r>
              <w:rPr>
                <w:rFonts w:hint="eastAsia" w:ascii="宋体" w:hAnsi="宋体" w:cs="宋体"/>
                <w:bCs/>
                <w:color w:val="000000" w:themeColor="text1"/>
                <w14:textFill>
                  <w14:solidFill>
                    <w14:schemeClr w14:val="tx1"/>
                  </w14:solidFill>
                </w14:textFill>
              </w:rPr>
              <w:t>等）施工工艺、施工流程、操作要点、质量控制方法、工艺重难点处理措施等内容。</w:t>
            </w:r>
          </w:p>
          <w:p w14:paraId="2D70049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319E774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33AB265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7D6EADE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7D270EB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6427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98" w:type="dxa"/>
            <w:vMerge w:val="continue"/>
            <w:noWrap/>
            <w:vAlign w:val="center"/>
          </w:tcPr>
          <w:p w14:paraId="34F87A8F">
            <w:pPr>
              <w:rPr>
                <w:rFonts w:ascii="宋体" w:hAnsi="宋体" w:cs="宋体"/>
                <w:bCs/>
                <w:color w:val="000000" w:themeColor="text1"/>
                <w14:textFill>
                  <w14:solidFill>
                    <w14:schemeClr w14:val="tx1"/>
                  </w14:solidFill>
                </w14:textFill>
              </w:rPr>
            </w:pPr>
          </w:p>
        </w:tc>
        <w:tc>
          <w:tcPr>
            <w:tcW w:w="1125" w:type="dxa"/>
            <w:noWrap/>
            <w:vAlign w:val="center"/>
          </w:tcPr>
          <w:p w14:paraId="5ED6D9F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针对本工程特点采用的特殊措施（</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7AF2ADBF">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w:t>
            </w:r>
            <w:r>
              <w:rPr>
                <w:rFonts w:hint="eastAsia" w:ascii="宋体" w:hAnsi="宋体" w:cs="宋体"/>
                <w:bCs/>
                <w:color w:val="000000" w:themeColor="text1"/>
                <w:highlight w:val="none"/>
                <w14:textFill>
                  <w14:solidFill>
                    <w14:schemeClr w14:val="tx1"/>
                  </w14:solidFill>
                </w14:textFill>
              </w:rPr>
              <w:t>的特殊措施，包含但不限于：本项目现场条件、施工难点、工程特点、工期特点、</w:t>
            </w:r>
            <w:r>
              <w:rPr>
                <w:rFonts w:hint="eastAsia" w:ascii="宋体" w:hAnsi="宋体" w:cs="宋体"/>
                <w:bCs/>
                <w:color w:val="000000" w:themeColor="text1"/>
                <w:highlight w:val="none"/>
                <w:lang w:val="en-US" w:eastAsia="zh-CN"/>
                <w14:textFill>
                  <w14:solidFill>
                    <w14:schemeClr w14:val="tx1"/>
                  </w14:solidFill>
                </w14:textFill>
              </w:rPr>
              <w:t>标识及小品造型</w:t>
            </w:r>
            <w:r>
              <w:rPr>
                <w:rFonts w:hint="eastAsia" w:ascii="宋体" w:hAnsi="宋体" w:cs="宋体"/>
                <w:bCs/>
                <w:color w:val="000000" w:themeColor="text1"/>
                <w:highlight w:val="none"/>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苗木移栽及养护、文明施工</w:t>
            </w:r>
            <w:r>
              <w:rPr>
                <w:rFonts w:hint="eastAsia" w:ascii="宋体" w:hAnsi="宋体" w:cs="宋体"/>
                <w:bCs/>
                <w:color w:val="000000" w:themeColor="text1"/>
                <w:highlight w:val="none"/>
                <w14:textFill>
                  <w14:solidFill>
                    <w14:schemeClr w14:val="tx1"/>
                  </w14:solidFill>
                </w14:textFill>
              </w:rPr>
              <w:t>等内容。</w:t>
            </w:r>
          </w:p>
          <w:p w14:paraId="27524C3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措施</w:t>
            </w:r>
            <w:r>
              <w:rPr>
                <w:rFonts w:hint="eastAsia" w:ascii="宋体" w:hAnsi="宋体" w:cs="宋体"/>
                <w:bCs/>
                <w:color w:val="000000" w:themeColor="text1"/>
                <w:highlight w:val="none"/>
                <w14:textFill>
                  <w14:solidFill>
                    <w14:schemeClr w14:val="tx1"/>
                  </w14:solidFill>
                </w14:textFill>
              </w:rPr>
              <w:t>科学、严密、合理，描述详细</w:t>
            </w:r>
            <w:r>
              <w:rPr>
                <w:rFonts w:hint="eastAsia" w:ascii="宋体" w:hAnsi="宋体" w:cs="宋体"/>
                <w:bCs/>
                <w:color w:val="000000" w:themeColor="text1"/>
                <w14:textFill>
                  <w14:solidFill>
                    <w14:schemeClr w14:val="tx1"/>
                  </w14:solidFill>
                </w14:textFill>
              </w:rPr>
              <w:t>，针对性和可操作性强的，且无瑕疵的得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22F9A9E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1838479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33753B0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措施</w:t>
            </w:r>
            <w:r>
              <w:rPr>
                <w:rFonts w:hint="eastAsia" w:ascii="宋体" w:hAnsi="宋体" w:cs="宋体"/>
                <w:bCs/>
                <w:color w:val="000000" w:themeColor="text1"/>
                <w14:textFill>
                  <w14:solidFill>
                    <w14:schemeClr w14:val="tx1"/>
                  </w14:solidFill>
                </w14:textFill>
              </w:rPr>
              <w:t>简单，描述略欠缺，存在一定实施难度的，或存在</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5D7E81B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0EF0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6DF7A79C">
            <w:pPr>
              <w:rPr>
                <w:rFonts w:ascii="宋体" w:hAnsi="宋体" w:cs="宋体"/>
                <w:bCs/>
                <w:color w:val="000000" w:themeColor="text1"/>
                <w14:textFill>
                  <w14:solidFill>
                    <w14:schemeClr w14:val="tx1"/>
                  </w14:solidFill>
                </w14:textFill>
              </w:rPr>
            </w:pPr>
          </w:p>
        </w:tc>
        <w:tc>
          <w:tcPr>
            <w:tcW w:w="1125" w:type="dxa"/>
            <w:noWrap/>
            <w:vAlign w:val="center"/>
          </w:tcPr>
          <w:p w14:paraId="6334BA7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3D60EEE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w:t>
            </w:r>
            <w:r>
              <w:rPr>
                <w:rFonts w:hint="eastAsia" w:ascii="宋体" w:hAnsi="宋体" w:cs="宋体"/>
                <w:bCs/>
                <w:color w:val="000000" w:themeColor="text1"/>
                <w:highlight w:val="none"/>
                <w14:textFill>
                  <w14:solidFill>
                    <w14:schemeClr w14:val="tx1"/>
                  </w14:solidFill>
                </w14:textFill>
              </w:rPr>
              <w:t>包含但不限于：根据项目施工周期、当地气候特点，针对夏季高温</w:t>
            </w:r>
            <w:r>
              <w:rPr>
                <w:rFonts w:hint="eastAsia" w:ascii="宋体" w:hAnsi="宋体" w:cs="宋体"/>
                <w:bCs/>
                <w:color w:val="000000" w:themeColor="text1"/>
                <w:highlight w:val="none"/>
                <w:lang w:eastAsia="zh-CN"/>
                <w14:textFill>
                  <w14:solidFill>
                    <w14:schemeClr w14:val="tx1"/>
                  </w14:solidFill>
                </w14:textFill>
              </w:rPr>
              <w:t>（苗木避高温栽种</w:t>
            </w:r>
            <w:r>
              <w:rPr>
                <w:rFonts w:hint="eastAsia" w:ascii="宋体" w:hAnsi="宋体" w:cs="宋体"/>
                <w:bCs/>
                <w:color w:val="000000" w:themeColor="text1"/>
                <w:highlight w:val="none"/>
                <w:lang w:val="en-US" w:eastAsia="zh-CN"/>
                <w14:textFill>
                  <w14:solidFill>
                    <w14:schemeClr w14:val="tx1"/>
                  </w14:solidFill>
                </w14:textFill>
              </w:rPr>
              <w:t>及养护</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材料保护</w:t>
            </w:r>
            <w:r>
              <w:rPr>
                <w:rFonts w:hint="eastAsia" w:ascii="宋体" w:hAnsi="宋体" w:cs="宋体"/>
                <w:bCs/>
                <w:color w:val="000000" w:themeColor="text1"/>
                <w:highlight w:val="none"/>
                <w:lang w:eastAsia="zh-CN"/>
                <w14:textFill>
                  <w14:solidFill>
                    <w14:schemeClr w14:val="tx1"/>
                  </w14:solidFill>
                </w14:textFill>
              </w:rPr>
              <w:t>夏季</w:t>
            </w:r>
            <w:r>
              <w:rPr>
                <w:rFonts w:hint="eastAsia" w:ascii="宋体" w:hAnsi="宋体" w:cs="宋体"/>
                <w:bCs/>
                <w:color w:val="000000" w:themeColor="text1"/>
                <w:highlight w:val="none"/>
                <w:lang w:val="en-US" w:eastAsia="zh-CN"/>
                <w14:textFill>
                  <w14:solidFill>
                    <w14:schemeClr w14:val="tx1"/>
                  </w14:solidFill>
                </w14:textFill>
              </w:rPr>
              <w:t>施工质量控制</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防暑降温与人员安全等</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雨季（防风防雨）</w:t>
            </w:r>
            <w:r>
              <w:rPr>
                <w:rFonts w:hint="eastAsia" w:ascii="宋体" w:hAnsi="宋体" w:cs="宋体"/>
                <w:bCs/>
                <w:color w:val="000000" w:themeColor="text1"/>
                <w:highlight w:val="none"/>
                <w14:textFill>
                  <w14:solidFill>
                    <w14:schemeClr w14:val="tx1"/>
                  </w14:solidFill>
                </w14:textFill>
              </w:rPr>
              <w:t>制定科</w:t>
            </w:r>
            <w:r>
              <w:rPr>
                <w:rFonts w:hint="eastAsia" w:ascii="宋体" w:hAnsi="宋体" w:cs="宋体"/>
                <w:bCs/>
                <w:color w:val="000000" w:themeColor="text1"/>
                <w14:textFill>
                  <w14:solidFill>
                    <w14:schemeClr w14:val="tx1"/>
                  </w14:solidFill>
                </w14:textFill>
              </w:rPr>
              <w:t>学合理的施工措施等</w:t>
            </w:r>
            <w:r>
              <w:rPr>
                <w:rFonts w:hint="eastAsia" w:ascii="宋体" w:hAnsi="宋体" w:cs="宋体"/>
                <w:bCs/>
                <w:color w:val="000000" w:themeColor="text1"/>
                <w:lang w:val="en-US" w:eastAsia="zh-CN"/>
                <w14:textFill>
                  <w14:solidFill>
                    <w14:schemeClr w14:val="tx1"/>
                  </w14:solidFill>
                </w14:textFill>
              </w:rPr>
              <w:t>内容</w:t>
            </w:r>
            <w:r>
              <w:rPr>
                <w:rFonts w:hint="eastAsia" w:ascii="宋体" w:hAnsi="宋体" w:cs="宋体"/>
                <w:bCs/>
                <w:color w:val="000000" w:themeColor="text1"/>
                <w14:textFill>
                  <w14:solidFill>
                    <w14:schemeClr w14:val="tx1"/>
                  </w14:solidFill>
                </w14:textFill>
              </w:rPr>
              <w:t>。</w:t>
            </w:r>
          </w:p>
          <w:p w14:paraId="642DCD7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p w14:paraId="3401CE0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分；</w:t>
            </w:r>
          </w:p>
          <w:p w14:paraId="5DD16DC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w:t>
            </w:r>
            <w:r>
              <w:rPr>
                <w:rFonts w:hint="eastAsia" w:ascii="宋体" w:hAnsi="宋体" w:cs="宋体"/>
                <w:bCs/>
                <w:color w:val="000000" w:themeColor="text1"/>
                <w:lang w:val="en-US" w:eastAsia="zh-CN"/>
                <w14:textFill>
                  <w14:solidFill>
                    <w14:schemeClr w14:val="tx1"/>
                  </w14:solidFill>
                </w14:textFill>
              </w:rPr>
              <w:t>1</w:t>
            </w:r>
            <w:r>
              <w:rPr>
                <w:rFonts w:hint="eastAsia" w:ascii="宋体" w:hAnsi="宋体" w:cs="宋体"/>
                <w:bCs/>
                <w:color w:val="000000" w:themeColor="text1"/>
                <w14:textFill>
                  <w14:solidFill>
                    <w14:schemeClr w14:val="tx1"/>
                  </w14:solidFill>
                </w14:textFill>
              </w:rPr>
              <w:t>分；</w:t>
            </w:r>
          </w:p>
          <w:p w14:paraId="2331A83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2035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3F6B2380">
            <w:pPr>
              <w:rPr>
                <w:rFonts w:ascii="宋体" w:hAnsi="宋体" w:cs="宋体"/>
                <w:bCs/>
                <w:color w:val="000000" w:themeColor="text1"/>
                <w14:textFill>
                  <w14:solidFill>
                    <w14:schemeClr w14:val="tx1"/>
                  </w14:solidFill>
                </w14:textFill>
              </w:rPr>
            </w:pPr>
          </w:p>
        </w:tc>
        <w:tc>
          <w:tcPr>
            <w:tcW w:w="1125" w:type="dxa"/>
            <w:noWrap/>
            <w:vAlign w:val="center"/>
          </w:tcPr>
          <w:p w14:paraId="13F6F2C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5955391B">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w:t>
            </w:r>
            <w:r>
              <w:rPr>
                <w:rFonts w:hint="eastAsia" w:ascii="宋体" w:hAnsi="宋体" w:cs="宋体"/>
                <w:bCs/>
                <w:color w:val="000000" w:themeColor="text1"/>
                <w:highlight w:val="none"/>
                <w14:textFill>
                  <w14:solidFill>
                    <w14:schemeClr w14:val="tx1"/>
                  </w14:solidFill>
                </w14:textFill>
              </w:rPr>
              <w:t>包含但不限于：</w:t>
            </w:r>
            <w:r>
              <w:rPr>
                <w:rFonts w:hint="eastAsia" w:ascii="宋体" w:hAnsi="宋体" w:cs="宋体"/>
                <w:bCs/>
                <w:color w:val="000000" w:themeColor="text1"/>
                <w:highlight w:val="none"/>
                <w:lang w:val="en-US" w:eastAsia="zh-CN"/>
                <w14:textFill>
                  <w14:solidFill>
                    <w14:schemeClr w14:val="tx1"/>
                  </w14:solidFill>
                </w14:textFill>
              </w:rPr>
              <w:t>明确</w:t>
            </w:r>
            <w:r>
              <w:rPr>
                <w:rFonts w:hint="eastAsia" w:ascii="宋体" w:hAnsi="宋体" w:cs="宋体"/>
                <w:bCs/>
                <w:color w:val="000000" w:themeColor="text1"/>
                <w:highlight w:val="none"/>
                <w14:textFill>
                  <w14:solidFill>
                    <w14:schemeClr w14:val="tx1"/>
                  </w14:solidFill>
                </w14:textFill>
              </w:rPr>
              <w:t>质量管理体系、质量管理制度、全过程质量控制、原材料质量管控、工序验收、隐蔽工程管控、</w:t>
            </w:r>
            <w:r>
              <w:rPr>
                <w:rFonts w:hint="eastAsia" w:ascii="宋体" w:hAnsi="宋体" w:cs="宋体"/>
                <w:bCs/>
                <w:color w:val="000000" w:themeColor="text1"/>
                <w:highlight w:val="none"/>
                <w:lang w:val="en-US" w:eastAsia="zh-CN"/>
                <w14:textFill>
                  <w14:solidFill>
                    <w14:schemeClr w14:val="tx1"/>
                  </w14:solidFill>
                </w14:textFill>
              </w:rPr>
              <w:t>苗木造型及成活率</w:t>
            </w:r>
            <w:r>
              <w:rPr>
                <w:rFonts w:hint="eastAsia" w:ascii="宋体" w:hAnsi="宋体" w:cs="宋体"/>
                <w:bCs/>
                <w:color w:val="000000" w:themeColor="text1"/>
                <w:highlight w:val="none"/>
                <w14:textFill>
                  <w14:solidFill>
                    <w14:schemeClr w14:val="tx1"/>
                  </w14:solidFill>
                </w14:textFill>
              </w:rPr>
              <w:t>管控、</w:t>
            </w:r>
            <w:r>
              <w:rPr>
                <w:rFonts w:hint="eastAsia" w:ascii="宋体" w:hAnsi="宋体" w:cs="宋体"/>
                <w:bCs/>
                <w:color w:val="000000" w:themeColor="text1"/>
                <w:highlight w:val="none"/>
                <w:lang w:val="en-US" w:eastAsia="zh-CN"/>
                <w14:textFill>
                  <w14:solidFill>
                    <w14:schemeClr w14:val="tx1"/>
                  </w14:solidFill>
                </w14:textFill>
              </w:rPr>
              <w:t>健身器材及儿童娱乐设施产品质量管控、</w:t>
            </w:r>
            <w:r>
              <w:rPr>
                <w:rFonts w:hint="eastAsia" w:ascii="宋体" w:hAnsi="宋体" w:cs="宋体"/>
                <w:bCs/>
                <w:color w:val="000000" w:themeColor="text1"/>
                <w:highlight w:val="none"/>
                <w14:textFill>
                  <w14:solidFill>
                    <w14:schemeClr w14:val="tx1"/>
                  </w14:solidFill>
                </w14:textFill>
              </w:rPr>
              <w:t>质量通病</w:t>
            </w:r>
            <w:r>
              <w:rPr>
                <w:rFonts w:hint="eastAsia" w:ascii="宋体" w:hAnsi="宋体" w:cs="宋体"/>
                <w:bCs/>
                <w:color w:val="000000" w:themeColor="text1"/>
                <w:highlight w:val="none"/>
                <w:lang w:val="en-US" w:eastAsia="zh-CN"/>
                <w14:textFill>
                  <w14:solidFill>
                    <w14:schemeClr w14:val="tx1"/>
                  </w14:solidFill>
                </w14:textFill>
              </w:rPr>
              <w:t>防</w:t>
            </w:r>
            <w:r>
              <w:rPr>
                <w:rFonts w:hint="eastAsia" w:ascii="宋体" w:hAnsi="宋体" w:cs="宋体"/>
                <w:bCs/>
                <w:color w:val="000000" w:themeColor="text1"/>
                <w:highlight w:val="none"/>
                <w14:textFill>
                  <w14:solidFill>
                    <w14:schemeClr w14:val="tx1"/>
                  </w14:solidFill>
                </w14:textFill>
              </w:rPr>
              <w:t>治、</w:t>
            </w:r>
            <w:r>
              <w:rPr>
                <w:rFonts w:hint="eastAsia" w:ascii="宋体" w:hAnsi="宋体" w:cs="宋体"/>
                <w:bCs/>
                <w:color w:val="000000" w:themeColor="text1"/>
                <w:highlight w:val="none"/>
                <w:lang w:val="en-US" w:eastAsia="zh-CN"/>
                <w14:textFill>
                  <w14:solidFill>
                    <w14:schemeClr w14:val="tx1"/>
                  </w14:solidFill>
                </w14:textFill>
              </w:rPr>
              <w:t>缺陷保修期</w:t>
            </w:r>
            <w:r>
              <w:rPr>
                <w:rFonts w:hint="eastAsia" w:ascii="宋体" w:hAnsi="宋体" w:cs="宋体"/>
                <w:bCs/>
                <w:color w:val="000000" w:themeColor="text1"/>
                <w:highlight w:val="none"/>
                <w14:textFill>
                  <w14:solidFill>
                    <w14:schemeClr w14:val="tx1"/>
                  </w14:solidFill>
                </w14:textFill>
              </w:rPr>
              <w:t>服务保障措施等</w:t>
            </w:r>
            <w:r>
              <w:rPr>
                <w:rFonts w:hint="eastAsia" w:ascii="宋体" w:hAnsi="宋体" w:cs="宋体"/>
                <w:bCs/>
                <w:color w:val="000000" w:themeColor="text1"/>
                <w:highlight w:val="none"/>
                <w:lang w:val="en-US" w:eastAsia="zh-CN"/>
                <w14:textFill>
                  <w14:solidFill>
                    <w14:schemeClr w14:val="tx1"/>
                  </w14:solidFill>
                </w14:textFill>
              </w:rPr>
              <w:t>内容</w:t>
            </w:r>
            <w:r>
              <w:rPr>
                <w:rFonts w:hint="eastAsia" w:ascii="宋体" w:hAnsi="宋体" w:cs="宋体"/>
                <w:bCs/>
                <w:color w:val="000000" w:themeColor="text1"/>
                <w:highlight w:val="none"/>
                <w14:textFill>
                  <w14:solidFill>
                    <w14:schemeClr w14:val="tx1"/>
                  </w14:solidFill>
                </w14:textFill>
              </w:rPr>
              <w:t>。</w:t>
            </w:r>
          </w:p>
          <w:p w14:paraId="59FF57E6">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措施科学、严密、合理，描述详细且具有针对性，不存在瑕疵的得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568AAA6F">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措施较科学、合理，描述较详细，针对性较强的，或存在1处瑕疵的得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0D54A68D">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措施基本合理、描述不到位、针对性不强的，或存在2处瑕疵的得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0E59DA5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350A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5160079E">
            <w:pPr>
              <w:rPr>
                <w:rFonts w:ascii="宋体" w:hAnsi="宋体" w:cs="宋体"/>
                <w:bCs/>
                <w:color w:val="000000" w:themeColor="text1"/>
                <w14:textFill>
                  <w14:solidFill>
                    <w14:schemeClr w14:val="tx1"/>
                  </w14:solidFill>
                </w14:textFill>
              </w:rPr>
            </w:pPr>
          </w:p>
        </w:tc>
        <w:tc>
          <w:tcPr>
            <w:tcW w:w="1125" w:type="dxa"/>
            <w:shd w:val="clear" w:color="auto" w:fill="auto"/>
            <w:noWrap/>
            <w:vAlign w:val="center"/>
          </w:tcPr>
          <w:p w14:paraId="6DEFBAA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安全生产和文明施工措施（</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shd w:val="clear" w:color="auto" w:fill="auto"/>
            <w:noWrap/>
            <w:vAlign w:val="center"/>
          </w:tcPr>
          <w:p w14:paraId="265F3F1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安全生产和文明施工措施，包含且不限于：安全生产管理体系</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安全风险防控</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临时用电、动火作业</w:t>
            </w:r>
            <w:r>
              <w:rPr>
                <w:rFonts w:hint="eastAsia" w:ascii="宋体" w:hAnsi="宋体" w:cs="宋体"/>
                <w:bCs/>
                <w:color w:val="000000" w:themeColor="text1"/>
                <w:highlight w:val="none"/>
                <w:lang w:val="en-US" w:eastAsia="zh-CN"/>
                <w14:textFill>
                  <w14:solidFill>
                    <w14:schemeClr w14:val="tx1"/>
                  </w14:solidFill>
                </w14:textFill>
              </w:rPr>
              <w:t>等</w:t>
            </w:r>
            <w:r>
              <w:rPr>
                <w:rFonts w:hint="eastAsia" w:ascii="宋体" w:hAnsi="宋体" w:cs="宋体"/>
                <w:bCs/>
                <w:color w:val="000000" w:themeColor="text1"/>
                <w:highlight w:val="none"/>
                <w14:textFill>
                  <w14:solidFill>
                    <w14:schemeClr w14:val="tx1"/>
                  </w14:solidFill>
                </w14:textFill>
              </w:rPr>
              <w:t>专项安全措施</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文明施工</w:t>
            </w:r>
            <w:r>
              <w:rPr>
                <w:rFonts w:hint="eastAsia" w:ascii="宋体" w:hAnsi="宋体" w:cs="宋体"/>
                <w:bCs/>
                <w:color w:val="000000" w:themeColor="text1"/>
                <w:highlight w:val="none"/>
                <w:lang w:val="en-US" w:eastAsia="zh-CN"/>
                <w14:textFill>
                  <w14:solidFill>
                    <w14:schemeClr w14:val="tx1"/>
                  </w14:solidFill>
                </w14:textFill>
              </w:rPr>
              <w:t>与</w:t>
            </w:r>
            <w:r>
              <w:rPr>
                <w:rFonts w:hint="eastAsia" w:ascii="宋体" w:hAnsi="宋体" w:cs="宋体"/>
                <w:bCs/>
                <w:color w:val="000000" w:themeColor="text1"/>
                <w:highlight w:val="none"/>
                <w14:textFill>
                  <w14:solidFill>
                    <w14:schemeClr w14:val="tx1"/>
                  </w14:solidFill>
                </w14:textFill>
              </w:rPr>
              <w:t>现场标准化管理</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扬尘治理、降噪减污</w:t>
            </w:r>
            <w:r>
              <w:rPr>
                <w:rFonts w:hint="eastAsia" w:ascii="宋体" w:hAnsi="宋体" w:cs="宋体"/>
                <w:bCs/>
                <w:color w:val="000000" w:themeColor="text1"/>
                <w:highlight w:val="none"/>
                <w:lang w:val="en-US" w:eastAsia="zh-CN"/>
                <w14:textFill>
                  <w14:solidFill>
                    <w14:schemeClr w14:val="tx1"/>
                  </w14:solidFill>
                </w14:textFill>
              </w:rPr>
              <w:t>等</w:t>
            </w:r>
            <w:r>
              <w:rPr>
                <w:rFonts w:hint="eastAsia" w:ascii="宋体" w:hAnsi="宋体" w:cs="宋体"/>
                <w:bCs/>
                <w:color w:val="000000" w:themeColor="text1"/>
                <w:highlight w:val="none"/>
                <w14:textFill>
                  <w14:solidFill>
                    <w14:schemeClr w14:val="tx1"/>
                  </w14:solidFill>
                </w14:textFill>
              </w:rPr>
              <w:t>绿色施工</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14:textFill>
                  <w14:solidFill>
                    <w14:schemeClr w14:val="tx1"/>
                  </w14:solidFill>
                </w14:textFill>
              </w:rPr>
              <w:t>减少对</w:t>
            </w:r>
            <w:r>
              <w:rPr>
                <w:rFonts w:hint="eastAsia" w:ascii="宋体" w:hAnsi="宋体" w:cs="宋体"/>
                <w:bCs/>
                <w:color w:val="000000" w:themeColor="text1"/>
                <w:highlight w:val="none"/>
                <w:lang w:val="en-US" w:eastAsia="zh-CN"/>
                <w14:textFill>
                  <w14:solidFill>
                    <w14:schemeClr w14:val="tx1"/>
                  </w14:solidFill>
                </w14:textFill>
              </w:rPr>
              <w:t>周边</w:t>
            </w:r>
            <w:r>
              <w:rPr>
                <w:rFonts w:hint="eastAsia" w:ascii="宋体" w:hAnsi="宋体" w:cs="宋体"/>
                <w:bCs/>
                <w:color w:val="000000" w:themeColor="text1"/>
                <w:highlight w:val="none"/>
                <w14:textFill>
                  <w14:solidFill>
                    <w14:schemeClr w14:val="tx1"/>
                  </w14:solidFill>
                </w14:textFill>
              </w:rPr>
              <w:t>居民和环境的不利影响等内容。</w:t>
            </w:r>
          </w:p>
          <w:p w14:paraId="6F9DB6E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安全文明施工及环境保护措施合理、全面，符合相关标准、规范、规程，针对性强的，且无瑕疵的得</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p w14:paraId="7377258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安全文明施工及环境保护措施简单，针对性一般的，或有1处瑕疵的得</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分；</w:t>
            </w:r>
          </w:p>
          <w:p w14:paraId="3907225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1</w:t>
            </w:r>
            <w:r>
              <w:rPr>
                <w:rFonts w:hint="eastAsia" w:ascii="宋体" w:hAnsi="宋体" w:cs="宋体"/>
                <w:bCs/>
                <w:color w:val="000000" w:themeColor="text1"/>
                <w14:textFill>
                  <w14:solidFill>
                    <w14:schemeClr w14:val="tx1"/>
                  </w14:solidFill>
                </w14:textFill>
              </w:rPr>
              <w:t>分；</w:t>
            </w:r>
          </w:p>
          <w:p w14:paraId="395423D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7807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054189B8">
            <w:pPr>
              <w:rPr>
                <w:rFonts w:ascii="宋体" w:hAnsi="宋体" w:cs="宋体"/>
                <w:bCs/>
                <w:color w:val="000000" w:themeColor="text1"/>
                <w14:textFill>
                  <w14:solidFill>
                    <w14:schemeClr w14:val="tx1"/>
                  </w14:solidFill>
                </w14:textFill>
              </w:rPr>
            </w:pPr>
          </w:p>
        </w:tc>
        <w:tc>
          <w:tcPr>
            <w:tcW w:w="1125" w:type="dxa"/>
            <w:noWrap/>
            <w:vAlign w:val="center"/>
          </w:tcPr>
          <w:p w14:paraId="53D0C84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41688B38">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工期保证措施，包含且不限于</w:t>
            </w:r>
            <w:r>
              <w:rPr>
                <w:rFonts w:hint="eastAsia" w:ascii="宋体" w:hAnsi="宋体" w:cs="宋体"/>
                <w:bCs/>
                <w:color w:val="000000" w:themeColor="text1"/>
                <w:highlight w:val="none"/>
                <w14:textFill>
                  <w14:solidFill>
                    <w14:schemeClr w14:val="tx1"/>
                  </w14:solidFill>
                </w14:textFill>
              </w:rPr>
              <w:t>：总工期要求、节点计划、工序穿插、资源配置、进度管控、滞后纠偏应急预案、交叉施工保障措施等内容。</w:t>
            </w:r>
          </w:p>
          <w:p w14:paraId="5F39AE45">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措施科学、严密、合理，描述详细且具有针对性，不存在瑕疵的得</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p w14:paraId="14431EFF">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措施较科学、合理，描述较详细，针对性较强的，或存在1处瑕疵的得</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分；</w:t>
            </w:r>
          </w:p>
          <w:p w14:paraId="2185B6CD">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措施基本合理、描述不到位、针对性不强的，或存在2处瑕疵的得</w:t>
            </w:r>
            <w:r>
              <w:rPr>
                <w:rFonts w:hint="eastAsia" w:ascii="宋体" w:hAnsi="宋体" w:cs="宋体"/>
                <w:bCs/>
                <w:color w:val="000000" w:themeColor="text1"/>
                <w:lang w:val="en-US" w:eastAsia="zh-CN"/>
                <w14:textFill>
                  <w14:solidFill>
                    <w14:schemeClr w14:val="tx1"/>
                  </w14:solidFill>
                </w14:textFill>
              </w:rPr>
              <w:t>1</w:t>
            </w:r>
            <w:r>
              <w:rPr>
                <w:rFonts w:hint="eastAsia" w:ascii="宋体" w:hAnsi="宋体" w:cs="宋体"/>
                <w:bCs/>
                <w:color w:val="000000" w:themeColor="text1"/>
                <w14:textFill>
                  <w14:solidFill>
                    <w14:schemeClr w14:val="tx1"/>
                  </w14:solidFill>
                </w14:textFill>
              </w:rPr>
              <w:t>分；</w:t>
            </w:r>
          </w:p>
          <w:p w14:paraId="0036C3B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4D84C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2780C519">
            <w:pPr>
              <w:rPr>
                <w:rFonts w:ascii="宋体" w:hAnsi="宋体" w:cs="宋体"/>
                <w:bCs/>
                <w:color w:val="000000" w:themeColor="text1"/>
                <w14:textFill>
                  <w14:solidFill>
                    <w14:schemeClr w14:val="tx1"/>
                  </w14:solidFill>
                </w14:textFill>
              </w:rPr>
            </w:pPr>
          </w:p>
        </w:tc>
        <w:tc>
          <w:tcPr>
            <w:tcW w:w="1125" w:type="dxa"/>
            <w:noWrap/>
            <w:vAlign w:val="center"/>
          </w:tcPr>
          <w:p w14:paraId="04A0156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降低成本、提高经济效益措施（</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6878379C">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降低成本、提高经济效益措施，包含且不限于：不降低工程质量、不降低安全标准、不减少施工内容的前提下，通过优化施工工艺、</w:t>
            </w:r>
            <w:r>
              <w:rPr>
                <w:rFonts w:hint="eastAsia" w:ascii="宋体" w:hAnsi="宋体" w:cs="宋体"/>
                <w:bCs/>
                <w:color w:val="000000" w:themeColor="text1"/>
                <w:lang w:val="en-US" w:eastAsia="zh-CN"/>
                <w14:textFill>
                  <w14:solidFill>
                    <w14:schemeClr w14:val="tx1"/>
                  </w14:solidFill>
                </w14:textFill>
              </w:rPr>
              <w:t>整合</w:t>
            </w:r>
            <w:r>
              <w:rPr>
                <w:rFonts w:hint="eastAsia" w:ascii="宋体" w:hAnsi="宋体" w:cs="宋体"/>
                <w:bCs/>
                <w:color w:val="000000" w:themeColor="text1"/>
                <w14:textFill>
                  <w14:solidFill>
                    <w14:schemeClr w14:val="tx1"/>
                  </w14:solidFill>
                </w14:textFill>
              </w:rPr>
              <w:t>资源配置、</w:t>
            </w:r>
            <w:r>
              <w:rPr>
                <w:rFonts w:hint="eastAsia" w:ascii="宋体" w:hAnsi="宋体" w:cs="宋体"/>
                <w:bCs/>
                <w:color w:val="000000" w:themeColor="text1"/>
                <w:lang w:val="en-US" w:eastAsia="zh-CN"/>
                <w14:textFill>
                  <w14:solidFill>
                    <w14:schemeClr w14:val="tx1"/>
                  </w14:solidFill>
                </w14:textFill>
              </w:rPr>
              <w:t>推行</w:t>
            </w:r>
            <w:r>
              <w:rPr>
                <w:rFonts w:hint="eastAsia" w:ascii="宋体" w:hAnsi="宋体" w:cs="宋体"/>
                <w:bCs/>
                <w:color w:val="000000" w:themeColor="text1"/>
                <w14:textFill>
                  <w14:solidFill>
                    <w14:schemeClr w14:val="tx1"/>
                  </w14:solidFill>
                </w14:textFill>
              </w:rPr>
              <w:t>精细化管理、减少返工浪费、</w:t>
            </w:r>
            <w:r>
              <w:rPr>
                <w:rFonts w:hint="eastAsia" w:ascii="宋体" w:hAnsi="宋体" w:cs="宋体"/>
                <w:bCs/>
                <w:color w:val="000000" w:themeColor="text1"/>
                <w:lang w:val="en-US" w:eastAsia="zh-CN"/>
                <w14:textFill>
                  <w14:solidFill>
                    <w14:schemeClr w14:val="tx1"/>
                  </w14:solidFill>
                </w14:textFill>
              </w:rPr>
              <w:t>强化</w:t>
            </w:r>
            <w:r>
              <w:rPr>
                <w:rFonts w:hint="eastAsia" w:ascii="宋体" w:hAnsi="宋体" w:cs="宋体"/>
                <w:bCs/>
                <w:color w:val="000000" w:themeColor="text1"/>
                <w14:textFill>
                  <w14:solidFill>
                    <w14:schemeClr w14:val="tx1"/>
                  </w14:solidFill>
                </w14:textFill>
              </w:rPr>
              <w:t>材料节约、优化</w:t>
            </w:r>
            <w:r>
              <w:rPr>
                <w:rFonts w:hint="eastAsia" w:ascii="宋体" w:hAnsi="宋体" w:cs="宋体"/>
                <w:bCs/>
                <w:color w:val="000000" w:themeColor="text1"/>
                <w:lang w:val="en-US" w:eastAsia="zh-CN"/>
                <w14:textFill>
                  <w14:solidFill>
                    <w14:schemeClr w14:val="tx1"/>
                  </w14:solidFill>
                </w14:textFill>
              </w:rPr>
              <w:t>施工</w:t>
            </w:r>
            <w:r>
              <w:rPr>
                <w:rFonts w:hint="eastAsia" w:ascii="宋体" w:hAnsi="宋体" w:cs="宋体"/>
                <w:bCs/>
                <w:color w:val="000000" w:themeColor="text1"/>
                <w14:textFill>
                  <w14:solidFill>
                    <w14:schemeClr w14:val="tx1"/>
                  </w14:solidFill>
                </w14:textFill>
              </w:rPr>
              <w:t>工序、工期增效、</w:t>
            </w:r>
            <w:r>
              <w:rPr>
                <w:rFonts w:hint="eastAsia" w:ascii="宋体" w:hAnsi="宋体" w:cs="宋体"/>
                <w:bCs/>
                <w:color w:val="000000" w:themeColor="text1"/>
                <w:lang w:val="en-US" w:eastAsia="zh-CN"/>
                <w14:textFill>
                  <w14:solidFill>
                    <w14:schemeClr w14:val="tx1"/>
                  </w14:solidFill>
                </w14:textFill>
              </w:rPr>
              <w:t>加强</w:t>
            </w:r>
            <w:r>
              <w:rPr>
                <w:rFonts w:hint="eastAsia" w:ascii="宋体" w:hAnsi="宋体" w:cs="宋体"/>
                <w:bCs/>
                <w:color w:val="000000" w:themeColor="text1"/>
                <w14:textFill>
                  <w14:solidFill>
                    <w14:schemeClr w14:val="tx1"/>
                  </w14:solidFill>
                </w14:textFill>
              </w:rPr>
              <w:t>现场管控等科学、合规手段降低工程造价、提升项目经济效益的专项措施</w:t>
            </w:r>
            <w:r>
              <w:rPr>
                <w:rFonts w:hint="eastAsia" w:ascii="宋体" w:hAnsi="宋体" w:cs="宋体"/>
                <w:bCs/>
                <w:color w:val="000000" w:themeColor="text1"/>
                <w:lang w:val="en-US" w:eastAsia="zh-CN"/>
                <w14:textFill>
                  <w14:solidFill>
                    <w14:schemeClr w14:val="tx1"/>
                  </w14:solidFill>
                </w14:textFill>
              </w:rPr>
              <w:t>等内容。</w:t>
            </w:r>
          </w:p>
          <w:p w14:paraId="27E5094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p w14:paraId="6651E63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分；</w:t>
            </w:r>
          </w:p>
          <w:p w14:paraId="3A29D640">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w:t>
            </w:r>
            <w:r>
              <w:rPr>
                <w:rFonts w:hint="eastAsia" w:ascii="宋体" w:hAnsi="宋体" w:cs="宋体"/>
                <w:bCs/>
                <w:color w:val="000000" w:themeColor="text1"/>
                <w:lang w:val="en-US" w:eastAsia="zh-CN"/>
                <w14:textFill>
                  <w14:solidFill>
                    <w14:schemeClr w14:val="tx1"/>
                  </w14:solidFill>
                </w14:textFill>
              </w:rPr>
              <w:t>1</w:t>
            </w:r>
            <w:r>
              <w:rPr>
                <w:rFonts w:hint="eastAsia" w:ascii="宋体" w:hAnsi="宋体" w:cs="宋体"/>
                <w:bCs/>
                <w:color w:val="000000" w:themeColor="text1"/>
                <w14:textFill>
                  <w14:solidFill>
                    <w14:schemeClr w14:val="tx1"/>
                  </w14:solidFill>
                </w14:textFill>
              </w:rPr>
              <w:t>分；</w:t>
            </w:r>
          </w:p>
          <w:p w14:paraId="415B323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5E99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66345B28">
            <w:pPr>
              <w:rPr>
                <w:rFonts w:ascii="宋体" w:hAnsi="宋体" w:cs="宋体"/>
                <w:bCs/>
                <w:color w:val="000000" w:themeColor="text1"/>
                <w14:textFill>
                  <w14:solidFill>
                    <w14:schemeClr w14:val="tx1"/>
                  </w14:solidFill>
                </w14:textFill>
              </w:rPr>
            </w:pPr>
          </w:p>
        </w:tc>
        <w:tc>
          <w:tcPr>
            <w:tcW w:w="1125" w:type="dxa"/>
            <w:noWrap/>
            <w:vAlign w:val="center"/>
          </w:tcPr>
          <w:p w14:paraId="1B758B4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绿色建筑施工方案（</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6CF90075">
            <w:pP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绿色建筑施工方案，包含但不限于以下内容：施工全过程中绿色施工、节能环保、绿色材料应用、扬尘污染控制、噪音控制、节水节电、建筑垃圾资源化、室内环保管控、绿色文明施工等</w:t>
            </w:r>
            <w:r>
              <w:rPr>
                <w:rFonts w:hint="eastAsia" w:ascii="宋体" w:hAnsi="宋体" w:cs="宋体"/>
                <w:bCs/>
                <w:color w:val="000000" w:themeColor="text1"/>
                <w:lang w:val="en-US" w:eastAsia="zh-CN"/>
                <w14:textFill>
                  <w14:solidFill>
                    <w14:schemeClr w14:val="tx1"/>
                  </w14:solidFill>
                </w14:textFill>
              </w:rPr>
              <w:t>内容</w:t>
            </w:r>
            <w:r>
              <w:rPr>
                <w:rFonts w:hint="eastAsia" w:ascii="宋体" w:hAnsi="宋体" w:cs="宋体"/>
                <w:bCs/>
                <w:color w:val="000000" w:themeColor="text1"/>
                <w14:textFill>
                  <w14:solidFill>
                    <w14:schemeClr w14:val="tx1"/>
                  </w14:solidFill>
                </w14:textFill>
              </w:rPr>
              <w:t>。</w:t>
            </w:r>
          </w:p>
          <w:p w14:paraId="751F4F2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方案科学、全面、针对性强，各项措施具体可行，完全符合绿色建筑施工规范及相关标准，且无瑕疵的得 </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 xml:space="preserve"> 分；</w:t>
            </w:r>
          </w:p>
          <w:p w14:paraId="77D6CA5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方案较科学合理，覆盖主要绿色施工要求，措施较具体，针对性较强，或存在 1 处瑕疵的得 </w:t>
            </w:r>
            <w:r>
              <w:rPr>
                <w:rFonts w:hint="eastAsia" w:ascii="宋体" w:hAnsi="宋体" w:cs="宋体"/>
                <w:bCs/>
                <w:color w:val="000000" w:themeColor="text1"/>
                <w:lang w:val="en-US" w:eastAsia="zh-CN"/>
                <w14:textFill>
                  <w14:solidFill>
                    <w14:schemeClr w14:val="tx1"/>
                  </w14:solidFill>
                </w14:textFill>
              </w:rPr>
              <w:t>3</w:t>
            </w:r>
            <w:r>
              <w:rPr>
                <w:rFonts w:hint="eastAsia" w:ascii="宋体" w:hAnsi="宋体" w:cs="宋体"/>
                <w:bCs/>
                <w:color w:val="000000" w:themeColor="text1"/>
                <w14:textFill>
                  <w14:solidFill>
                    <w14:schemeClr w14:val="tx1"/>
                  </w14:solidFill>
                </w14:textFill>
              </w:rPr>
              <w:t>分；</w:t>
            </w:r>
          </w:p>
          <w:p w14:paraId="4082CFA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方案内容不够详细，措施针对性一般，或存在 2 处瑕疵的得 </w:t>
            </w:r>
            <w:r>
              <w:rPr>
                <w:rFonts w:hint="eastAsia" w:ascii="宋体" w:hAnsi="宋体" w:cs="宋体"/>
                <w:bCs/>
                <w:color w:val="000000" w:themeColor="text1"/>
                <w:lang w:val="en-US" w:eastAsia="zh-CN"/>
                <w14:textFill>
                  <w14:solidFill>
                    <w14:schemeClr w14:val="tx1"/>
                  </w14:solidFill>
                </w14:textFill>
              </w:rPr>
              <w:t>1</w:t>
            </w:r>
            <w:r>
              <w:rPr>
                <w:rFonts w:hint="eastAsia" w:ascii="宋体" w:hAnsi="宋体" w:cs="宋体"/>
                <w:bCs/>
                <w:color w:val="000000" w:themeColor="text1"/>
                <w14:textFill>
                  <w14:solidFill>
                    <w14:schemeClr w14:val="tx1"/>
                  </w14:solidFill>
                </w14:textFill>
              </w:rPr>
              <w:t xml:space="preserve"> 分；</w:t>
            </w:r>
          </w:p>
          <w:p w14:paraId="557AB16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未提供方案</w:t>
            </w:r>
            <w:r>
              <w:rPr>
                <w:rFonts w:hint="eastAsia" w:ascii="宋体" w:hAnsi="宋体" w:cs="宋体"/>
                <w:bCs/>
                <w:color w:val="000000" w:themeColor="text1"/>
                <w:lang w:val="en-US" w:eastAsia="zh-CN"/>
                <w14:textFill>
                  <w14:solidFill>
                    <w14:schemeClr w14:val="tx1"/>
                  </w14:solidFill>
                </w14:textFill>
              </w:rPr>
              <w:t>或有</w:t>
            </w:r>
            <w:r>
              <w:rPr>
                <w:rFonts w:hint="eastAsia" w:ascii="宋体" w:hAnsi="宋体" w:cs="宋体"/>
                <w:bCs/>
                <w:color w:val="000000" w:themeColor="text1"/>
                <w14:textFill>
                  <w14:solidFill>
                    <w14:schemeClr w14:val="tx1"/>
                  </w14:solidFill>
                </w14:textFill>
              </w:rPr>
              <w:t xml:space="preserve"> 3 处及以上瑕疵的得 0 分。</w:t>
            </w:r>
          </w:p>
        </w:tc>
      </w:tr>
      <w:tr w14:paraId="36C8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1" w:hRule="atLeast"/>
          <w:jc w:val="center"/>
        </w:trPr>
        <w:tc>
          <w:tcPr>
            <w:tcW w:w="1098" w:type="dxa"/>
            <w:noWrap/>
            <w:vAlign w:val="center"/>
          </w:tcPr>
          <w:p w14:paraId="2DA7194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商务部分</w:t>
            </w:r>
          </w:p>
          <w:p w14:paraId="2269A49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1125" w:type="dxa"/>
            <w:noWrap/>
            <w:vAlign w:val="center"/>
          </w:tcPr>
          <w:p w14:paraId="1C4BE8A1">
            <w:pPr>
              <w:jc w:val="cente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人员配备</w:t>
            </w:r>
          </w:p>
          <w:p w14:paraId="7B3ABFF2">
            <w:pPr>
              <w:jc w:val="center"/>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w:t>
            </w:r>
            <w:r>
              <w:rPr>
                <w:rFonts w:hint="eastAsia" w:ascii="宋体" w:hAnsi="宋体" w:cs="宋体"/>
                <w:bCs/>
                <w:color w:val="000000" w:themeColor="text1"/>
                <w:lang w:val="en-US" w:eastAsia="zh-CN"/>
                <w14:textFill>
                  <w14:solidFill>
                    <w14:schemeClr w14:val="tx1"/>
                  </w14:solidFill>
                </w14:textFill>
              </w:rPr>
              <w:t>5</w:t>
            </w:r>
            <w:r>
              <w:rPr>
                <w:rFonts w:hint="eastAsia" w:ascii="宋体" w:hAnsi="宋体" w:cs="宋体"/>
                <w:bCs/>
                <w:color w:val="000000" w:themeColor="text1"/>
                <w14:textFill>
                  <w14:solidFill>
                    <w14:schemeClr w14:val="tx1"/>
                  </w14:solidFill>
                </w14:textFill>
              </w:rPr>
              <w:t>分）</w:t>
            </w:r>
          </w:p>
        </w:tc>
        <w:tc>
          <w:tcPr>
            <w:tcW w:w="6590" w:type="dxa"/>
            <w:noWrap/>
            <w:vAlign w:val="center"/>
          </w:tcPr>
          <w:p w14:paraId="00EFEBF3">
            <w:pPr>
              <w:pStyle w:val="10"/>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1、</w:t>
            </w:r>
            <w:r>
              <w:rPr>
                <w:rFonts w:hint="eastAsia"/>
                <w:color w:val="000000" w:themeColor="text1"/>
                <w:sz w:val="21"/>
                <w:szCs w:val="21"/>
                <w:lang w:val="en-US" w:eastAsia="zh-CN"/>
                <w14:textFill>
                  <w14:solidFill>
                    <w14:schemeClr w14:val="tx1"/>
                  </w14:solidFill>
                </w14:textFill>
              </w:rPr>
              <w:t>拟投入本项目的技术负责人具备工程类中级职称的得1分，具备工程类高级及以上职称的得2分，</w:t>
            </w:r>
            <w:r>
              <w:rPr>
                <w:rFonts w:hint="eastAsia"/>
                <w:color w:val="000000" w:themeColor="text1"/>
                <w:sz w:val="21"/>
                <w:szCs w:val="21"/>
                <w14:textFill>
                  <w14:solidFill>
                    <w14:schemeClr w14:val="tx1"/>
                  </w14:solidFill>
                </w14:textFill>
              </w:rPr>
              <w:t>没有不得分，满分2分</w:t>
            </w:r>
            <w:r>
              <w:rPr>
                <w:rFonts w:hint="eastAsia" w:ascii="宋体" w:hAnsi="宋体" w:eastAsia="宋体" w:cs="宋体"/>
                <w:bCs/>
                <w:sz w:val="21"/>
                <w:lang w:eastAsia="zh-CN"/>
              </w:rPr>
              <w:t>（不重复得分）</w:t>
            </w:r>
            <w:r>
              <w:rPr>
                <w:rFonts w:hint="eastAsia"/>
                <w:color w:val="000000" w:themeColor="text1"/>
                <w:sz w:val="21"/>
                <w:szCs w:val="21"/>
                <w:lang w:val="en-US" w:eastAsia="zh-CN"/>
                <w14:textFill>
                  <w14:solidFill>
                    <w14:schemeClr w14:val="tx1"/>
                  </w14:solidFill>
                </w14:textFill>
              </w:rPr>
              <w:t>。</w:t>
            </w:r>
          </w:p>
          <w:p w14:paraId="1518BB37">
            <w:pPr>
              <w:pStyle w:val="10"/>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w:t>
            </w:r>
            <w:r>
              <w:rPr>
                <w:rFonts w:hint="eastAsia"/>
                <w:color w:val="000000" w:themeColor="text1"/>
                <w:sz w:val="21"/>
                <w:szCs w:val="21"/>
                <w14:textFill>
                  <w14:solidFill>
                    <w14:schemeClr w14:val="tx1"/>
                  </w14:solidFill>
                </w14:textFill>
              </w:rPr>
              <w:t>项目组成员中具备注册二级</w:t>
            </w:r>
            <w:r>
              <w:rPr>
                <w:rFonts w:hint="eastAsia"/>
                <w:color w:val="000000" w:themeColor="text1"/>
                <w:sz w:val="21"/>
                <w:szCs w:val="21"/>
                <w:lang w:val="en-US" w:eastAsia="zh-CN"/>
                <w14:textFill>
                  <w14:solidFill>
                    <w14:schemeClr w14:val="tx1"/>
                  </w14:solidFill>
                </w14:textFill>
              </w:rPr>
              <w:t>及以上</w:t>
            </w:r>
            <w:r>
              <w:rPr>
                <w:rFonts w:hint="eastAsia"/>
                <w:color w:val="000000" w:themeColor="text1"/>
                <w:sz w:val="21"/>
                <w:szCs w:val="21"/>
                <w14:textFill>
                  <w14:solidFill>
                    <w14:schemeClr w14:val="tx1"/>
                  </w14:solidFill>
                </w14:textFill>
              </w:rPr>
              <w:t>造价工程师证书的得1分，没有不得分，满分</w:t>
            </w:r>
            <w:r>
              <w:rPr>
                <w:rFonts w:hint="eastAsia"/>
                <w:color w:val="000000" w:themeColor="text1"/>
                <w:sz w:val="21"/>
                <w:szCs w:val="21"/>
                <w:lang w:val="en-US" w:eastAsia="zh-CN"/>
                <w14:textFill>
                  <w14:solidFill>
                    <w14:schemeClr w14:val="tx1"/>
                  </w14:solidFill>
                </w14:textFill>
              </w:rPr>
              <w:t>1</w:t>
            </w:r>
            <w:r>
              <w:rPr>
                <w:rFonts w:hint="eastAsia"/>
                <w:color w:val="000000" w:themeColor="text1"/>
                <w:sz w:val="21"/>
                <w:szCs w:val="21"/>
                <w14:textFill>
                  <w14:solidFill>
                    <w14:schemeClr w14:val="tx1"/>
                  </w14:solidFill>
                </w14:textFill>
              </w:rPr>
              <w:t>分。</w:t>
            </w:r>
          </w:p>
          <w:p w14:paraId="629FF091">
            <w:pPr>
              <w:pStyle w:val="10"/>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w:t>
            </w:r>
            <w:r>
              <w:rPr>
                <w:rFonts w:hint="eastAsia"/>
                <w:color w:val="000000" w:themeColor="text1"/>
                <w:sz w:val="21"/>
                <w:szCs w:val="21"/>
                <w14:textFill>
                  <w14:solidFill>
                    <w14:schemeClr w14:val="tx1"/>
                  </w14:solidFill>
                </w14:textFill>
              </w:rPr>
              <w:t>项目组成员中具备注册安全工程师</w:t>
            </w:r>
            <w:r>
              <w:rPr>
                <w:rFonts w:hint="eastAsia"/>
                <w:color w:val="000000" w:themeColor="text1"/>
                <w:sz w:val="21"/>
                <w:szCs w:val="21"/>
                <w:lang w:val="en-US" w:eastAsia="zh-CN"/>
                <w14:textFill>
                  <w14:solidFill>
                    <w14:schemeClr w14:val="tx1"/>
                  </w14:solidFill>
                </w14:textFill>
              </w:rPr>
              <w:t>的</w:t>
            </w:r>
            <w:r>
              <w:rPr>
                <w:rFonts w:hint="eastAsia"/>
                <w:color w:val="000000" w:themeColor="text1"/>
                <w:sz w:val="21"/>
                <w:szCs w:val="21"/>
                <w14:textFill>
                  <w14:solidFill>
                    <w14:schemeClr w14:val="tx1"/>
                  </w14:solidFill>
                </w14:textFill>
              </w:rPr>
              <w:t>得2分，没有不得分，满分2分。</w:t>
            </w:r>
          </w:p>
          <w:p w14:paraId="380DD505">
            <w:pPr>
              <w:pStyle w:val="10"/>
              <w:rPr>
                <w:rFonts w:hint="eastAsia" w:ascii="宋体" w:hAnsi="宋体" w:cs="宋体"/>
                <w:b/>
                <w:color w:val="000000" w:themeColor="text1"/>
                <w14:textFill>
                  <w14:solidFill>
                    <w14:schemeClr w14:val="tx1"/>
                  </w14:solidFill>
                </w14:textFill>
              </w:rPr>
            </w:pPr>
            <w:r>
              <w:rPr>
                <w:rFonts w:hint="eastAsia"/>
                <w:b/>
                <w:bCs/>
                <w:color w:val="000000" w:themeColor="text1"/>
                <w:sz w:val="21"/>
                <w:szCs w:val="21"/>
                <w14:textFill>
                  <w14:solidFill>
                    <w14:schemeClr w14:val="tx1"/>
                  </w14:solidFill>
                </w14:textFill>
              </w:rPr>
              <w:t>注：</w:t>
            </w:r>
            <w:r>
              <w:rPr>
                <w:rFonts w:hint="eastAsia"/>
                <w:b/>
                <w:bCs/>
                <w:color w:val="000000" w:themeColor="text1"/>
                <w:sz w:val="21"/>
                <w:szCs w:val="21"/>
                <w:lang w:val="en-US" w:eastAsia="zh-CN"/>
                <w14:textFill>
                  <w14:solidFill>
                    <w14:schemeClr w14:val="tx1"/>
                  </w14:solidFill>
                </w14:textFill>
              </w:rPr>
              <w:t>以上人员须</w:t>
            </w:r>
            <w:r>
              <w:rPr>
                <w:rFonts w:hint="eastAsia"/>
                <w:b/>
                <w:bCs/>
                <w:color w:val="000000" w:themeColor="text1"/>
                <w:sz w:val="21"/>
                <w:szCs w:val="21"/>
                <w14:textFill>
                  <w14:solidFill>
                    <w14:schemeClr w14:val="tx1"/>
                  </w14:solidFill>
                </w14:textFill>
              </w:rPr>
              <w:t>提供</w:t>
            </w:r>
            <w:r>
              <w:rPr>
                <w:rFonts w:hint="eastAsia"/>
                <w:b/>
                <w:bCs/>
                <w:color w:val="000000" w:themeColor="text1"/>
                <w:sz w:val="21"/>
                <w:szCs w:val="21"/>
                <w:lang w:val="en-US" w:eastAsia="zh-CN"/>
                <w14:textFill>
                  <w14:solidFill>
                    <w14:schemeClr w14:val="tx1"/>
                  </w14:solidFill>
                </w14:textFill>
              </w:rPr>
              <w:t>供应商</w:t>
            </w:r>
            <w:r>
              <w:rPr>
                <w:rFonts w:hint="eastAsia"/>
                <w:b/>
                <w:bCs/>
                <w:color w:val="000000" w:themeColor="text1"/>
                <w:sz w:val="21"/>
                <w:szCs w:val="21"/>
                <w14:textFill>
                  <w14:solidFill>
                    <w14:schemeClr w14:val="tx1"/>
                  </w14:solidFill>
                </w14:textFill>
              </w:rPr>
              <w:t>为其缴纳的近3个月内任意一个月的社会保险证明及证书原件</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lang w:val="en-US" w:eastAsia="zh-CN"/>
                <w14:textFill>
                  <w14:solidFill>
                    <w14:schemeClr w14:val="tx1"/>
                  </w14:solidFill>
                </w14:textFill>
              </w:rPr>
              <w:t>退休人员须提供返聘合同及退休证明等材料</w:t>
            </w:r>
            <w:r>
              <w:rPr>
                <w:rFonts w:hint="eastAsia"/>
                <w:b/>
                <w:bCs/>
                <w:color w:val="000000" w:themeColor="text1"/>
                <w:sz w:val="21"/>
                <w:szCs w:val="21"/>
                <w:lang w:eastAsia="zh-CN"/>
                <w14:textFill>
                  <w14:solidFill>
                    <w14:schemeClr w14:val="tx1"/>
                  </w14:solidFill>
                </w14:textFill>
              </w:rPr>
              <w:t>）</w:t>
            </w:r>
            <w:r>
              <w:rPr>
                <w:rFonts w:hint="eastAsia"/>
                <w:b/>
                <w:bCs/>
                <w:color w:val="000000" w:themeColor="text1"/>
                <w:sz w:val="21"/>
                <w:szCs w:val="21"/>
                <w14:textFill>
                  <w14:solidFill>
                    <w14:schemeClr w14:val="tx1"/>
                  </w14:solidFill>
                </w14:textFill>
              </w:rPr>
              <w:t>扫描上传并加盖公章，关键信息模糊或未提供证明材料的不得分。</w:t>
            </w:r>
          </w:p>
        </w:tc>
      </w:tr>
    </w:tbl>
    <w:p w14:paraId="36E8ADBF">
      <w:pPr>
        <w:pStyle w:val="62"/>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注：评委应对以上各得分项独立评分，供应商最终得分为所有评委评分汇总的平均值。</w:t>
      </w:r>
    </w:p>
    <w:p w14:paraId="2E712478">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46BD2ADB">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第六章 竞争性磋商响应文件格式</w:t>
      </w:r>
      <w:bookmarkEnd w:id="2"/>
      <w:bookmarkEnd w:id="33"/>
    </w:p>
    <w:p w14:paraId="5A2F1432">
      <w:pPr>
        <w:spacing w:line="360" w:lineRule="auto"/>
        <w:jc w:val="center"/>
        <w:rPr>
          <w:rFonts w:ascii="宋体" w:hAnsi="宋体" w:cs="宋体"/>
          <w:b/>
          <w:color w:val="000000" w:themeColor="text1"/>
          <w:sz w:val="22"/>
          <w14:textFill>
            <w14:solidFill>
              <w14:schemeClr w14:val="tx1"/>
            </w14:solidFill>
          </w14:textFill>
        </w:rPr>
      </w:pPr>
    </w:p>
    <w:p w14:paraId="0BD11133">
      <w:pPr>
        <w:pStyle w:val="6"/>
        <w:spacing w:line="360" w:lineRule="auto"/>
        <w:rPr>
          <w:rFonts w:ascii="宋体" w:hAnsi="宋体" w:cs="宋体"/>
          <w:color w:val="000000" w:themeColor="text1"/>
          <w14:textFill>
            <w14:solidFill>
              <w14:schemeClr w14:val="tx1"/>
            </w14:solidFill>
          </w14:textFill>
        </w:rPr>
      </w:pPr>
    </w:p>
    <w:p w14:paraId="7503A0E7">
      <w:pPr>
        <w:spacing w:line="360" w:lineRule="auto"/>
        <w:rPr>
          <w:rFonts w:ascii="宋体" w:hAnsi="宋体" w:cs="宋体"/>
          <w:color w:val="000000" w:themeColor="text1"/>
          <w14:textFill>
            <w14:solidFill>
              <w14:schemeClr w14:val="tx1"/>
            </w14:solidFill>
          </w14:textFill>
        </w:rPr>
      </w:pPr>
    </w:p>
    <w:p w14:paraId="0B3DFDAE">
      <w:pPr>
        <w:spacing w:line="360" w:lineRule="auto"/>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响应文件</w:t>
      </w:r>
    </w:p>
    <w:p w14:paraId="6DC3C892">
      <w:pPr>
        <w:spacing w:line="360" w:lineRule="auto"/>
        <w:jc w:val="center"/>
        <w:rPr>
          <w:rFonts w:ascii="宋体" w:hAnsi="宋体" w:cs="宋体"/>
          <w:b/>
          <w:color w:val="000000" w:themeColor="text1"/>
          <w:sz w:val="36"/>
          <w:szCs w:val="21"/>
          <w14:textFill>
            <w14:solidFill>
              <w14:schemeClr w14:val="tx1"/>
            </w14:solidFill>
          </w14:textFill>
        </w:rPr>
      </w:pPr>
    </w:p>
    <w:p w14:paraId="1CDF1A16">
      <w:pPr>
        <w:spacing w:line="360" w:lineRule="auto"/>
        <w:jc w:val="center"/>
        <w:rPr>
          <w:rFonts w:ascii="宋体" w:hAnsi="宋体" w:cs="宋体"/>
          <w:b/>
          <w:color w:val="000000" w:themeColor="text1"/>
          <w:sz w:val="36"/>
          <w:szCs w:val="21"/>
          <w14:textFill>
            <w14:solidFill>
              <w14:schemeClr w14:val="tx1"/>
            </w14:solidFill>
          </w14:textFill>
        </w:rPr>
      </w:pPr>
    </w:p>
    <w:p w14:paraId="1FDE3DB1">
      <w:pPr>
        <w:spacing w:line="360" w:lineRule="auto"/>
        <w:jc w:val="center"/>
        <w:rPr>
          <w:rFonts w:ascii="宋体" w:hAnsi="宋体" w:cs="宋体"/>
          <w:b/>
          <w:color w:val="000000" w:themeColor="text1"/>
          <w:sz w:val="36"/>
          <w:szCs w:val="21"/>
          <w14:textFill>
            <w14:solidFill>
              <w14:schemeClr w14:val="tx1"/>
            </w14:solidFill>
          </w14:textFill>
        </w:rPr>
      </w:pPr>
    </w:p>
    <w:p w14:paraId="6943638C">
      <w:pPr>
        <w:spacing w:line="360" w:lineRule="auto"/>
        <w:jc w:val="center"/>
        <w:rPr>
          <w:rFonts w:ascii="宋体" w:hAnsi="宋体" w:cs="宋体"/>
          <w:b/>
          <w:color w:val="000000" w:themeColor="text1"/>
          <w:sz w:val="36"/>
          <w:szCs w:val="21"/>
          <w14:textFill>
            <w14:solidFill>
              <w14:schemeClr w14:val="tx1"/>
            </w14:solidFill>
          </w14:textFill>
        </w:rPr>
      </w:pPr>
    </w:p>
    <w:p w14:paraId="35EAEC72">
      <w:pPr>
        <w:spacing w:line="360" w:lineRule="auto"/>
        <w:jc w:val="center"/>
        <w:rPr>
          <w:rFonts w:ascii="宋体" w:hAnsi="宋体" w:cs="宋体"/>
          <w:b/>
          <w:color w:val="000000" w:themeColor="text1"/>
          <w:sz w:val="36"/>
          <w:szCs w:val="21"/>
          <w14:textFill>
            <w14:solidFill>
              <w14:schemeClr w14:val="tx1"/>
            </w14:solidFill>
          </w14:textFill>
        </w:rPr>
      </w:pPr>
    </w:p>
    <w:p w14:paraId="6AD85D4F">
      <w:pPr>
        <w:spacing w:line="360" w:lineRule="auto"/>
        <w:jc w:val="center"/>
        <w:rPr>
          <w:rFonts w:ascii="宋体" w:hAnsi="宋体" w:cs="宋体"/>
          <w:b/>
          <w:color w:val="000000" w:themeColor="text1"/>
          <w:sz w:val="36"/>
          <w14:textFill>
            <w14:solidFill>
              <w14:schemeClr w14:val="tx1"/>
            </w14:solidFill>
          </w14:textFill>
        </w:rPr>
      </w:pPr>
    </w:p>
    <w:p w14:paraId="3050BE6F">
      <w:pPr>
        <w:spacing w:line="360" w:lineRule="auto"/>
        <w:jc w:val="center"/>
        <w:rPr>
          <w:rFonts w:ascii="宋体" w:hAnsi="宋体" w:cs="宋体"/>
          <w:b/>
          <w:color w:val="000000" w:themeColor="text1"/>
          <w:sz w:val="36"/>
          <w14:textFill>
            <w14:solidFill>
              <w14:schemeClr w14:val="tx1"/>
            </w14:solidFill>
          </w14:textFill>
        </w:rPr>
      </w:pPr>
    </w:p>
    <w:p w14:paraId="64473070">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w:t>
      </w:r>
      <w:r>
        <w:rPr>
          <w:rFonts w:hint="eastAsia" w:ascii="宋体" w:hAnsi="宋体" w:cs="宋体"/>
          <w:b/>
          <w:color w:val="000000" w:themeColor="text1"/>
          <w:sz w:val="32"/>
          <w:szCs w:val="32"/>
          <w:u w:val="single"/>
          <w14:textFill>
            <w14:solidFill>
              <w14:schemeClr w14:val="tx1"/>
            </w14:solidFill>
          </w14:textFill>
        </w:rPr>
        <w:t xml:space="preserve">                      </w:t>
      </w:r>
    </w:p>
    <w:p w14:paraId="6F1747AA">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项目编号：</w:t>
      </w:r>
      <w:r>
        <w:rPr>
          <w:rFonts w:hint="eastAsia" w:ascii="宋体" w:hAnsi="宋体" w:cs="宋体"/>
          <w:b/>
          <w:color w:val="000000" w:themeColor="text1"/>
          <w:sz w:val="32"/>
          <w:szCs w:val="32"/>
          <w:u w:val="single"/>
          <w14:textFill>
            <w14:solidFill>
              <w14:schemeClr w14:val="tx1"/>
            </w14:solidFill>
          </w14:textFill>
        </w:rPr>
        <w:t xml:space="preserve">                      </w:t>
      </w:r>
    </w:p>
    <w:p w14:paraId="2EB2859B">
      <w:pPr>
        <w:spacing w:line="360" w:lineRule="auto"/>
        <w:ind w:firstLine="1928" w:firstLineChars="6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采购人名称：</w:t>
      </w:r>
      <w:r>
        <w:rPr>
          <w:rFonts w:hint="eastAsia" w:ascii="宋体" w:hAnsi="宋体" w:cs="宋体"/>
          <w:b/>
          <w:color w:val="000000" w:themeColor="text1"/>
          <w:sz w:val="32"/>
          <w:szCs w:val="32"/>
          <w:u w:val="single"/>
          <w14:textFill>
            <w14:solidFill>
              <w14:schemeClr w14:val="tx1"/>
            </w14:solidFill>
          </w14:textFill>
        </w:rPr>
        <w:t xml:space="preserve">                    </w:t>
      </w:r>
    </w:p>
    <w:p w14:paraId="17FAC5BB">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供应商名称：</w:t>
      </w:r>
      <w:r>
        <w:rPr>
          <w:rFonts w:hint="eastAsia" w:ascii="宋体" w:hAnsi="宋体" w:cs="宋体"/>
          <w:b/>
          <w:color w:val="000000" w:themeColor="text1"/>
          <w:sz w:val="32"/>
          <w:szCs w:val="32"/>
          <w:u w:val="single"/>
          <w14:textFill>
            <w14:solidFill>
              <w14:schemeClr w14:val="tx1"/>
            </w14:solidFill>
          </w14:textFill>
        </w:rPr>
        <w:t xml:space="preserve">                    </w:t>
      </w:r>
    </w:p>
    <w:p w14:paraId="2EA3CBE2">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日期：</w:t>
      </w:r>
      <w:r>
        <w:rPr>
          <w:rFonts w:hint="eastAsia" w:ascii="宋体" w:hAnsi="宋体" w:cs="宋体"/>
          <w:b/>
          <w:color w:val="000000" w:themeColor="text1"/>
          <w:sz w:val="32"/>
          <w:szCs w:val="32"/>
          <w:u w:val="single"/>
          <w14:textFill>
            <w14:solidFill>
              <w14:schemeClr w14:val="tx1"/>
            </w14:solidFill>
          </w14:textFill>
        </w:rPr>
        <w:t xml:space="preserve">                          </w:t>
      </w:r>
    </w:p>
    <w:p w14:paraId="7975F4D7">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供应商：（电子签章）</w:t>
      </w:r>
      <w:r>
        <w:rPr>
          <w:rFonts w:hint="eastAsia" w:ascii="宋体" w:hAnsi="宋体" w:cs="宋体"/>
          <w:b/>
          <w:color w:val="000000" w:themeColor="text1"/>
          <w:sz w:val="32"/>
          <w:szCs w:val="32"/>
          <w:u w:val="single"/>
          <w14:textFill>
            <w14:solidFill>
              <w14:schemeClr w14:val="tx1"/>
            </w14:solidFill>
          </w14:textFill>
        </w:rPr>
        <w:t xml:space="preserve">            </w:t>
      </w:r>
    </w:p>
    <w:p w14:paraId="4D901B51">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目录</w:t>
      </w:r>
    </w:p>
    <w:p w14:paraId="2C6A6C46">
      <w:pPr>
        <w:spacing w:line="360" w:lineRule="auto"/>
        <w:jc w:val="center"/>
        <w:rPr>
          <w:rFonts w:ascii="宋体" w:hAnsi="宋体" w:cs="宋体"/>
          <w:b/>
          <w:bCs/>
          <w:color w:val="000000" w:themeColor="text1"/>
          <w:sz w:val="32"/>
          <w:szCs w:val="32"/>
          <w14:textFill>
            <w14:solidFill>
              <w14:schemeClr w14:val="tx1"/>
            </w14:solidFill>
          </w14:textFill>
        </w:rPr>
      </w:pPr>
    </w:p>
    <w:p w14:paraId="50AFCEB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6CD6C5F6">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04D9A787">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1B58654B">
      <w:pPr>
        <w:spacing w:line="360" w:lineRule="auto"/>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14:textFill>
            <w14:solidFill>
              <w14:schemeClr w14:val="tx1"/>
            </w14:solidFill>
          </w14:textFill>
        </w:rPr>
        <w:t>磋商响应报价表</w:t>
      </w:r>
    </w:p>
    <w:p w14:paraId="07D780D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i/>
          <w:iCs/>
          <w:color w:val="000000" w:themeColor="text1"/>
          <w:sz w:val="24"/>
          <w:u w:val="single"/>
          <w14:textFill>
            <w14:solidFill>
              <w14:schemeClr w14:val="tx1"/>
            </w14:solidFill>
          </w14:textFill>
        </w:rPr>
        <w:t>分项报价表</w:t>
      </w:r>
    </w:p>
    <w:p w14:paraId="788DC55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六、技术参数响应及偏离表</w:t>
      </w:r>
    </w:p>
    <w:p w14:paraId="2767F44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40FAFF5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八、其他 （供应商认为有必要提供的声明和文件，如有自拟并自行添加）</w:t>
      </w:r>
    </w:p>
    <w:p w14:paraId="37412106">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r>
        <w:rPr>
          <w:rFonts w:hint="eastAsia" w:ascii="宋体" w:hAnsi="宋体" w:cs="宋体"/>
          <w:b/>
          <w:color w:val="000000" w:themeColor="text1"/>
          <w:sz w:val="32"/>
          <w:szCs w:val="32"/>
          <w14:textFill>
            <w14:solidFill>
              <w14:schemeClr w14:val="tx1"/>
            </w14:solidFill>
          </w14:textFill>
        </w:rPr>
        <w:t>一、资格审查响应对照表</w:t>
      </w:r>
    </w:p>
    <w:tbl>
      <w:tblPr>
        <w:tblStyle w:val="26"/>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978"/>
        <w:gridCol w:w="1591"/>
      </w:tblGrid>
      <w:tr w14:paraId="5E9C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09" w:type="dxa"/>
            <w:vAlign w:val="center"/>
          </w:tcPr>
          <w:p w14:paraId="3E27C25D">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6978" w:type="dxa"/>
            <w:vAlign w:val="center"/>
          </w:tcPr>
          <w:p w14:paraId="1E53C5D4">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1591" w:type="dxa"/>
            <w:vAlign w:val="center"/>
          </w:tcPr>
          <w:p w14:paraId="289BA098">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61DB04F1">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311F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5B1A8D03">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1F83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F16515C">
            <w:pPr>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978" w:type="dxa"/>
            <w:vAlign w:val="center"/>
          </w:tcPr>
          <w:p w14:paraId="136E2314">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1591" w:type="dxa"/>
            <w:vAlign w:val="center"/>
          </w:tcPr>
          <w:p w14:paraId="7674A996">
            <w:pPr>
              <w:rPr>
                <w:rFonts w:ascii="宋体" w:hAnsi="宋体" w:cs="宋体"/>
                <w:b/>
                <w:color w:val="000000" w:themeColor="text1"/>
                <w:szCs w:val="21"/>
                <w14:textFill>
                  <w14:solidFill>
                    <w14:schemeClr w14:val="tx1"/>
                  </w14:solidFill>
                </w14:textFill>
              </w:rPr>
            </w:pPr>
          </w:p>
        </w:tc>
      </w:tr>
      <w:tr w14:paraId="633A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6C495569">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6978" w:type="dxa"/>
            <w:vAlign w:val="center"/>
          </w:tcPr>
          <w:p w14:paraId="7A6BCDFF">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w:t>
            </w:r>
            <w:r>
              <w:rPr>
                <w:rFonts w:hint="eastAsia" w:ascii="宋体" w:hAnsi="宋体" w:cs="宋体"/>
                <w:b/>
                <w:bCs/>
                <w:color w:val="000000" w:themeColor="text1"/>
                <w:szCs w:val="21"/>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tc>
        <w:tc>
          <w:tcPr>
            <w:tcW w:w="1591" w:type="dxa"/>
            <w:vAlign w:val="center"/>
          </w:tcPr>
          <w:p w14:paraId="7183B968">
            <w:pPr>
              <w:rPr>
                <w:rFonts w:ascii="宋体" w:hAnsi="宋体" w:cs="宋体"/>
                <w:color w:val="000000" w:themeColor="text1"/>
                <w:szCs w:val="21"/>
                <w14:textFill>
                  <w14:solidFill>
                    <w14:schemeClr w14:val="tx1"/>
                  </w14:solidFill>
                </w14:textFill>
              </w:rPr>
            </w:pPr>
          </w:p>
        </w:tc>
      </w:tr>
      <w:tr w14:paraId="5812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58B9E2D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6978" w:type="dxa"/>
            <w:vAlign w:val="center"/>
          </w:tcPr>
          <w:p w14:paraId="4D7CFC89">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供应商近三个月内任意一份依法纳税的缴款凭证；</w:t>
            </w:r>
            <w:r>
              <w:rPr>
                <w:rFonts w:hint="eastAsia" w:ascii="宋体" w:hAnsi="宋体" w:cs="宋体"/>
                <w:b/>
                <w:bCs/>
                <w:color w:val="000000" w:themeColor="text1"/>
                <w:szCs w:val="21"/>
                <w14:textFill>
                  <w14:solidFill>
                    <w14:schemeClr w14:val="tx1"/>
                  </w14:solidFill>
                </w14:textFill>
              </w:rPr>
              <w:t>（供应商依法享受缓缴、免缴的提供证明材料）</w:t>
            </w:r>
          </w:p>
        </w:tc>
        <w:tc>
          <w:tcPr>
            <w:tcW w:w="1591" w:type="dxa"/>
            <w:vAlign w:val="center"/>
          </w:tcPr>
          <w:p w14:paraId="6FF0A3A6">
            <w:pPr>
              <w:rPr>
                <w:rFonts w:ascii="宋体" w:hAnsi="宋体" w:cs="宋体"/>
                <w:color w:val="000000" w:themeColor="text1"/>
                <w:szCs w:val="21"/>
                <w14:textFill>
                  <w14:solidFill>
                    <w14:schemeClr w14:val="tx1"/>
                  </w14:solidFill>
                </w14:textFill>
              </w:rPr>
            </w:pPr>
          </w:p>
        </w:tc>
      </w:tr>
      <w:tr w14:paraId="212D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187FC29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6978" w:type="dxa"/>
            <w:vAlign w:val="center"/>
          </w:tcPr>
          <w:p w14:paraId="746B0F2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上一年度的财务状况报告；</w:t>
            </w:r>
            <w:r>
              <w:rPr>
                <w:rFonts w:hint="eastAsia" w:ascii="宋体" w:hAnsi="宋体" w:cs="宋体"/>
                <w:b/>
                <w:bCs/>
                <w:color w:val="000000" w:themeColor="text1"/>
                <w:szCs w:val="21"/>
                <w14:textFill>
                  <w14:solidFill>
                    <w14:schemeClr w14:val="tx1"/>
                  </w14:solidFill>
                </w14:textFill>
              </w:rPr>
              <w:t>（成立不满一年</w:t>
            </w:r>
            <w:r>
              <w:rPr>
                <w:rFonts w:hint="eastAsia" w:ascii="宋体" w:hAnsi="宋体" w:cs="宋体"/>
                <w:b/>
                <w:bCs/>
                <w:color w:val="000000" w:themeColor="text1"/>
                <w:szCs w:val="21"/>
                <w:lang w:val="en-US" w:eastAsia="zh-CN"/>
                <w14:textFill>
                  <w14:solidFill>
                    <w14:schemeClr w14:val="tx1"/>
                  </w14:solidFill>
                </w14:textFill>
              </w:rPr>
              <w:t>无</w:t>
            </w:r>
            <w:r>
              <w:rPr>
                <w:rFonts w:hint="eastAsia" w:ascii="宋体" w:hAnsi="宋体" w:cs="宋体"/>
                <w:b/>
                <w:bCs/>
                <w:color w:val="000000" w:themeColor="text1"/>
                <w:szCs w:val="21"/>
                <w14:textFill>
                  <w14:solidFill>
                    <w14:schemeClr w14:val="tx1"/>
                  </w14:solidFill>
                </w14:textFill>
              </w:rPr>
              <w:t>需提供）</w:t>
            </w:r>
          </w:p>
        </w:tc>
        <w:tc>
          <w:tcPr>
            <w:tcW w:w="1591" w:type="dxa"/>
            <w:vAlign w:val="center"/>
          </w:tcPr>
          <w:p w14:paraId="7A869F0D">
            <w:pPr>
              <w:rPr>
                <w:rFonts w:ascii="宋体" w:hAnsi="宋体" w:cs="宋体"/>
                <w:color w:val="000000" w:themeColor="text1"/>
                <w:szCs w:val="21"/>
                <w14:textFill>
                  <w14:solidFill>
                    <w14:schemeClr w14:val="tx1"/>
                  </w14:solidFill>
                </w14:textFill>
              </w:rPr>
            </w:pPr>
          </w:p>
        </w:tc>
      </w:tr>
      <w:tr w14:paraId="298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052F70A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6978" w:type="dxa"/>
            <w:vAlign w:val="center"/>
          </w:tcPr>
          <w:p w14:paraId="30C27C1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具备履行合同所必需的设备和专业技术能力的证明材料；</w:t>
            </w:r>
          </w:p>
        </w:tc>
        <w:tc>
          <w:tcPr>
            <w:tcW w:w="1591" w:type="dxa"/>
            <w:vAlign w:val="center"/>
          </w:tcPr>
          <w:p w14:paraId="0C1297AD">
            <w:pPr>
              <w:rPr>
                <w:rFonts w:ascii="宋体" w:hAnsi="宋体" w:cs="宋体"/>
                <w:color w:val="000000" w:themeColor="text1"/>
                <w:szCs w:val="21"/>
                <w14:textFill>
                  <w14:solidFill>
                    <w14:schemeClr w14:val="tx1"/>
                  </w14:solidFill>
                </w14:textFill>
              </w:rPr>
            </w:pPr>
          </w:p>
        </w:tc>
      </w:tr>
      <w:tr w14:paraId="70D5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C8639F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6978" w:type="dxa"/>
            <w:vAlign w:val="center"/>
          </w:tcPr>
          <w:p w14:paraId="0584D1C2">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w:t>
            </w:r>
          </w:p>
        </w:tc>
        <w:tc>
          <w:tcPr>
            <w:tcW w:w="1591" w:type="dxa"/>
            <w:vAlign w:val="center"/>
          </w:tcPr>
          <w:p w14:paraId="28DE2DB8">
            <w:pPr>
              <w:rPr>
                <w:rFonts w:ascii="宋体" w:hAnsi="宋体" w:cs="宋体"/>
                <w:color w:val="000000" w:themeColor="text1"/>
                <w:szCs w:val="21"/>
                <w14:textFill>
                  <w14:solidFill>
                    <w14:schemeClr w14:val="tx1"/>
                  </w14:solidFill>
                </w14:textFill>
              </w:rPr>
            </w:pPr>
          </w:p>
        </w:tc>
      </w:tr>
      <w:tr w14:paraId="094A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066061F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6978" w:type="dxa"/>
            <w:vAlign w:val="center"/>
          </w:tcPr>
          <w:p w14:paraId="4B24429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w:t>
            </w:r>
          </w:p>
        </w:tc>
        <w:tc>
          <w:tcPr>
            <w:tcW w:w="1591" w:type="dxa"/>
            <w:vAlign w:val="center"/>
          </w:tcPr>
          <w:p w14:paraId="31FEB169">
            <w:pPr>
              <w:rPr>
                <w:rFonts w:ascii="宋体" w:hAnsi="宋体" w:cs="宋体"/>
                <w:color w:val="000000" w:themeColor="text1"/>
                <w:szCs w:val="21"/>
                <w14:textFill>
                  <w14:solidFill>
                    <w14:schemeClr w14:val="tx1"/>
                  </w14:solidFill>
                </w14:textFill>
              </w:rPr>
            </w:pPr>
          </w:p>
        </w:tc>
      </w:tr>
      <w:tr w14:paraId="047C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09" w:type="dxa"/>
            <w:vAlign w:val="center"/>
          </w:tcPr>
          <w:p w14:paraId="4F8834B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6978" w:type="dxa"/>
            <w:vAlign w:val="center"/>
          </w:tcPr>
          <w:p w14:paraId="4DD6341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供应商信用承诺函；</w:t>
            </w:r>
          </w:p>
        </w:tc>
        <w:tc>
          <w:tcPr>
            <w:tcW w:w="1591" w:type="dxa"/>
            <w:vAlign w:val="center"/>
          </w:tcPr>
          <w:p w14:paraId="16D722BE">
            <w:pPr>
              <w:rPr>
                <w:rFonts w:ascii="宋体" w:hAnsi="宋体" w:cs="宋体"/>
                <w:color w:val="000000" w:themeColor="text1"/>
                <w:szCs w:val="21"/>
                <w14:textFill>
                  <w14:solidFill>
                    <w14:schemeClr w14:val="tx1"/>
                  </w14:solidFill>
                </w14:textFill>
              </w:rPr>
            </w:pPr>
          </w:p>
        </w:tc>
      </w:tr>
      <w:tr w14:paraId="675B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468AC890">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落实政府采购政策需满足的资格要求</w:t>
            </w:r>
          </w:p>
        </w:tc>
      </w:tr>
      <w:tr w14:paraId="369C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2EA430F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6978" w:type="dxa"/>
            <w:vAlign w:val="center"/>
          </w:tcPr>
          <w:p w14:paraId="4263C2A8">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本项目面向中小企业采购，供应商投标时须提供《中小企业声明函》</w:t>
            </w:r>
          </w:p>
        </w:tc>
        <w:tc>
          <w:tcPr>
            <w:tcW w:w="1591" w:type="dxa"/>
            <w:vAlign w:val="center"/>
          </w:tcPr>
          <w:p w14:paraId="4A15FB52">
            <w:pPr>
              <w:rPr>
                <w:rFonts w:ascii="宋体" w:hAnsi="宋体" w:cs="宋体"/>
                <w:color w:val="000000" w:themeColor="text1"/>
                <w:szCs w:val="21"/>
                <w14:textFill>
                  <w14:solidFill>
                    <w14:schemeClr w14:val="tx1"/>
                  </w14:solidFill>
                </w14:textFill>
              </w:rPr>
            </w:pPr>
          </w:p>
        </w:tc>
      </w:tr>
      <w:tr w14:paraId="5281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39C2ACE2">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特定资格条件</w:t>
            </w:r>
          </w:p>
        </w:tc>
      </w:tr>
      <w:tr w14:paraId="2839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709" w:type="dxa"/>
            <w:vAlign w:val="center"/>
          </w:tcPr>
          <w:p w14:paraId="5735DE2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6978" w:type="dxa"/>
            <w:vAlign w:val="center"/>
          </w:tcPr>
          <w:p w14:paraId="3481A1AE">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1</w:t>
            </w:r>
            <w:r>
              <w:rPr>
                <w:rFonts w:hint="eastAsia" w:ascii="宋体" w:hAnsi="宋体" w:cs="宋体"/>
                <w:iCs/>
                <w:color w:val="000000" w:themeColor="text1"/>
                <w:szCs w:val="21"/>
                <w:lang w:eastAsia="zh-C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供应商须具备市政公用工程施工总承包叁级及以上资质和</w:t>
            </w:r>
            <w:r>
              <w:rPr>
                <w:rFonts w:hint="eastAsia" w:ascii="宋体" w:hAnsi="宋体" w:cs="宋体"/>
                <w:iCs/>
                <w:color w:val="000000" w:themeColor="text1"/>
                <w:szCs w:val="21"/>
                <w:lang w:val="en"/>
                <w14:textFill>
                  <w14:solidFill>
                    <w14:schemeClr w14:val="tx1"/>
                  </w14:solidFill>
                </w14:textFill>
              </w:rPr>
              <w:t>省级及以上建设行政主管部门核发的《安全生产许可证》</w:t>
            </w:r>
            <w:r>
              <w:rPr>
                <w:rFonts w:hint="eastAsia" w:ascii="宋体" w:hAnsi="宋体" w:cs="宋体"/>
                <w:iCs/>
                <w:color w:val="000000" w:themeColor="text1"/>
                <w:szCs w:val="21"/>
                <w14:textFill>
                  <w14:solidFill>
                    <w14:schemeClr w14:val="tx1"/>
                  </w14:solidFill>
                </w14:textFill>
              </w:rPr>
              <w:t>；</w:t>
            </w:r>
          </w:p>
          <w:p w14:paraId="17D77095">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2</w:t>
            </w:r>
            <w:r>
              <w:rPr>
                <w:rFonts w:hint="eastAsia" w:ascii="宋体" w:hAnsi="宋体" w:cs="宋体"/>
                <w:iCs/>
                <w:color w:val="000000" w:themeColor="text1"/>
                <w:szCs w:val="21"/>
                <w:lang w:eastAsia="zh-CN"/>
                <w14:textFill>
                  <w14:solidFill>
                    <w14:schemeClr w14:val="tx1"/>
                  </w14:solidFill>
                </w14:textFill>
              </w:rPr>
              <w:t>、</w:t>
            </w:r>
            <w:r>
              <w:rPr>
                <w:rFonts w:hint="eastAsia" w:ascii="宋体" w:hAnsi="宋体" w:cs="宋体"/>
                <w:iCs/>
                <w:color w:val="000000" w:themeColor="text1"/>
                <w:szCs w:val="21"/>
                <w:lang w:val="en"/>
                <w14:textFill>
                  <w14:solidFill>
                    <w14:schemeClr w14:val="tx1"/>
                  </w14:solidFill>
                </w14:textFill>
              </w:rPr>
              <w:t>拟投入本项目的项目负责人</w:t>
            </w:r>
            <w:r>
              <w:rPr>
                <w:rFonts w:hint="eastAsia" w:ascii="宋体" w:hAnsi="宋体" w:cs="宋体"/>
                <w:iCs/>
                <w:color w:val="000000" w:themeColor="text1"/>
                <w:szCs w:val="21"/>
                <w14:textFill>
                  <w14:solidFill>
                    <w14:schemeClr w14:val="tx1"/>
                  </w14:solidFill>
                </w14:textFill>
              </w:rPr>
              <w:t>须</w:t>
            </w:r>
            <w:r>
              <w:rPr>
                <w:rFonts w:hint="eastAsia" w:ascii="宋体" w:hAnsi="宋体" w:cs="宋体"/>
                <w:iCs/>
                <w:color w:val="000000" w:themeColor="text1"/>
                <w:szCs w:val="21"/>
                <w:lang w:val="en"/>
                <w14:textFill>
                  <w14:solidFill>
                    <w14:schemeClr w14:val="tx1"/>
                  </w14:solidFill>
                </w14:textFill>
              </w:rPr>
              <w:t>具备</w:t>
            </w:r>
            <w:r>
              <w:rPr>
                <w:rFonts w:hint="eastAsia" w:ascii="宋体" w:hAnsi="宋体" w:cs="宋体"/>
                <w:iCs/>
                <w:color w:val="000000" w:themeColor="text1"/>
                <w:szCs w:val="21"/>
                <w:lang w:val="en-US" w:eastAsia="zh-CN"/>
                <w14:textFill>
                  <w14:solidFill>
                    <w14:schemeClr w14:val="tx1"/>
                  </w14:solidFill>
                </w14:textFill>
              </w:rPr>
              <w:t>市政公用工程专业</w:t>
            </w:r>
            <w:r>
              <w:rPr>
                <w:rFonts w:hint="eastAsia" w:ascii="宋体" w:hAnsi="宋体" w:cs="宋体"/>
                <w:iCs/>
                <w:color w:val="000000" w:themeColor="text1"/>
                <w:szCs w:val="21"/>
                <w:lang w:val="en"/>
                <w14:textFill>
                  <w14:solidFill>
                    <w14:schemeClr w14:val="tx1"/>
                  </w14:solidFill>
                </w14:textFill>
              </w:rPr>
              <w:t>二级（含）以上注册建造师执业资格</w:t>
            </w:r>
            <w:r>
              <w:rPr>
                <w:rFonts w:hint="eastAsia" w:ascii="宋体" w:hAnsi="宋体" w:cs="宋体"/>
                <w:iCs/>
                <w:color w:val="000000" w:themeColor="text1"/>
                <w:szCs w:val="21"/>
                <w14:textFill>
                  <w14:solidFill>
                    <w14:schemeClr w14:val="tx1"/>
                  </w14:solidFill>
                </w14:textFill>
              </w:rPr>
              <w:t>和</w:t>
            </w:r>
            <w:r>
              <w:rPr>
                <w:rFonts w:hint="eastAsia" w:ascii="宋体" w:hAnsi="宋体" w:cs="宋体"/>
                <w:iCs/>
                <w:color w:val="000000" w:themeColor="text1"/>
                <w:szCs w:val="21"/>
                <w:lang w:val="en"/>
                <w14:textFill>
                  <w14:solidFill>
                    <w14:schemeClr w14:val="tx1"/>
                  </w14:solidFill>
                </w14:textFill>
              </w:rPr>
              <w:t>有效的安全生产考核合格证书（</w:t>
            </w:r>
            <w:r>
              <w:rPr>
                <w:rFonts w:hint="eastAsia" w:ascii="宋体" w:hAnsi="宋体" w:cs="宋体"/>
                <w:iCs/>
                <w:color w:val="000000" w:themeColor="text1"/>
                <w:szCs w:val="21"/>
                <w14:textFill>
                  <w14:solidFill>
                    <w14:schemeClr w14:val="tx1"/>
                  </w14:solidFill>
                </w14:textFill>
              </w:rPr>
              <w:t>B证</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并提供近三个月内任意一个月社保缴纳证明材料，</w:t>
            </w:r>
            <w:r>
              <w:rPr>
                <w:rFonts w:hint="eastAsia" w:ascii="宋体" w:hAnsi="宋体" w:cs="宋体"/>
                <w:iCs/>
                <w:color w:val="000000" w:themeColor="text1"/>
                <w:szCs w:val="21"/>
                <w:lang w:val="en"/>
                <w14:textFill>
                  <w14:solidFill>
                    <w14:schemeClr w14:val="tx1"/>
                  </w14:solidFill>
                </w14:textFill>
              </w:rPr>
              <w:t>且无在</w:t>
            </w:r>
            <w:r>
              <w:rPr>
                <w:rFonts w:hint="eastAsia" w:ascii="宋体" w:hAnsi="宋体" w:cs="宋体"/>
                <w:iCs/>
                <w:color w:val="000000" w:themeColor="text1"/>
                <w:szCs w:val="21"/>
                <w14:textFill>
                  <w14:solidFill>
                    <w14:schemeClr w14:val="tx1"/>
                  </w14:solidFill>
                </w14:textFill>
              </w:rPr>
              <w:t>建</w:t>
            </w:r>
            <w:r>
              <w:rPr>
                <w:rFonts w:hint="eastAsia" w:ascii="宋体" w:hAnsi="宋体" w:cs="宋体"/>
                <w:iCs/>
                <w:color w:val="000000" w:themeColor="text1"/>
                <w:szCs w:val="21"/>
                <w:lang w:val="en"/>
                <w14:textFill>
                  <w14:solidFill>
                    <w14:schemeClr w14:val="tx1"/>
                  </w14:solidFill>
                </w14:textFill>
              </w:rPr>
              <w:t>工程（</w:t>
            </w:r>
            <w:r>
              <w:rPr>
                <w:rFonts w:hint="eastAsia" w:ascii="宋体" w:hAnsi="宋体" w:cs="宋体"/>
                <w:iCs/>
                <w:color w:val="000000" w:themeColor="text1"/>
                <w:szCs w:val="21"/>
                <w14:textFill>
                  <w14:solidFill>
                    <w14:schemeClr w14:val="tx1"/>
                  </w14:solidFill>
                </w14:textFill>
              </w:rPr>
              <w:t>提供无在建工程承诺书</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w:t>
            </w:r>
          </w:p>
        </w:tc>
        <w:tc>
          <w:tcPr>
            <w:tcW w:w="1591" w:type="dxa"/>
            <w:vAlign w:val="center"/>
          </w:tcPr>
          <w:p w14:paraId="730575F1">
            <w:pPr>
              <w:rPr>
                <w:rFonts w:ascii="宋体" w:hAnsi="宋体" w:cs="宋体"/>
                <w:color w:val="000000" w:themeColor="text1"/>
                <w:szCs w:val="21"/>
                <w14:textFill>
                  <w14:solidFill>
                    <w14:schemeClr w14:val="tx1"/>
                  </w14:solidFill>
                </w14:textFill>
              </w:rPr>
            </w:pPr>
          </w:p>
        </w:tc>
      </w:tr>
      <w:tr w14:paraId="692F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1B9B6ADA">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其他资格条件</w:t>
            </w:r>
          </w:p>
        </w:tc>
      </w:tr>
      <w:tr w14:paraId="6671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6388793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6978" w:type="dxa"/>
            <w:vAlign w:val="center"/>
          </w:tcPr>
          <w:p w14:paraId="64514CB4">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磋商响应函</w:t>
            </w:r>
          </w:p>
        </w:tc>
        <w:tc>
          <w:tcPr>
            <w:tcW w:w="1591" w:type="dxa"/>
            <w:vAlign w:val="center"/>
          </w:tcPr>
          <w:p w14:paraId="1122E176">
            <w:pPr>
              <w:rPr>
                <w:rFonts w:ascii="宋体" w:hAnsi="宋体" w:cs="宋体"/>
                <w:color w:val="000000" w:themeColor="text1"/>
                <w:szCs w:val="21"/>
                <w14:textFill>
                  <w14:solidFill>
                    <w14:schemeClr w14:val="tx1"/>
                  </w14:solidFill>
                </w14:textFill>
              </w:rPr>
            </w:pPr>
          </w:p>
        </w:tc>
      </w:tr>
      <w:tr w14:paraId="0020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09" w:type="dxa"/>
            <w:vAlign w:val="center"/>
          </w:tcPr>
          <w:p w14:paraId="6B6E200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6978" w:type="dxa"/>
            <w:vAlign w:val="center"/>
          </w:tcPr>
          <w:p w14:paraId="5A102D67">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法人授权书</w:t>
            </w:r>
          </w:p>
        </w:tc>
        <w:tc>
          <w:tcPr>
            <w:tcW w:w="1591" w:type="dxa"/>
            <w:vAlign w:val="center"/>
          </w:tcPr>
          <w:p w14:paraId="6086EDF2">
            <w:pPr>
              <w:rPr>
                <w:rFonts w:ascii="宋体" w:hAnsi="宋体" w:cs="宋体"/>
                <w:color w:val="000000" w:themeColor="text1"/>
                <w:szCs w:val="21"/>
                <w14:textFill>
                  <w14:solidFill>
                    <w14:schemeClr w14:val="tx1"/>
                  </w14:solidFill>
                </w14:textFill>
              </w:rPr>
            </w:pPr>
          </w:p>
        </w:tc>
      </w:tr>
    </w:tbl>
    <w:p w14:paraId="269877C7">
      <w:pPr>
        <w:spacing w:line="360" w:lineRule="auto"/>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br w:type="page"/>
      </w:r>
    </w:p>
    <w:p w14:paraId="47D7B4EA">
      <w:pPr>
        <w:widowControl/>
        <w:kinsoku w:val="0"/>
        <w:autoSpaceDE w:val="0"/>
        <w:autoSpaceDN w:val="0"/>
        <w:adjustRightInd w:val="0"/>
        <w:snapToGrid w:val="0"/>
        <w:spacing w:before="156" w:beforeLines="50" w:after="156" w:afterLines="50" w:line="360" w:lineRule="auto"/>
        <w:jc w:val="center"/>
        <w:textAlignment w:val="baseline"/>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t>具备履行合同所必需的设备和专业技术能力的书面声明</w:t>
      </w:r>
    </w:p>
    <w:p w14:paraId="00A02DA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061FDDF">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主要设备有：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6EF87EC1">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主要专业技术能力有：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7DD6796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p>
    <w:p w14:paraId="2BBA789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929AC8D">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法定代表人签章：</w:t>
      </w:r>
    </w:p>
    <w:p w14:paraId="231013C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0DBB17D2">
      <w:pPr>
        <w:widowControl/>
        <w:kinsoku w:val="0"/>
        <w:autoSpaceDE w:val="0"/>
        <w:autoSpaceDN w:val="0"/>
        <w:adjustRightInd w:val="0"/>
        <w:snapToGrid w:val="0"/>
        <w:spacing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bCs/>
          <w:snapToGrid w:val="0"/>
          <w:color w:val="000000" w:themeColor="text1"/>
          <w:kern w:val="0"/>
          <w:sz w:val="24"/>
          <w:szCs w:val="24"/>
          <w14:textFill>
            <w14:solidFill>
              <w14:schemeClr w14:val="tx1"/>
            </w14:solidFill>
          </w14:textFill>
        </w:rPr>
        <w:t>参加本次政府采购活动前 3 年内在经营活动中没有重大违法记录的书面声明</w:t>
      </w:r>
    </w:p>
    <w:p w14:paraId="249C933D">
      <w:pPr>
        <w:widowControl/>
        <w:kinsoku w:val="0"/>
        <w:autoSpaceDE w:val="0"/>
        <w:autoSpaceDN w:val="0"/>
        <w:adjustRightInd w:val="0"/>
        <w:snapToGrid w:val="0"/>
        <w:spacing w:after="312" w:afterLines="100"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snapToGrid w:val="0"/>
          <w:color w:val="000000" w:themeColor="text1"/>
          <w:kern w:val="0"/>
          <w:sz w:val="24"/>
          <w:szCs w:val="24"/>
          <w14:textFill>
            <w14:solidFill>
              <w14:schemeClr w14:val="tx1"/>
            </w14:solidFill>
          </w14:textFill>
        </w:rPr>
        <w:t>声  明</w:t>
      </w:r>
    </w:p>
    <w:p w14:paraId="28E18B0F">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619686EB">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w:t>
      </w:r>
    </w:p>
    <w:p w14:paraId="6F3CB08F">
      <w:pPr>
        <w:widowControl/>
        <w:kinsoku w:val="0"/>
        <w:autoSpaceDE w:val="0"/>
        <w:autoSpaceDN w:val="0"/>
        <w:adjustRightInd w:val="0"/>
        <w:snapToGrid w:val="0"/>
        <w:spacing w:line="360" w:lineRule="auto"/>
        <w:ind w:firstLine="3259" w:firstLineChars="155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F06CE9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法定代表人签章：</w:t>
      </w:r>
    </w:p>
    <w:p w14:paraId="349EB17E">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57AE96E6">
      <w:pPr>
        <w:spacing w:line="360" w:lineRule="auto"/>
        <w:rPr>
          <w:rFonts w:ascii="宋体" w:hAnsi="宋体" w:cs="宋体"/>
          <w:bCs/>
          <w:color w:val="000000" w:themeColor="text1"/>
          <w14:textFill>
            <w14:solidFill>
              <w14:schemeClr w14:val="tx1"/>
            </w14:solidFill>
          </w14:textFill>
        </w:rPr>
      </w:pPr>
    </w:p>
    <w:p w14:paraId="69DAC2C3">
      <w:pPr>
        <w:spacing w:line="360" w:lineRule="auto"/>
        <w:rPr>
          <w:rFonts w:ascii="宋体" w:hAnsi="宋体" w:cs="宋体"/>
          <w:b/>
          <w:bCs/>
          <w:color w:val="000000" w:themeColor="text1"/>
          <w14:textFill>
            <w14:solidFill>
              <w14:schemeClr w14:val="tx1"/>
            </w14:solidFill>
          </w14:textFill>
        </w:rPr>
        <w:sectPr>
          <w:headerReference r:id="rId9" w:type="default"/>
          <w:footerReference r:id="rId10" w:type="default"/>
          <w:pgSz w:w="11906" w:h="16838"/>
          <w:pgMar w:top="1440" w:right="1800" w:bottom="1440" w:left="1800" w:header="851" w:footer="992" w:gutter="0"/>
          <w:cols w:space="720" w:num="1"/>
          <w:docGrid w:type="lines" w:linePitch="312" w:charSpace="0"/>
        </w:sectPr>
      </w:pPr>
    </w:p>
    <w:p w14:paraId="0C9A6B21">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供应商信用承诺书</w:t>
      </w:r>
    </w:p>
    <w:p w14:paraId="0259667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196EC1F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1D3F0449">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r>
        <w:rPr>
          <w:rFonts w:hint="eastAsia" w:ascii="宋体" w:hAnsi="宋体" w:cs="宋体"/>
          <w:color w:val="000000" w:themeColor="text1"/>
          <w:szCs w:val="21"/>
          <w:lang w:eastAsia="zh-CN"/>
          <w14:textFill>
            <w14:solidFill>
              <w14:schemeClr w14:val="tx1"/>
            </w14:solidFill>
          </w14:textFill>
        </w:rPr>
        <w:t>：</w:t>
      </w:r>
    </w:p>
    <w:p w14:paraId="4FA3D4D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532BFD1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7332EB3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78FA1DF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2DCA341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210821E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327F442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601D999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4D53277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78D5CC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41EB48A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（注：法定代表人或负责人、主体名称发生变更的应当重新做出承诺。）</w:t>
      </w:r>
    </w:p>
    <w:p w14:paraId="2AD06FB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2B461FA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p>
    <w:p w14:paraId="087367D3">
      <w:pPr>
        <w:pStyle w:val="64"/>
        <w:spacing w:line="360" w:lineRule="auto"/>
        <w:ind w:firstLine="56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3E2CA515">
      <w:pPr>
        <w:spacing w:line="360" w:lineRule="auto"/>
        <w:jc w:val="center"/>
        <w:rPr>
          <w:rFonts w:ascii="宋体" w:hAnsi="宋体" w:cs="宋体"/>
          <w:color w:val="000000" w:themeColor="text1"/>
          <w:szCs w:val="21"/>
          <w14:textFill>
            <w14:solidFill>
              <w14:schemeClr w14:val="tx1"/>
            </w14:solidFill>
          </w14:textFill>
        </w:rPr>
      </w:pPr>
    </w:p>
    <w:p w14:paraId="7DF76488">
      <w:pPr>
        <w:spacing w:line="360" w:lineRule="auto"/>
        <w:rPr>
          <w:rFonts w:ascii="宋体" w:hAnsi="宋体" w:cs="宋体"/>
          <w:b/>
          <w:bCs/>
          <w:color w:val="000000" w:themeColor="text1"/>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2F076909">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磋 商 响 应 函</w:t>
      </w:r>
    </w:p>
    <w:p w14:paraId="79617D4D">
      <w:pPr>
        <w:pStyle w:val="64"/>
        <w:spacing w:line="360" w:lineRule="auto"/>
        <w:ind w:firstLine="0" w:firstLineChars="0"/>
        <w:rPr>
          <w:rFonts w:ascii="宋体" w:hAnsi="宋体" w:cs="宋体"/>
          <w:color w:val="000000" w:themeColor="text1"/>
          <w:sz w:val="21"/>
          <w:szCs w:val="21"/>
          <w14:textFill>
            <w14:solidFill>
              <w14:schemeClr w14:val="tx1"/>
            </w14:solidFill>
          </w14:textFill>
        </w:rPr>
      </w:pPr>
    </w:p>
    <w:p w14:paraId="1ED7DCB0">
      <w:pPr>
        <w:pStyle w:val="64"/>
        <w:spacing w:line="360" w:lineRule="auto"/>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致：（代理公司）</w:t>
      </w:r>
    </w:p>
    <w:p w14:paraId="1166E147">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号</w:t>
      </w:r>
      <w:r>
        <w:rPr>
          <w:rFonts w:hint="eastAsia" w:ascii="宋体" w:hAnsi="宋体" w:cs="宋体"/>
          <w:color w:val="000000" w:themeColor="text1"/>
          <w:sz w:val="21"/>
          <w:szCs w:val="21"/>
          <w:u w:val="single"/>
          <w14:textFill>
            <w14:solidFill>
              <w14:schemeClr w14:val="tx1"/>
            </w14:solidFill>
          </w14:textFill>
        </w:rPr>
        <w:t xml:space="preserve">                （项目名称）</w:t>
      </w:r>
      <w:r>
        <w:rPr>
          <w:rFonts w:hint="eastAsia" w:ascii="宋体" w:hAnsi="宋体" w:cs="宋体"/>
          <w:color w:val="000000" w:themeColor="text1"/>
          <w:sz w:val="21"/>
          <w:szCs w:val="21"/>
          <w14:textFill>
            <w14:solidFill>
              <w14:schemeClr w14:val="tx1"/>
            </w14:solidFill>
          </w14:textFill>
        </w:rPr>
        <w:t>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(姓名和职务)代表我方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（供应商的名称），全权处理本次项目响应的有关事宜。</w:t>
      </w:r>
    </w:p>
    <w:p w14:paraId="6CA5C742">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（签字人）兹宣布同意如下：</w:t>
      </w:r>
    </w:p>
    <w:p w14:paraId="0E8C0F1F">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1.按采购文件规定的各项要求，向买方提供所需服务。</w:t>
      </w:r>
    </w:p>
    <w:p w14:paraId="56211BB5">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2.我们已详细审核全部采购文件及其有效补充文件，我们知道必须放弃提出含糊不清或误解问题的权利。</w:t>
      </w:r>
    </w:p>
    <w:p w14:paraId="73B014A3">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3.我们同意从规定的响应文件接收截止时间起遵循本响应文件，并在规定的响应有效期期满之前均具有约束力。</w:t>
      </w:r>
    </w:p>
    <w:p w14:paraId="759866D4">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4.同意向贵方提供贵方可能另外要求的与响应有关的任何证据或资料，并保证我方已提供和将要提供的文件是真实的、准确的。</w:t>
      </w:r>
    </w:p>
    <w:p w14:paraId="5A59651B">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5.一旦我方成交，我方将根据采购文件的规定，严格履行合同的责任和义务，并保证在谈判文件规定的时间完成项目，交付买方验收、使用。</w:t>
      </w:r>
    </w:p>
    <w:p w14:paraId="5FE8216E">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6.遵守采购文件中要求的收费项目和标准。</w:t>
      </w:r>
    </w:p>
    <w:p w14:paraId="005213D1">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7.与本响应采购有关的正式通讯地址为：</w:t>
      </w:r>
    </w:p>
    <w:p w14:paraId="4844653B">
      <w:pPr>
        <w:pStyle w:val="64"/>
        <w:spacing w:line="360" w:lineRule="auto"/>
        <w:ind w:firstLine="420"/>
        <w:rPr>
          <w:rFonts w:ascii="宋体" w:hAnsi="宋体" w:cs="宋体"/>
          <w:color w:val="000000" w:themeColor="text1"/>
          <w:sz w:val="21"/>
          <w:szCs w:val="21"/>
          <w14:textFill>
            <w14:solidFill>
              <w14:schemeClr w14:val="tx1"/>
            </w14:solidFill>
          </w14:textFill>
        </w:rPr>
      </w:pPr>
    </w:p>
    <w:p w14:paraId="4944FDC7">
      <w:pPr>
        <w:pStyle w:val="64"/>
        <w:spacing w:line="360" w:lineRule="auto"/>
        <w:ind w:firstLine="420"/>
        <w:rPr>
          <w:rFonts w:ascii="宋体" w:hAnsi="宋体" w:cs="宋体"/>
          <w:color w:val="000000" w:themeColor="text1"/>
          <w:sz w:val="21"/>
          <w:szCs w:val="21"/>
          <w14:textFill>
            <w14:solidFill>
              <w14:schemeClr w14:val="tx1"/>
            </w14:solidFill>
          </w14:textFill>
        </w:rPr>
      </w:pPr>
    </w:p>
    <w:p w14:paraId="6C5C9D94">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地址：                                       邮编：</w:t>
      </w:r>
    </w:p>
    <w:p w14:paraId="436CE9D7">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                                       传真：</w:t>
      </w:r>
    </w:p>
    <w:p w14:paraId="4EA5C9DE">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供应商开户行：                               账户：</w:t>
      </w:r>
    </w:p>
    <w:p w14:paraId="7F0314D7">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法定代表人姓名（签章）：                     联系电话：</w:t>
      </w:r>
    </w:p>
    <w:p w14:paraId="21F39B17">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供应商名称（公章）：</w:t>
      </w:r>
    </w:p>
    <w:p w14:paraId="71F30E2B">
      <w:pPr>
        <w:pStyle w:val="64"/>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18FE8E74">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126CFA6B">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法人授权书</w:t>
      </w:r>
    </w:p>
    <w:p w14:paraId="1CB81B11">
      <w:pPr>
        <w:pStyle w:val="64"/>
        <w:spacing w:line="360" w:lineRule="auto"/>
        <w:ind w:firstLine="562"/>
        <w:jc w:val="center"/>
        <w:rPr>
          <w:rFonts w:ascii="宋体" w:hAnsi="宋体" w:cs="宋体"/>
          <w:b/>
          <w:snapToGrid w:val="0"/>
          <w:color w:val="000000" w:themeColor="text1"/>
          <w:szCs w:val="28"/>
          <w14:textFill>
            <w14:solidFill>
              <w14:schemeClr w14:val="tx1"/>
            </w14:solidFill>
          </w14:textFill>
        </w:rPr>
      </w:pPr>
    </w:p>
    <w:p w14:paraId="70F91A2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本授权书声明：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（供应商名称）授权</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(被授权人的姓名）为我方就</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（项目编号）号</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（项目名称）项目采购活动的合法代理人，以本公司名义全权处理一切与该项目采购有关的事务。</w:t>
      </w:r>
    </w:p>
    <w:p w14:paraId="706FC52F">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日起生效，特此声明。</w:t>
      </w:r>
    </w:p>
    <w:p w14:paraId="072B96E5">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被授权人姓名：</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0300AA84">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联系电话（手机）：</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F62F9A1">
      <w:pPr>
        <w:widowControl/>
        <w:tabs>
          <w:tab w:val="left" w:pos="360"/>
        </w:tabs>
        <w:kinsoku w:val="0"/>
        <w:autoSpaceDE w:val="0"/>
        <w:autoSpaceDN w:val="0"/>
        <w:adjustRightInd w:val="0"/>
        <w:snapToGrid w:val="0"/>
        <w:spacing w:line="360" w:lineRule="auto"/>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    单位名称：</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1E55790A">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单位地址：</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D0744A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日期：</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166AEFD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p>
    <w:p w14:paraId="5CF013BC">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w:t>
      </w:r>
    </w:p>
    <w:p w14:paraId="1B7C6269">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1、需同时提供法定代表人和被授权人身份证复印件，如法定代表人签署响应文件则无需出具授权书，仅需提供法定代表人身份证复印件。</w:t>
      </w:r>
    </w:p>
    <w:p w14:paraId="29584067">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p>
    <w:p w14:paraId="63BF6D5C">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二、符合性审查响应对照表</w:t>
      </w:r>
    </w:p>
    <w:tbl>
      <w:tblPr>
        <w:tblStyle w:val="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124"/>
      </w:tblGrid>
      <w:tr w14:paraId="2978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079C7B50">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37FDC757">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1680" w:type="dxa"/>
            <w:noWrap/>
            <w:vAlign w:val="center"/>
          </w:tcPr>
          <w:p w14:paraId="5F4BD41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13CA8C5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124" w:type="dxa"/>
            <w:noWrap/>
            <w:vAlign w:val="center"/>
          </w:tcPr>
          <w:p w14:paraId="3F8AF1A5">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6F24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51D4AB82">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22716290">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采购需求中必须满足的实质性要求（即加斜体下划线内容，每条详细列出）</w:t>
            </w:r>
          </w:p>
        </w:tc>
        <w:tc>
          <w:tcPr>
            <w:tcW w:w="1680" w:type="dxa"/>
            <w:noWrap/>
            <w:vAlign w:val="center"/>
          </w:tcPr>
          <w:p w14:paraId="40D98D09">
            <w:pPr>
              <w:spacing w:line="360" w:lineRule="auto"/>
              <w:rPr>
                <w:rFonts w:ascii="宋体" w:hAnsi="宋体" w:cs="宋体"/>
                <w:b/>
                <w:color w:val="000000" w:themeColor="text1"/>
                <w:szCs w:val="21"/>
                <w14:textFill>
                  <w14:solidFill>
                    <w14:schemeClr w14:val="tx1"/>
                  </w14:solidFill>
                </w14:textFill>
              </w:rPr>
            </w:pPr>
          </w:p>
        </w:tc>
        <w:tc>
          <w:tcPr>
            <w:tcW w:w="1124" w:type="dxa"/>
            <w:noWrap/>
            <w:vAlign w:val="center"/>
          </w:tcPr>
          <w:p w14:paraId="4E6818EB">
            <w:pPr>
              <w:spacing w:line="360" w:lineRule="auto"/>
              <w:rPr>
                <w:rFonts w:ascii="宋体" w:hAnsi="宋体" w:cs="宋体"/>
                <w:b/>
                <w:color w:val="000000" w:themeColor="text1"/>
                <w:szCs w:val="21"/>
                <w14:textFill>
                  <w14:solidFill>
                    <w14:schemeClr w14:val="tx1"/>
                  </w14:solidFill>
                </w14:textFill>
              </w:rPr>
            </w:pPr>
          </w:p>
        </w:tc>
      </w:tr>
      <w:tr w14:paraId="3AE5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E07CDA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5C0C1C84">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6C40BFE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14672361">
            <w:pPr>
              <w:spacing w:line="360" w:lineRule="auto"/>
              <w:rPr>
                <w:rFonts w:ascii="宋体" w:hAnsi="宋体" w:cs="宋体"/>
                <w:color w:val="000000" w:themeColor="text1"/>
                <w:szCs w:val="21"/>
                <w14:textFill>
                  <w14:solidFill>
                    <w14:schemeClr w14:val="tx1"/>
                  </w14:solidFill>
                </w14:textFill>
              </w:rPr>
            </w:pPr>
          </w:p>
        </w:tc>
      </w:tr>
      <w:tr w14:paraId="2266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4FF48DC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58EB40AC">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474FCA70">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5B7DE2F0">
            <w:pPr>
              <w:spacing w:line="360" w:lineRule="auto"/>
              <w:rPr>
                <w:rFonts w:ascii="宋体" w:hAnsi="宋体" w:cs="宋体"/>
                <w:color w:val="000000" w:themeColor="text1"/>
                <w:szCs w:val="21"/>
                <w14:textFill>
                  <w14:solidFill>
                    <w14:schemeClr w14:val="tx1"/>
                  </w14:solidFill>
                </w14:textFill>
              </w:rPr>
            </w:pPr>
          </w:p>
        </w:tc>
      </w:tr>
      <w:tr w14:paraId="548C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1E80AC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5447" w:type="dxa"/>
            <w:noWrap/>
            <w:vAlign w:val="center"/>
          </w:tcPr>
          <w:p w14:paraId="741FB6BA">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7441297A">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7FED2872">
            <w:pPr>
              <w:spacing w:line="360" w:lineRule="auto"/>
              <w:rPr>
                <w:rFonts w:ascii="宋体" w:hAnsi="宋体" w:cs="宋体"/>
                <w:color w:val="000000" w:themeColor="text1"/>
                <w:szCs w:val="21"/>
                <w14:textFill>
                  <w14:solidFill>
                    <w14:schemeClr w14:val="tx1"/>
                  </w14:solidFill>
                </w14:textFill>
              </w:rPr>
            </w:pPr>
          </w:p>
        </w:tc>
      </w:tr>
      <w:tr w14:paraId="71BA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2DC483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5447" w:type="dxa"/>
            <w:noWrap/>
            <w:vAlign w:val="center"/>
          </w:tcPr>
          <w:p w14:paraId="1F649985">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455B82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24DA3178">
            <w:pPr>
              <w:spacing w:line="360" w:lineRule="auto"/>
              <w:rPr>
                <w:rFonts w:ascii="宋体" w:hAnsi="宋体" w:cs="宋体"/>
                <w:color w:val="000000" w:themeColor="text1"/>
                <w:szCs w:val="21"/>
                <w14:textFill>
                  <w14:solidFill>
                    <w14:schemeClr w14:val="tx1"/>
                  </w14:solidFill>
                </w14:textFill>
              </w:rPr>
            </w:pPr>
          </w:p>
        </w:tc>
      </w:tr>
    </w:tbl>
    <w:p w14:paraId="69091347">
      <w:pPr>
        <w:adjustRightInd w:val="0"/>
        <w:spacing w:line="360" w:lineRule="auto"/>
        <w:contextualSpacing/>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0CFDD142">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三、非实质性响应对照表</w:t>
      </w:r>
    </w:p>
    <w:p w14:paraId="50472D94">
      <w:pPr>
        <w:spacing w:line="360" w:lineRule="auto"/>
        <w:rPr>
          <w:rFonts w:ascii="宋体" w:hAnsi="宋体" w:cs="宋体"/>
          <w:b/>
          <w:color w:val="000000" w:themeColor="text1"/>
          <w:sz w:val="32"/>
          <w:szCs w:val="32"/>
          <w14:textFill>
            <w14:solidFill>
              <w14:schemeClr w14:val="tx1"/>
            </w14:solidFill>
          </w14:textFill>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03E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634CF2CB">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421DE89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680" w:type="dxa"/>
            <w:noWrap/>
            <w:vAlign w:val="center"/>
          </w:tcPr>
          <w:p w14:paraId="77E12BA0">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09A6224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08" w:type="dxa"/>
            <w:noWrap/>
            <w:vAlign w:val="center"/>
          </w:tcPr>
          <w:p w14:paraId="48E20C6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739F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72B771FC">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013B423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《企业声明函》</w:t>
            </w:r>
          </w:p>
        </w:tc>
        <w:tc>
          <w:tcPr>
            <w:tcW w:w="1680" w:type="dxa"/>
            <w:noWrap/>
            <w:vAlign w:val="center"/>
          </w:tcPr>
          <w:p w14:paraId="0E11D3F0">
            <w:pPr>
              <w:spacing w:line="360" w:lineRule="auto"/>
              <w:rPr>
                <w:rFonts w:ascii="宋体" w:hAnsi="宋体" w:cs="宋体"/>
                <w:b/>
                <w:color w:val="000000" w:themeColor="text1"/>
                <w:szCs w:val="21"/>
                <w14:textFill>
                  <w14:solidFill>
                    <w14:schemeClr w14:val="tx1"/>
                  </w14:solidFill>
                </w14:textFill>
              </w:rPr>
            </w:pPr>
          </w:p>
        </w:tc>
        <w:tc>
          <w:tcPr>
            <w:tcW w:w="1308" w:type="dxa"/>
            <w:noWrap/>
            <w:vAlign w:val="center"/>
          </w:tcPr>
          <w:p w14:paraId="505F850E">
            <w:pPr>
              <w:spacing w:line="360" w:lineRule="auto"/>
              <w:rPr>
                <w:rFonts w:ascii="宋体" w:hAnsi="宋体" w:cs="宋体"/>
                <w:b/>
                <w:color w:val="000000" w:themeColor="text1"/>
                <w:szCs w:val="21"/>
                <w14:textFill>
                  <w14:solidFill>
                    <w14:schemeClr w14:val="tx1"/>
                  </w14:solidFill>
                </w14:textFill>
              </w:rPr>
            </w:pPr>
          </w:p>
        </w:tc>
      </w:tr>
      <w:tr w14:paraId="19FD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2210EAE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110D0B71">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《残疾人福利性单位声明函》</w:t>
            </w:r>
          </w:p>
        </w:tc>
        <w:tc>
          <w:tcPr>
            <w:tcW w:w="1680" w:type="dxa"/>
            <w:noWrap/>
            <w:vAlign w:val="center"/>
          </w:tcPr>
          <w:p w14:paraId="3D8E083E">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53869214">
            <w:pPr>
              <w:spacing w:line="360" w:lineRule="auto"/>
              <w:rPr>
                <w:rFonts w:ascii="宋体" w:hAnsi="宋体" w:cs="宋体"/>
                <w:color w:val="000000" w:themeColor="text1"/>
                <w:szCs w:val="21"/>
                <w14:textFill>
                  <w14:solidFill>
                    <w14:schemeClr w14:val="tx1"/>
                  </w14:solidFill>
                </w14:textFill>
              </w:rPr>
            </w:pPr>
          </w:p>
        </w:tc>
      </w:tr>
      <w:tr w14:paraId="6264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ign w:val="center"/>
          </w:tcPr>
          <w:p w14:paraId="5DC3E45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0EDD2001">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874EC39">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10E2559A">
            <w:pPr>
              <w:spacing w:line="360" w:lineRule="auto"/>
              <w:rPr>
                <w:rFonts w:ascii="宋体" w:hAnsi="宋体" w:cs="宋体"/>
                <w:color w:val="000000" w:themeColor="text1"/>
                <w:szCs w:val="21"/>
                <w14:textFill>
                  <w14:solidFill>
                    <w14:schemeClr w14:val="tx1"/>
                  </w14:solidFill>
                </w14:textFill>
              </w:rPr>
            </w:pPr>
          </w:p>
        </w:tc>
      </w:tr>
    </w:tbl>
    <w:p w14:paraId="2FA15113">
      <w:pPr>
        <w:widowControl/>
        <w:spacing w:line="360" w:lineRule="auto"/>
        <w:jc w:val="left"/>
        <w:rPr>
          <w:rFonts w:ascii="宋体" w:hAnsi="宋体" w:cs="宋体"/>
          <w:b/>
          <w:bCs/>
          <w:color w:val="000000" w:themeColor="text1"/>
          <w14:textFill>
            <w14:solidFill>
              <w14:schemeClr w14:val="tx1"/>
            </w14:solidFill>
          </w14:textFill>
        </w:rPr>
      </w:pPr>
    </w:p>
    <w:p w14:paraId="0BECFE1A">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color w:val="000000" w:themeColor="text1"/>
          <w:sz w:val="28"/>
          <w:szCs w:val="28"/>
          <w14:textFill>
            <w14:solidFill>
              <w14:schemeClr w14:val="tx1"/>
            </w14:solidFill>
          </w14:textFill>
        </w:rPr>
        <w:t>中小企业声明函（工程、服务）</w:t>
      </w:r>
    </w:p>
    <w:p w14:paraId="387176A7">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的</w:t>
      </w:r>
      <w:r>
        <w:rPr>
          <w:rFonts w:hint="eastAsia" w:ascii="宋体" w:hAnsi="宋体" w:cs="宋体"/>
          <w:color w:val="000000" w:themeColor="text1"/>
          <w:u w:val="single"/>
          <w14:textFill>
            <w14:solidFill>
              <w14:schemeClr w14:val="tx1"/>
            </w14:solidFill>
          </w14:textFill>
        </w:rPr>
        <w:t>（项目名称）</w:t>
      </w:r>
      <w:r>
        <w:rPr>
          <w:rFonts w:hint="eastAsia" w:ascii="宋体" w:hAnsi="宋体" w:cs="宋体"/>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6AE1AD">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b/>
          <w:bCs/>
          <w:color w:val="000000" w:themeColor="text1"/>
          <w:u w:val="single"/>
          <w14:textFill>
            <w14:solidFill>
              <w14:schemeClr w14:val="tx1"/>
            </w14:solidFill>
          </w14:textFill>
        </w:rPr>
        <w:t>建筑业</w:t>
      </w:r>
      <w:r>
        <w:rPr>
          <w:rFonts w:hint="eastAsia" w:ascii="宋体" w:hAnsi="宋体" w:cs="宋体"/>
          <w:color w:val="000000" w:themeColor="text1"/>
          <w:u w:val="single"/>
          <w14:textFill>
            <w14:solidFill>
              <w14:schemeClr w14:val="tx1"/>
            </w14:solidFill>
          </w14:textFill>
        </w:rPr>
        <w:t>（采购文件中明确的所属行业</w:t>
      </w:r>
      <w:r>
        <w:rPr>
          <w:rFonts w:hint="eastAsia" w:ascii="宋体" w:hAnsi="宋体" w:cs="宋体"/>
          <w:color w:val="000000" w:themeColor="text1"/>
          <w:u w:val="single"/>
          <w:lang w:eastAsia="zh-CN"/>
          <w14:textFill>
            <w14:solidFill>
              <w14:schemeClr w14:val="tx1"/>
            </w14:solidFill>
          </w14:textFill>
        </w:rPr>
        <w:t>）</w:t>
      </w:r>
      <w:r>
        <w:rPr>
          <w:rFonts w:hint="eastAsia" w:ascii="宋体" w:hAnsi="宋体" w:cs="宋体"/>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26DE28FF">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color w:val="000000" w:themeColor="text1"/>
          <w:u w:val="single"/>
          <w14:textFill>
            <w14:solidFill>
              <w14:schemeClr w14:val="tx1"/>
            </w14:solidFill>
          </w14:textFill>
        </w:rPr>
        <w:t>（采购文件中明确的所属行业（该行业类别不可修改））</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1B604B6D">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21B2C511">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本企业对上述声明内容的真实性负责。如有虚假，将依法承担相应责任。</w:t>
      </w:r>
    </w:p>
    <w:p w14:paraId="281E2B49">
      <w:pP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注</w:t>
      </w:r>
      <w:r>
        <w:rPr>
          <w:rFonts w:hint="eastAsia" w:ascii="宋体" w:hAnsi="宋体" w:cs="宋体"/>
          <w:color w:val="000000" w:themeColor="text1"/>
          <w14:textFill>
            <w14:solidFill>
              <w14:schemeClr w14:val="tx1"/>
            </w14:solidFill>
          </w14:textFill>
        </w:rPr>
        <w:t>：1、从业人员、营业收入、资产总额填报上一年度数据，无上一年度数据的新成立企业可不填报。</w:t>
      </w:r>
    </w:p>
    <w:p w14:paraId="7F31E9CA">
      <w:pPr>
        <w:spacing w:line="360" w:lineRule="auto"/>
        <w:ind w:firstLine="4620" w:firstLineChars="2200"/>
        <w:jc w:val="left"/>
        <w:rPr>
          <w:rFonts w:ascii="宋体" w:hAnsi="宋体" w:cs="宋体"/>
          <w:color w:val="000000" w:themeColor="text1"/>
          <w14:textFill>
            <w14:solidFill>
              <w14:schemeClr w14:val="tx1"/>
            </w14:solidFill>
          </w14:textFill>
        </w:rPr>
      </w:pPr>
    </w:p>
    <w:p w14:paraId="5DEC3E8D">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企业名称（盖章）：</w:t>
      </w:r>
    </w:p>
    <w:p w14:paraId="267D13D2">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p>
    <w:p w14:paraId="3128776C">
      <w:pPr>
        <w:spacing w:line="360" w:lineRule="auto"/>
        <w:ind w:firstLine="4620" w:firstLineChars="2200"/>
        <w:jc w:val="left"/>
        <w:rPr>
          <w:rFonts w:ascii="宋体" w:hAnsi="宋体" w:cs="宋体"/>
          <w:color w:val="000000" w:themeColor="text1"/>
          <w14:textFill>
            <w14:solidFill>
              <w14:schemeClr w14:val="tx1"/>
            </w14:solidFill>
          </w14:textFill>
        </w:rPr>
      </w:pPr>
    </w:p>
    <w:p w14:paraId="229AF35A">
      <w:pPr>
        <w:widowControl/>
        <w:autoSpaceDE w:val="0"/>
        <w:autoSpaceDN w:val="0"/>
        <w:spacing w:before="300" w:after="300" w:line="360" w:lineRule="auto"/>
        <w:ind w:left="232"/>
        <w:jc w:val="center"/>
        <w:outlineLvl w:val="1"/>
        <w:rPr>
          <w:rFonts w:ascii="宋体" w:hAnsi="宋体" w:cs="宋体"/>
          <w:b/>
          <w:bCs/>
          <w:color w:val="000000" w:themeColor="text1"/>
          <w:kern w:val="0"/>
          <w:szCs w:val="21"/>
          <w:lang w:val="zh-CN" w:bidi="zh-CN"/>
          <w14:textFill>
            <w14:solidFill>
              <w14:schemeClr w14:val="tx1"/>
            </w14:solidFill>
          </w14:textFill>
        </w:rPr>
      </w:pPr>
      <w:r>
        <w:rPr>
          <w:rStyle w:val="28"/>
          <w:rFonts w:hint="eastAsia" w:ascii="宋体" w:hAnsi="宋体" w:cs="宋体"/>
          <w:color w:val="000000" w:themeColor="text1"/>
          <w:szCs w:val="21"/>
          <w14:textFill>
            <w14:solidFill>
              <w14:schemeClr w14:val="tx1"/>
            </w14:solidFill>
          </w14:textFill>
        </w:rPr>
        <w:br w:type="page"/>
      </w:r>
      <w:bookmarkStart w:id="34" w:name="_Toc109304977"/>
      <w:r>
        <w:rPr>
          <w:rFonts w:hint="eastAsia" w:ascii="宋体" w:hAnsi="宋体" w:cs="宋体"/>
          <w:b/>
          <w:color w:val="000000" w:themeColor="text1"/>
          <w:kern w:val="0"/>
          <w:sz w:val="32"/>
          <w:szCs w:val="32"/>
          <w:lang w:val="zh-CN" w:bidi="zh-CN"/>
          <w14:textFill>
            <w14:solidFill>
              <w14:schemeClr w14:val="tx1"/>
            </w14:solidFill>
          </w14:textFill>
        </w:rPr>
        <w:t>中小微企业划型标准</w:t>
      </w:r>
      <w:bookmarkEnd w:id="34"/>
      <w:r>
        <w:rPr>
          <w:rFonts w:hint="eastAsia" w:ascii="宋体" w:hAnsi="宋体" w:cs="宋体"/>
          <w:b/>
          <w:color w:val="000000" w:themeColor="text1"/>
          <w:kern w:val="0"/>
          <w:szCs w:val="21"/>
          <w:lang w:val="zh-CN" w:bidi="zh-CN"/>
          <w14:textFill>
            <w14:solidFill>
              <w14:schemeClr w14:val="tx1"/>
            </w14:solidFill>
          </w14:textFill>
        </w:rPr>
        <w:t> </w:t>
      </w:r>
    </w:p>
    <w:p w14:paraId="2201CE6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中小微企业划型标准如下：</w:t>
      </w:r>
    </w:p>
    <w:tbl>
      <w:tblPr>
        <w:tblStyle w:val="26"/>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8"/>
        <w:gridCol w:w="1843"/>
        <w:gridCol w:w="851"/>
        <w:gridCol w:w="2302"/>
        <w:gridCol w:w="1909"/>
        <w:gridCol w:w="1342"/>
      </w:tblGrid>
      <w:tr w14:paraId="4C8053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413"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5A03BB3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行业名称</w:t>
            </w:r>
          </w:p>
        </w:tc>
        <w:tc>
          <w:tcPr>
            <w:tcW w:w="181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980C9E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指标名称</w:t>
            </w:r>
          </w:p>
        </w:tc>
        <w:tc>
          <w:tcPr>
            <w:tcW w:w="82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5A223C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计量单位</w:t>
            </w:r>
          </w:p>
        </w:tc>
        <w:tc>
          <w:tcPr>
            <w:tcW w:w="227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60B7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D00DE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小型</w:t>
            </w:r>
          </w:p>
        </w:tc>
        <w:tc>
          <w:tcPr>
            <w:tcW w:w="1297"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464398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微型</w:t>
            </w:r>
          </w:p>
        </w:tc>
      </w:tr>
      <w:tr w14:paraId="4E1E01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83D582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农、林、牧、渔</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4AC3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2F1E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BC09F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A35A9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72ED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62E26D9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FDF38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工业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2BC34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2BB29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BE4A3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5981D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33D35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06A8D4E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BD0C15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2786D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532B8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AA1AA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EE809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15C11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03F930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72F837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建筑业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2FD5A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E037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E1278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79477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300≤Y＜6000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DE0C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2959684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3D4C13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ACFE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10AF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1F784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D1FA9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300≤Z＜5000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D608B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Z＜300</w:t>
            </w:r>
          </w:p>
        </w:tc>
      </w:tr>
      <w:tr w14:paraId="7E3638B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FC6CF9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批发业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7E947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33FA6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B4BDB5">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4E989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5≤X＜20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FD485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X＜5</w:t>
            </w:r>
          </w:p>
        </w:tc>
      </w:tr>
      <w:tr w14:paraId="12F9D23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F0B3BC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6F164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40214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77A6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33683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956D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Y＜1000</w:t>
            </w:r>
          </w:p>
        </w:tc>
      </w:tr>
      <w:tr w14:paraId="605F19E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E0093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零售业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EBD1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F7C6C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88CAB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BBFC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10≤X＜50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B89C5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7F4D9D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40FC6F3">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736C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0D42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400B2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9A0EC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AAF7B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4EAC47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307CB5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交通运输业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AB9C2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4E466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8BD9A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6FFA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1B1F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5A05E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B567EAE">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8741C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8AC22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083A3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D2F38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200≤Y＜3000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81480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w:t>
            </w:r>
          </w:p>
        </w:tc>
      </w:tr>
      <w:tr w14:paraId="335A653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1EFFF6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仓储业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F3BC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7BC9B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959CD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F6CCC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52FE3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A7AAB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EF4AA9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6F96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62C8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1A561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D659B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8DEC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1D2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43A4C2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邮政业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B33D2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61DA9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09F2C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14B6B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DFAB3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223C330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588CA4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783C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08E5D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FBF97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00FDD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B3F34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F17A15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099197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住宿业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8F3C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05BD0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D3F92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6AD1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A7EE4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67E5A0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F2789EB">
            <w:pPr>
              <w:widowControl/>
              <w:autoSpaceDE w:val="0"/>
              <w:autoSpaceDN w:val="0"/>
              <w:spacing w:line="360" w:lineRule="auto"/>
              <w:jc w:val="left"/>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272D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B5E4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5253C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0636D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174AF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9174D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3D6C7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餐饮业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C04F9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9768F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CCC0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045C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893B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401B7D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5A9F45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78B62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55E04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28A8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1CB77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D670D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DC0B5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5B538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信息传输业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CFDAF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4B671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E57F80">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998DD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96EB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2AC5038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4E76FB9">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0C700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04F3C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74AC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022CC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E3A3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99632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EB157F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软件和信息技术服务业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C52E1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8D080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DC057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1B2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B48EE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A1C01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6362DDA">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EE52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F9BB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3B4AA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768D3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91BDB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75B0A8F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A3051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房地产开发经营</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8A3FD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36134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A32A4A">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1000≤Y＜200000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67B78F">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1B0B7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795CFE0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E5B64E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FB95F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9FCB5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7B019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B10A3D">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FD13E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Y＜2000</w:t>
            </w:r>
          </w:p>
        </w:tc>
      </w:tr>
      <w:tr w14:paraId="2B3528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73AFE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物业管理</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944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87FBF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F9AB1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76FBE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AE96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0BAE6D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05A6C1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188E2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5C000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380CD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DDAD4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82393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Y＜500</w:t>
            </w:r>
          </w:p>
        </w:tc>
      </w:tr>
      <w:tr w14:paraId="1D7F529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1F112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租赁和商务服务业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3B22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C7E8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97649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6FD1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9B45F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5C0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E78160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9197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666FF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4D5E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8000≤Z＜120000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86C21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100≤Z＜8000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469B8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6C1D8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776EA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其他未列明行业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3340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584B4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1AF1B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EF24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344FA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bl>
    <w:p w14:paraId="18F25172">
      <w:pPr>
        <w:widowControl/>
        <w:autoSpaceDE w:val="0"/>
        <w:autoSpaceDN w:val="0"/>
        <w:spacing w:before="100" w:beforeAutospacing="1" w:after="100" w:afterAutospacing="1" w:line="360" w:lineRule="auto"/>
        <w:ind w:firstLine="420"/>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0277D7BE">
      <w:pPr>
        <w:spacing w:line="360" w:lineRule="auto"/>
        <w:rPr>
          <w:rStyle w:val="28"/>
          <w:rFonts w:ascii="宋体" w:hAnsi="宋体" w:cs="宋体"/>
          <w:color w:val="000000" w:themeColor="text1"/>
          <w:szCs w:val="21"/>
          <w14:textFill>
            <w14:solidFill>
              <w14:schemeClr w14:val="tx1"/>
            </w14:solidFill>
          </w14:textFill>
        </w:rPr>
      </w:pPr>
    </w:p>
    <w:p w14:paraId="0AF4296E">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p>
    <w:p w14:paraId="36A39BB4">
      <w:pPr>
        <w:pStyle w:val="24"/>
        <w:widowControl/>
        <w:spacing w:before="300" w:after="452" w:line="360" w:lineRule="auto"/>
        <w:jc w:val="center"/>
        <w:rPr>
          <w:rFonts w:ascii="宋体" w:hAnsi="宋体" w:cs="宋体"/>
          <w:b/>
          <w:bCs/>
          <w:color w:val="000000" w:themeColor="text1"/>
          <w:sz w:val="30"/>
          <w:szCs w:val="30"/>
          <w14:textFill>
            <w14:solidFill>
              <w14:schemeClr w14:val="tx1"/>
            </w14:solidFill>
          </w14:textFill>
        </w:rPr>
      </w:pPr>
      <w:bookmarkStart w:id="35" w:name="_Toc109304978"/>
      <w:r>
        <w:rPr>
          <w:rFonts w:hint="eastAsia" w:ascii="宋体" w:hAnsi="宋体" w:cs="宋体"/>
          <w:b/>
          <w:bCs/>
          <w:color w:val="000000" w:themeColor="text1"/>
          <w:sz w:val="30"/>
          <w:szCs w:val="30"/>
          <w14:textFill>
            <w14:solidFill>
              <w14:schemeClr w14:val="tx1"/>
            </w14:solidFill>
          </w14:textFill>
        </w:rPr>
        <w:t>残疾人福利性单位声明函</w:t>
      </w:r>
    </w:p>
    <w:p w14:paraId="740FFCBE">
      <w:pPr>
        <w:pStyle w:val="24"/>
        <w:widowControl/>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7617A4A4">
      <w:pPr>
        <w:pStyle w:val="24"/>
        <w:widowControl/>
        <w:spacing w:line="360" w:lineRule="auto"/>
        <w:ind w:left="420" w:left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本单位在本次政府采购活动中提供的残疾人福利单位产品报价合计为人民币</w:t>
      </w:r>
      <w:r>
        <w:rPr>
          <w:rFonts w:hint="eastAsia" w:ascii="宋体" w:hAnsi="宋体" w:cs="宋体"/>
          <w:color w:val="000000" w:themeColor="text1"/>
          <w:sz w:val="21"/>
          <w:szCs w:val="21"/>
          <w:u w:val="single"/>
          <w14:textFill>
            <w14:solidFill>
              <w14:schemeClr w14:val="tx1"/>
            </w14:solidFill>
          </w14:textFill>
        </w:rPr>
        <w:t>（大写）</w:t>
      </w:r>
      <w:r>
        <w:rPr>
          <w:rFonts w:hint="eastAsia" w:ascii="宋体" w:hAnsi="宋体" w:cs="宋体"/>
          <w:color w:val="000000" w:themeColor="text1"/>
          <w:sz w:val="21"/>
          <w:szCs w:val="21"/>
          <w14:textFill>
            <w14:solidFill>
              <w14:schemeClr w14:val="tx1"/>
            </w14:solidFill>
          </w14:textFill>
        </w:rPr>
        <w:t xml:space="preserve"> 圆整（￥：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315DFF10">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55C7AA65">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24C3EDC4">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（备注：1、供应商如不提供此声明函，价格将不做相应扣除。2、成交供应商为残疾人福利单位的，此声明函将随成交结果同时公告，接受社会监督）</w:t>
      </w:r>
    </w:p>
    <w:p w14:paraId="68D58D75">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E5D1D9C">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7DDDADF">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4BC8F5E2">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p>
    <w:p w14:paraId="21D4221E">
      <w:pPr>
        <w:spacing w:line="360" w:lineRule="auto"/>
        <w:rPr>
          <w:rFonts w:ascii="宋体" w:hAnsi="宋体" w:cs="宋体"/>
          <w:b/>
          <w:bCs/>
          <w:color w:val="000000" w:themeColor="text1"/>
          <w:sz w:val="32"/>
          <w:szCs w:val="32"/>
          <w14:textFill>
            <w14:solidFill>
              <w14:schemeClr w14:val="tx1"/>
            </w14:solidFill>
          </w14:textFill>
        </w:rPr>
      </w:pPr>
    </w:p>
    <w:p w14:paraId="2A70CAAF">
      <w:pPr>
        <w:pStyle w:val="6"/>
        <w:spacing w:line="360" w:lineRule="auto"/>
        <w:rPr>
          <w:rFonts w:ascii="宋体" w:hAnsi="宋体" w:cs="宋体"/>
          <w:color w:val="000000" w:themeColor="text1"/>
          <w14:textFill>
            <w14:solidFill>
              <w14:schemeClr w14:val="tx1"/>
            </w14:solidFill>
          </w14:textFill>
        </w:rPr>
      </w:pPr>
    </w:p>
    <w:p w14:paraId="0CDDCE12">
      <w:pPr>
        <w:spacing w:line="360" w:lineRule="auto"/>
        <w:rPr>
          <w:rFonts w:ascii="宋体" w:hAnsi="宋体" w:cs="宋体"/>
          <w:color w:val="000000" w:themeColor="text1"/>
          <w14:textFill>
            <w14:solidFill>
              <w14:schemeClr w14:val="tx1"/>
            </w14:solidFill>
          </w14:textFill>
        </w:rPr>
      </w:pPr>
    </w:p>
    <w:p w14:paraId="6EFB828F">
      <w:pPr>
        <w:spacing w:line="360" w:lineRule="auto"/>
        <w:rPr>
          <w:rFonts w:ascii="宋体" w:hAnsi="宋体" w:cs="宋体"/>
          <w:b/>
          <w:bCs/>
          <w:color w:val="000000" w:themeColor="text1"/>
          <w:kern w:val="0"/>
          <w:sz w:val="32"/>
          <w:szCs w:val="32"/>
          <w14:textFill>
            <w14:solidFill>
              <w14:schemeClr w14:val="tx1"/>
            </w14:solidFill>
          </w14:textFill>
        </w:rPr>
      </w:pPr>
    </w:p>
    <w:p w14:paraId="581B664B">
      <w:pPr>
        <w:pStyle w:val="6"/>
        <w:spacing w:line="360" w:lineRule="auto"/>
        <w:rPr>
          <w:rFonts w:ascii="宋体" w:hAnsi="宋体" w:cs="宋体"/>
          <w:color w:val="000000" w:themeColor="text1"/>
          <w14:textFill>
            <w14:solidFill>
              <w14:schemeClr w14:val="tx1"/>
            </w14:solidFill>
          </w14:textFill>
        </w:rPr>
      </w:pPr>
    </w:p>
    <w:p w14:paraId="60F5FADC">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14BE0028">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四、磋商响应报价表</w:t>
      </w:r>
    </w:p>
    <w:p w14:paraId="4AFAC520">
      <w:pPr>
        <w:spacing w:line="360" w:lineRule="auto"/>
        <w:rPr>
          <w:rFonts w:ascii="宋体" w:hAnsi="宋体" w:cs="宋体"/>
          <w:color w:val="000000" w:themeColor="text1"/>
          <w14:textFill>
            <w14:solidFill>
              <w14:schemeClr w14:val="tx1"/>
            </w14:solidFill>
          </w14:textFill>
        </w:rPr>
      </w:pPr>
    </w:p>
    <w:p w14:paraId="054B468D">
      <w:pPr>
        <w:pStyle w:val="16"/>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p>
    <w:p w14:paraId="2B4F461C">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w:t>
      </w:r>
    </w:p>
    <w:p w14:paraId="14EB346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本次为首次报价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429D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1540CD6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8222" w:type="dxa"/>
            <w:tcBorders>
              <w:top w:val="single" w:color="auto" w:sz="4" w:space="0"/>
              <w:left w:val="single" w:color="auto" w:sz="4" w:space="0"/>
              <w:bottom w:val="single" w:color="auto" w:sz="4" w:space="0"/>
              <w:right w:val="single" w:color="auto" w:sz="4" w:space="0"/>
            </w:tcBorders>
            <w:noWrap/>
            <w:vAlign w:val="center"/>
          </w:tcPr>
          <w:p w14:paraId="288474F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第一轮报价</w:t>
            </w:r>
          </w:p>
        </w:tc>
      </w:tr>
      <w:tr w14:paraId="6419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334104C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8222" w:type="dxa"/>
            <w:tcBorders>
              <w:top w:val="single" w:color="auto" w:sz="4" w:space="0"/>
              <w:left w:val="single" w:color="auto" w:sz="4" w:space="0"/>
              <w:bottom w:val="single" w:color="auto" w:sz="4" w:space="0"/>
              <w:right w:val="single" w:color="auto" w:sz="4" w:space="0"/>
            </w:tcBorders>
            <w:noWrap/>
            <w:vAlign w:val="center"/>
          </w:tcPr>
          <w:p w14:paraId="1EFCAEA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大写：</w:t>
            </w:r>
          </w:p>
          <w:p w14:paraId="4AF909C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小写：            (人民币)元</w:t>
            </w:r>
          </w:p>
        </w:tc>
      </w:tr>
      <w:tr w14:paraId="776D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44A6A2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8222" w:type="dxa"/>
            <w:tcBorders>
              <w:top w:val="single" w:color="auto" w:sz="4" w:space="0"/>
              <w:left w:val="single" w:color="auto" w:sz="4" w:space="0"/>
              <w:bottom w:val="single" w:color="auto" w:sz="4" w:space="0"/>
              <w:right w:val="single" w:color="auto" w:sz="4" w:space="0"/>
            </w:tcBorders>
            <w:noWrap/>
            <w:vAlign w:val="center"/>
          </w:tcPr>
          <w:p w14:paraId="60D267A9">
            <w:pPr>
              <w:spacing w:line="360" w:lineRule="auto"/>
              <w:jc w:val="center"/>
              <w:rPr>
                <w:rFonts w:ascii="宋体" w:hAnsi="宋体" w:cs="宋体"/>
                <w:color w:val="000000" w:themeColor="text1"/>
                <w:szCs w:val="21"/>
                <w14:textFill>
                  <w14:solidFill>
                    <w14:schemeClr w14:val="tx1"/>
                  </w14:solidFill>
                </w14:textFill>
              </w:rPr>
            </w:pPr>
          </w:p>
        </w:tc>
      </w:tr>
    </w:tbl>
    <w:p w14:paraId="4FFD29C3">
      <w:pPr>
        <w:spacing w:line="360" w:lineRule="auto"/>
        <w:rPr>
          <w:rFonts w:ascii="宋体" w:hAnsi="宋体" w:cs="宋体"/>
          <w:color w:val="000000" w:themeColor="text1"/>
          <w14:textFill>
            <w14:solidFill>
              <w14:schemeClr w14:val="tx1"/>
            </w14:solidFill>
          </w14:textFill>
        </w:rPr>
      </w:pPr>
    </w:p>
    <w:p w14:paraId="75AEBCF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1F698EF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p>
    <w:p w14:paraId="68981BB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分项报价表</w:t>
      </w:r>
    </w:p>
    <w:p w14:paraId="416C1CE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本次为首轮报价</w:t>
      </w:r>
    </w:p>
    <w:p w14:paraId="0F4108D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6E8C4443">
      <w:pPr>
        <w:pStyle w:val="16"/>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项目名称：</w:t>
      </w:r>
      <w:r>
        <w:rPr>
          <w:rFonts w:hint="eastAsia" w:ascii="宋体" w:hAnsi="宋体" w:cs="宋体"/>
          <w:color w:val="000000" w:themeColor="text1"/>
          <w:kern w:val="2"/>
          <w:sz w:val="21"/>
          <w:szCs w:val="22"/>
          <w:u w:val="single"/>
          <w14:textFill>
            <w14:solidFill>
              <w14:schemeClr w14:val="tx1"/>
            </w14:solidFill>
          </w14:textFill>
        </w:rPr>
        <w:t xml:space="preserve">                               </w:t>
      </w:r>
    </w:p>
    <w:p w14:paraId="66449D34">
      <w:pPr>
        <w:pStyle w:val="16"/>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项目编号：</w:t>
      </w:r>
      <w:r>
        <w:rPr>
          <w:rFonts w:hint="eastAsia" w:ascii="宋体" w:hAnsi="宋体" w:cs="宋体"/>
          <w:color w:val="000000" w:themeColor="text1"/>
          <w:kern w:val="2"/>
          <w:sz w:val="21"/>
          <w:szCs w:val="22"/>
          <w:u w:val="single"/>
          <w14:textFill>
            <w14:solidFill>
              <w14:schemeClr w14:val="tx1"/>
            </w14:solidFill>
          </w14:textFill>
        </w:rPr>
        <w:t xml:space="preserve">                               </w:t>
      </w:r>
    </w:p>
    <w:p w14:paraId="7BBAB6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投标报价(小写)：</w:t>
      </w:r>
      <w:r>
        <w:rPr>
          <w:rFonts w:hint="eastAsia" w:ascii="宋体" w:hAnsi="宋体" w:cs="宋体"/>
          <w:color w:val="000000" w:themeColor="text1"/>
          <w:u w:val="single"/>
          <w14:textFill>
            <w14:solidFill>
              <w14:schemeClr w14:val="tx1"/>
            </w14:solidFill>
          </w14:textFill>
        </w:rPr>
        <w:t xml:space="preserve">                         </w:t>
      </w:r>
    </w:p>
    <w:p w14:paraId="1AD5B670">
      <w:pPr>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投标报价(大写)：</w:t>
      </w:r>
      <w:r>
        <w:rPr>
          <w:rFonts w:hint="eastAsia" w:ascii="宋体" w:hAnsi="宋体" w:cs="宋体"/>
          <w:color w:val="000000" w:themeColor="text1"/>
          <w:u w:val="single"/>
          <w14:textFill>
            <w14:solidFill>
              <w14:schemeClr w14:val="tx1"/>
            </w14:solidFill>
          </w14:textFill>
        </w:rPr>
        <w:t xml:space="preserve">                         </w:t>
      </w:r>
    </w:p>
    <w:p w14:paraId="2681B0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法定代表人或授权代表签字：                </w:t>
      </w:r>
    </w:p>
    <w:p w14:paraId="666DC06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盖 章（公章）：</w:t>
      </w:r>
    </w:p>
    <w:p w14:paraId="27736EF4">
      <w:pPr>
        <w:pStyle w:val="16"/>
        <w:spacing w:line="360" w:lineRule="auto"/>
        <w:ind w:firstLine="420" w:firstLineChars="200"/>
        <w:rPr>
          <w:rFonts w:ascii="宋体" w:hAnsi="宋体" w:cs="宋体"/>
          <w:color w:val="000000" w:themeColor="text1"/>
          <w:kern w:val="2"/>
          <w:sz w:val="21"/>
          <w:szCs w:val="22"/>
          <w14:textFill>
            <w14:solidFill>
              <w14:schemeClr w14:val="tx1"/>
            </w14:solidFill>
          </w14:textFill>
        </w:rPr>
      </w:pPr>
    </w:p>
    <w:p w14:paraId="1895E1B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3A5B76B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1、行数不够，可自行添加。</w:t>
      </w:r>
    </w:p>
    <w:p w14:paraId="0C53C49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在报价时应按《建设工程工程量清单计价规范》和采购文件规定的格式。分项报价表按照附件提供的工程量清单的格式进行填报，分别填报单价和合价，要求填报完整，漏报项视为价格已分摊到其他清单项中。</w:t>
      </w:r>
    </w:p>
    <w:p w14:paraId="4D7A8FE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7DD6AF41">
      <w:pPr>
        <w:spacing w:line="360" w:lineRule="auto"/>
        <w:rPr>
          <w:rFonts w:ascii="宋体" w:hAnsi="宋体" w:cs="宋体"/>
          <w:color w:val="000000" w:themeColor="text1"/>
          <w:szCs w:val="21"/>
          <w14:textFill>
            <w14:solidFill>
              <w14:schemeClr w14:val="tx1"/>
            </w14:solidFill>
          </w14:textFill>
        </w:rPr>
      </w:pPr>
    </w:p>
    <w:p w14:paraId="1C9A5EBB">
      <w:pPr>
        <w:spacing w:line="360" w:lineRule="auto"/>
        <w:rPr>
          <w:rFonts w:ascii="宋体" w:hAnsi="宋体" w:cs="宋体"/>
          <w:color w:val="000000" w:themeColor="text1"/>
          <w:szCs w:val="21"/>
          <w14:textFill>
            <w14:solidFill>
              <w14:schemeClr w14:val="tx1"/>
            </w14:solidFill>
          </w14:textFill>
        </w:rPr>
      </w:pPr>
    </w:p>
    <w:p w14:paraId="058827FB">
      <w:pPr>
        <w:spacing w:line="360" w:lineRule="auto"/>
        <w:rPr>
          <w:rFonts w:ascii="宋体" w:hAnsi="宋体" w:cs="宋体"/>
          <w:color w:val="000000" w:themeColor="text1"/>
          <w:szCs w:val="21"/>
          <w14:textFill>
            <w14:solidFill>
              <w14:schemeClr w14:val="tx1"/>
            </w14:solidFill>
          </w14:textFill>
        </w:rPr>
      </w:pPr>
    </w:p>
    <w:p w14:paraId="6050483D">
      <w:pPr>
        <w:pStyle w:val="6"/>
        <w:spacing w:line="360" w:lineRule="auto"/>
        <w:rPr>
          <w:rFonts w:ascii="宋体" w:hAnsi="宋体" w:cs="宋体"/>
          <w:b w:val="0"/>
          <w:bCs w:val="0"/>
          <w:color w:val="000000" w:themeColor="text1"/>
          <w:kern w:val="2"/>
          <w:sz w:val="21"/>
          <w:szCs w:val="21"/>
          <w14:textFill>
            <w14:solidFill>
              <w14:schemeClr w14:val="tx1"/>
            </w14:solidFill>
          </w14:textFill>
        </w:rPr>
      </w:pPr>
    </w:p>
    <w:p w14:paraId="60344709">
      <w:pPr>
        <w:pStyle w:val="4"/>
        <w:spacing w:line="360" w:lineRule="auto"/>
        <w:jc w:val="center"/>
        <w:rPr>
          <w:rFonts w:ascii="宋体" w:hAnsi="宋体" w:cs="宋体"/>
          <w:bCs w:val="0"/>
          <w:color w:val="000000" w:themeColor="text1"/>
          <w14:textFill>
            <w14:solidFill>
              <w14:schemeClr w14:val="tx1"/>
            </w14:solidFill>
          </w14:textFill>
        </w:rPr>
      </w:pPr>
    </w:p>
    <w:p w14:paraId="57C27102">
      <w:pPr>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五、技术参数响应及偏离表</w:t>
      </w:r>
      <w:bookmarkEnd w:id="35"/>
    </w:p>
    <w:p w14:paraId="7815D875">
      <w:pPr>
        <w:spacing w:line="360" w:lineRule="auto"/>
        <w:jc w:val="left"/>
        <w:rPr>
          <w:rFonts w:ascii="宋体" w:hAnsi="宋体" w:cs="宋体"/>
          <w:bCs/>
          <w:color w:val="000000" w:themeColor="text1"/>
          <w14:textFill>
            <w14:solidFill>
              <w14:schemeClr w14:val="tx1"/>
            </w14:solidFill>
          </w14:textFill>
        </w:rPr>
      </w:pPr>
    </w:p>
    <w:p w14:paraId="484EE75D">
      <w:pPr>
        <w:spacing w:line="360" w:lineRule="auto"/>
        <w:jc w:val="left"/>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供应商全称（加盖公章）：</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1114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ign w:val="center"/>
          </w:tcPr>
          <w:p w14:paraId="515A144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852" w:type="dxa"/>
            <w:noWrap/>
            <w:vAlign w:val="center"/>
          </w:tcPr>
          <w:p w14:paraId="01E763D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852" w:type="dxa"/>
            <w:noWrap/>
            <w:vAlign w:val="center"/>
          </w:tcPr>
          <w:p w14:paraId="12521A1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w:t>
            </w:r>
          </w:p>
        </w:tc>
        <w:tc>
          <w:tcPr>
            <w:tcW w:w="1308" w:type="dxa"/>
            <w:noWrap/>
            <w:vAlign w:val="center"/>
          </w:tcPr>
          <w:p w14:paraId="15ED91B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73" w:type="dxa"/>
            <w:noWrap/>
            <w:vAlign w:val="center"/>
          </w:tcPr>
          <w:p w14:paraId="347CF3A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599D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CE7BA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0AAC8D6">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5A868C6">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3B1C338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28883234">
            <w:pPr>
              <w:spacing w:line="360" w:lineRule="auto"/>
              <w:jc w:val="center"/>
              <w:rPr>
                <w:rFonts w:ascii="宋体" w:hAnsi="宋体" w:cs="宋体"/>
                <w:color w:val="000000" w:themeColor="text1"/>
                <w:szCs w:val="21"/>
                <w14:textFill>
                  <w14:solidFill>
                    <w14:schemeClr w14:val="tx1"/>
                  </w14:solidFill>
                </w14:textFill>
              </w:rPr>
            </w:pPr>
          </w:p>
        </w:tc>
      </w:tr>
      <w:tr w14:paraId="7931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223A7D7">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C28AC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1BFCAB1">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6BC6586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958B714">
            <w:pPr>
              <w:spacing w:line="360" w:lineRule="auto"/>
              <w:jc w:val="center"/>
              <w:rPr>
                <w:rFonts w:ascii="宋体" w:hAnsi="宋体" w:cs="宋体"/>
                <w:color w:val="000000" w:themeColor="text1"/>
                <w:szCs w:val="21"/>
                <w14:textFill>
                  <w14:solidFill>
                    <w14:schemeClr w14:val="tx1"/>
                  </w14:solidFill>
                </w14:textFill>
              </w:rPr>
            </w:pPr>
          </w:p>
        </w:tc>
      </w:tr>
      <w:tr w14:paraId="2044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ACA01BF">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AD5648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8CA1303">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3B18B12">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010EDB3">
            <w:pPr>
              <w:spacing w:line="360" w:lineRule="auto"/>
              <w:jc w:val="center"/>
              <w:rPr>
                <w:rFonts w:ascii="宋体" w:hAnsi="宋体" w:cs="宋体"/>
                <w:color w:val="000000" w:themeColor="text1"/>
                <w:szCs w:val="21"/>
                <w14:textFill>
                  <w14:solidFill>
                    <w14:schemeClr w14:val="tx1"/>
                  </w14:solidFill>
                </w14:textFill>
              </w:rPr>
            </w:pPr>
          </w:p>
        </w:tc>
      </w:tr>
      <w:tr w14:paraId="6110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8F666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58B57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BAC883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1B8F38B">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2BE17B7">
            <w:pPr>
              <w:spacing w:line="360" w:lineRule="auto"/>
              <w:jc w:val="center"/>
              <w:rPr>
                <w:rFonts w:ascii="宋体" w:hAnsi="宋体" w:cs="宋体"/>
                <w:color w:val="000000" w:themeColor="text1"/>
                <w:szCs w:val="21"/>
                <w14:textFill>
                  <w14:solidFill>
                    <w14:schemeClr w14:val="tx1"/>
                  </w14:solidFill>
                </w14:textFill>
              </w:rPr>
            </w:pPr>
          </w:p>
        </w:tc>
      </w:tr>
      <w:tr w14:paraId="1A97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3F50602A">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CD239E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E5DE52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4F11470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54E5E013">
            <w:pPr>
              <w:spacing w:line="360" w:lineRule="auto"/>
              <w:jc w:val="center"/>
              <w:rPr>
                <w:rFonts w:ascii="宋体" w:hAnsi="宋体" w:cs="宋体"/>
                <w:color w:val="000000" w:themeColor="text1"/>
                <w:szCs w:val="21"/>
                <w14:textFill>
                  <w14:solidFill>
                    <w14:schemeClr w14:val="tx1"/>
                  </w14:solidFill>
                </w14:textFill>
              </w:rPr>
            </w:pPr>
          </w:p>
        </w:tc>
      </w:tr>
      <w:tr w14:paraId="0FED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4CD2D5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D7FE06D">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9D7ADAD">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5951E7A4">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72931E8">
            <w:pPr>
              <w:spacing w:line="360" w:lineRule="auto"/>
              <w:jc w:val="center"/>
              <w:rPr>
                <w:rFonts w:ascii="宋体" w:hAnsi="宋体" w:cs="宋体"/>
                <w:color w:val="000000" w:themeColor="text1"/>
                <w:szCs w:val="21"/>
                <w14:textFill>
                  <w14:solidFill>
                    <w14:schemeClr w14:val="tx1"/>
                  </w14:solidFill>
                </w14:textFill>
              </w:rPr>
            </w:pPr>
          </w:p>
        </w:tc>
      </w:tr>
      <w:tr w14:paraId="1B1D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9AB3C68">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87C12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45868D0">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2CFC3F6">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ECB443D">
            <w:pPr>
              <w:spacing w:line="360" w:lineRule="auto"/>
              <w:jc w:val="center"/>
              <w:rPr>
                <w:rFonts w:ascii="宋体" w:hAnsi="宋体" w:cs="宋体"/>
                <w:color w:val="000000" w:themeColor="text1"/>
                <w:szCs w:val="21"/>
                <w14:textFill>
                  <w14:solidFill>
                    <w14:schemeClr w14:val="tx1"/>
                  </w14:solidFill>
                </w14:textFill>
              </w:rPr>
            </w:pPr>
          </w:p>
        </w:tc>
      </w:tr>
      <w:tr w14:paraId="7E42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59766A1">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17C24F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ED87367">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3C5003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78EBAA87">
            <w:pPr>
              <w:spacing w:line="360" w:lineRule="auto"/>
              <w:jc w:val="center"/>
              <w:rPr>
                <w:rFonts w:ascii="宋体" w:hAnsi="宋体" w:cs="宋体"/>
                <w:color w:val="000000" w:themeColor="text1"/>
                <w:szCs w:val="21"/>
                <w14:textFill>
                  <w14:solidFill>
                    <w14:schemeClr w14:val="tx1"/>
                  </w14:solidFill>
                </w14:textFill>
              </w:rPr>
            </w:pPr>
          </w:p>
        </w:tc>
      </w:tr>
    </w:tbl>
    <w:p w14:paraId="324048B6">
      <w:pPr>
        <w:spacing w:line="360" w:lineRule="auto"/>
        <w:rPr>
          <w:rFonts w:ascii="宋体" w:hAnsi="宋体" w:cs="宋体"/>
          <w:color w:val="000000" w:themeColor="text1"/>
          <w:sz w:val="24"/>
          <w:szCs w:val="24"/>
          <w14:textFill>
            <w14:solidFill>
              <w14:schemeClr w14:val="tx1"/>
            </w14:solidFill>
          </w14:textFill>
        </w:rPr>
      </w:pPr>
    </w:p>
    <w:p w14:paraId="32166C21">
      <w:pPr>
        <w:spacing w:line="360" w:lineRule="auto"/>
        <w:jc w:val="left"/>
        <w:rPr>
          <w:rFonts w:ascii="宋体" w:hAnsi="宋体" w:cs="宋体"/>
          <w:bCs/>
          <w:color w:val="000000" w:themeColor="text1"/>
          <w14:textFill>
            <w14:solidFill>
              <w14:schemeClr w14:val="tx1"/>
            </w14:solidFill>
          </w14:textFill>
        </w:rPr>
      </w:pPr>
      <w:bookmarkStart w:id="36" w:name="_Hlt26955054"/>
      <w:bookmarkEnd w:id="36"/>
      <w:bookmarkStart w:id="37" w:name="_Toc109304979"/>
      <w:r>
        <w:rPr>
          <w:rFonts w:hint="eastAsia" w:ascii="宋体" w:hAnsi="宋体" w:cs="宋体"/>
          <w:bCs/>
          <w:color w:val="000000" w:themeColor="text1"/>
          <w14:textFill>
            <w14:solidFill>
              <w14:schemeClr w14:val="tx1"/>
            </w14:solidFill>
          </w14:textFill>
        </w:rPr>
        <w:t>法定代表人或授权代表人签字</w:t>
      </w:r>
      <w:r>
        <w:rPr>
          <w:rFonts w:hint="eastAsia" w:ascii="宋体" w:hAnsi="宋体" w:cs="宋体"/>
          <w:bCs/>
          <w:color w:val="000000" w:themeColor="text1"/>
          <w:lang w:val="en-US" w:eastAsia="zh-CN"/>
          <w14:textFill>
            <w14:solidFill>
              <w14:schemeClr w14:val="tx1"/>
            </w14:solidFill>
          </w14:textFill>
        </w:rPr>
        <w:t>或盖章</w:t>
      </w:r>
      <w:r>
        <w:rPr>
          <w:rFonts w:hint="eastAsia" w:ascii="宋体" w:hAnsi="宋体" w:cs="宋体"/>
          <w:bCs/>
          <w:color w:val="000000" w:themeColor="text1"/>
          <w14:textFill>
            <w14:solidFill>
              <w14:schemeClr w14:val="tx1"/>
            </w14:solidFill>
          </w14:textFill>
        </w:rPr>
        <w:t>：</w:t>
      </w:r>
    </w:p>
    <w:p w14:paraId="72B2B2EE">
      <w:pPr>
        <w:spacing w:line="360" w:lineRule="auto"/>
        <w:jc w:val="left"/>
        <w:rPr>
          <w:rFonts w:ascii="宋体" w:hAnsi="宋体" w:cs="宋体"/>
          <w:bCs/>
          <w:color w:val="000000" w:themeColor="text1"/>
          <w14:textFill>
            <w14:solidFill>
              <w14:schemeClr w14:val="tx1"/>
            </w14:solidFill>
          </w14:textFill>
        </w:rPr>
      </w:pPr>
    </w:p>
    <w:p w14:paraId="6A69231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注：1、按照基本技术要求详细填列。</w:t>
      </w:r>
    </w:p>
    <w:p w14:paraId="7C9F680C">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2、行数不够，可自行添加。</w:t>
      </w:r>
    </w:p>
    <w:p w14:paraId="376F46F0">
      <w:pPr>
        <w:pStyle w:val="4"/>
        <w:spacing w:line="360" w:lineRule="auto"/>
        <w:jc w:val="center"/>
        <w:rPr>
          <w:rFonts w:ascii="宋体" w:hAnsi="宋体" w:cs="宋体"/>
          <w:bCs w:val="0"/>
          <w:color w:val="000000" w:themeColor="text1"/>
          <w14:textFill>
            <w14:solidFill>
              <w14:schemeClr w14:val="tx1"/>
            </w14:solidFill>
          </w14:textFill>
        </w:rPr>
      </w:pPr>
      <w:r>
        <w:rPr>
          <w:rFonts w:hint="eastAsia" w:ascii="宋体" w:hAnsi="宋体" w:cs="宋体"/>
          <w:bCs w:val="0"/>
          <w:color w:val="000000" w:themeColor="text1"/>
          <w14:textFill>
            <w14:solidFill>
              <w14:schemeClr w14:val="tx1"/>
            </w14:solidFill>
          </w14:textFill>
        </w:rPr>
        <w:br w:type="page"/>
      </w:r>
      <w:r>
        <w:rPr>
          <w:rFonts w:hint="eastAsia" w:ascii="宋体" w:hAnsi="宋体" w:cs="宋体"/>
          <w:bCs w:val="0"/>
          <w:color w:val="000000" w:themeColor="text1"/>
          <w14:textFill>
            <w14:solidFill>
              <w14:schemeClr w14:val="tx1"/>
            </w14:solidFill>
          </w14:textFill>
        </w:rPr>
        <w:t>六、商务条款响应及偏离表</w:t>
      </w:r>
      <w:bookmarkEnd w:id="37"/>
    </w:p>
    <w:tbl>
      <w:tblPr>
        <w:tblStyle w:val="26"/>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786"/>
      </w:tblGrid>
      <w:tr w14:paraId="57478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noWrap/>
          </w:tcPr>
          <w:p w14:paraId="177DD25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2513" w:type="dxa"/>
            <w:tcBorders>
              <w:top w:val="single" w:color="auto" w:sz="4" w:space="0"/>
              <w:left w:val="single" w:color="auto" w:sz="4" w:space="0"/>
              <w:bottom w:val="single" w:color="auto" w:sz="4" w:space="0"/>
              <w:right w:val="single" w:color="auto" w:sz="4" w:space="0"/>
            </w:tcBorders>
            <w:noWrap/>
          </w:tcPr>
          <w:p w14:paraId="2CA4DCB6">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45" w:type="dxa"/>
            <w:tcBorders>
              <w:top w:val="single" w:color="auto" w:sz="4" w:space="0"/>
              <w:left w:val="single" w:color="auto" w:sz="4" w:space="0"/>
              <w:bottom w:val="single" w:color="auto" w:sz="4" w:space="0"/>
              <w:right w:val="single" w:color="auto" w:sz="4" w:space="0"/>
            </w:tcBorders>
            <w:noWrap/>
          </w:tcPr>
          <w:p w14:paraId="71F4EDB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786" w:type="dxa"/>
            <w:tcBorders>
              <w:top w:val="single" w:color="auto" w:sz="4" w:space="0"/>
              <w:left w:val="single" w:color="auto" w:sz="4" w:space="0"/>
              <w:bottom w:val="single" w:color="auto" w:sz="4" w:space="0"/>
              <w:right w:val="single" w:color="auto" w:sz="4" w:space="0"/>
            </w:tcBorders>
            <w:noWrap/>
          </w:tcPr>
          <w:p w14:paraId="0DFCD890">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供应商的承诺或说明</w:t>
            </w:r>
          </w:p>
        </w:tc>
      </w:tr>
      <w:tr w14:paraId="425B72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noWrap/>
          </w:tcPr>
          <w:p w14:paraId="5D860C3F">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施工工期</w:t>
            </w:r>
          </w:p>
        </w:tc>
        <w:tc>
          <w:tcPr>
            <w:tcW w:w="2513" w:type="dxa"/>
            <w:tcBorders>
              <w:top w:val="single" w:color="auto" w:sz="4" w:space="0"/>
              <w:left w:val="single" w:color="auto" w:sz="4" w:space="0"/>
              <w:bottom w:val="single" w:color="auto" w:sz="4" w:space="0"/>
              <w:right w:val="single" w:color="auto" w:sz="4" w:space="0"/>
            </w:tcBorders>
            <w:noWrap/>
          </w:tcPr>
          <w:p w14:paraId="77B16E09">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5557994">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49357B2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8AD4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noWrap/>
          </w:tcPr>
          <w:p w14:paraId="03C504C5">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施工地点</w:t>
            </w:r>
          </w:p>
        </w:tc>
        <w:tc>
          <w:tcPr>
            <w:tcW w:w="2513" w:type="dxa"/>
            <w:tcBorders>
              <w:top w:val="single" w:color="auto" w:sz="4" w:space="0"/>
              <w:left w:val="single" w:color="auto" w:sz="4" w:space="0"/>
              <w:bottom w:val="single" w:color="auto" w:sz="4" w:space="0"/>
              <w:right w:val="single" w:color="auto" w:sz="4" w:space="0"/>
            </w:tcBorders>
            <w:noWrap/>
          </w:tcPr>
          <w:p w14:paraId="7F9A78A9">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751D3D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3C5907E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A413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noWrap/>
          </w:tcPr>
          <w:p w14:paraId="3F9E506D">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质量要求</w:t>
            </w:r>
          </w:p>
        </w:tc>
        <w:tc>
          <w:tcPr>
            <w:tcW w:w="2513" w:type="dxa"/>
            <w:tcBorders>
              <w:top w:val="single" w:color="auto" w:sz="4" w:space="0"/>
              <w:left w:val="single" w:color="auto" w:sz="4" w:space="0"/>
              <w:bottom w:val="single" w:color="auto" w:sz="4" w:space="0"/>
              <w:right w:val="single" w:color="auto" w:sz="4" w:space="0"/>
            </w:tcBorders>
            <w:noWrap/>
          </w:tcPr>
          <w:p w14:paraId="074BC3A7">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A8FF28D">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460B4A1">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60D2B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noWrap/>
          </w:tcPr>
          <w:p w14:paraId="7BDC36C8">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付款方式</w:t>
            </w:r>
          </w:p>
        </w:tc>
        <w:tc>
          <w:tcPr>
            <w:tcW w:w="2513" w:type="dxa"/>
            <w:tcBorders>
              <w:top w:val="single" w:color="auto" w:sz="4" w:space="0"/>
              <w:left w:val="single" w:color="auto" w:sz="4" w:space="0"/>
              <w:bottom w:val="single" w:color="auto" w:sz="4" w:space="0"/>
              <w:right w:val="single" w:color="auto" w:sz="4" w:space="0"/>
            </w:tcBorders>
            <w:noWrap/>
          </w:tcPr>
          <w:p w14:paraId="46548260">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DAB97FF">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F81F2B7">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r w14:paraId="08C2F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noWrap/>
          </w:tcPr>
          <w:p w14:paraId="7A63B8C8">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2513" w:type="dxa"/>
            <w:tcBorders>
              <w:top w:val="single" w:color="auto" w:sz="4" w:space="0"/>
              <w:left w:val="single" w:color="auto" w:sz="4" w:space="0"/>
              <w:bottom w:val="single" w:color="auto" w:sz="4" w:space="0"/>
              <w:right w:val="single" w:color="auto" w:sz="4" w:space="0"/>
            </w:tcBorders>
            <w:noWrap/>
          </w:tcPr>
          <w:p w14:paraId="782AA734">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45" w:type="dxa"/>
            <w:tcBorders>
              <w:top w:val="single" w:color="auto" w:sz="4" w:space="0"/>
              <w:left w:val="single" w:color="auto" w:sz="4" w:space="0"/>
              <w:bottom w:val="single" w:color="auto" w:sz="4" w:space="0"/>
              <w:right w:val="single" w:color="auto" w:sz="4" w:space="0"/>
            </w:tcBorders>
            <w:noWrap/>
          </w:tcPr>
          <w:p w14:paraId="2C4F43BA">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11E32FF5">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bl>
    <w:p w14:paraId="36DD2B86">
      <w:pPr>
        <w:widowControl/>
        <w:spacing w:line="360" w:lineRule="auto"/>
        <w:jc w:val="left"/>
        <w:rPr>
          <w:rFonts w:ascii="宋体" w:hAnsi="宋体" w:cs="宋体"/>
          <w:b/>
          <w:color w:val="000000" w:themeColor="text1"/>
          <w14:textFill>
            <w14:solidFill>
              <w14:schemeClr w14:val="tx1"/>
            </w14:solidFill>
          </w14:textFill>
        </w:rPr>
      </w:pPr>
      <w:bookmarkStart w:id="38" w:name="_Hlt24879081"/>
      <w:bookmarkEnd w:id="38"/>
      <w:bookmarkStart w:id="39" w:name="_Hlt26782999"/>
      <w:bookmarkEnd w:id="39"/>
      <w:bookmarkStart w:id="40" w:name="_Hlt26580838"/>
      <w:bookmarkEnd w:id="40"/>
      <w:bookmarkStart w:id="41" w:name="_Hlt26671372"/>
      <w:bookmarkEnd w:id="41"/>
      <w:bookmarkStart w:id="42" w:name="_Hlt26671343"/>
      <w:bookmarkEnd w:id="42"/>
      <w:bookmarkStart w:id="43" w:name="_Hlt26955056"/>
      <w:bookmarkEnd w:id="43"/>
      <w:bookmarkStart w:id="44" w:name="_Hlt26609391"/>
      <w:bookmarkEnd w:id="44"/>
      <w:bookmarkStart w:id="45" w:name="_Hlt26955064"/>
      <w:bookmarkEnd w:id="45"/>
      <w:r>
        <w:rPr>
          <w:rFonts w:hint="eastAsia" w:ascii="宋体" w:hAnsi="宋体" w:cs="宋体"/>
          <w:b/>
          <w:color w:val="000000" w:themeColor="text1"/>
          <w14:textFill>
            <w14:solidFill>
              <w14:schemeClr w14:val="tx1"/>
            </w14:solidFill>
          </w14:textFill>
        </w:rPr>
        <w:br w:type="page"/>
      </w:r>
    </w:p>
    <w:p w14:paraId="66ADDA07">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项目负责人无在建工程承诺书 </w:t>
      </w:r>
    </w:p>
    <w:p w14:paraId="017535E1">
      <w:pPr>
        <w:widowControl/>
        <w:spacing w:line="360" w:lineRule="auto"/>
        <w:jc w:val="center"/>
        <w:rPr>
          <w:rFonts w:ascii="宋体" w:hAnsi="宋体" w:cs="宋体"/>
          <w:b/>
          <w:color w:val="000000" w:themeColor="text1"/>
          <w:sz w:val="28"/>
          <w:szCs w:val="28"/>
          <w14:textFill>
            <w14:solidFill>
              <w14:schemeClr w14:val="tx1"/>
            </w14:solidFill>
          </w14:textFill>
        </w:rPr>
      </w:pPr>
    </w:p>
    <w:p w14:paraId="24BD282C">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（采购人名称）</w:t>
      </w:r>
    </w:p>
    <w:p w14:paraId="462D1B9B">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我公司自愿参加贵单位采购编号为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的</w:t>
      </w:r>
      <w:r>
        <w:rPr>
          <w:rFonts w:hint="eastAsia" w:ascii="宋体" w:hAnsi="宋体" w:cs="宋体"/>
          <w:bCs/>
          <w:color w:val="000000" w:themeColor="text1"/>
          <w:u w:val="single"/>
          <w14:textFill>
            <w14:solidFill>
              <w14:schemeClr w14:val="tx1"/>
            </w14:solidFill>
          </w14:textFill>
        </w:rPr>
        <w:t xml:space="preserve">        （项目名称）</w:t>
      </w:r>
      <w:r>
        <w:rPr>
          <w:rFonts w:hint="eastAsia" w:ascii="宋体" w:hAnsi="宋体" w:cs="宋体"/>
          <w:bCs/>
          <w:color w:val="000000" w:themeColor="text1"/>
          <w14:textFill>
            <w14:solidFill>
              <w14:schemeClr w14:val="tx1"/>
            </w14:solidFill>
          </w14:textFill>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37F09D36">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拟任项目负责人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身份证号码</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注册证书号</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0B85BF38">
      <w:pPr>
        <w:spacing w:line="360" w:lineRule="auto"/>
        <w:jc w:val="left"/>
        <w:rPr>
          <w:rFonts w:ascii="宋体" w:hAnsi="宋体" w:cs="宋体"/>
          <w:bCs/>
          <w:color w:val="000000" w:themeColor="text1"/>
          <w14:textFill>
            <w14:solidFill>
              <w14:schemeClr w14:val="tx1"/>
            </w14:solidFill>
          </w14:textFill>
        </w:rPr>
      </w:pPr>
    </w:p>
    <w:p w14:paraId="3582E95C">
      <w:pPr>
        <w:spacing w:line="360" w:lineRule="auto"/>
        <w:jc w:val="left"/>
        <w:rPr>
          <w:rFonts w:ascii="宋体" w:hAnsi="宋体" w:cs="宋体"/>
          <w:bCs/>
          <w:color w:val="000000" w:themeColor="text1"/>
          <w14:textFill>
            <w14:solidFill>
              <w14:schemeClr w14:val="tx1"/>
            </w14:solidFill>
          </w14:textFill>
        </w:rPr>
      </w:pPr>
    </w:p>
    <w:p w14:paraId="3ECF2C57">
      <w:pPr>
        <w:spacing w:line="360" w:lineRule="auto"/>
        <w:jc w:val="left"/>
        <w:rPr>
          <w:rFonts w:ascii="宋体" w:hAnsi="宋体" w:cs="宋体"/>
          <w:bCs/>
          <w:color w:val="000000" w:themeColor="text1"/>
          <w14:textFill>
            <w14:solidFill>
              <w14:schemeClr w14:val="tx1"/>
            </w14:solidFill>
          </w14:textFill>
        </w:rPr>
      </w:pPr>
    </w:p>
    <w:p w14:paraId="6E83F3C2">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企业名称（盖章）：</w:t>
      </w:r>
    </w:p>
    <w:p w14:paraId="2171295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法定代表人签名：</w:t>
      </w:r>
    </w:p>
    <w:p w14:paraId="54798834">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项目负责人签名：</w:t>
      </w:r>
    </w:p>
    <w:p w14:paraId="169B16F4">
      <w:pPr>
        <w:spacing w:line="360" w:lineRule="auto"/>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年   月  日</w:t>
      </w:r>
      <w:r>
        <w:rPr>
          <w:rFonts w:hint="eastAsia" w:ascii="宋体" w:hAnsi="宋体" w:cs="宋体"/>
          <w:b/>
          <w:color w:val="000000" w:themeColor="text1"/>
          <w14:textFill>
            <w14:solidFill>
              <w14:schemeClr w14:val="tx1"/>
            </w14:solidFill>
          </w14:textFill>
        </w:rPr>
        <w:br w:type="page"/>
      </w:r>
    </w:p>
    <w:p w14:paraId="21191205">
      <w:pPr>
        <w:spacing w:after="312" w:afterLines="100"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主要标的信息（成交后将公示）</w:t>
      </w:r>
    </w:p>
    <w:p w14:paraId="69B7F865">
      <w:pPr>
        <w:spacing w:after="312" w:afterLines="100"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5375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noWrap/>
          </w:tcPr>
          <w:p w14:paraId="000CA8A9">
            <w:pPr>
              <w:spacing w:line="360" w:lineRule="auto"/>
              <w:jc w:val="center"/>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工程类</w:t>
            </w:r>
          </w:p>
        </w:tc>
      </w:tr>
      <w:tr w14:paraId="3C78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noWrap/>
          </w:tcPr>
          <w:p w14:paraId="3E3CC01C">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名称：</w:t>
            </w:r>
          </w:p>
          <w:p w14:paraId="74E486D1">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施工范围：</w:t>
            </w:r>
          </w:p>
          <w:p w14:paraId="6D898D5C">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施工工期：</w:t>
            </w:r>
          </w:p>
          <w:p w14:paraId="74224259">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项目经理：</w:t>
            </w:r>
          </w:p>
          <w:p w14:paraId="64FF1024">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执业证书信息：</w:t>
            </w:r>
          </w:p>
        </w:tc>
      </w:tr>
    </w:tbl>
    <w:p w14:paraId="5FF37ABE">
      <w:pPr>
        <w:widowControl/>
        <w:spacing w:line="360" w:lineRule="auto"/>
        <w:jc w:val="left"/>
        <w:rPr>
          <w:rFonts w:ascii="宋体" w:hAnsi="宋体" w:cs="宋体"/>
          <w:color w:val="000000" w:themeColor="text1"/>
          <w14:textFill>
            <w14:solidFill>
              <w14:schemeClr w14:val="tx1"/>
            </w14:solidFill>
          </w14:textFill>
        </w:rPr>
      </w:pPr>
    </w:p>
    <w:p w14:paraId="764CD51F">
      <w:pPr>
        <w:pStyle w:val="6"/>
        <w:spacing w:line="360" w:lineRule="auto"/>
        <w:rPr>
          <w:rFonts w:ascii="宋体" w:hAnsi="宋体" w:cs="宋体"/>
          <w:color w:val="000000" w:themeColor="text1"/>
          <w14:textFill>
            <w14:solidFill>
              <w14:schemeClr w14:val="tx1"/>
            </w14:solidFill>
          </w14:textFill>
        </w:rPr>
      </w:pPr>
    </w:p>
    <w:p w14:paraId="534BF2F8">
      <w:pPr>
        <w:spacing w:line="360" w:lineRule="auto"/>
        <w:rPr>
          <w:rFonts w:ascii="宋体" w:hAnsi="宋体" w:cs="宋体"/>
          <w:color w:val="000000" w:themeColor="text1"/>
          <w14:textFill>
            <w14:solidFill>
              <w14:schemeClr w14:val="tx1"/>
            </w14:solidFill>
          </w14:textFill>
        </w:rPr>
      </w:pPr>
    </w:p>
    <w:p w14:paraId="1C561C5C">
      <w:pPr>
        <w:pStyle w:val="6"/>
        <w:spacing w:line="360" w:lineRule="auto"/>
        <w:rPr>
          <w:rFonts w:ascii="宋体" w:hAnsi="宋体" w:cs="宋体"/>
          <w:color w:val="000000" w:themeColor="text1"/>
          <w14:textFill>
            <w14:solidFill>
              <w14:schemeClr w14:val="tx1"/>
            </w14:solidFill>
          </w14:textFill>
        </w:rPr>
      </w:pPr>
    </w:p>
    <w:p w14:paraId="32FBAF32">
      <w:pPr>
        <w:spacing w:line="360" w:lineRule="auto"/>
        <w:rPr>
          <w:rFonts w:ascii="宋体" w:hAnsi="宋体" w:cs="宋体"/>
          <w:color w:val="000000" w:themeColor="text1"/>
          <w14:textFill>
            <w14:solidFill>
              <w14:schemeClr w14:val="tx1"/>
            </w14:solidFill>
          </w14:textFill>
        </w:rPr>
      </w:pPr>
    </w:p>
    <w:p w14:paraId="7A62F818">
      <w:pPr>
        <w:pStyle w:val="6"/>
        <w:spacing w:line="360" w:lineRule="auto"/>
        <w:rPr>
          <w:rFonts w:ascii="宋体" w:hAnsi="宋体" w:cs="宋体"/>
          <w:color w:val="000000" w:themeColor="text1"/>
          <w14:textFill>
            <w14:solidFill>
              <w14:schemeClr w14:val="tx1"/>
            </w14:solidFill>
          </w14:textFill>
        </w:rPr>
      </w:pPr>
    </w:p>
    <w:p w14:paraId="1A058BA9">
      <w:pPr>
        <w:spacing w:line="360" w:lineRule="auto"/>
        <w:rPr>
          <w:rFonts w:ascii="宋体" w:hAnsi="宋体" w:cs="宋体"/>
          <w:color w:val="000000" w:themeColor="text1"/>
          <w14:textFill>
            <w14:solidFill>
              <w14:schemeClr w14:val="tx1"/>
            </w14:solidFill>
          </w14:textFill>
        </w:rPr>
      </w:pPr>
    </w:p>
    <w:p w14:paraId="1CFB4DE3">
      <w:pPr>
        <w:pStyle w:val="6"/>
        <w:spacing w:line="360" w:lineRule="auto"/>
        <w:rPr>
          <w:rFonts w:ascii="宋体" w:hAnsi="宋体" w:cs="宋体"/>
          <w:color w:val="000000" w:themeColor="text1"/>
          <w14:textFill>
            <w14:solidFill>
              <w14:schemeClr w14:val="tx1"/>
            </w14:solidFill>
          </w14:textFill>
        </w:rPr>
      </w:pPr>
    </w:p>
    <w:p w14:paraId="1690FD7D">
      <w:pPr>
        <w:spacing w:line="360" w:lineRule="auto"/>
        <w:rPr>
          <w:rFonts w:ascii="宋体" w:hAnsi="宋体" w:cs="宋体"/>
          <w:color w:val="000000" w:themeColor="text1"/>
          <w14:textFill>
            <w14:solidFill>
              <w14:schemeClr w14:val="tx1"/>
            </w14:solidFill>
          </w14:textFill>
        </w:rPr>
      </w:pPr>
    </w:p>
    <w:p w14:paraId="47452BCF">
      <w:pPr>
        <w:spacing w:line="360" w:lineRule="auto"/>
        <w:rPr>
          <w:rFonts w:ascii="宋体" w:hAnsi="宋体" w:cs="宋体"/>
          <w:color w:val="000000" w:themeColor="text1"/>
          <w14:textFill>
            <w14:solidFill>
              <w14:schemeClr w14:val="tx1"/>
            </w14:solidFill>
          </w14:textFill>
        </w:rPr>
      </w:pPr>
    </w:p>
    <w:sectPr>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C421">
    <w:pPr>
      <w:pStyle w:val="6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59656">
    <w:pPr>
      <w:pStyle w:val="6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CB5C">
    <w:pPr>
      <w:pStyle w:val="6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71E5F0D1">
                          <w:pPr>
                            <w:pStyle w:val="19"/>
                          </w:pPr>
                          <w:r>
                            <w:fldChar w:fldCharType="begin"/>
                          </w:r>
                          <w:r>
                            <w:instrText xml:space="preserve"> PAGE  \* MERGEFORMAT </w:instrText>
                          </w:r>
                          <w:r>
                            <w:fldChar w:fldCharType="separate"/>
                          </w:r>
                          <w:r>
                            <w:t>18</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&#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Pi91E0AAAAAIBAAAPAAAAAAAAAAEAIAAAACIAAABk&#10;cnMvZG93bnJldi54bWxQSwECFAAUAAAACACHTuJAdDhZOQ4CAAAPBAAADgAAAAAAAAABACAAAAAf&#10;AQAAZHJzL2Uyb0RvYy54bWxQSwUGAAAAAAYABgBZAQAAnwUAAAAA&#10;">
              <v:fill on="f" focussize="0,0"/>
              <v:stroke on="f"/>
              <v:imagedata o:title=""/>
              <o:lock v:ext="edit" aspectratio="f"/>
              <v:textbox inset="0mm,0mm,0mm,0mm" style="mso-fit-shape-to-text:t;">
                <w:txbxContent>
                  <w:p w14:paraId="71E5F0D1">
                    <w:pPr>
                      <w:pStyle w:val="1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36D4">
    <w:pPr>
      <w:pStyle w:val="6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4F4203AB">
                          <w:pPr>
                            <w:pStyle w:val="19"/>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4vdRNAAAAACAQAADwAAAAAAAAABACAAAAAiAAAA&#10;ZHJzL2Rvd25yZXYueG1sUEsBAhQAFAAAAAgAh07iQHurIaYPAgAADwQAAA4AAAAAAAAAAQAgAAAA&#10;HwEAAGRycy9lMm9Eb2MueG1sUEsFBgAAAAAGAAYAWQEAAKAFAAAAAA==&#10;">
              <v:fill on="f" focussize="0,0"/>
              <v:stroke on="f"/>
              <v:imagedata o:title=""/>
              <o:lock v:ext="edit" aspectratio="f"/>
              <v:textbox inset="0mm,0mm,0mm,0mm" style="mso-fit-shape-to-text:t;">
                <w:txbxContent>
                  <w:p w14:paraId="4F4203A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928BB">
    <w:pPr>
      <w:pStyle w:val="19"/>
      <w:jc w:val="center"/>
    </w:pPr>
    <w:r>
      <w:fldChar w:fldCharType="begin"/>
    </w:r>
    <w:r>
      <w:instrText xml:space="preserve">PAGE   \* MERGEFORMAT</w:instrText>
    </w:r>
    <w:r>
      <w:fldChar w:fldCharType="separate"/>
    </w:r>
    <w:r>
      <w:rPr>
        <w:lang w:val="zh-CN"/>
      </w:rPr>
      <w:t>33</w:t>
    </w:r>
    <w:r>
      <w:rPr>
        <w:lang w:val="zh-CN"/>
      </w:rPr>
      <w:fldChar w:fldCharType="end"/>
    </w:r>
  </w:p>
  <w:p w14:paraId="67A2B2CC">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D54EA">
    <w:pPr>
      <w:pStyle w:val="19"/>
      <w:jc w:val="center"/>
    </w:pPr>
    <w:r>
      <w:fldChar w:fldCharType="begin"/>
    </w:r>
    <w:r>
      <w:instrText xml:space="preserve">PAGE   \* MERGEFORMAT</w:instrText>
    </w:r>
    <w:r>
      <w:fldChar w:fldCharType="separate"/>
    </w:r>
    <w:r>
      <w:rPr>
        <w:lang w:val="zh-CN"/>
      </w:rPr>
      <w:t>48</w:t>
    </w:r>
    <w:r>
      <w:rPr>
        <w:lang w:val="zh-CN"/>
      </w:rPr>
      <w:fldChar w:fldCharType="end"/>
    </w:r>
  </w:p>
  <w:p w14:paraId="5822F8EE">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07AAA">
    <w:pPr>
      <w:pStyle w:val="2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71CD7">
    <w:pPr>
      <w:pStyle w:val="61"/>
      <w:pBdr>
        <w:bottom w:val="none" w:color="000000" w:sz="0" w:space="1"/>
      </w:pBdr>
      <w:jc w:val="right"/>
    </w:pPr>
  </w:p>
  <w:p w14:paraId="6AB6DADD">
    <w:pPr>
      <w:pStyle w:val="6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B1BBE">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4438FB"/>
    <w:multiLevelType w:val="multilevel"/>
    <w:tmpl w:val="144438FB"/>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kOTBhNWRmOWY5NTUyZDFmZWZmZGI2MWE5MDg0MjQifQ=="/>
    <w:docVar w:name="KGWebUrl" w:val="http://172.21.7.96:7001/yzzfcg/OfficeServer"/>
  </w:docVars>
  <w:rsids>
    <w:rsidRoot w:val="00D2313D"/>
    <w:rsid w:val="000018AE"/>
    <w:rsid w:val="000037BD"/>
    <w:rsid w:val="00005303"/>
    <w:rsid w:val="00005502"/>
    <w:rsid w:val="00005999"/>
    <w:rsid w:val="00011820"/>
    <w:rsid w:val="00015472"/>
    <w:rsid w:val="000154CA"/>
    <w:rsid w:val="000254FF"/>
    <w:rsid w:val="00034A4C"/>
    <w:rsid w:val="00035F53"/>
    <w:rsid w:val="00036F14"/>
    <w:rsid w:val="00036F57"/>
    <w:rsid w:val="00036FE2"/>
    <w:rsid w:val="000379D2"/>
    <w:rsid w:val="000403A7"/>
    <w:rsid w:val="000421B5"/>
    <w:rsid w:val="00055C73"/>
    <w:rsid w:val="00056232"/>
    <w:rsid w:val="0005637C"/>
    <w:rsid w:val="000578C4"/>
    <w:rsid w:val="00057BB5"/>
    <w:rsid w:val="00065ED1"/>
    <w:rsid w:val="00072E2B"/>
    <w:rsid w:val="000775C8"/>
    <w:rsid w:val="00093DEB"/>
    <w:rsid w:val="00094243"/>
    <w:rsid w:val="000970FB"/>
    <w:rsid w:val="000971B7"/>
    <w:rsid w:val="0009758C"/>
    <w:rsid w:val="000A213B"/>
    <w:rsid w:val="000A4621"/>
    <w:rsid w:val="000A5008"/>
    <w:rsid w:val="000A64BB"/>
    <w:rsid w:val="000A7D86"/>
    <w:rsid w:val="000B5E69"/>
    <w:rsid w:val="000C70EE"/>
    <w:rsid w:val="000C7DD0"/>
    <w:rsid w:val="000D1CBF"/>
    <w:rsid w:val="000D2941"/>
    <w:rsid w:val="000D6C89"/>
    <w:rsid w:val="000D7544"/>
    <w:rsid w:val="000E1673"/>
    <w:rsid w:val="000F2E82"/>
    <w:rsid w:val="000F433A"/>
    <w:rsid w:val="000F6696"/>
    <w:rsid w:val="000F7949"/>
    <w:rsid w:val="00104BC6"/>
    <w:rsid w:val="00107955"/>
    <w:rsid w:val="001107A8"/>
    <w:rsid w:val="0011192D"/>
    <w:rsid w:val="001165F5"/>
    <w:rsid w:val="001219D8"/>
    <w:rsid w:val="00127BD5"/>
    <w:rsid w:val="00132C43"/>
    <w:rsid w:val="00136D83"/>
    <w:rsid w:val="00136F5F"/>
    <w:rsid w:val="00140064"/>
    <w:rsid w:val="001501A2"/>
    <w:rsid w:val="00156E61"/>
    <w:rsid w:val="00165D01"/>
    <w:rsid w:val="00166ECA"/>
    <w:rsid w:val="00175447"/>
    <w:rsid w:val="00182447"/>
    <w:rsid w:val="001844A7"/>
    <w:rsid w:val="001875C9"/>
    <w:rsid w:val="00194B57"/>
    <w:rsid w:val="00194E15"/>
    <w:rsid w:val="001A0680"/>
    <w:rsid w:val="001A3763"/>
    <w:rsid w:val="001A71AF"/>
    <w:rsid w:val="001B58D8"/>
    <w:rsid w:val="001B644D"/>
    <w:rsid w:val="001B71FB"/>
    <w:rsid w:val="001B7764"/>
    <w:rsid w:val="001C07C4"/>
    <w:rsid w:val="001C4685"/>
    <w:rsid w:val="001D197C"/>
    <w:rsid w:val="001D2E4D"/>
    <w:rsid w:val="001D38D0"/>
    <w:rsid w:val="001D551B"/>
    <w:rsid w:val="001D6E6B"/>
    <w:rsid w:val="001D7B3E"/>
    <w:rsid w:val="001E23EE"/>
    <w:rsid w:val="001E5267"/>
    <w:rsid w:val="001E71DD"/>
    <w:rsid w:val="001E7BF0"/>
    <w:rsid w:val="001F18FA"/>
    <w:rsid w:val="001F4066"/>
    <w:rsid w:val="001F7EF9"/>
    <w:rsid w:val="00205451"/>
    <w:rsid w:val="0020758E"/>
    <w:rsid w:val="00215B4C"/>
    <w:rsid w:val="00216A13"/>
    <w:rsid w:val="00217000"/>
    <w:rsid w:val="00217EE1"/>
    <w:rsid w:val="00226882"/>
    <w:rsid w:val="00230AC0"/>
    <w:rsid w:val="00232217"/>
    <w:rsid w:val="002326C0"/>
    <w:rsid w:val="00232F59"/>
    <w:rsid w:val="002459B8"/>
    <w:rsid w:val="0024784D"/>
    <w:rsid w:val="002570D6"/>
    <w:rsid w:val="00262B58"/>
    <w:rsid w:val="002636C0"/>
    <w:rsid w:val="00264B19"/>
    <w:rsid w:val="00277ABD"/>
    <w:rsid w:val="0028779A"/>
    <w:rsid w:val="0029096E"/>
    <w:rsid w:val="0029716A"/>
    <w:rsid w:val="002A6E6E"/>
    <w:rsid w:val="002B37AB"/>
    <w:rsid w:val="002B6C6F"/>
    <w:rsid w:val="002B6D8F"/>
    <w:rsid w:val="002C5E5B"/>
    <w:rsid w:val="002C7325"/>
    <w:rsid w:val="002C793D"/>
    <w:rsid w:val="002D11F2"/>
    <w:rsid w:val="002D385B"/>
    <w:rsid w:val="002D45A3"/>
    <w:rsid w:val="002D4D94"/>
    <w:rsid w:val="002D4E53"/>
    <w:rsid w:val="002D5DB6"/>
    <w:rsid w:val="002D6D5B"/>
    <w:rsid w:val="002E2EF2"/>
    <w:rsid w:val="002E5AA3"/>
    <w:rsid w:val="002F0DCB"/>
    <w:rsid w:val="002F3F85"/>
    <w:rsid w:val="00301749"/>
    <w:rsid w:val="00304B2D"/>
    <w:rsid w:val="00305340"/>
    <w:rsid w:val="00305552"/>
    <w:rsid w:val="00306BD9"/>
    <w:rsid w:val="00307864"/>
    <w:rsid w:val="00310759"/>
    <w:rsid w:val="003139E4"/>
    <w:rsid w:val="0032070E"/>
    <w:rsid w:val="003214C8"/>
    <w:rsid w:val="003221A2"/>
    <w:rsid w:val="00327746"/>
    <w:rsid w:val="00327F6F"/>
    <w:rsid w:val="003318AB"/>
    <w:rsid w:val="00337D79"/>
    <w:rsid w:val="00337E0C"/>
    <w:rsid w:val="00340B0E"/>
    <w:rsid w:val="0035275A"/>
    <w:rsid w:val="003531CA"/>
    <w:rsid w:val="003561AD"/>
    <w:rsid w:val="00361473"/>
    <w:rsid w:val="003622DB"/>
    <w:rsid w:val="00364CF7"/>
    <w:rsid w:val="00367D46"/>
    <w:rsid w:val="0037407F"/>
    <w:rsid w:val="00374829"/>
    <w:rsid w:val="00377594"/>
    <w:rsid w:val="003807C0"/>
    <w:rsid w:val="00386420"/>
    <w:rsid w:val="00386F2B"/>
    <w:rsid w:val="00395302"/>
    <w:rsid w:val="0039639D"/>
    <w:rsid w:val="003963B0"/>
    <w:rsid w:val="003969C5"/>
    <w:rsid w:val="003A250B"/>
    <w:rsid w:val="003A29E4"/>
    <w:rsid w:val="003A48A0"/>
    <w:rsid w:val="003A6513"/>
    <w:rsid w:val="003B391E"/>
    <w:rsid w:val="003B6661"/>
    <w:rsid w:val="003B693A"/>
    <w:rsid w:val="003B6A41"/>
    <w:rsid w:val="003B6A58"/>
    <w:rsid w:val="003C29AB"/>
    <w:rsid w:val="003C4D84"/>
    <w:rsid w:val="003C5197"/>
    <w:rsid w:val="003C5DE1"/>
    <w:rsid w:val="003D001D"/>
    <w:rsid w:val="003D0FEF"/>
    <w:rsid w:val="003D424A"/>
    <w:rsid w:val="003D433D"/>
    <w:rsid w:val="003D59C4"/>
    <w:rsid w:val="003D6851"/>
    <w:rsid w:val="003D7280"/>
    <w:rsid w:val="003E0753"/>
    <w:rsid w:val="003E1529"/>
    <w:rsid w:val="003E1CA7"/>
    <w:rsid w:val="003E7FCA"/>
    <w:rsid w:val="003F027D"/>
    <w:rsid w:val="003F0893"/>
    <w:rsid w:val="0040353F"/>
    <w:rsid w:val="00410B1C"/>
    <w:rsid w:val="00412264"/>
    <w:rsid w:val="00412B25"/>
    <w:rsid w:val="00412DB0"/>
    <w:rsid w:val="004133A7"/>
    <w:rsid w:val="0041716F"/>
    <w:rsid w:val="004209BA"/>
    <w:rsid w:val="0042300B"/>
    <w:rsid w:val="00423084"/>
    <w:rsid w:val="004246D6"/>
    <w:rsid w:val="00424D8E"/>
    <w:rsid w:val="00436874"/>
    <w:rsid w:val="00436FAA"/>
    <w:rsid w:val="00441D24"/>
    <w:rsid w:val="00450062"/>
    <w:rsid w:val="00450CA5"/>
    <w:rsid w:val="00452C11"/>
    <w:rsid w:val="00453D89"/>
    <w:rsid w:val="00454CD4"/>
    <w:rsid w:val="00457D47"/>
    <w:rsid w:val="00464971"/>
    <w:rsid w:val="00467DC8"/>
    <w:rsid w:val="004735D3"/>
    <w:rsid w:val="004918E3"/>
    <w:rsid w:val="004929DD"/>
    <w:rsid w:val="004945EA"/>
    <w:rsid w:val="0049525A"/>
    <w:rsid w:val="00497378"/>
    <w:rsid w:val="004A2614"/>
    <w:rsid w:val="004A40C7"/>
    <w:rsid w:val="004A45B4"/>
    <w:rsid w:val="004B0CF8"/>
    <w:rsid w:val="004B5495"/>
    <w:rsid w:val="004B5BE9"/>
    <w:rsid w:val="004C10BD"/>
    <w:rsid w:val="004C1263"/>
    <w:rsid w:val="004C398F"/>
    <w:rsid w:val="004C644F"/>
    <w:rsid w:val="004C7E78"/>
    <w:rsid w:val="004D474B"/>
    <w:rsid w:val="004D5108"/>
    <w:rsid w:val="004D5DB8"/>
    <w:rsid w:val="004E02DF"/>
    <w:rsid w:val="004E35F0"/>
    <w:rsid w:val="004E4333"/>
    <w:rsid w:val="004F2E87"/>
    <w:rsid w:val="005015C6"/>
    <w:rsid w:val="005059EC"/>
    <w:rsid w:val="005069EA"/>
    <w:rsid w:val="005074AB"/>
    <w:rsid w:val="00510B25"/>
    <w:rsid w:val="00511248"/>
    <w:rsid w:val="00511D17"/>
    <w:rsid w:val="00513E63"/>
    <w:rsid w:val="005223F5"/>
    <w:rsid w:val="00522FCF"/>
    <w:rsid w:val="00526331"/>
    <w:rsid w:val="00527900"/>
    <w:rsid w:val="00530997"/>
    <w:rsid w:val="00531FCA"/>
    <w:rsid w:val="005322D5"/>
    <w:rsid w:val="00535985"/>
    <w:rsid w:val="005374A2"/>
    <w:rsid w:val="00537B3C"/>
    <w:rsid w:val="00540978"/>
    <w:rsid w:val="00540A7C"/>
    <w:rsid w:val="005410AD"/>
    <w:rsid w:val="00541D44"/>
    <w:rsid w:val="00546DFB"/>
    <w:rsid w:val="00553655"/>
    <w:rsid w:val="005543DD"/>
    <w:rsid w:val="005559C6"/>
    <w:rsid w:val="00557F0D"/>
    <w:rsid w:val="005601B4"/>
    <w:rsid w:val="00565510"/>
    <w:rsid w:val="005676F9"/>
    <w:rsid w:val="00592DEF"/>
    <w:rsid w:val="00597530"/>
    <w:rsid w:val="005A30E9"/>
    <w:rsid w:val="005A58DB"/>
    <w:rsid w:val="005A6072"/>
    <w:rsid w:val="005A7B7F"/>
    <w:rsid w:val="005B4F18"/>
    <w:rsid w:val="005B5D72"/>
    <w:rsid w:val="005C0C45"/>
    <w:rsid w:val="005C60C3"/>
    <w:rsid w:val="005C6591"/>
    <w:rsid w:val="005D0174"/>
    <w:rsid w:val="005D641E"/>
    <w:rsid w:val="005F3598"/>
    <w:rsid w:val="005F437F"/>
    <w:rsid w:val="006009D5"/>
    <w:rsid w:val="00600CB5"/>
    <w:rsid w:val="00602688"/>
    <w:rsid w:val="00602FE9"/>
    <w:rsid w:val="00614B8A"/>
    <w:rsid w:val="006205C5"/>
    <w:rsid w:val="0062258B"/>
    <w:rsid w:val="00622596"/>
    <w:rsid w:val="006250B2"/>
    <w:rsid w:val="006257CD"/>
    <w:rsid w:val="0062670E"/>
    <w:rsid w:val="00631D84"/>
    <w:rsid w:val="006327F3"/>
    <w:rsid w:val="006333C9"/>
    <w:rsid w:val="00643112"/>
    <w:rsid w:val="00645439"/>
    <w:rsid w:val="00647582"/>
    <w:rsid w:val="006534DB"/>
    <w:rsid w:val="00655EE5"/>
    <w:rsid w:val="0065768E"/>
    <w:rsid w:val="00657B08"/>
    <w:rsid w:val="00667D6F"/>
    <w:rsid w:val="00670C34"/>
    <w:rsid w:val="00670CDC"/>
    <w:rsid w:val="00677A25"/>
    <w:rsid w:val="006947A3"/>
    <w:rsid w:val="00696515"/>
    <w:rsid w:val="006A16EC"/>
    <w:rsid w:val="006A2BA4"/>
    <w:rsid w:val="006A2FC0"/>
    <w:rsid w:val="006A4347"/>
    <w:rsid w:val="006A7910"/>
    <w:rsid w:val="006B15D3"/>
    <w:rsid w:val="006B1EFB"/>
    <w:rsid w:val="006B5DAF"/>
    <w:rsid w:val="006B797C"/>
    <w:rsid w:val="006C28DB"/>
    <w:rsid w:val="006C3F32"/>
    <w:rsid w:val="006C4288"/>
    <w:rsid w:val="006C4936"/>
    <w:rsid w:val="006C5CCD"/>
    <w:rsid w:val="006D041C"/>
    <w:rsid w:val="006E0A05"/>
    <w:rsid w:val="006E14D0"/>
    <w:rsid w:val="006E2493"/>
    <w:rsid w:val="006E4109"/>
    <w:rsid w:val="006F2F9B"/>
    <w:rsid w:val="006F36C8"/>
    <w:rsid w:val="00700782"/>
    <w:rsid w:val="00705E89"/>
    <w:rsid w:val="00712098"/>
    <w:rsid w:val="00713F2C"/>
    <w:rsid w:val="0071686E"/>
    <w:rsid w:val="00716D81"/>
    <w:rsid w:val="00721345"/>
    <w:rsid w:val="007219C3"/>
    <w:rsid w:val="00722399"/>
    <w:rsid w:val="00725C0D"/>
    <w:rsid w:val="0073142C"/>
    <w:rsid w:val="007319F1"/>
    <w:rsid w:val="00733893"/>
    <w:rsid w:val="00735EB7"/>
    <w:rsid w:val="007367A4"/>
    <w:rsid w:val="00737529"/>
    <w:rsid w:val="0074031A"/>
    <w:rsid w:val="00741CC0"/>
    <w:rsid w:val="007433BA"/>
    <w:rsid w:val="00745C4E"/>
    <w:rsid w:val="0074639B"/>
    <w:rsid w:val="007530F6"/>
    <w:rsid w:val="00756031"/>
    <w:rsid w:val="00770CFD"/>
    <w:rsid w:val="00771131"/>
    <w:rsid w:val="007724B1"/>
    <w:rsid w:val="00776DA2"/>
    <w:rsid w:val="00797D57"/>
    <w:rsid w:val="007A5429"/>
    <w:rsid w:val="007A6F61"/>
    <w:rsid w:val="007A75C6"/>
    <w:rsid w:val="007A79DE"/>
    <w:rsid w:val="007B36C3"/>
    <w:rsid w:val="007B5FA2"/>
    <w:rsid w:val="007B73EA"/>
    <w:rsid w:val="007C3A57"/>
    <w:rsid w:val="007C7976"/>
    <w:rsid w:val="007D04EA"/>
    <w:rsid w:val="007D13AD"/>
    <w:rsid w:val="007D2CC0"/>
    <w:rsid w:val="007D43D0"/>
    <w:rsid w:val="007D4596"/>
    <w:rsid w:val="007D7E76"/>
    <w:rsid w:val="007E01A7"/>
    <w:rsid w:val="007E09DC"/>
    <w:rsid w:val="007E5992"/>
    <w:rsid w:val="007E7E62"/>
    <w:rsid w:val="007F52CD"/>
    <w:rsid w:val="007F7630"/>
    <w:rsid w:val="007F79D8"/>
    <w:rsid w:val="008063F6"/>
    <w:rsid w:val="008124AD"/>
    <w:rsid w:val="008151AB"/>
    <w:rsid w:val="00815D08"/>
    <w:rsid w:val="00815D4A"/>
    <w:rsid w:val="00815D5A"/>
    <w:rsid w:val="00815E1A"/>
    <w:rsid w:val="00816034"/>
    <w:rsid w:val="008167EC"/>
    <w:rsid w:val="0082055A"/>
    <w:rsid w:val="0082378D"/>
    <w:rsid w:val="008249FD"/>
    <w:rsid w:val="00832001"/>
    <w:rsid w:val="00836137"/>
    <w:rsid w:val="008470A2"/>
    <w:rsid w:val="008601C2"/>
    <w:rsid w:val="00862058"/>
    <w:rsid w:val="00866FEB"/>
    <w:rsid w:val="00867A9B"/>
    <w:rsid w:val="00874DE4"/>
    <w:rsid w:val="00875B72"/>
    <w:rsid w:val="00875C21"/>
    <w:rsid w:val="0088084F"/>
    <w:rsid w:val="00884F87"/>
    <w:rsid w:val="00884FFE"/>
    <w:rsid w:val="00887CF4"/>
    <w:rsid w:val="008929ED"/>
    <w:rsid w:val="00892B7A"/>
    <w:rsid w:val="00892E58"/>
    <w:rsid w:val="008942A2"/>
    <w:rsid w:val="00894860"/>
    <w:rsid w:val="0089778D"/>
    <w:rsid w:val="008A260B"/>
    <w:rsid w:val="008A38DB"/>
    <w:rsid w:val="008A450A"/>
    <w:rsid w:val="008A7336"/>
    <w:rsid w:val="008B2A4E"/>
    <w:rsid w:val="008B36B6"/>
    <w:rsid w:val="008B38AA"/>
    <w:rsid w:val="008B7468"/>
    <w:rsid w:val="008C26E9"/>
    <w:rsid w:val="008C76BC"/>
    <w:rsid w:val="008D07A9"/>
    <w:rsid w:val="008D19BB"/>
    <w:rsid w:val="008D1B28"/>
    <w:rsid w:val="008D26D8"/>
    <w:rsid w:val="008D2907"/>
    <w:rsid w:val="008F07BB"/>
    <w:rsid w:val="008F4F09"/>
    <w:rsid w:val="008F66ED"/>
    <w:rsid w:val="00900EAE"/>
    <w:rsid w:val="0090399B"/>
    <w:rsid w:val="00905FE9"/>
    <w:rsid w:val="00910FFC"/>
    <w:rsid w:val="00911020"/>
    <w:rsid w:val="00913BD5"/>
    <w:rsid w:val="0091400F"/>
    <w:rsid w:val="00915D75"/>
    <w:rsid w:val="00916D12"/>
    <w:rsid w:val="0092660C"/>
    <w:rsid w:val="00933EEE"/>
    <w:rsid w:val="00934ADD"/>
    <w:rsid w:val="00936FBF"/>
    <w:rsid w:val="00937BFF"/>
    <w:rsid w:val="00942E8A"/>
    <w:rsid w:val="00943FB2"/>
    <w:rsid w:val="00945F10"/>
    <w:rsid w:val="009472AA"/>
    <w:rsid w:val="0095185C"/>
    <w:rsid w:val="009533F8"/>
    <w:rsid w:val="0095515A"/>
    <w:rsid w:val="00957166"/>
    <w:rsid w:val="00961C68"/>
    <w:rsid w:val="00965530"/>
    <w:rsid w:val="0096597D"/>
    <w:rsid w:val="00965BE1"/>
    <w:rsid w:val="00965FB0"/>
    <w:rsid w:val="009716AA"/>
    <w:rsid w:val="00980D8F"/>
    <w:rsid w:val="009915B7"/>
    <w:rsid w:val="00991D77"/>
    <w:rsid w:val="00991EC5"/>
    <w:rsid w:val="00997395"/>
    <w:rsid w:val="009A36DF"/>
    <w:rsid w:val="009A6880"/>
    <w:rsid w:val="009B0205"/>
    <w:rsid w:val="009B03F3"/>
    <w:rsid w:val="009B05E6"/>
    <w:rsid w:val="009B234D"/>
    <w:rsid w:val="009B34D8"/>
    <w:rsid w:val="009C2247"/>
    <w:rsid w:val="009C36A7"/>
    <w:rsid w:val="009C5803"/>
    <w:rsid w:val="009C628D"/>
    <w:rsid w:val="009D166D"/>
    <w:rsid w:val="009D260A"/>
    <w:rsid w:val="009D358D"/>
    <w:rsid w:val="009E2D5E"/>
    <w:rsid w:val="009E540C"/>
    <w:rsid w:val="009F03EC"/>
    <w:rsid w:val="009F527B"/>
    <w:rsid w:val="00A01EEF"/>
    <w:rsid w:val="00A04E81"/>
    <w:rsid w:val="00A127D6"/>
    <w:rsid w:val="00A1410C"/>
    <w:rsid w:val="00A141F8"/>
    <w:rsid w:val="00A14967"/>
    <w:rsid w:val="00A21EE1"/>
    <w:rsid w:val="00A24313"/>
    <w:rsid w:val="00A327C0"/>
    <w:rsid w:val="00A36BB4"/>
    <w:rsid w:val="00A42026"/>
    <w:rsid w:val="00A43B16"/>
    <w:rsid w:val="00A45E44"/>
    <w:rsid w:val="00A541B7"/>
    <w:rsid w:val="00A55B55"/>
    <w:rsid w:val="00A6240C"/>
    <w:rsid w:val="00A6488F"/>
    <w:rsid w:val="00A64A65"/>
    <w:rsid w:val="00A64BDB"/>
    <w:rsid w:val="00A80B8D"/>
    <w:rsid w:val="00A822DA"/>
    <w:rsid w:val="00A965D6"/>
    <w:rsid w:val="00A96AB6"/>
    <w:rsid w:val="00A97513"/>
    <w:rsid w:val="00AA2D12"/>
    <w:rsid w:val="00AA2E3C"/>
    <w:rsid w:val="00AA7D9B"/>
    <w:rsid w:val="00AA7E62"/>
    <w:rsid w:val="00AB4A5A"/>
    <w:rsid w:val="00AB52E1"/>
    <w:rsid w:val="00AB59BB"/>
    <w:rsid w:val="00AB676A"/>
    <w:rsid w:val="00AC1049"/>
    <w:rsid w:val="00AC15EB"/>
    <w:rsid w:val="00AC4F93"/>
    <w:rsid w:val="00AD00D2"/>
    <w:rsid w:val="00AD21F6"/>
    <w:rsid w:val="00AD61C7"/>
    <w:rsid w:val="00AD6C59"/>
    <w:rsid w:val="00AD71F6"/>
    <w:rsid w:val="00AE0A54"/>
    <w:rsid w:val="00AE0ECC"/>
    <w:rsid w:val="00AE24BC"/>
    <w:rsid w:val="00AE56C2"/>
    <w:rsid w:val="00AE6ADA"/>
    <w:rsid w:val="00AE6F76"/>
    <w:rsid w:val="00AE7421"/>
    <w:rsid w:val="00AF6E86"/>
    <w:rsid w:val="00AF7363"/>
    <w:rsid w:val="00B01673"/>
    <w:rsid w:val="00B0193C"/>
    <w:rsid w:val="00B02B13"/>
    <w:rsid w:val="00B05810"/>
    <w:rsid w:val="00B063E2"/>
    <w:rsid w:val="00B11CA3"/>
    <w:rsid w:val="00B11E25"/>
    <w:rsid w:val="00B17B18"/>
    <w:rsid w:val="00B24ED7"/>
    <w:rsid w:val="00B347EA"/>
    <w:rsid w:val="00B34BA1"/>
    <w:rsid w:val="00B353D6"/>
    <w:rsid w:val="00B42474"/>
    <w:rsid w:val="00B503CF"/>
    <w:rsid w:val="00B51D2F"/>
    <w:rsid w:val="00B54661"/>
    <w:rsid w:val="00B57794"/>
    <w:rsid w:val="00B627DB"/>
    <w:rsid w:val="00B6294B"/>
    <w:rsid w:val="00B64C88"/>
    <w:rsid w:val="00B671D3"/>
    <w:rsid w:val="00B8041B"/>
    <w:rsid w:val="00B87280"/>
    <w:rsid w:val="00B907F4"/>
    <w:rsid w:val="00B90B85"/>
    <w:rsid w:val="00B90EF6"/>
    <w:rsid w:val="00B91F0D"/>
    <w:rsid w:val="00B92BDD"/>
    <w:rsid w:val="00B9474A"/>
    <w:rsid w:val="00B969B5"/>
    <w:rsid w:val="00BB10A4"/>
    <w:rsid w:val="00BC3556"/>
    <w:rsid w:val="00BD0810"/>
    <w:rsid w:val="00BD792E"/>
    <w:rsid w:val="00BE0CFE"/>
    <w:rsid w:val="00BE58D6"/>
    <w:rsid w:val="00BF3915"/>
    <w:rsid w:val="00BF66D8"/>
    <w:rsid w:val="00BF67A3"/>
    <w:rsid w:val="00C00A68"/>
    <w:rsid w:val="00C032DF"/>
    <w:rsid w:val="00C05D7E"/>
    <w:rsid w:val="00C12BD0"/>
    <w:rsid w:val="00C207C0"/>
    <w:rsid w:val="00C252C3"/>
    <w:rsid w:val="00C262B7"/>
    <w:rsid w:val="00C30DD7"/>
    <w:rsid w:val="00C47610"/>
    <w:rsid w:val="00C5330E"/>
    <w:rsid w:val="00C65728"/>
    <w:rsid w:val="00C66C18"/>
    <w:rsid w:val="00C66D19"/>
    <w:rsid w:val="00C67BE8"/>
    <w:rsid w:val="00C713D4"/>
    <w:rsid w:val="00C800CE"/>
    <w:rsid w:val="00C820E6"/>
    <w:rsid w:val="00C83C89"/>
    <w:rsid w:val="00C86C89"/>
    <w:rsid w:val="00CA4A78"/>
    <w:rsid w:val="00CA5D62"/>
    <w:rsid w:val="00CA79A2"/>
    <w:rsid w:val="00CB3D28"/>
    <w:rsid w:val="00CB458A"/>
    <w:rsid w:val="00CB5296"/>
    <w:rsid w:val="00CB6287"/>
    <w:rsid w:val="00CD64DC"/>
    <w:rsid w:val="00CD6C85"/>
    <w:rsid w:val="00CE5EEB"/>
    <w:rsid w:val="00CE795A"/>
    <w:rsid w:val="00CF26CF"/>
    <w:rsid w:val="00CF36F2"/>
    <w:rsid w:val="00CF509E"/>
    <w:rsid w:val="00D037AE"/>
    <w:rsid w:val="00D03A8F"/>
    <w:rsid w:val="00D141F0"/>
    <w:rsid w:val="00D15697"/>
    <w:rsid w:val="00D15880"/>
    <w:rsid w:val="00D179C3"/>
    <w:rsid w:val="00D2313D"/>
    <w:rsid w:val="00D23DB7"/>
    <w:rsid w:val="00D27314"/>
    <w:rsid w:val="00D278AE"/>
    <w:rsid w:val="00D30DF4"/>
    <w:rsid w:val="00D42DA7"/>
    <w:rsid w:val="00D43ABC"/>
    <w:rsid w:val="00D46DD1"/>
    <w:rsid w:val="00D516D5"/>
    <w:rsid w:val="00D51AAD"/>
    <w:rsid w:val="00D56B79"/>
    <w:rsid w:val="00D604A1"/>
    <w:rsid w:val="00D631A7"/>
    <w:rsid w:val="00D6616F"/>
    <w:rsid w:val="00D807B9"/>
    <w:rsid w:val="00D82448"/>
    <w:rsid w:val="00D82AF5"/>
    <w:rsid w:val="00D852AB"/>
    <w:rsid w:val="00D858DC"/>
    <w:rsid w:val="00D93A03"/>
    <w:rsid w:val="00DA03A7"/>
    <w:rsid w:val="00DA7072"/>
    <w:rsid w:val="00DB292B"/>
    <w:rsid w:val="00DB4270"/>
    <w:rsid w:val="00DB6989"/>
    <w:rsid w:val="00DC0E46"/>
    <w:rsid w:val="00DD033D"/>
    <w:rsid w:val="00DD0B27"/>
    <w:rsid w:val="00DD14E9"/>
    <w:rsid w:val="00DD1D1C"/>
    <w:rsid w:val="00DD3C3C"/>
    <w:rsid w:val="00DD4BB9"/>
    <w:rsid w:val="00DD4FE3"/>
    <w:rsid w:val="00DD7AEC"/>
    <w:rsid w:val="00DE7615"/>
    <w:rsid w:val="00DF10FF"/>
    <w:rsid w:val="00DF2B1C"/>
    <w:rsid w:val="00DF39AC"/>
    <w:rsid w:val="00DF3CE5"/>
    <w:rsid w:val="00DF3DED"/>
    <w:rsid w:val="00DF6B5D"/>
    <w:rsid w:val="00E00D0B"/>
    <w:rsid w:val="00E21EFA"/>
    <w:rsid w:val="00E23B0E"/>
    <w:rsid w:val="00E253CD"/>
    <w:rsid w:val="00E2683D"/>
    <w:rsid w:val="00E324C9"/>
    <w:rsid w:val="00E342B4"/>
    <w:rsid w:val="00E42EF6"/>
    <w:rsid w:val="00E435EE"/>
    <w:rsid w:val="00E43A43"/>
    <w:rsid w:val="00E43F99"/>
    <w:rsid w:val="00E46667"/>
    <w:rsid w:val="00E51C5E"/>
    <w:rsid w:val="00E557C5"/>
    <w:rsid w:val="00E6229B"/>
    <w:rsid w:val="00E64641"/>
    <w:rsid w:val="00E64647"/>
    <w:rsid w:val="00E67656"/>
    <w:rsid w:val="00E71229"/>
    <w:rsid w:val="00E73692"/>
    <w:rsid w:val="00E74812"/>
    <w:rsid w:val="00E779E4"/>
    <w:rsid w:val="00E8194B"/>
    <w:rsid w:val="00E8227B"/>
    <w:rsid w:val="00E8230D"/>
    <w:rsid w:val="00E84320"/>
    <w:rsid w:val="00E85730"/>
    <w:rsid w:val="00E86553"/>
    <w:rsid w:val="00E94280"/>
    <w:rsid w:val="00EA0C8F"/>
    <w:rsid w:val="00EA1486"/>
    <w:rsid w:val="00EA20FC"/>
    <w:rsid w:val="00EA3C5D"/>
    <w:rsid w:val="00EA4461"/>
    <w:rsid w:val="00EA491F"/>
    <w:rsid w:val="00EA6201"/>
    <w:rsid w:val="00EA79C0"/>
    <w:rsid w:val="00EA7A7B"/>
    <w:rsid w:val="00EA7F59"/>
    <w:rsid w:val="00EB163E"/>
    <w:rsid w:val="00EB345B"/>
    <w:rsid w:val="00EB5384"/>
    <w:rsid w:val="00EB5FA4"/>
    <w:rsid w:val="00EC6BA5"/>
    <w:rsid w:val="00ED082F"/>
    <w:rsid w:val="00ED0AB4"/>
    <w:rsid w:val="00ED49F8"/>
    <w:rsid w:val="00ED6B7A"/>
    <w:rsid w:val="00ED6D72"/>
    <w:rsid w:val="00EE2632"/>
    <w:rsid w:val="00EE4212"/>
    <w:rsid w:val="00EE6A89"/>
    <w:rsid w:val="00EF0B10"/>
    <w:rsid w:val="00EF1864"/>
    <w:rsid w:val="00EF1EDC"/>
    <w:rsid w:val="00EF4231"/>
    <w:rsid w:val="00F0188A"/>
    <w:rsid w:val="00F106D4"/>
    <w:rsid w:val="00F11ECF"/>
    <w:rsid w:val="00F13327"/>
    <w:rsid w:val="00F13E9B"/>
    <w:rsid w:val="00F16779"/>
    <w:rsid w:val="00F17FD3"/>
    <w:rsid w:val="00F209DD"/>
    <w:rsid w:val="00F20FE1"/>
    <w:rsid w:val="00F2275F"/>
    <w:rsid w:val="00F22F5A"/>
    <w:rsid w:val="00F26397"/>
    <w:rsid w:val="00F2745C"/>
    <w:rsid w:val="00F37E35"/>
    <w:rsid w:val="00F43A66"/>
    <w:rsid w:val="00F448FF"/>
    <w:rsid w:val="00F47C41"/>
    <w:rsid w:val="00F5142E"/>
    <w:rsid w:val="00F63122"/>
    <w:rsid w:val="00F67A80"/>
    <w:rsid w:val="00F726FC"/>
    <w:rsid w:val="00F7584E"/>
    <w:rsid w:val="00F76BE6"/>
    <w:rsid w:val="00F81AEB"/>
    <w:rsid w:val="00F86BEE"/>
    <w:rsid w:val="00F90C38"/>
    <w:rsid w:val="00F95F99"/>
    <w:rsid w:val="00FA2D26"/>
    <w:rsid w:val="00FA2FBB"/>
    <w:rsid w:val="00FA5A1A"/>
    <w:rsid w:val="00FB0B10"/>
    <w:rsid w:val="00FC0152"/>
    <w:rsid w:val="00FC12E5"/>
    <w:rsid w:val="00FC324C"/>
    <w:rsid w:val="00FC56AA"/>
    <w:rsid w:val="00FC70ED"/>
    <w:rsid w:val="00FE1428"/>
    <w:rsid w:val="00FF23F7"/>
    <w:rsid w:val="01021F25"/>
    <w:rsid w:val="01756F72"/>
    <w:rsid w:val="01AD101A"/>
    <w:rsid w:val="03161B99"/>
    <w:rsid w:val="034358ED"/>
    <w:rsid w:val="0344300C"/>
    <w:rsid w:val="03921728"/>
    <w:rsid w:val="03DB7B90"/>
    <w:rsid w:val="04862F1E"/>
    <w:rsid w:val="04C3537C"/>
    <w:rsid w:val="0506397A"/>
    <w:rsid w:val="050B669F"/>
    <w:rsid w:val="051F457C"/>
    <w:rsid w:val="05265615"/>
    <w:rsid w:val="05340C93"/>
    <w:rsid w:val="053913D8"/>
    <w:rsid w:val="05526E99"/>
    <w:rsid w:val="057924EC"/>
    <w:rsid w:val="061C538D"/>
    <w:rsid w:val="06214A50"/>
    <w:rsid w:val="066B69CE"/>
    <w:rsid w:val="06C55CE8"/>
    <w:rsid w:val="07630750"/>
    <w:rsid w:val="076A2629"/>
    <w:rsid w:val="078158C0"/>
    <w:rsid w:val="07BF5CFA"/>
    <w:rsid w:val="07D71092"/>
    <w:rsid w:val="0866773E"/>
    <w:rsid w:val="08920C03"/>
    <w:rsid w:val="09057B18"/>
    <w:rsid w:val="090B4A2C"/>
    <w:rsid w:val="0911207F"/>
    <w:rsid w:val="092702FC"/>
    <w:rsid w:val="093549F9"/>
    <w:rsid w:val="0946032A"/>
    <w:rsid w:val="09516EDF"/>
    <w:rsid w:val="0970184A"/>
    <w:rsid w:val="098350DA"/>
    <w:rsid w:val="0A200B7B"/>
    <w:rsid w:val="0A8B6334"/>
    <w:rsid w:val="0ADD0AA0"/>
    <w:rsid w:val="0B54673A"/>
    <w:rsid w:val="0B867103"/>
    <w:rsid w:val="0BA26928"/>
    <w:rsid w:val="0BBA29A6"/>
    <w:rsid w:val="0BC415A1"/>
    <w:rsid w:val="0C126471"/>
    <w:rsid w:val="0CC223BD"/>
    <w:rsid w:val="0D115F02"/>
    <w:rsid w:val="0E1D5A57"/>
    <w:rsid w:val="0E211365"/>
    <w:rsid w:val="0E42044F"/>
    <w:rsid w:val="0E811E04"/>
    <w:rsid w:val="0FC30926"/>
    <w:rsid w:val="1031035A"/>
    <w:rsid w:val="104C1CC7"/>
    <w:rsid w:val="10524E07"/>
    <w:rsid w:val="10C80F65"/>
    <w:rsid w:val="10E96DEF"/>
    <w:rsid w:val="11AF736B"/>
    <w:rsid w:val="11E3705D"/>
    <w:rsid w:val="1235718D"/>
    <w:rsid w:val="12773A86"/>
    <w:rsid w:val="12CC23AA"/>
    <w:rsid w:val="13043170"/>
    <w:rsid w:val="13831E7A"/>
    <w:rsid w:val="13B131C5"/>
    <w:rsid w:val="13D36C5E"/>
    <w:rsid w:val="13D824C6"/>
    <w:rsid w:val="13FA2FD3"/>
    <w:rsid w:val="145534B3"/>
    <w:rsid w:val="1462227A"/>
    <w:rsid w:val="147C3432"/>
    <w:rsid w:val="14D40EDF"/>
    <w:rsid w:val="158A1DEE"/>
    <w:rsid w:val="16082FA9"/>
    <w:rsid w:val="162D730D"/>
    <w:rsid w:val="16551DD9"/>
    <w:rsid w:val="16575292"/>
    <w:rsid w:val="171B1EFA"/>
    <w:rsid w:val="1742264A"/>
    <w:rsid w:val="17D47448"/>
    <w:rsid w:val="17F753DF"/>
    <w:rsid w:val="18385E66"/>
    <w:rsid w:val="184C5231"/>
    <w:rsid w:val="18DF42F7"/>
    <w:rsid w:val="193164FC"/>
    <w:rsid w:val="194929D0"/>
    <w:rsid w:val="195F53C6"/>
    <w:rsid w:val="197D0852"/>
    <w:rsid w:val="19AD3F31"/>
    <w:rsid w:val="19BE0653"/>
    <w:rsid w:val="1A82318C"/>
    <w:rsid w:val="1AA123DE"/>
    <w:rsid w:val="1AB47C83"/>
    <w:rsid w:val="1AD75285"/>
    <w:rsid w:val="1AF50976"/>
    <w:rsid w:val="1B2B4291"/>
    <w:rsid w:val="1B6D0075"/>
    <w:rsid w:val="1B88771A"/>
    <w:rsid w:val="1B974A15"/>
    <w:rsid w:val="1B9D5C24"/>
    <w:rsid w:val="1BCC2910"/>
    <w:rsid w:val="1C625023"/>
    <w:rsid w:val="1CDE0921"/>
    <w:rsid w:val="1CEE2D5A"/>
    <w:rsid w:val="1D280A4C"/>
    <w:rsid w:val="1DB210F5"/>
    <w:rsid w:val="1DC264D1"/>
    <w:rsid w:val="1E22286F"/>
    <w:rsid w:val="1E2406FF"/>
    <w:rsid w:val="1E8200A7"/>
    <w:rsid w:val="1EB6203D"/>
    <w:rsid w:val="1EEC19F0"/>
    <w:rsid w:val="1F4C7D4E"/>
    <w:rsid w:val="1F7B73B7"/>
    <w:rsid w:val="1FAE696D"/>
    <w:rsid w:val="1FFC753C"/>
    <w:rsid w:val="20322872"/>
    <w:rsid w:val="20783067"/>
    <w:rsid w:val="207D68CF"/>
    <w:rsid w:val="20FA0AE2"/>
    <w:rsid w:val="215A451A"/>
    <w:rsid w:val="216830DB"/>
    <w:rsid w:val="2197576F"/>
    <w:rsid w:val="21D677CA"/>
    <w:rsid w:val="21F044E6"/>
    <w:rsid w:val="21FF521C"/>
    <w:rsid w:val="220300C0"/>
    <w:rsid w:val="234F61BF"/>
    <w:rsid w:val="236C57F3"/>
    <w:rsid w:val="237F5C5C"/>
    <w:rsid w:val="23865698"/>
    <w:rsid w:val="242F0D77"/>
    <w:rsid w:val="24320814"/>
    <w:rsid w:val="247B5217"/>
    <w:rsid w:val="24AF2F3B"/>
    <w:rsid w:val="24FC7E99"/>
    <w:rsid w:val="250C58E6"/>
    <w:rsid w:val="25341526"/>
    <w:rsid w:val="2544340C"/>
    <w:rsid w:val="254E083A"/>
    <w:rsid w:val="259B782A"/>
    <w:rsid w:val="2613738E"/>
    <w:rsid w:val="261C4494"/>
    <w:rsid w:val="261C4EC1"/>
    <w:rsid w:val="265F0B14"/>
    <w:rsid w:val="26A741EE"/>
    <w:rsid w:val="28A123DD"/>
    <w:rsid w:val="28AD1303"/>
    <w:rsid w:val="28E26A11"/>
    <w:rsid w:val="29792314"/>
    <w:rsid w:val="297A67CA"/>
    <w:rsid w:val="29A4312C"/>
    <w:rsid w:val="2A8B1BE9"/>
    <w:rsid w:val="2AC31A6F"/>
    <w:rsid w:val="2ADB2F90"/>
    <w:rsid w:val="2AE30A1D"/>
    <w:rsid w:val="2B03505C"/>
    <w:rsid w:val="2B062EC1"/>
    <w:rsid w:val="2B52695A"/>
    <w:rsid w:val="2B754ADA"/>
    <w:rsid w:val="2B8143D9"/>
    <w:rsid w:val="2C0A6472"/>
    <w:rsid w:val="2CCE400E"/>
    <w:rsid w:val="2D125699"/>
    <w:rsid w:val="2D227DF8"/>
    <w:rsid w:val="2D4A30B5"/>
    <w:rsid w:val="2DA670F9"/>
    <w:rsid w:val="2E0917A2"/>
    <w:rsid w:val="2E2E101D"/>
    <w:rsid w:val="2E321ECD"/>
    <w:rsid w:val="2E530C6F"/>
    <w:rsid w:val="2ED309F9"/>
    <w:rsid w:val="2EFB02E4"/>
    <w:rsid w:val="2F015176"/>
    <w:rsid w:val="2F3778F1"/>
    <w:rsid w:val="2F493758"/>
    <w:rsid w:val="2F8A6913"/>
    <w:rsid w:val="30077F63"/>
    <w:rsid w:val="300E58D7"/>
    <w:rsid w:val="3024402D"/>
    <w:rsid w:val="303C3A25"/>
    <w:rsid w:val="30796EBD"/>
    <w:rsid w:val="30C20FF1"/>
    <w:rsid w:val="31C16B37"/>
    <w:rsid w:val="31D63712"/>
    <w:rsid w:val="3236653B"/>
    <w:rsid w:val="32AD69CC"/>
    <w:rsid w:val="32B248DB"/>
    <w:rsid w:val="335226FB"/>
    <w:rsid w:val="33B0446E"/>
    <w:rsid w:val="33B8407C"/>
    <w:rsid w:val="33BE302F"/>
    <w:rsid w:val="3509204C"/>
    <w:rsid w:val="351451C1"/>
    <w:rsid w:val="358061D4"/>
    <w:rsid w:val="358747BA"/>
    <w:rsid w:val="35994503"/>
    <w:rsid w:val="359A20DB"/>
    <w:rsid w:val="35C23495"/>
    <w:rsid w:val="3619454C"/>
    <w:rsid w:val="36254C79"/>
    <w:rsid w:val="364517E5"/>
    <w:rsid w:val="36752EF1"/>
    <w:rsid w:val="36DD5E06"/>
    <w:rsid w:val="37260D81"/>
    <w:rsid w:val="37294D73"/>
    <w:rsid w:val="37645C9B"/>
    <w:rsid w:val="37D119EB"/>
    <w:rsid w:val="381A106C"/>
    <w:rsid w:val="3885236D"/>
    <w:rsid w:val="38CC24E3"/>
    <w:rsid w:val="38E47094"/>
    <w:rsid w:val="39812A12"/>
    <w:rsid w:val="39A771E6"/>
    <w:rsid w:val="39B16DA7"/>
    <w:rsid w:val="3ACA3D62"/>
    <w:rsid w:val="3AD35612"/>
    <w:rsid w:val="3B070E17"/>
    <w:rsid w:val="3B64270E"/>
    <w:rsid w:val="3BED44B1"/>
    <w:rsid w:val="3C177E23"/>
    <w:rsid w:val="3C2214B4"/>
    <w:rsid w:val="3C493962"/>
    <w:rsid w:val="3C67276D"/>
    <w:rsid w:val="3CB5579D"/>
    <w:rsid w:val="3D672B1F"/>
    <w:rsid w:val="3D895930"/>
    <w:rsid w:val="3D9A1387"/>
    <w:rsid w:val="3DE23C97"/>
    <w:rsid w:val="3DF1031B"/>
    <w:rsid w:val="3E1D6BA4"/>
    <w:rsid w:val="3F1370CD"/>
    <w:rsid w:val="3F165ACD"/>
    <w:rsid w:val="3F5E342A"/>
    <w:rsid w:val="3FB0085B"/>
    <w:rsid w:val="3FEB6F5A"/>
    <w:rsid w:val="405E15A1"/>
    <w:rsid w:val="407712FB"/>
    <w:rsid w:val="409969B6"/>
    <w:rsid w:val="412F5DD1"/>
    <w:rsid w:val="413E138E"/>
    <w:rsid w:val="4182289B"/>
    <w:rsid w:val="41B75F61"/>
    <w:rsid w:val="41C7791D"/>
    <w:rsid w:val="41CE268F"/>
    <w:rsid w:val="424B0183"/>
    <w:rsid w:val="427371D3"/>
    <w:rsid w:val="43AC6A00"/>
    <w:rsid w:val="43B21B3C"/>
    <w:rsid w:val="43CB7DA4"/>
    <w:rsid w:val="43EB1029"/>
    <w:rsid w:val="43F6794C"/>
    <w:rsid w:val="44534BCF"/>
    <w:rsid w:val="448A4FB4"/>
    <w:rsid w:val="44F42F7F"/>
    <w:rsid w:val="450C4E64"/>
    <w:rsid w:val="451A4DDC"/>
    <w:rsid w:val="453C4FA7"/>
    <w:rsid w:val="454C3756"/>
    <w:rsid w:val="4583789E"/>
    <w:rsid w:val="4613720A"/>
    <w:rsid w:val="463A2266"/>
    <w:rsid w:val="46F012F9"/>
    <w:rsid w:val="470A5F75"/>
    <w:rsid w:val="474F273E"/>
    <w:rsid w:val="4827035C"/>
    <w:rsid w:val="4867383D"/>
    <w:rsid w:val="488F1B84"/>
    <w:rsid w:val="491A0D18"/>
    <w:rsid w:val="499C1C35"/>
    <w:rsid w:val="49C8030C"/>
    <w:rsid w:val="49E476BF"/>
    <w:rsid w:val="4A4D616A"/>
    <w:rsid w:val="4A772F71"/>
    <w:rsid w:val="4B095653"/>
    <w:rsid w:val="4B0B1799"/>
    <w:rsid w:val="4B464B53"/>
    <w:rsid w:val="4B6A0111"/>
    <w:rsid w:val="4CAE37E9"/>
    <w:rsid w:val="4D384E0B"/>
    <w:rsid w:val="4D7367E0"/>
    <w:rsid w:val="4DAD259B"/>
    <w:rsid w:val="4DB5353B"/>
    <w:rsid w:val="4DB92B4A"/>
    <w:rsid w:val="4DD06ECE"/>
    <w:rsid w:val="4EAA3C5E"/>
    <w:rsid w:val="4EB30198"/>
    <w:rsid w:val="4EE01C53"/>
    <w:rsid w:val="4F5001B0"/>
    <w:rsid w:val="4FB85557"/>
    <w:rsid w:val="4FD94ADC"/>
    <w:rsid w:val="4FE92D8A"/>
    <w:rsid w:val="50984D01"/>
    <w:rsid w:val="51534672"/>
    <w:rsid w:val="5200360F"/>
    <w:rsid w:val="522D3402"/>
    <w:rsid w:val="522D51B0"/>
    <w:rsid w:val="525B5BC4"/>
    <w:rsid w:val="52F60BCD"/>
    <w:rsid w:val="535449BE"/>
    <w:rsid w:val="538A6632"/>
    <w:rsid w:val="53B12913"/>
    <w:rsid w:val="54204706"/>
    <w:rsid w:val="54904399"/>
    <w:rsid w:val="551B1111"/>
    <w:rsid w:val="558E1666"/>
    <w:rsid w:val="56147EB6"/>
    <w:rsid w:val="56760221"/>
    <w:rsid w:val="56CB3AB3"/>
    <w:rsid w:val="56E60023"/>
    <w:rsid w:val="570E2D1C"/>
    <w:rsid w:val="573C40E7"/>
    <w:rsid w:val="57CD2509"/>
    <w:rsid w:val="5831685A"/>
    <w:rsid w:val="58555460"/>
    <w:rsid w:val="58711B6E"/>
    <w:rsid w:val="58830A41"/>
    <w:rsid w:val="591C077B"/>
    <w:rsid w:val="59390E0E"/>
    <w:rsid w:val="597F2AC5"/>
    <w:rsid w:val="598563CD"/>
    <w:rsid w:val="59AC5554"/>
    <w:rsid w:val="59CD3199"/>
    <w:rsid w:val="59EE2CC8"/>
    <w:rsid w:val="5A51638F"/>
    <w:rsid w:val="5AE62439"/>
    <w:rsid w:val="5B1A487D"/>
    <w:rsid w:val="5B29284B"/>
    <w:rsid w:val="5B6245B1"/>
    <w:rsid w:val="5BCE0EC9"/>
    <w:rsid w:val="5C056DC9"/>
    <w:rsid w:val="5C3B2BBF"/>
    <w:rsid w:val="5C5A1297"/>
    <w:rsid w:val="5C8F6A67"/>
    <w:rsid w:val="5CF44F39"/>
    <w:rsid w:val="5D2B2C34"/>
    <w:rsid w:val="5D5B217D"/>
    <w:rsid w:val="5D8D14B8"/>
    <w:rsid w:val="5DAD6EE6"/>
    <w:rsid w:val="5E7C1BC9"/>
    <w:rsid w:val="5EA4152C"/>
    <w:rsid w:val="5F37766E"/>
    <w:rsid w:val="5F777028"/>
    <w:rsid w:val="5FA42829"/>
    <w:rsid w:val="5FCE760F"/>
    <w:rsid w:val="5FEE01EC"/>
    <w:rsid w:val="603234F9"/>
    <w:rsid w:val="60354742"/>
    <w:rsid w:val="60471B32"/>
    <w:rsid w:val="6094289E"/>
    <w:rsid w:val="60A336F6"/>
    <w:rsid w:val="60A729BD"/>
    <w:rsid w:val="60C211B9"/>
    <w:rsid w:val="6100086D"/>
    <w:rsid w:val="612B3151"/>
    <w:rsid w:val="61CA1AF5"/>
    <w:rsid w:val="61FA044D"/>
    <w:rsid w:val="625C605E"/>
    <w:rsid w:val="62DF3BFD"/>
    <w:rsid w:val="62ED2112"/>
    <w:rsid w:val="62FA2808"/>
    <w:rsid w:val="633839B4"/>
    <w:rsid w:val="6349331C"/>
    <w:rsid w:val="639D4744"/>
    <w:rsid w:val="639E6C5A"/>
    <w:rsid w:val="63B954B0"/>
    <w:rsid w:val="63BC6393"/>
    <w:rsid w:val="63ED479F"/>
    <w:rsid w:val="640A5A31"/>
    <w:rsid w:val="647E57C1"/>
    <w:rsid w:val="64B01446"/>
    <w:rsid w:val="64B41BB8"/>
    <w:rsid w:val="64C4190B"/>
    <w:rsid w:val="64C71494"/>
    <w:rsid w:val="65230670"/>
    <w:rsid w:val="65311E57"/>
    <w:rsid w:val="655D0533"/>
    <w:rsid w:val="6684666A"/>
    <w:rsid w:val="66C6311C"/>
    <w:rsid w:val="6750254A"/>
    <w:rsid w:val="67544B35"/>
    <w:rsid w:val="678216A2"/>
    <w:rsid w:val="682E35D8"/>
    <w:rsid w:val="68686640"/>
    <w:rsid w:val="686A3AA5"/>
    <w:rsid w:val="68810E40"/>
    <w:rsid w:val="68DE415E"/>
    <w:rsid w:val="69212EC9"/>
    <w:rsid w:val="699672D8"/>
    <w:rsid w:val="69F403D7"/>
    <w:rsid w:val="69F577BC"/>
    <w:rsid w:val="6A1C386D"/>
    <w:rsid w:val="6A6652AB"/>
    <w:rsid w:val="6A712C2E"/>
    <w:rsid w:val="6A7B679D"/>
    <w:rsid w:val="6AA01D79"/>
    <w:rsid w:val="6AB97AD1"/>
    <w:rsid w:val="6AE21D10"/>
    <w:rsid w:val="6B067A7B"/>
    <w:rsid w:val="6B0A032C"/>
    <w:rsid w:val="6B235A3D"/>
    <w:rsid w:val="6C17530D"/>
    <w:rsid w:val="6C2F3BD7"/>
    <w:rsid w:val="6C5B3811"/>
    <w:rsid w:val="6CDC162F"/>
    <w:rsid w:val="6D192AA9"/>
    <w:rsid w:val="6D224427"/>
    <w:rsid w:val="6D400952"/>
    <w:rsid w:val="6D690BA0"/>
    <w:rsid w:val="6D957531"/>
    <w:rsid w:val="6DC96BED"/>
    <w:rsid w:val="6DFD4A69"/>
    <w:rsid w:val="6E2D7E91"/>
    <w:rsid w:val="6E345C3F"/>
    <w:rsid w:val="6E3F1A1D"/>
    <w:rsid w:val="6E8172FB"/>
    <w:rsid w:val="6E867CCA"/>
    <w:rsid w:val="6EAB5982"/>
    <w:rsid w:val="6EBA5D9B"/>
    <w:rsid w:val="6EC24CA0"/>
    <w:rsid w:val="6F06705D"/>
    <w:rsid w:val="6F9C3C14"/>
    <w:rsid w:val="6FB90074"/>
    <w:rsid w:val="6FFB69E3"/>
    <w:rsid w:val="70504505"/>
    <w:rsid w:val="70504DF5"/>
    <w:rsid w:val="708201F7"/>
    <w:rsid w:val="70BC476E"/>
    <w:rsid w:val="70C06F44"/>
    <w:rsid w:val="70CA26B2"/>
    <w:rsid w:val="70D07388"/>
    <w:rsid w:val="70D26D86"/>
    <w:rsid w:val="71155335"/>
    <w:rsid w:val="714874B8"/>
    <w:rsid w:val="71704D72"/>
    <w:rsid w:val="719E17CE"/>
    <w:rsid w:val="71C832A0"/>
    <w:rsid w:val="71FD032D"/>
    <w:rsid w:val="721A20A1"/>
    <w:rsid w:val="721C53BF"/>
    <w:rsid w:val="72E74AAF"/>
    <w:rsid w:val="731F06ED"/>
    <w:rsid w:val="73301433"/>
    <w:rsid w:val="73C31078"/>
    <w:rsid w:val="74624D35"/>
    <w:rsid w:val="746705DE"/>
    <w:rsid w:val="74752D86"/>
    <w:rsid w:val="74D8281E"/>
    <w:rsid w:val="75322959"/>
    <w:rsid w:val="7568637B"/>
    <w:rsid w:val="75942550"/>
    <w:rsid w:val="75F1438E"/>
    <w:rsid w:val="76653731"/>
    <w:rsid w:val="768B118A"/>
    <w:rsid w:val="76AB532C"/>
    <w:rsid w:val="76BB634C"/>
    <w:rsid w:val="76DA62D0"/>
    <w:rsid w:val="76E7339B"/>
    <w:rsid w:val="77000835"/>
    <w:rsid w:val="773129CD"/>
    <w:rsid w:val="774249AA"/>
    <w:rsid w:val="774710AA"/>
    <w:rsid w:val="77784870"/>
    <w:rsid w:val="77BB0066"/>
    <w:rsid w:val="77F70C00"/>
    <w:rsid w:val="783B68AA"/>
    <w:rsid w:val="78510A20"/>
    <w:rsid w:val="78863259"/>
    <w:rsid w:val="797D0CC5"/>
    <w:rsid w:val="79FB1E74"/>
    <w:rsid w:val="7A803430"/>
    <w:rsid w:val="7AA90CA6"/>
    <w:rsid w:val="7B1448AF"/>
    <w:rsid w:val="7B1749F1"/>
    <w:rsid w:val="7BB62B1F"/>
    <w:rsid w:val="7BE627B5"/>
    <w:rsid w:val="7BF65913"/>
    <w:rsid w:val="7C0E0656"/>
    <w:rsid w:val="7CF23C2B"/>
    <w:rsid w:val="7CF820C9"/>
    <w:rsid w:val="7D3149F1"/>
    <w:rsid w:val="7D5A0B1B"/>
    <w:rsid w:val="7D823A81"/>
    <w:rsid w:val="7DB944DD"/>
    <w:rsid w:val="7E1D0F39"/>
    <w:rsid w:val="7E3665E3"/>
    <w:rsid w:val="7E723CF9"/>
    <w:rsid w:val="7EAC62AC"/>
    <w:rsid w:val="7F833DB1"/>
    <w:rsid w:val="7FB83A5B"/>
    <w:rsid w:val="7FC64498"/>
    <w:rsid w:val="7FF6794B"/>
    <w:rsid w:val="7FFE72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iPriority="39" w:semiHidden="0"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8"/>
    <w:qFormat/>
    <w:uiPriority w:val="99"/>
    <w:pPr>
      <w:keepNext/>
      <w:keepLines/>
      <w:spacing w:before="340" w:after="330" w:line="578" w:lineRule="auto"/>
      <w:outlineLvl w:val="0"/>
    </w:pPr>
    <w:rPr>
      <w:rFonts w:ascii="Calibri" w:hAnsi="Calibri"/>
      <w:b/>
      <w:bCs/>
      <w:kern w:val="44"/>
      <w:sz w:val="44"/>
      <w:szCs w:val="44"/>
    </w:rPr>
  </w:style>
  <w:style w:type="paragraph" w:styleId="4">
    <w:name w:val="heading 2"/>
    <w:basedOn w:val="1"/>
    <w:next w:val="5"/>
    <w:link w:val="39"/>
    <w:qFormat/>
    <w:uiPriority w:val="9"/>
    <w:pPr>
      <w:keepNext/>
      <w:keepLines/>
      <w:spacing w:before="260" w:after="260" w:line="416" w:lineRule="auto"/>
      <w:outlineLvl w:val="1"/>
    </w:pPr>
    <w:rPr>
      <w:rFonts w:ascii="Cambria" w:hAnsi="Cambria"/>
      <w:b/>
      <w:bCs/>
      <w:kern w:val="0"/>
      <w:sz w:val="32"/>
      <w:szCs w:val="32"/>
    </w:rPr>
  </w:style>
  <w:style w:type="paragraph" w:styleId="6">
    <w:name w:val="heading 3"/>
    <w:basedOn w:val="1"/>
    <w:next w:val="1"/>
    <w:link w:val="37"/>
    <w:qFormat/>
    <w:uiPriority w:val="0"/>
    <w:pPr>
      <w:keepNext/>
      <w:keepLines/>
      <w:spacing w:before="260" w:after="260" w:line="416" w:lineRule="auto"/>
      <w:outlineLvl w:val="2"/>
    </w:pPr>
    <w:rPr>
      <w:rFonts w:ascii="Calibri" w:hAnsi="Calibri"/>
      <w:b/>
      <w:bCs/>
      <w:kern w:val="0"/>
      <w:sz w:val="32"/>
      <w:szCs w:val="32"/>
    </w:rPr>
  </w:style>
  <w:style w:type="paragraph" w:styleId="7">
    <w:name w:val="heading 4"/>
    <w:basedOn w:val="1"/>
    <w:next w:val="5"/>
    <w:link w:val="41"/>
    <w:qFormat/>
    <w:uiPriority w:val="0"/>
    <w:pPr>
      <w:spacing w:before="280" w:after="290" w:line="377" w:lineRule="auto"/>
      <w:outlineLvl w:val="3"/>
    </w:pPr>
    <w:rPr>
      <w:rFonts w:ascii="Arial" w:hAnsi="Arial" w:eastAsia="黑体"/>
      <w:b/>
      <w:bCs/>
      <w:kern w:val="0"/>
      <w:sz w:val="28"/>
      <w:szCs w:val="28"/>
    </w:rPr>
  </w:style>
  <w:style w:type="paragraph" w:styleId="8">
    <w:name w:val="heading 8"/>
    <w:basedOn w:val="1"/>
    <w:next w:val="1"/>
    <w:link w:val="42"/>
    <w:unhideWhenUsed/>
    <w:qFormat/>
    <w:uiPriority w:val="9"/>
    <w:pPr>
      <w:keepNext/>
      <w:keepLines/>
      <w:spacing w:before="240" w:after="64" w:line="320" w:lineRule="auto"/>
      <w:outlineLvl w:val="7"/>
    </w:pPr>
    <w:rPr>
      <w:rFonts w:ascii="Cambria" w:hAnsi="Cambria"/>
      <w:sz w:val="24"/>
      <w:szCs w:val="24"/>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rFonts w:ascii="Calibri" w:hAnsi="Calibri"/>
      <w:b/>
      <w:bCs/>
      <w:sz w:val="32"/>
      <w:szCs w:val="32"/>
    </w:rPr>
  </w:style>
  <w:style w:type="paragraph" w:styleId="5">
    <w:name w:val="Normal Indent"/>
    <w:basedOn w:val="1"/>
    <w:link w:val="40"/>
    <w:unhideWhenUsed/>
    <w:qFormat/>
    <w:uiPriority w:val="0"/>
    <w:pPr>
      <w:ind w:firstLine="420" w:firstLineChars="200"/>
    </w:pPr>
    <w:rPr>
      <w:rFonts w:ascii="Calibri" w:hAnsi="Calibri"/>
    </w:rPr>
  </w:style>
  <w:style w:type="paragraph" w:styleId="9">
    <w:name w:val="List 3"/>
    <w:basedOn w:val="1"/>
    <w:qFormat/>
    <w:uiPriority w:val="0"/>
    <w:pPr>
      <w:adjustRightInd w:val="0"/>
      <w:spacing w:line="360" w:lineRule="auto"/>
      <w:ind w:left="100" w:leftChars="400" w:hanging="200" w:hangingChars="200"/>
      <w:textAlignment w:val="baseline"/>
    </w:pPr>
    <w:rPr>
      <w:rFonts w:ascii="宋体" w:eastAsia="仿宋"/>
      <w:kern w:val="0"/>
      <w:sz w:val="28"/>
      <w:szCs w:val="21"/>
    </w:rPr>
  </w:style>
  <w:style w:type="paragraph" w:styleId="10">
    <w:name w:val="Document Map"/>
    <w:basedOn w:val="1"/>
    <w:link w:val="43"/>
    <w:unhideWhenUsed/>
    <w:qFormat/>
    <w:uiPriority w:val="99"/>
    <w:rPr>
      <w:rFonts w:ascii="宋体"/>
      <w:sz w:val="18"/>
      <w:szCs w:val="18"/>
    </w:rPr>
  </w:style>
  <w:style w:type="paragraph" w:styleId="11">
    <w:name w:val="Body Text"/>
    <w:basedOn w:val="1"/>
    <w:next w:val="12"/>
    <w:qFormat/>
    <w:uiPriority w:val="0"/>
    <w:rPr>
      <w:rFonts w:ascii="楷体_GB2312" w:hAnsi="Arial" w:eastAsia="楷体_GB2312"/>
      <w:sz w:val="28"/>
      <w:szCs w:val="28"/>
    </w:rPr>
  </w:style>
  <w:style w:type="paragraph" w:styleId="12">
    <w:name w:val="toc 8"/>
    <w:basedOn w:val="1"/>
    <w:next w:val="1"/>
    <w:unhideWhenUsed/>
    <w:qFormat/>
    <w:uiPriority w:val="39"/>
    <w:pPr>
      <w:spacing w:after="57"/>
      <w:ind w:left="1984"/>
    </w:pPr>
  </w:style>
  <w:style w:type="paragraph" w:styleId="13">
    <w:name w:val="Body Text Indent"/>
    <w:basedOn w:val="1"/>
    <w:next w:val="1"/>
    <w:link w:val="44"/>
    <w:unhideWhenUsed/>
    <w:qFormat/>
    <w:uiPriority w:val="99"/>
    <w:pPr>
      <w:spacing w:after="120"/>
      <w:ind w:left="420" w:leftChars="200"/>
    </w:pPr>
  </w:style>
  <w:style w:type="paragraph" w:styleId="14">
    <w:name w:val="Block Text"/>
    <w:basedOn w:val="1"/>
    <w:unhideWhenUsed/>
    <w:qFormat/>
    <w:uiPriority w:val="99"/>
    <w:pPr>
      <w:ind w:left="567" w:right="454" w:firstLine="498"/>
      <w:jc w:val="left"/>
    </w:pPr>
    <w:rPr>
      <w:rFonts w:ascii="仿宋_GB2312" w:eastAsia="仿宋_GB2312"/>
      <w:sz w:val="30"/>
      <w:szCs w:val="20"/>
    </w:rPr>
  </w:style>
  <w:style w:type="paragraph" w:styleId="15">
    <w:name w:val="Plain Text"/>
    <w:basedOn w:val="1"/>
    <w:link w:val="45"/>
    <w:unhideWhenUsed/>
    <w:qFormat/>
    <w:uiPriority w:val="99"/>
    <w:rPr>
      <w:rFonts w:ascii="宋体" w:hAnsi="Courier New"/>
      <w:kern w:val="0"/>
      <w:sz w:val="20"/>
      <w:szCs w:val="20"/>
    </w:rPr>
  </w:style>
  <w:style w:type="paragraph" w:styleId="16">
    <w:name w:val="Date"/>
    <w:basedOn w:val="1"/>
    <w:next w:val="1"/>
    <w:link w:val="46"/>
    <w:qFormat/>
    <w:uiPriority w:val="0"/>
    <w:rPr>
      <w:kern w:val="0"/>
      <w:sz w:val="24"/>
      <w:szCs w:val="20"/>
    </w:rPr>
  </w:style>
  <w:style w:type="paragraph" w:styleId="17">
    <w:name w:val="Body Text Indent 2"/>
    <w:basedOn w:val="1"/>
    <w:unhideWhenUsed/>
    <w:qFormat/>
    <w:uiPriority w:val="99"/>
    <w:pPr>
      <w:snapToGrid w:val="0"/>
      <w:spacing w:line="480" w:lineRule="exact"/>
      <w:ind w:firstLine="562" w:firstLineChars="200"/>
    </w:pPr>
    <w:rPr>
      <w:b/>
      <w:bCs/>
      <w:kern w:val="0"/>
      <w:sz w:val="28"/>
      <w:szCs w:val="28"/>
    </w:rPr>
  </w:style>
  <w:style w:type="paragraph" w:styleId="18">
    <w:name w:val="Balloon Text"/>
    <w:basedOn w:val="1"/>
    <w:link w:val="72"/>
    <w:semiHidden/>
    <w:unhideWhenUsed/>
    <w:qFormat/>
    <w:uiPriority w:val="99"/>
    <w:rPr>
      <w:sz w:val="18"/>
      <w:szCs w:val="18"/>
    </w:rPr>
  </w:style>
  <w:style w:type="paragraph" w:styleId="19">
    <w:name w:val="footer"/>
    <w:basedOn w:val="1"/>
    <w:link w:val="47"/>
    <w:unhideWhenUsed/>
    <w:qFormat/>
    <w:uiPriority w:val="0"/>
    <w:pPr>
      <w:tabs>
        <w:tab w:val="center" w:pos="4153"/>
        <w:tab w:val="right" w:pos="8306"/>
      </w:tabs>
      <w:snapToGrid w:val="0"/>
      <w:jc w:val="left"/>
    </w:pPr>
    <w:rPr>
      <w:kern w:val="0"/>
      <w:sz w:val="18"/>
      <w:szCs w:val="18"/>
    </w:rPr>
  </w:style>
  <w:style w:type="paragraph" w:styleId="20">
    <w:name w:val="header"/>
    <w:basedOn w:val="1"/>
    <w:link w:val="4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1">
    <w:name w:val="toc 1"/>
    <w:basedOn w:val="1"/>
    <w:next w:val="1"/>
    <w:unhideWhenUsed/>
    <w:qFormat/>
    <w:uiPriority w:val="39"/>
    <w:rPr>
      <w:rFonts w:ascii="Calibri" w:hAnsi="Calibri"/>
    </w:rPr>
  </w:style>
  <w:style w:type="paragraph" w:styleId="22">
    <w:name w:val="toc 2"/>
    <w:basedOn w:val="1"/>
    <w:next w:val="1"/>
    <w:unhideWhenUsed/>
    <w:qFormat/>
    <w:uiPriority w:val="39"/>
    <w:pPr>
      <w:ind w:left="420" w:leftChars="200"/>
    </w:pPr>
  </w:style>
  <w:style w:type="paragraph" w:styleId="23">
    <w:name w:val="Body Text 2"/>
    <w:basedOn w:val="1"/>
    <w:link w:val="49"/>
    <w:qFormat/>
    <w:uiPriority w:val="0"/>
    <w:pPr>
      <w:adjustRightInd w:val="0"/>
      <w:spacing w:after="120" w:line="480" w:lineRule="auto"/>
      <w:textAlignment w:val="baseline"/>
    </w:pPr>
    <w:rPr>
      <w:rFonts w:ascii="宋体" w:eastAsia="仿宋"/>
      <w:kern w:val="0"/>
      <w:sz w:val="28"/>
      <w:szCs w:val="21"/>
    </w:rPr>
  </w:style>
  <w:style w:type="paragraph" w:styleId="24">
    <w:name w:val="Normal (Web)"/>
    <w:basedOn w:val="1"/>
    <w:unhideWhenUsed/>
    <w:qFormat/>
    <w:uiPriority w:val="99"/>
    <w:pPr>
      <w:jc w:val="left"/>
    </w:pPr>
    <w:rPr>
      <w:rFonts w:ascii="Calibri" w:hAnsi="Calibri"/>
      <w:kern w:val="0"/>
      <w:sz w:val="24"/>
      <w:szCs w:val="24"/>
    </w:rPr>
  </w:style>
  <w:style w:type="paragraph" w:styleId="25">
    <w:name w:val="Body Text First Indent 2"/>
    <w:basedOn w:val="13"/>
    <w:link w:val="50"/>
    <w:unhideWhenUsed/>
    <w:qFormat/>
    <w:uiPriority w:val="99"/>
    <w:pPr>
      <w:ind w:firstLine="420" w:firstLineChars="200"/>
    </w:pPr>
  </w:style>
  <w:style w:type="character" w:styleId="28">
    <w:name w:val="Strong"/>
    <w:qFormat/>
    <w:uiPriority w:val="0"/>
    <w:rPr>
      <w:b/>
    </w:rPr>
  </w:style>
  <w:style w:type="character" w:styleId="29">
    <w:name w:val="Emphasis"/>
    <w:basedOn w:val="27"/>
    <w:qFormat/>
    <w:uiPriority w:val="20"/>
    <w:rPr>
      <w:i/>
      <w:iCs/>
    </w:rPr>
  </w:style>
  <w:style w:type="character" w:styleId="30">
    <w:name w:val="Hyperlink"/>
    <w:qFormat/>
    <w:uiPriority w:val="99"/>
    <w:rPr>
      <w:color w:val="0000FF"/>
      <w:u w:val="single"/>
    </w:rPr>
  </w:style>
  <w:style w:type="paragraph" w:customStyle="1" w:styleId="31">
    <w:name w:val="Default"/>
    <w:qFormat/>
    <w:uiPriority w:val="0"/>
    <w:pPr>
      <w:widowControl w:val="0"/>
    </w:pPr>
    <w:rPr>
      <w:rFonts w:ascii="宋体" w:hAnsi="宋体" w:eastAsia="宋体" w:cs="Times New Roman"/>
      <w:color w:val="000000"/>
      <w:sz w:val="24"/>
      <w:szCs w:val="22"/>
      <w:lang w:val="en-US" w:eastAsia="zh-CN" w:bidi="ar-SA"/>
    </w:rPr>
  </w:style>
  <w:style w:type="paragraph" w:customStyle="1" w:styleId="32">
    <w:name w:val="段"/>
    <w:basedOn w:val="33"/>
    <w:next w:val="1"/>
    <w:qFormat/>
    <w:uiPriority w:val="0"/>
    <w:pPr>
      <w:widowControl/>
      <w:ind w:firstLine="200"/>
    </w:pPr>
    <w:rPr>
      <w:sz w:val="20"/>
    </w:rPr>
  </w:style>
  <w:style w:type="paragraph" w:customStyle="1" w:styleId="33">
    <w:name w:val="正文1"/>
    <w:basedOn w:val="1"/>
    <w:next w:val="34"/>
    <w:qFormat/>
    <w:uiPriority w:val="0"/>
    <w:pPr>
      <w:spacing w:line="360" w:lineRule="atLeast"/>
      <w:jc w:val="left"/>
    </w:pPr>
    <w:rPr>
      <w:rFonts w:ascii="宋体" w:hAnsi="Calibri"/>
      <w:sz w:val="24"/>
      <w:szCs w:val="20"/>
    </w:rPr>
  </w:style>
  <w:style w:type="paragraph" w:customStyle="1" w:styleId="34">
    <w:name w:val="正文文本1"/>
    <w:basedOn w:val="33"/>
    <w:next w:val="35"/>
    <w:qFormat/>
    <w:uiPriority w:val="0"/>
    <w:pPr>
      <w:spacing w:after="120"/>
    </w:pPr>
    <w:rPr>
      <w:lang w:eastAsia="en-US"/>
    </w:rPr>
  </w:style>
  <w:style w:type="paragraph" w:customStyle="1" w:styleId="35">
    <w:name w:val="一级条标题"/>
    <w:basedOn w:val="36"/>
    <w:next w:val="3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6">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character" w:customStyle="1" w:styleId="37">
    <w:name w:val="标题 3 Char"/>
    <w:link w:val="6"/>
    <w:qFormat/>
    <w:uiPriority w:val="0"/>
    <w:rPr>
      <w:rFonts w:ascii="Calibri" w:hAnsi="Calibri" w:eastAsia="宋体" w:cs="Times New Roman"/>
      <w:b/>
      <w:bCs/>
      <w:sz w:val="32"/>
      <w:szCs w:val="32"/>
    </w:rPr>
  </w:style>
  <w:style w:type="character" w:customStyle="1" w:styleId="38">
    <w:name w:val="标题 1 Char"/>
    <w:link w:val="3"/>
    <w:qFormat/>
    <w:uiPriority w:val="99"/>
    <w:rPr>
      <w:rFonts w:ascii="Calibri" w:hAnsi="Calibri" w:eastAsia="宋体" w:cs="Times New Roman"/>
      <w:b/>
      <w:bCs/>
      <w:kern w:val="44"/>
      <w:sz w:val="44"/>
      <w:szCs w:val="44"/>
    </w:rPr>
  </w:style>
  <w:style w:type="character" w:customStyle="1" w:styleId="39">
    <w:name w:val="标题 2 Char"/>
    <w:link w:val="4"/>
    <w:qFormat/>
    <w:uiPriority w:val="9"/>
    <w:rPr>
      <w:rFonts w:ascii="Cambria" w:hAnsi="Cambria" w:eastAsia="宋体" w:cs="Times New Roman"/>
      <w:b/>
      <w:bCs/>
      <w:sz w:val="32"/>
      <w:szCs w:val="32"/>
    </w:rPr>
  </w:style>
  <w:style w:type="character" w:customStyle="1" w:styleId="40">
    <w:name w:val="正文缩进 Char"/>
    <w:link w:val="5"/>
    <w:qFormat/>
    <w:uiPriority w:val="0"/>
    <w:rPr>
      <w:rFonts w:ascii="Calibri" w:hAnsi="Calibri"/>
      <w:kern w:val="2"/>
      <w:sz w:val="21"/>
      <w:szCs w:val="22"/>
    </w:rPr>
  </w:style>
  <w:style w:type="character" w:customStyle="1" w:styleId="41">
    <w:name w:val="标题 4 Char"/>
    <w:link w:val="7"/>
    <w:qFormat/>
    <w:uiPriority w:val="0"/>
    <w:rPr>
      <w:rFonts w:ascii="Arial" w:hAnsi="Arial" w:eastAsia="黑体" w:cs="Times New Roman"/>
      <w:b/>
      <w:bCs/>
      <w:kern w:val="0"/>
      <w:sz w:val="28"/>
      <w:szCs w:val="28"/>
    </w:rPr>
  </w:style>
  <w:style w:type="character" w:customStyle="1" w:styleId="42">
    <w:name w:val="标题 8 Char"/>
    <w:basedOn w:val="27"/>
    <w:link w:val="8"/>
    <w:qFormat/>
    <w:uiPriority w:val="99"/>
    <w:rPr>
      <w:rFonts w:ascii="Cambria" w:hAnsi="Cambria" w:eastAsia="宋体" w:cs="Times New Roman"/>
      <w:kern w:val="2"/>
      <w:sz w:val="24"/>
      <w:szCs w:val="24"/>
    </w:rPr>
  </w:style>
  <w:style w:type="character" w:customStyle="1" w:styleId="43">
    <w:name w:val="文档结构图 Char"/>
    <w:link w:val="10"/>
    <w:qFormat/>
    <w:uiPriority w:val="99"/>
    <w:rPr>
      <w:rFonts w:ascii="宋体"/>
      <w:kern w:val="2"/>
      <w:sz w:val="18"/>
      <w:szCs w:val="18"/>
    </w:rPr>
  </w:style>
  <w:style w:type="character" w:customStyle="1" w:styleId="44">
    <w:name w:val="正文文本缩进 Char"/>
    <w:basedOn w:val="27"/>
    <w:link w:val="13"/>
    <w:semiHidden/>
    <w:qFormat/>
    <w:uiPriority w:val="99"/>
    <w:rPr>
      <w:kern w:val="2"/>
      <w:sz w:val="21"/>
      <w:szCs w:val="22"/>
    </w:rPr>
  </w:style>
  <w:style w:type="character" w:customStyle="1" w:styleId="45">
    <w:name w:val="纯文本 Char"/>
    <w:link w:val="15"/>
    <w:qFormat/>
    <w:uiPriority w:val="99"/>
    <w:rPr>
      <w:rFonts w:ascii="宋体" w:hAnsi="Courier New"/>
    </w:rPr>
  </w:style>
  <w:style w:type="character" w:customStyle="1" w:styleId="46">
    <w:name w:val="日期 Char"/>
    <w:link w:val="16"/>
    <w:qFormat/>
    <w:uiPriority w:val="0"/>
    <w:rPr>
      <w:rFonts w:ascii="Times New Roman" w:hAnsi="Times New Roman"/>
      <w:sz w:val="24"/>
    </w:rPr>
  </w:style>
  <w:style w:type="character" w:customStyle="1" w:styleId="47">
    <w:name w:val="页脚 Char"/>
    <w:link w:val="19"/>
    <w:qFormat/>
    <w:uiPriority w:val="99"/>
    <w:rPr>
      <w:sz w:val="18"/>
      <w:szCs w:val="18"/>
    </w:rPr>
  </w:style>
  <w:style w:type="character" w:customStyle="1" w:styleId="48">
    <w:name w:val="页眉 Char"/>
    <w:link w:val="20"/>
    <w:qFormat/>
    <w:uiPriority w:val="99"/>
    <w:rPr>
      <w:sz w:val="18"/>
      <w:szCs w:val="18"/>
    </w:rPr>
  </w:style>
  <w:style w:type="character" w:customStyle="1" w:styleId="49">
    <w:name w:val="正文文本 2 Char"/>
    <w:basedOn w:val="27"/>
    <w:link w:val="23"/>
    <w:qFormat/>
    <w:uiPriority w:val="0"/>
    <w:rPr>
      <w:rFonts w:ascii="宋体" w:eastAsia="仿宋"/>
      <w:sz w:val="28"/>
      <w:szCs w:val="21"/>
    </w:rPr>
  </w:style>
  <w:style w:type="character" w:customStyle="1" w:styleId="50">
    <w:name w:val="正文首行缩进 2 Char"/>
    <w:basedOn w:val="44"/>
    <w:link w:val="25"/>
    <w:semiHidden/>
    <w:qFormat/>
    <w:uiPriority w:val="99"/>
    <w:rPr>
      <w:kern w:val="2"/>
      <w:sz w:val="21"/>
      <w:szCs w:val="22"/>
    </w:rPr>
  </w:style>
  <w:style w:type="character" w:customStyle="1" w:styleId="51">
    <w:name w:val="htd0"/>
    <w:qFormat/>
    <w:uiPriority w:val="0"/>
  </w:style>
  <w:style w:type="character" w:customStyle="1" w:styleId="52">
    <w:name w:val="页脚 Char1"/>
    <w:semiHidden/>
    <w:qFormat/>
    <w:uiPriority w:val="99"/>
    <w:rPr>
      <w:sz w:val="18"/>
      <w:szCs w:val="18"/>
    </w:rPr>
  </w:style>
  <w:style w:type="character" w:customStyle="1" w:styleId="53">
    <w:name w:val="纯文本 Char1"/>
    <w:semiHidden/>
    <w:qFormat/>
    <w:uiPriority w:val="99"/>
    <w:rPr>
      <w:rFonts w:ascii="宋体" w:hAnsi="Courier New" w:eastAsia="宋体" w:cs="Courier New"/>
      <w:szCs w:val="21"/>
    </w:rPr>
  </w:style>
  <w:style w:type="character" w:customStyle="1" w:styleId="54">
    <w:name w:val="批注引用1"/>
    <w:link w:val="55"/>
    <w:qFormat/>
    <w:uiPriority w:val="0"/>
    <w:rPr>
      <w:rFonts w:ascii="Calibri" w:hAnsi="Calibri"/>
      <w:sz w:val="21"/>
      <w:szCs w:val="24"/>
      <w:lang w:val="en-US" w:eastAsia="zh-CN" w:bidi="ar-SA"/>
    </w:rPr>
  </w:style>
  <w:style w:type="paragraph" w:customStyle="1" w:styleId="55">
    <w:name w:val="正文111"/>
    <w:next w:val="56"/>
    <w:link w:val="54"/>
    <w:qFormat/>
    <w:uiPriority w:val="0"/>
    <w:pPr>
      <w:widowControl w:val="0"/>
      <w:jc w:val="both"/>
    </w:pPr>
    <w:rPr>
      <w:rFonts w:ascii="Calibri" w:hAnsi="Calibri" w:eastAsia="宋体" w:cs="Times New Roman"/>
      <w:sz w:val="21"/>
      <w:szCs w:val="24"/>
      <w:lang w:val="en-US" w:eastAsia="zh-CN" w:bidi="ar-SA"/>
    </w:rPr>
  </w:style>
  <w:style w:type="paragraph" w:customStyle="1" w:styleId="56">
    <w:name w:val="文本块1"/>
    <w:basedOn w:val="55"/>
    <w:qFormat/>
    <w:uiPriority w:val="0"/>
    <w:pPr>
      <w:widowControl/>
      <w:ind w:left="567" w:right="454" w:firstLine="498"/>
      <w:jc w:val="left"/>
    </w:pPr>
    <w:rPr>
      <w:rFonts w:ascii="仿宋_GB2312" w:eastAsia="仿宋_GB2312"/>
      <w:sz w:val="30"/>
      <w:szCs w:val="20"/>
    </w:rPr>
  </w:style>
  <w:style w:type="character" w:customStyle="1" w:styleId="57">
    <w:name w:val="页眉 Char1"/>
    <w:semiHidden/>
    <w:qFormat/>
    <w:uiPriority w:val="99"/>
    <w:rPr>
      <w:sz w:val="18"/>
      <w:szCs w:val="18"/>
    </w:rPr>
  </w:style>
  <w:style w:type="character" w:customStyle="1" w:styleId="58">
    <w:name w:val="日期 Char1"/>
    <w:semiHidden/>
    <w:qFormat/>
    <w:uiPriority w:val="99"/>
  </w:style>
  <w:style w:type="paragraph" w:customStyle="1" w:styleId="59">
    <w:name w:val="纯文本1"/>
    <w:basedOn w:val="55"/>
    <w:qFormat/>
    <w:uiPriority w:val="0"/>
    <w:rPr>
      <w:rFonts w:ascii="宋体" w:hAnsi="Courier New"/>
      <w:szCs w:val="21"/>
    </w:rPr>
  </w:style>
  <w:style w:type="paragraph" w:customStyle="1" w:styleId="60">
    <w:name w:val="正文（缩进）"/>
    <w:basedOn w:val="1"/>
    <w:next w:val="1"/>
    <w:qFormat/>
    <w:uiPriority w:val="0"/>
    <w:pPr>
      <w:ind w:firstLine="480" w:firstLineChars="200"/>
    </w:pPr>
    <w:rPr>
      <w:rFonts w:ascii="Calibri" w:hAnsi="Calibri"/>
      <w:szCs w:val="24"/>
    </w:rPr>
  </w:style>
  <w:style w:type="paragraph" w:customStyle="1" w:styleId="61">
    <w:name w:val="页眉1"/>
    <w:basedOn w:val="55"/>
    <w:qFormat/>
    <w:uiPriority w:val="0"/>
    <w:pPr>
      <w:pBdr>
        <w:bottom w:val="single" w:color="000000" w:sz="6" w:space="1"/>
      </w:pBdr>
      <w:tabs>
        <w:tab w:val="center" w:pos="4153"/>
        <w:tab w:val="right" w:pos="8306"/>
      </w:tabs>
      <w:jc w:val="center"/>
    </w:pPr>
    <w:rPr>
      <w:sz w:val="18"/>
      <w:szCs w:val="18"/>
    </w:rPr>
  </w:style>
  <w:style w:type="paragraph" w:customStyle="1" w:styleId="62">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63">
    <w:name w:val="默认段落字体 Para Char Char Char Char Char Char Char"/>
    <w:basedOn w:val="1"/>
    <w:next w:val="1"/>
    <w:qFormat/>
    <w:uiPriority w:val="99"/>
    <w:pPr>
      <w:ind w:firstLine="200" w:firstLineChars="200"/>
    </w:pPr>
    <w:rPr>
      <w:rFonts w:ascii="Calibri" w:hAnsi="Calibri" w:cs="Arial"/>
      <w:szCs w:val="24"/>
    </w:rPr>
  </w:style>
  <w:style w:type="paragraph" w:customStyle="1" w:styleId="64">
    <w:name w:val="Char"/>
    <w:basedOn w:val="1"/>
    <w:qFormat/>
    <w:uiPriority w:val="0"/>
    <w:pPr>
      <w:tabs>
        <w:tab w:val="left" w:pos="360"/>
      </w:tabs>
      <w:ind w:firstLine="200" w:firstLineChars="200"/>
    </w:pPr>
    <w:rPr>
      <w:sz w:val="28"/>
      <w:szCs w:val="30"/>
    </w:rPr>
  </w:style>
  <w:style w:type="paragraph" w:styleId="65">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7">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8">
    <w:name w:val="页脚1"/>
    <w:basedOn w:val="55"/>
    <w:qFormat/>
    <w:uiPriority w:val="0"/>
    <w:pPr>
      <w:tabs>
        <w:tab w:val="center" w:pos="4153"/>
        <w:tab w:val="right" w:pos="8306"/>
      </w:tabs>
      <w:jc w:val="left"/>
    </w:pPr>
    <w:rPr>
      <w:sz w:val="18"/>
      <w:szCs w:val="18"/>
    </w:rPr>
  </w:style>
  <w:style w:type="paragraph" w:customStyle="1" w:styleId="69">
    <w:name w:val="正文缩进 Char Char"/>
    <w:basedOn w:val="1"/>
    <w:qFormat/>
    <w:uiPriority w:val="0"/>
    <w:pPr>
      <w:spacing w:before="102" w:after="102" w:line="408" w:lineRule="auto"/>
      <w:ind w:left="1"/>
      <w:jc w:val="left"/>
      <w:textAlignment w:val="bottom"/>
    </w:pPr>
    <w:rPr>
      <w:rFonts w:ascii="宋体" w:hAnsi="宋体"/>
      <w:color w:val="000000"/>
      <w:kern w:val="0"/>
      <w:sz w:val="24"/>
      <w:szCs w:val="20"/>
    </w:rPr>
  </w:style>
  <w:style w:type="table" w:customStyle="1" w:styleId="70">
    <w:name w:val="Table Normal"/>
    <w:unhideWhenUsed/>
    <w:qFormat/>
    <w:uiPriority w:val="0"/>
    <w:tblPr>
      <w:tblCellMar>
        <w:top w:w="0" w:type="dxa"/>
        <w:left w:w="0" w:type="dxa"/>
        <w:bottom w:w="0" w:type="dxa"/>
        <w:right w:w="0" w:type="dxa"/>
      </w:tblCellMar>
    </w:tblPr>
  </w:style>
  <w:style w:type="paragraph" w:styleId="71">
    <w:name w:val="List Paragraph"/>
    <w:basedOn w:val="1"/>
    <w:link w:val="75"/>
    <w:qFormat/>
    <w:uiPriority w:val="34"/>
    <w:pPr>
      <w:widowControl/>
      <w:ind w:firstLine="420" w:firstLineChars="200"/>
      <w:jc w:val="left"/>
    </w:pPr>
    <w:rPr>
      <w:rFonts w:ascii="宋体" w:hAnsi="宋体" w:cs="宋体"/>
      <w:kern w:val="0"/>
      <w:sz w:val="24"/>
      <w:szCs w:val="24"/>
    </w:rPr>
  </w:style>
  <w:style w:type="character" w:customStyle="1" w:styleId="72">
    <w:name w:val="批注框文本 Char"/>
    <w:basedOn w:val="27"/>
    <w:link w:val="18"/>
    <w:semiHidden/>
    <w:qFormat/>
    <w:uiPriority w:val="99"/>
    <w:rPr>
      <w:kern w:val="2"/>
      <w:sz w:val="18"/>
      <w:szCs w:val="18"/>
    </w:rPr>
  </w:style>
  <w:style w:type="character" w:customStyle="1" w:styleId="73">
    <w:name w:val="max-address"/>
    <w:basedOn w:val="27"/>
    <w:qFormat/>
    <w:uiPriority w:val="0"/>
  </w:style>
  <w:style w:type="character" w:customStyle="1" w:styleId="74">
    <w:name w:val="页脚 字符"/>
    <w:qFormat/>
    <w:uiPriority w:val="0"/>
    <w:rPr>
      <w:rFonts w:eastAsia="Calibri"/>
      <w:sz w:val="18"/>
      <w:szCs w:val="18"/>
      <w:lang w:eastAsia="en-US"/>
    </w:rPr>
  </w:style>
  <w:style w:type="character" w:customStyle="1" w:styleId="75">
    <w:name w:val="列出段落 Char"/>
    <w:link w:val="71"/>
    <w:qFormat/>
    <w:uiPriority w:val="34"/>
    <w:rPr>
      <w:rFonts w:ascii="宋体" w:hAnsi="宋体" w:cs="宋体"/>
      <w:sz w:val="24"/>
      <w:szCs w:val="24"/>
    </w:rPr>
  </w:style>
  <w:style w:type="paragraph" w:customStyle="1" w:styleId="76">
    <w:name w:val="纯文本11"/>
    <w:basedOn w:val="1"/>
    <w:qFormat/>
    <w:uiPriority w:val="99"/>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233</Words>
  <Characters>296</Characters>
  <Lines>210</Lines>
  <Paragraphs>59</Paragraphs>
  <TotalTime>7</TotalTime>
  <ScaleCrop>false</ScaleCrop>
  <LinksUpToDate>false</LinksUpToDate>
  <CharactersWithSpaces>325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2024-09-05T12:35:00Z</dcterms:created>
  <dc:creator>蛋蛋。</dc:creator>
  <cp:lastModifiedBy>九五二七</cp:lastModifiedBy>
  <cp:lastPrinted>2026-04-20T00:28:00Z</cp:lastPrinted>
  <dcterms:modified xsi:type="dcterms:W3CDTF">2026-06-30T07:26:41Z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98DDCF2DBB544891A8FB411084576D05_13</vt:lpwstr>
  </property>
  <property fmtid="{D5CDD505-2E9C-101B-9397-08002B2CF9AE}" pid="4" name="KSOTemplateDocerSaveRecord">
    <vt:lpwstr>eyJoZGlkIjoiMDZhNTk5MjQzMjM1MzE3OTg5ZWVlMTdhMDI2ZDlkMTQiLCJ1c2VySWQiOiIxMTk5MDg2MTQ0In0=</vt:lpwstr>
  </property>
</Properties>
</file>