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竞争性谈判文件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eastAsia="宋体"/>
          <w:b/>
          <w:bCs/>
          <w:sz w:val="32"/>
          <w:szCs w:val="24"/>
          <w:lang w:eastAsia="zh-CN"/>
        </w:rPr>
      </w:pPr>
      <w:r>
        <w:rPr>
          <w:rFonts w:hint="eastAsia" w:ascii="Arial" w:hAnsi="Arial" w:eastAsia="宋体"/>
          <w:b/>
          <w:bCs/>
          <w:sz w:val="32"/>
          <w:szCs w:val="24"/>
          <w:lang w:eastAsia="zh-CN"/>
        </w:rPr>
      </w:r>
      <w:r/>
    </w:p>
    <w:p>
      <w:pPr>
        <w:jc w:val="left"/>
        <w:spacing w:before="120" w:after="120" w:line="360" w:lineRule="auto"/>
        <w:rPr>
          <w:rFonts w:hint="eastAsia" w:ascii="Arial" w:hAnsi="Arial" w:eastAsia="宋体"/>
          <w:b/>
          <w:bCs/>
          <w:sz w:val="32"/>
          <w:szCs w:val="24"/>
          <w:lang w:eastAsia="zh-CN"/>
        </w:rPr>
      </w:pPr>
      <w:r>
        <w:rPr>
          <w:rFonts w:hint="eastAsia" w:ascii="Arial" w:hAnsi="Arial" w:eastAsia="宋体"/>
          <w:b/>
          <w:bCs/>
          <w:sz w:val="32"/>
          <w:szCs w:val="24"/>
          <w:lang w:eastAsia="zh-CN"/>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1009"/>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：2026扬州高邮大运河半程马拉松赛事服务项目</w:t>
      </w:r>
      <w:r/>
    </w:p>
    <w:p>
      <w:pPr>
        <w:ind w:firstLine="1285"/>
        <w:rPr>
          <w:rFonts w:hint="default" w:eastAsia="宋体"/>
          <w:b/>
          <w:bCs/>
          <w:color w:val="000000"/>
          <w:sz w:val="32"/>
          <w:highlight w:val="yellow"/>
          <w:lang w:val="en-US" w:eastAsia="zh-CN"/>
        </w:rPr>
      </w:pPr>
      <w:r>
        <w:rPr>
          <w:rFonts w:hint="eastAsia"/>
          <w:b/>
          <w:bCs/>
          <w:color w:val="000000"/>
          <w:sz w:val="32"/>
        </w:rPr>
        <w:t xml:space="preserve">项目编号：JSZC-321084-JZCG-T2026-0017</w:t>
      </w:r>
      <w:r/>
    </w:p>
    <w:p>
      <w:pPr>
        <w:ind w:firstLine="1470"/>
        <w:jc w:val="left"/>
        <w:spacing w:before="120" w:after="120" w:line="360" w:lineRule="auto"/>
        <w:rPr>
          <w:rFonts w:ascii="宋体" w:hAnsi="宋体"/>
          <w:sz w:val="24"/>
          <w:szCs w:val="24"/>
        </w:rPr>
      </w:pPr>
      <w:r>
        <w:rPr>
          <w:rFonts w:ascii="Times New Roman" w:hAnsi="Times New Roman"/>
          <w:szCs w:val="21"/>
        </w:rPr>
        <w:t xml:space="preserve">        </w:t>
      </w:r>
      <w:r>
        <w:rPr>
          <w:rFonts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扬州市公共资源交易中心高邮分中心</w:t>
      </w:r>
      <w:r/>
    </w:p>
    <w:p>
      <w:pPr>
        <w:jc w:val="center"/>
        <w:spacing w:before="120" w:after="120" w:line="360" w:lineRule="auto"/>
        <w:rPr>
          <w:rFonts w:ascii="Arial" w:hAnsi="Arial"/>
          <w:b/>
          <w:bCs/>
          <w:sz w:val="32"/>
          <w:szCs w:val="24"/>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7 </w:t>
      </w:r>
      <w:r>
        <w:rPr>
          <w:rFonts w:hint="eastAsia"/>
          <w:b/>
          <w:bCs/>
          <w:color w:val="000000"/>
          <w:sz w:val="32"/>
        </w:rPr>
        <w:t xml:space="preserve">月</w:t>
      </w:r>
      <w:r/>
    </w:p>
    <w:p>
      <w:pPr>
        <w:jc w:val="left"/>
        <w:spacing w:before="120" w:after="120" w:line="360" w:lineRule="auto"/>
        <w:rPr>
          <w:rFonts w:ascii="Arial" w:hAnsi="Arial"/>
          <w:sz w:val="24"/>
          <w:szCs w:val="24"/>
          <w:u w:val="single"/>
        </w:rPr>
      </w:pPr>
      <w:r>
        <w:rPr>
          <w:rFonts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hint="eastAsia" w:ascii="黑体" w:hAnsi="Arial" w:eastAsia="黑体"/>
          <w:b/>
          <w:sz w:val="44"/>
          <w:szCs w:val="21"/>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479757206"/>
      <w:r/>
      <w:bookmarkStart w:id="2" w:name="_Toc513029200"/>
      <w:r/>
      <w:bookmarkStart w:id="3" w:name="_Toc16938516"/>
      <w:r/>
      <w:bookmarkStart w:id="4" w:name="_Toc20823272"/>
      <w:r/>
      <w:bookmarkStart w:id="5" w:name="_Toc523127445"/>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……………………………………20</w:t>
      </w:r>
      <w:r>
        <w:rPr>
          <w:rFonts w:hint="eastAsia" w:ascii="黑体" w:hAnsi="Showcard Gothic" w:eastAsia="黑体"/>
          <w:sz w:val="36"/>
          <w:szCs w:val="21"/>
          <w:lang w:val="en-US" w:eastAsia="zh-CN"/>
        </w:rPr>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24</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39</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both"/>
        <w:keepNext/>
        <w:rPr>
          <w:rFonts w:hint="eastAsia" w:ascii="黑体" w:hAnsi="Times New Roman" w:eastAsia="黑体"/>
          <w:sz w:val="44"/>
          <w:szCs w:val="44"/>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黑体" w:hAnsi="Times New Roman" w:eastAsia="黑体"/>
          <w:sz w:val="44"/>
          <w:szCs w:val="44"/>
        </w:rPr>
      </w:r>
      <w:r/>
    </w:p>
    <w:p>
      <w:pPr>
        <w:jc w:val="center"/>
        <w:keepLines w:val="0"/>
        <w:keepNext/>
        <w:pageBreakBefore w:val="0"/>
        <w:spacing w:before="313" w:after="313"/>
        <w:widowControl w:val="off"/>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lang w:eastAsia="zh-CN"/>
        </w:rPr>
        <w:t xml:space="preserve">高邮市文体广电和旅游局</w:t>
      </w:r>
      <w:r>
        <w:rPr>
          <w:rFonts w:hint="eastAsia" w:ascii="宋体" w:hAnsi="宋体"/>
          <w:sz w:val="24"/>
          <w:szCs w:val="24"/>
        </w:rPr>
        <w:t xml:space="preserve">]的委托，</w:t>
      </w:r>
      <w:r>
        <w:rPr>
          <w:rFonts w:hint="eastAsia" w:ascii="宋体" w:hAnsi="宋体"/>
          <w:sz w:val="24"/>
          <w:szCs w:val="24"/>
          <w:lang w:eastAsia="zh-CN"/>
        </w:rPr>
        <w:t xml:space="preserve">扬州市公共资源交易中心高邮分中心</w:t>
      </w:r>
      <w:r>
        <w:rPr>
          <w:rFonts w:hint="eastAsia" w:ascii="宋体" w:hAnsi="宋体"/>
          <w:sz w:val="24"/>
          <w:szCs w:val="24"/>
        </w:rPr>
        <w:t xml:space="preserve">就[</w:t>
      </w:r>
      <w:r>
        <w:rPr>
          <w:rFonts w:hint="eastAsia" w:ascii="宋体" w:hAnsi="宋体"/>
          <w:color w:val="000000"/>
          <w:sz w:val="24"/>
          <w:szCs w:val="24"/>
        </w:rPr>
        <w:t xml:space="preserve">2026扬州高邮大运河半程马拉松赛事服务项目</w:t>
      </w:r>
      <w:r>
        <w:rPr>
          <w:rFonts w:hint="eastAsia" w:ascii="宋体" w:hAnsi="宋体"/>
          <w:sz w:val="24"/>
          <w:szCs w:val="24"/>
        </w:rPr>
        <w:t xml:space="preserve">]</w:t>
      </w:r>
      <w:r>
        <w:rPr>
          <w:rFonts w:hint="eastAsia" w:ascii="宋体" w:hAnsi="宋体"/>
          <w:sz w:val="24"/>
          <w:szCs w:val="24"/>
          <w:highlight w:val="none"/>
        </w:rPr>
        <w:t xml:space="preserve">(JSZC-321084-JZCG-T2026-0017)项</w:t>
      </w:r>
      <w:r>
        <w:rPr>
          <w:rFonts w:hint="eastAsia" w:ascii="宋体" w:hAnsi="宋体"/>
          <w:sz w:val="24"/>
          <w:szCs w:val="24"/>
        </w:rPr>
        <w:t xml:space="preserve">目进行竞争性谈判采购，欢迎符合条件</w:t>
      </w:r>
      <w:bookmarkStart w:id="178" w:name="_GoBack"/>
      <w:r/>
      <w:bookmarkEnd w:id="178"/>
      <w:r>
        <w:rPr>
          <w:rFonts w:hint="eastAsia" w:ascii="宋体" w:hAnsi="宋体"/>
          <w:sz w:val="24"/>
          <w:szCs w:val="24"/>
        </w:rPr>
        <w:t xml:space="preserve">的供应商参加谈判。</w:t>
      </w:r>
      <w:r/>
    </w:p>
    <w:p>
      <w:pPr>
        <w:ind w:firstLine="480"/>
        <w:keepLines w:val="0"/>
        <w:keepNext w:val="0"/>
        <w:pageBreakBefore w:val="0"/>
        <w:spacing w:line="400" w:lineRule="atLeas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keepLines w:val="0"/>
        <w:keepNext w:val="0"/>
        <w:pageBreakBefore w:val="0"/>
        <w:spacing w:line="400" w:lineRule="atLeas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color w:val="000000"/>
          <w:sz w:val="24"/>
          <w:szCs w:val="24"/>
          <w:u w:val="single"/>
          <w:lang w:val="en-US" w:eastAsia="zh-CN"/>
        </w:rPr>
        <w:t xml:space="preserve">2026扬州高邮大运河半程马拉松赛事服务项目</w:t>
      </w:r>
      <w:r>
        <w:rPr>
          <w:rFonts w:hint="eastAsia" w:ascii="宋体" w:hAnsi="宋体"/>
          <w:sz w:val="24"/>
          <w:szCs w:val="24"/>
          <w:u w:val="single"/>
        </w:rPr>
        <w:t xml:space="preserve">)</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w:t>
      </w:r>
      <w:r>
        <w:rPr>
          <w:rFonts w:hint="eastAsia" w:ascii="宋体" w:hAnsi="宋体"/>
          <w:color w:val="000000"/>
          <w:sz w:val="24"/>
          <w:szCs w:val="24"/>
          <w:u w:val="single"/>
        </w:rPr>
        <w:t xml:space="preserve"> “扬州市政府采购网”</w:t>
      </w:r>
      <w:r>
        <w:rPr>
          <w:rFonts w:hint="eastAsia" w:ascii="宋体" w:hAnsi="宋体"/>
          <w:sz w:val="24"/>
          <w:szCs w:val="24"/>
          <w:u w:val="single"/>
        </w:rPr>
        <w:t xml:space="preserve">自行免费下载</w:t>
      </w:r>
      <w:r>
        <w:rPr>
          <w:rFonts w:hint="eastAsia" w:ascii="宋体" w:hAnsi="宋体"/>
          <w:sz w:val="24"/>
          <w:szCs w:val="24"/>
        </w:rPr>
        <w:t xml:space="preserve">谈判文件，并于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u w:val="single"/>
        </w:rPr>
        <w:t xml:space="preserve">9点30分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bookmarkEnd w:id="11"/>
      <w:r/>
      <w:r/>
    </w:p>
    <w:p>
      <w:pPr>
        <w:ind w:firstLine="480"/>
        <w:spacing w:line="400" w:lineRule="exact"/>
        <w:rPr>
          <w:rFonts w:ascii="宋体" w:hAnsi="宋体"/>
          <w:color w:val="000000"/>
          <w:sz w:val="24"/>
          <w:szCs w:val="24"/>
        </w:rPr>
      </w:pPr>
      <w:r/>
      <w:bookmarkStart w:id="12" w:name="_Toc35393791"/>
      <w:r/>
      <w:bookmarkStart w:id="13" w:name="_Toc35393622"/>
      <w:r/>
      <w:bookmarkStart w:id="14" w:name="_Toc38985264"/>
      <w:r/>
      <w:bookmarkStart w:id="15" w:name="_Toc28359080"/>
      <w:r/>
      <w:bookmarkStart w:id="16" w:name="_Toc28359003"/>
      <w:r>
        <w:rPr>
          <w:rFonts w:hint="eastAsia" w:ascii="宋体" w:hAnsi="宋体"/>
          <w:color w:val="000000"/>
          <w:sz w:val="24"/>
          <w:szCs w:val="24"/>
        </w:rPr>
        <w:t xml:space="preserve">1.项</w:t>
      </w:r>
      <w:r>
        <w:rPr>
          <w:rFonts w:hint="eastAsia" w:ascii="宋体" w:hAnsi="宋体"/>
          <w:color w:val="000000"/>
          <w:sz w:val="24"/>
          <w:szCs w:val="24"/>
          <w:highlight w:val="none"/>
        </w:rPr>
        <w:t xml:space="preserve">目编号：JSZC-321084-JZCG-T2026-0017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2.项目名称：2026扬州高邮大运河半程马拉松赛事服务项目</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93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93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307"/>
        <w:gridCol w:w="3213"/>
      </w:tblGrid>
      <w:tr>
        <w:trPr/>
        <w:tc>
          <w:tcPr>
            <w:tcW w:w="1314"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1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4"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07"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13"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120</w:t>
            </w:r>
            <w:r/>
          </w:p>
        </w:tc>
      </w:tr>
    </w:tbl>
    <w:p>
      <w:pPr>
        <w:ind w:firstLine="480"/>
        <w:keepLines w:val="0"/>
        <w:keepNext w:val="0"/>
        <w:pageBreakBefore w:val="0"/>
        <w:spacing w:line="400" w:lineRule="atLeast"/>
        <w:widowControl w:val="off"/>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本次项目主要采购服务包括：赛事整体策划、竞赛组织、赛事宣传推广、赛事安全保障、赛事医疗保障、赛事志愿服务、赛事后勤保障、跑者服务、配套活动组织、赛事市场开发以及协议内的其他工作，并承担全部市场开发费用及约定的赛事运营等相关费用。</w:t>
      </w:r>
      <w:r>
        <w:rPr>
          <w:rFonts w:hint="eastAsia" w:ascii="宋体" w:hAnsi="宋体" w:cs="宋体"/>
          <w:sz w:val="24"/>
          <w:szCs w:val="24"/>
        </w:rPr>
        <w:t xml:space="preserve">（详细内容见本竞争性谈判文件第四章）</w:t>
      </w:r>
      <w:r/>
    </w:p>
    <w:p>
      <w:pPr>
        <w:ind w:firstLine="480"/>
        <w:keepLines w:val="0"/>
        <w:keepNext w:val="0"/>
        <w:pageBreakBefore w:val="0"/>
        <w:spacing w:line="400" w:lineRule="atLeast"/>
        <w:widowControl w:val="off"/>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.合同履行期限：合同签订后150天完成服务并提交成果。</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400" w:lineRule="atLeast"/>
        <w:widowControl w:val="off"/>
        <w:rPr>
          <w:rFonts w:ascii="宋体" w:hAnsi="宋体"/>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sz w:val="24"/>
          <w:szCs w:val="24"/>
        </w:rPr>
        <w:t xml:space="preserve">（一）通用资格要求</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w:t>
      </w:r>
      <w:r>
        <w:rPr>
          <w:rFonts w:hint="eastAsia" w:ascii="宋体" w:hAnsi="宋体"/>
          <w:color w:val="000000"/>
          <w:sz w:val="24"/>
          <w:szCs w:val="24"/>
          <w:lang w:val="en-US" w:eastAsia="zh-CN"/>
        </w:rPr>
        <w:t xml:space="preserve">2024或2025</w:t>
      </w:r>
      <w:r>
        <w:rPr>
          <w:rFonts w:hint="eastAsia" w:ascii="宋体" w:hAnsi="宋体"/>
          <w:sz w:val="24"/>
          <w:szCs w:val="24"/>
        </w:rPr>
        <w:t xml:space="preserve">年度的财务状况报告（成立不满一年无需提供）；</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.6 供应商信用承诺函</w:t>
      </w:r>
      <w:r/>
    </w:p>
    <w:p>
      <w:pPr>
        <w:ind w:firstLine="480"/>
        <w:keepLines w:val="0"/>
        <w:keepNext w:val="0"/>
        <w:pageBreakBefore w:val="0"/>
        <w:spacing w:line="400" w:lineRule="atLeast"/>
        <w:widowControl w:val="off"/>
        <w:rPr>
          <w:rFonts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sz w:val="24"/>
          <w:szCs w:val="24"/>
        </w:rPr>
        <w:t xml:space="preserve">（响应文件中无需提供证明材料）</w:t>
      </w:r>
      <w:r/>
    </w:p>
    <w:p>
      <w:pPr>
        <w:ind w:firstLine="480"/>
        <w:keepLines w:val="0"/>
        <w:keepNext w:val="0"/>
        <w:pageBreakBefore w:val="0"/>
        <w:spacing w:line="400" w:lineRule="atLeast"/>
        <w:widowControl w:val="off"/>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4.联合体参与谈判</w:t>
      </w:r>
      <w:r/>
    </w:p>
    <w:tbl>
      <w:tblPr>
        <w:tblStyle w:val="937"/>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3172"/>
        <w:gridCol w:w="3773"/>
      </w:tblGrid>
      <w:tr>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是否接受联合体参与谈判</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5.进口产品参与谈判</w:t>
      </w:r>
      <w:r/>
    </w:p>
    <w:tbl>
      <w:tblPr>
        <w:tblStyle w:val="937"/>
        <w:tblW w:w="0" w:type="auto"/>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254"/>
      </w:tblGrid>
      <w:tr>
        <w:trPr>
          <w:trHeight w:val="372"/>
        </w:trPr>
        <w:tc>
          <w:tcPr>
            <w:tcW w:w="11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2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是否接受进口产品参与</w:t>
            </w:r>
            <w:r>
              <w:rPr>
                <w:rFonts w:ascii="宋体" w:hAnsi="宋体"/>
                <w:sz w:val="24"/>
                <w:szCs w:val="24"/>
              </w:rPr>
              <w:t xml:space="preserve">谈判（</w:t>
            </w:r>
            <w:r>
              <w:rPr>
                <w:rFonts w:hint="eastAsia" w:ascii="宋体" w:hAnsi="宋体"/>
                <w:sz w:val="24"/>
                <w:szCs w:val="24"/>
              </w:rPr>
              <w:t xml:space="preserve">是/否</w:t>
            </w:r>
            <w:r>
              <w:rPr>
                <w:rFonts w:ascii="宋体" w:hAnsi="宋体"/>
                <w:sz w:val="24"/>
                <w:szCs w:val="24"/>
              </w:rPr>
              <w:t xml:space="preserve">）</w:t>
            </w:r>
            <w:r/>
          </w:p>
        </w:tc>
      </w:tr>
      <w:tr>
        <w:trPr/>
        <w:tc>
          <w:tcPr>
            <w:tcW w:w="11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2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（二）本项目的特定资格要求</w:t>
      </w:r>
      <w:r/>
    </w:p>
    <w:tbl>
      <w:tblPr>
        <w:tblStyle w:val="937"/>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3277"/>
      </w:tblGrid>
      <w:tr>
        <w:trPr/>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277"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277"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三、获取谈判文件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1.时间：自谈判文件公告发布之日起3个工作日。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cs="宋体"/>
          <w:color w:val="000000"/>
          <w:sz w:val="24"/>
          <w:szCs w:val="24"/>
        </w:rPr>
        <w:t xml:space="preserve">在“江苏政府采购网、扬州市政府采购网”自行免费下载</w:t>
      </w:r>
      <w:r>
        <w:rPr>
          <w:rFonts w:hint="eastAsia" w:ascii="宋体" w:hAnsi="宋体"/>
          <w:sz w:val="24"/>
          <w:szCs w:val="21"/>
          <w:highlight w:val="none"/>
        </w:rPr>
        <w:t xml:space="preserve">谈判</w:t>
      </w:r>
      <w:r>
        <w:rPr>
          <w:rFonts w:hint="eastAsia" w:ascii="宋体" w:hAnsi="宋体" w:cs="宋体"/>
          <w:color w:val="000000"/>
          <w:sz w:val="24"/>
          <w:szCs w:val="24"/>
        </w:rPr>
        <w:t xml:space="preserve">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color w:val="auto"/>
          <w:sz w:val="32"/>
          <w:szCs w:val="32"/>
        </w:rPr>
        <w:outlineLvl w:val="2"/>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color w:val="auto"/>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none"/>
        </w:rPr>
        <w:t xml:space="preserve">1.</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23</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color w:val="auto"/>
          <w:sz w:val="24"/>
          <w:szCs w:val="24"/>
        </w:rPr>
      </w:pPr>
      <w:r/>
      <w:bookmarkStart w:id="27" w:name="_Toc38985268"/>
      <w:r/>
      <w:bookmarkStart w:id="28" w:name="_Toc35393626"/>
      <w:r/>
      <w:bookmarkStart w:id="29" w:name="_Toc35393795"/>
      <w:r>
        <w:rPr>
          <w:rFonts w:hint="eastAsia" w:ascii="宋体" w:hAnsi="宋体"/>
          <w:color w:val="auto"/>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30" w:name="_Toc35393794"/>
      <w:r/>
      <w:bookmarkStart w:id="31" w:name="_Toc28359084"/>
      <w:r/>
      <w:bookmarkStart w:id="32" w:name="_Toc38985267"/>
      <w:r/>
      <w:bookmarkStart w:id="33" w:name="_Toc35393625"/>
      <w:r/>
      <w:bookmarkStart w:id="34" w:name="_Toc28359007"/>
      <w:r>
        <w:rPr>
          <w:rFonts w:hint="eastAsia" w:ascii="Times New Roman" w:hAnsi="Times New Roman"/>
          <w:b/>
          <w:bCs/>
          <w:sz w:val="32"/>
          <w:szCs w:val="32"/>
        </w:rPr>
        <w:t xml:space="preserve">五、公告期限</w:t>
      </w:r>
      <w:bookmarkEnd w:id="30"/>
      <w:r/>
      <w:bookmarkEnd w:id="31"/>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自本公告发布之日起3个工作日。</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27"/>
      <w:r/>
      <w:bookmarkEnd w:id="28"/>
      <w:r/>
      <w:bookmarkEnd w:id="29"/>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35393627"/>
      <w:r/>
      <w:bookmarkStart w:id="37" w:name="_Toc38985269"/>
      <w:r/>
      <w:bookmarkStart w:id="38" w:name="_Toc28359008"/>
      <w:r/>
      <w:bookmarkStart w:id="39" w:name="_Toc28359085"/>
      <w:r>
        <w:rPr>
          <w:rFonts w:hint="eastAsia" w:ascii="Times New Roman" w:hAnsi="Times New Roman"/>
          <w:b/>
          <w:bCs/>
          <w:sz w:val="32"/>
          <w:szCs w:val="32"/>
        </w:rPr>
        <w:t xml:space="preserve">七、本次谈判联系方式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bookmarkStart w:id="40" w:name="_Toc28359009"/>
      <w:r/>
      <w:bookmarkStart w:id="41" w:name="_Toc28359086"/>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高邮市文体广电和旅游局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高邮市海潮东路40号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杨浩 </w:t>
      </w:r>
      <w:r/>
    </w:p>
    <w:p>
      <w:pPr>
        <w:ind w:left="1079" w:hanging="300"/>
        <w:jc w:val="left"/>
        <w:spacing w:line="360" w:lineRule="auto"/>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18752558448</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扬州市公共资源交易中心高邮分中心</w:t>
      </w:r>
      <w:r>
        <w:rPr>
          <w:rFonts w:hint="eastAsia" w:ascii="宋体" w:hAnsi="宋体" w:cs="宋体"/>
          <w:sz w:val="24"/>
          <w:szCs w:val="24"/>
        </w:rPr>
        <w:t xml:space="preserve">信息</w:t>
      </w:r>
      <w:bookmarkEnd w:id="40"/>
      <w:r/>
      <w:bookmarkEnd w:id="41"/>
      <w:r/>
      <w:r/>
    </w:p>
    <w:p>
      <w:pPr>
        <w:ind w:firstLine="720"/>
        <w:spacing w:line="400" w:lineRule="exact"/>
        <w:rPr>
          <w:rFonts w:hint="default" w:ascii="宋体" w:hAnsi="宋体" w:eastAsia="宋体"/>
          <w:color w:val="000000"/>
          <w:sz w:val="24"/>
          <w:szCs w:val="24"/>
          <w:u w:val="single"/>
          <w:lang w:val="en-US" w:eastAsia="zh-CN"/>
        </w:rPr>
      </w:pPr>
      <w:r/>
      <w:bookmarkStart w:id="42" w:name="_Toc28359010"/>
      <w:r/>
      <w:bookmarkStart w:id="43" w:name="_Toc28359087"/>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rFonts w:hint="eastAsia" w:ascii="宋体" w:hAnsi="宋体" w:eastAsia="宋体" w:cs="Times New Roman"/>
          <w:sz w:val="24"/>
          <w:szCs w:val="24"/>
          <w:u w:val="single"/>
          <w:lang w:eastAsia="zh-CN"/>
        </w:rPr>
        <w:t xml:space="preserve">高邮市海潮东路</w:t>
      </w:r>
      <w:r>
        <w:rPr>
          <w:rFonts w:hint="eastAsia" w:ascii="宋体" w:hAnsi="宋体" w:eastAsia="宋体" w:cs="Times New Roman"/>
          <w:sz w:val="24"/>
          <w:szCs w:val="24"/>
          <w:u w:val="single"/>
          <w:lang w:val="en-US" w:eastAsia="zh-CN"/>
        </w:rPr>
        <w:t xml:space="preserve">997号</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周宇 张睿 </w:t>
      </w:r>
      <w:r/>
    </w:p>
    <w:p>
      <w:pPr>
        <w:ind w:firstLine="720"/>
        <w:spacing w:line="360" w:lineRule="auto"/>
        <w:rPr>
          <w:rFonts w:ascii="宋体" w:hAnsi="宋体"/>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0514-84656160</w:t>
      </w:r>
      <w:bookmarkEnd w:id="42"/>
      <w:r/>
      <w:bookmarkEnd w:id="43"/>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jc w:val="left"/>
        <w:keepLines w:val="0"/>
        <w:keepNext w:val="0"/>
        <w:pageBreakBefore w:val="0"/>
        <w:spacing w:line="400" w:lineRule="atLeast"/>
        <w:widowControl w:val="off"/>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http://zfcg.yangzhou.gov.cn/xzzx/art/2023/art_4d7de1f7865f4a2894fc22bc452f94d8.html，请按《操作手册》要求制作、上传电子响应文件。</w:t>
      </w:r>
      <w:r/>
    </w:p>
    <w:p>
      <w:pPr>
        <w:ind w:firstLine="480"/>
        <w:keepLines w:val="0"/>
        <w:keepNext w:val="0"/>
        <w:pageBreakBefore w:val="0"/>
        <w:spacing w:line="400" w:lineRule="atLeas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keepLines w:val="0"/>
        <w:keepNext w:val="0"/>
        <w:pageBreakBefore w:val="0"/>
        <w:spacing w:line="400" w:lineRule="atLeast"/>
        <w:widowControl w:val="off"/>
        <w:tabs>
          <w:tab w:val="left" w:pos="900" w:leader="none"/>
        </w:tabs>
        <w:rPr>
          <w:rFonts w:ascii="宋体" w:hAnsi="宋体"/>
          <w:bCs/>
          <w:sz w:val="24"/>
          <w:szCs w:val="24"/>
        </w:rPr>
      </w:pPr>
      <w:r>
        <w:rPr>
          <w:rFonts w:hint="eastAsia" w:ascii="宋体" w:hAnsi="宋体"/>
          <w:bCs/>
          <w:sz w:val="24"/>
          <w:szCs w:val="24"/>
        </w:rPr>
        <w:t xml:space="preserve">2. 有关本次谈判的事项若存在变动或修改，敬请及时关注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w:t>
      </w:r>
      <w:r>
        <w:rPr>
          <w:rFonts w:hint="eastAsia" w:ascii="宋体" w:hAnsi="宋体"/>
          <w:bCs/>
          <w:color w:val="000000"/>
          <w:sz w:val="24"/>
          <w:szCs w:val="24"/>
        </w:rPr>
        <w:t xml:space="preserve">“江苏政府采购网”、“扬州市政府采购网”</w:t>
      </w:r>
      <w:r>
        <w:rPr>
          <w:rFonts w:hint="eastAsia" w:ascii="宋体" w:hAnsi="宋体"/>
          <w:bCs/>
          <w:sz w:val="24"/>
          <w:szCs w:val="24"/>
        </w:rPr>
        <w:t xml:space="preserve">发布的更正公告。</w:t>
      </w:r>
      <w:r/>
    </w:p>
    <w:p>
      <w:pPr>
        <w:ind w:firstLine="480"/>
        <w:keepLines w:val="0"/>
        <w:keepNext w:val="0"/>
        <w:pageBreakBefore w:val="0"/>
        <w:spacing w:line="400" w:lineRule="atLeast"/>
        <w:widowControl w:val="off"/>
        <w:tabs>
          <w:tab w:val="left" w:pos="900" w:leader="none"/>
        </w:tabs>
        <w:rPr>
          <w:rFonts w:hint="eastAsia" w:ascii="黑体" w:hAnsi="Arial" w:eastAsia="宋体" w:cs="Arial"/>
          <w:b/>
          <w:bCs/>
          <w:sz w:val="44"/>
          <w:szCs w:val="44"/>
          <w:lang w:eastAsia="zh-CN"/>
        </w:rP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Cs/>
          <w:sz w:val="24"/>
          <w:szCs w:val="24"/>
        </w:rPr>
        <w:t xml:space="preserve">3. 本次谈判不收取谈判保证金</w:t>
      </w:r>
      <w:bookmarkStart w:id="44" w:name="_Toc120614211"/>
      <w:r>
        <w:rPr>
          <w:rFonts w:hint="eastAsia" w:ascii="宋体" w:hAnsi="宋体"/>
          <w:bCs/>
          <w:sz w:val="24"/>
          <w:szCs w:val="24"/>
          <w:lang w:eastAsia="zh-CN"/>
        </w:rPr>
        <w:t xml:space="preserve">。</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第二章  </w:t>
      </w:r>
      <w:bookmarkEnd w:id="1"/>
      <w:r/>
      <w:bookmarkEnd w:id="2"/>
      <w:r/>
      <w:bookmarkEnd w:id="3"/>
      <w:r/>
      <w:bookmarkEnd w:id="4"/>
      <w:r/>
      <w:bookmarkEnd w:id="5"/>
      <w:r/>
      <w:bookmarkEnd w:id="44"/>
      <w:r>
        <w:rPr>
          <w:rFonts w:hint="eastAsia" w:ascii="黑体" w:hAnsi="Times New Roman" w:eastAsia="黑体"/>
          <w:bCs/>
          <w:sz w:val="44"/>
          <w:szCs w:val="28"/>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5" w:name="_Toc513029203"/>
      <w:r/>
      <w:bookmarkStart w:id="46" w:name="_Toc120614214"/>
      <w:r/>
      <w:bookmarkStart w:id="47" w:name="_Toc16938519"/>
      <w:r/>
      <w:bookmarkStart w:id="48" w:name="_Toc20823275"/>
      <w:r>
        <w:rPr>
          <w:rFonts w:hint="eastAsia" w:ascii="Times New Roman" w:hAnsi="Times New Roman"/>
          <w:b/>
          <w:bCs/>
          <w:sz w:val="32"/>
          <w:szCs w:val="32"/>
        </w:rPr>
        <w:t xml:space="preserve">一、总则</w:t>
      </w:r>
      <w:bookmarkEnd w:id="45"/>
      <w:r/>
      <w:bookmarkEnd w:id="46"/>
      <w:r/>
      <w:bookmarkEnd w:id="47"/>
      <w:r/>
      <w:bookmarkEnd w:id="48"/>
      <w:r/>
      <w:r/>
    </w:p>
    <w:p>
      <w:pPr>
        <w:ind w:firstLine="420"/>
        <w:keepLines/>
        <w:keepNext/>
        <w:rPr>
          <w:rFonts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ind w:firstLine="420"/>
        <w:keepLines/>
        <w:keepNext/>
        <w:rPr>
          <w:rFonts w:ascii="Arial" w:hAnsi="Arial" w:eastAsia="黑体" w:cs="Arial"/>
          <w:sz w:val="28"/>
          <w:szCs w:val="28"/>
        </w:rPr>
        <w:outlineLvl w:val="3"/>
      </w:pPr>
      <w:r/>
      <w:bookmarkStart w:id="54" w:name="_Toc513029205"/>
      <w:r/>
      <w:bookmarkStart w:id="55" w:name="_Toc20823277"/>
      <w:r/>
      <w:bookmarkStart w:id="56" w:name="_Toc16938521"/>
      <w:r>
        <w:rPr>
          <w:rFonts w:ascii="Arial" w:hAnsi="Arial" w:eastAsia="黑体" w:cs="Arial"/>
          <w:sz w:val="28"/>
          <w:szCs w:val="28"/>
        </w:rPr>
        <w:t xml:space="preserve">2</w:t>
      </w:r>
      <w:r>
        <w:rPr>
          <w:rFonts w:hint="eastAsia" w:ascii="Arial" w:hAnsi="Arial" w:eastAsia="黑体" w:cs="Arial"/>
          <w:sz w:val="28"/>
          <w:szCs w:val="28"/>
        </w:rPr>
        <w:t xml:space="preserve">、合格的</w:t>
      </w:r>
      <w:bookmarkEnd w:id="54"/>
      <w:r/>
      <w:bookmarkEnd w:id="55"/>
      <w:r/>
      <w:bookmarkEnd w:id="56"/>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2.1满足谈判公告中供应商资格要求的规定。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满足本谈判文件实质性要求的规定。</w:t>
      </w:r>
      <w:r/>
    </w:p>
    <w:p>
      <w:pPr>
        <w:ind w:firstLine="420"/>
        <w:keepLines/>
        <w:keepNext/>
        <w:rPr>
          <w:rFonts w:ascii="Arial" w:hAnsi="Arial" w:eastAsia="黑体" w:cs="Arial"/>
          <w:sz w:val="28"/>
          <w:szCs w:val="28"/>
        </w:rPr>
        <w:outlineLvl w:val="3"/>
      </w:pPr>
      <w:r/>
      <w:bookmarkStart w:id="57" w:name="_Toc16938522"/>
      <w:r/>
      <w:bookmarkStart w:id="58" w:name="_Toc513029206"/>
      <w:r/>
      <w:bookmarkStart w:id="5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57"/>
      <w:r/>
      <w:bookmarkEnd w:id="58"/>
      <w:r/>
      <w:bookmarkEnd w:id="59"/>
      <w:r/>
      <w:r/>
    </w:p>
    <w:p>
      <w:pPr>
        <w:ind w:firstLine="420"/>
        <w:spacing w:line="400" w:lineRule="exact"/>
        <w:rPr>
          <w:rFonts w:ascii="宋体" w:hAnsi="宋体"/>
          <w:sz w:val="24"/>
          <w:szCs w:val="21"/>
        </w:rPr>
      </w:pPr>
      <w:r>
        <w:rPr>
          <w:rFonts w:hint="eastAsia" w:ascii="宋体" w:hAnsi="宋体"/>
          <w:sz w:val="24"/>
          <w:szCs w:val="21"/>
        </w:rPr>
        <w:t xml:space="preserve">3.1 本次谈判及由此产生的合同受中华人民共和国有关的法律法规制约和保护。</w:t>
      </w:r>
      <w:r/>
    </w:p>
    <w:p>
      <w:pPr>
        <w:ind w:firstLine="420"/>
        <w:keepLines/>
        <w:keepNext/>
        <w:rPr>
          <w:rFonts w:ascii="Arial" w:hAnsi="Arial" w:eastAsia="黑体" w:cs="Arial"/>
          <w:sz w:val="28"/>
          <w:szCs w:val="28"/>
        </w:rPr>
        <w:outlineLvl w:val="3"/>
      </w:pPr>
      <w:r/>
      <w:bookmarkStart w:id="60" w:name="_Toc462564067"/>
      <w:r/>
      <w:bookmarkStart w:id="61" w:name="_Toc513029207"/>
      <w:r/>
      <w:bookmarkStart w:id="62" w:name="_Toc16938523"/>
      <w:r/>
      <w:bookmarkStart w:id="63" w:name="_Toc20823279"/>
      <w:r>
        <w:rPr>
          <w:rFonts w:ascii="Arial" w:hAnsi="Arial" w:eastAsia="黑体" w:cs="Arial"/>
          <w:sz w:val="28"/>
          <w:szCs w:val="28"/>
        </w:rPr>
        <w:t xml:space="preserve">4</w:t>
      </w:r>
      <w:r>
        <w:rPr>
          <w:rFonts w:hint="eastAsia" w:ascii="Arial" w:hAnsi="Arial" w:eastAsia="黑体" w:cs="Arial"/>
          <w:sz w:val="28"/>
          <w:szCs w:val="28"/>
        </w:rPr>
        <w:t xml:space="preserve">、谈判费用</w:t>
      </w:r>
      <w:bookmarkEnd w:id="60"/>
      <w:r/>
      <w:bookmarkEnd w:id="61"/>
      <w:r/>
      <w:bookmarkEnd w:id="62"/>
      <w:r/>
      <w:bookmarkEnd w:id="63"/>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扬州市公共资源交易中心高邮分中心</w:t>
      </w:r>
      <w:r>
        <w:rPr>
          <w:rFonts w:hint="eastAsia" w:ascii="宋体" w:hAnsi="宋体"/>
          <w:sz w:val="24"/>
          <w:szCs w:val="21"/>
        </w:rPr>
        <w:t xml:space="preserve">（以下简称交易中心）在任何情况下均无义务和责任承担这些费用。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4.2本次谈判交易中心和采购人不收取标书工本费与成交服务费。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ind w:firstLine="321"/>
        <w:keepLines/>
        <w:keepNext/>
        <w:spacing w:before="156" w:after="156" w:line="360" w:lineRule="auto"/>
        <w:rPr>
          <w:rFonts w:ascii="Times New Roman" w:hAnsi="Times New Roman"/>
          <w:b/>
          <w:bCs/>
          <w:sz w:val="32"/>
          <w:szCs w:val="32"/>
        </w:rPr>
        <w:outlineLvl w:val="2"/>
      </w:pPr>
      <w:r/>
      <w:bookmarkStart w:id="64" w:name="_Toc20823281"/>
      <w:r/>
      <w:bookmarkStart w:id="65" w:name="_Toc16938525"/>
      <w:r/>
      <w:bookmarkStart w:id="66" w:name="_Toc513029209"/>
      <w:r/>
      <w:bookmarkStart w:id="67" w:name="_Toc120614215"/>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谈判文件</w:t>
      </w:r>
      <w:r/>
    </w:p>
    <w:p>
      <w:pPr>
        <w:ind w:firstLine="420"/>
        <w:keepLines/>
        <w:keepNext/>
        <w:rPr>
          <w:rFonts w:ascii="Arial" w:hAnsi="Arial" w:eastAsia="黑体" w:cs="Arial"/>
          <w:sz w:val="28"/>
          <w:szCs w:val="28"/>
        </w:rPr>
        <w:outlineLvl w:val="3"/>
      </w:pPr>
      <w:r/>
      <w:bookmarkStart w:id="68" w:name="_Toc20823282"/>
      <w:r/>
      <w:bookmarkStart w:id="69" w:name="_Toc513029210"/>
      <w:r/>
      <w:bookmarkStart w:id="70" w:name="_Toc16938526"/>
      <w:r>
        <w:rPr>
          <w:rFonts w:ascii="Arial" w:hAnsi="Arial" w:eastAsia="黑体" w:cs="Arial"/>
          <w:sz w:val="28"/>
          <w:szCs w:val="28"/>
        </w:rPr>
        <w:t xml:space="preserve">6</w:t>
      </w:r>
      <w:r>
        <w:rPr>
          <w:rFonts w:hint="eastAsia" w:ascii="Arial" w:hAnsi="Arial" w:eastAsia="黑体" w:cs="Arial"/>
          <w:sz w:val="28"/>
          <w:szCs w:val="28"/>
        </w:rPr>
        <w:t xml:space="preserve">、谈判文件构成</w:t>
      </w:r>
      <w:bookmarkEnd w:id="68"/>
      <w:r/>
      <w:bookmarkEnd w:id="69"/>
      <w:r/>
      <w:bookmarkEnd w:id="70"/>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ind w:firstLine="360"/>
        <w:spacing w:line="400" w:lineRule="exact"/>
        <w:rPr>
          <w:rFonts w:ascii="宋体" w:hAnsi="宋体"/>
          <w:sz w:val="24"/>
          <w:szCs w:val="24"/>
        </w:rPr>
      </w:pPr>
      <w:r>
        <w:rPr>
          <w:rFonts w:hint="eastAsia" w:ascii="宋体" w:hAnsi="宋体"/>
          <w:sz w:val="24"/>
          <w:szCs w:val="24"/>
        </w:rPr>
        <w:t xml:space="preserve">（1）谈判邀请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请仔细检查谈判文件是否齐全，如有缺漏请立即与交易中心联系解决。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rPr>
        <w:outlineLvl w:val="3"/>
      </w:pPr>
      <w:r/>
      <w:bookmarkStart w:id="71" w:name="_Toc513029212"/>
      <w:r/>
      <w:bookmarkStart w:id="72" w:name="_Toc462564071"/>
      <w:r/>
      <w:bookmarkStart w:id="73" w:name="_Toc20823284"/>
      <w:r/>
      <w:bookmarkStart w:id="74" w:name="_Toc16938528"/>
      <w:r>
        <w:rPr>
          <w:rFonts w:ascii="Arial" w:hAnsi="Arial" w:eastAsia="黑体" w:cs="Arial"/>
          <w:sz w:val="28"/>
          <w:szCs w:val="28"/>
        </w:rPr>
        <w:t xml:space="preserve">7</w:t>
      </w:r>
      <w:r>
        <w:rPr>
          <w:rFonts w:hint="eastAsia" w:ascii="Arial" w:hAnsi="Arial" w:eastAsia="黑体" w:cs="Arial"/>
          <w:sz w:val="28"/>
          <w:szCs w:val="28"/>
        </w:rPr>
        <w:t xml:space="preserve">、谈判文件的澄清和修改</w:t>
      </w:r>
      <w:bookmarkEnd w:id="71"/>
      <w:r/>
      <w:bookmarkEnd w:id="72"/>
      <w:r/>
      <w:bookmarkEnd w:id="73"/>
      <w:r/>
      <w:bookmarkEnd w:id="74"/>
      <w:r/>
      <w:r/>
    </w:p>
    <w:p>
      <w:pPr>
        <w:ind w:firstLine="480"/>
        <w:spacing w:line="500" w:lineRule="exact"/>
        <w:rPr>
          <w:rFonts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，交易中心可以对谈判文件进行澄清和修改,</w:t>
      </w:r>
      <w:r>
        <w:rPr>
          <w:rFonts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交易中心将在提交首次响应文件截止时间至少3个工作日前，在“江苏政府采购网”“扬州市政府采购网”上发布书面更正公告形式通知所有获取谈判文件的供应商,</w:t>
      </w:r>
      <w:r>
        <w:rPr>
          <w:rFonts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更正公告内容将作为谈判文件的组成部分，并对供应商具有约束力。不足3个工作日的，交易中心将顺延提交首次响应文件截止时间。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7.2交易中心可以视采购项目的具体情况，组织供应商进行现场考察或召开谈判前答疑会，但不单独或分别组织只有一个供应商参加的现场考察和答疑会。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5" w:name="_Toc513029213"/>
      <w:r/>
      <w:bookmarkStart w:id="76" w:name="_Toc20823285"/>
      <w:r/>
      <w:bookmarkStart w:id="77" w:name="_Toc462564072"/>
      <w:r/>
      <w:bookmarkStart w:id="78" w:name="_Toc120614216"/>
      <w:r/>
      <w:bookmarkStart w:id="79" w:name="_Toc16938529"/>
      <w:r>
        <w:rPr>
          <w:rFonts w:hint="eastAsia" w:ascii="Times New Roman" w:hAnsi="Times New Roman"/>
          <w:b/>
          <w:bCs/>
          <w:sz w:val="32"/>
          <w:szCs w:val="32"/>
        </w:rPr>
        <w:t xml:space="preserve">三、响应文件的编制</w:t>
      </w:r>
      <w:bookmarkEnd w:id="75"/>
      <w:r/>
      <w:bookmarkEnd w:id="76"/>
      <w:r/>
      <w:bookmarkEnd w:id="77"/>
      <w:r/>
      <w:bookmarkEnd w:id="78"/>
      <w:r/>
      <w:bookmarkEnd w:id="79"/>
      <w:r/>
      <w:r/>
    </w:p>
    <w:p>
      <w:pPr>
        <w:ind w:firstLine="560"/>
        <w:keepLines/>
        <w:keepNext/>
        <w:rPr>
          <w:rFonts w:ascii="Arial" w:hAnsi="Arial" w:eastAsia="黑体" w:cs="Arial"/>
          <w:b/>
          <w:sz w:val="28"/>
          <w:szCs w:val="28"/>
        </w:rPr>
        <w:outlineLvl w:val="3"/>
      </w:pPr>
      <w:r/>
      <w:bookmarkStart w:id="80" w:name="_Toc513029214"/>
      <w:r/>
      <w:bookmarkStart w:id="81" w:name="_Toc16938530"/>
      <w:r/>
      <w:bookmarkStart w:id="82" w:name="_Toc462564073"/>
      <w:r/>
      <w:bookmarkStart w:id="83" w:name="_Toc20823286"/>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供应商提交的响应文件以及供应商与交易中心就有关谈判的所有来往通知、函件和文件均应使用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4" w:name="_Toc16938531"/>
      <w:r/>
      <w:bookmarkStart w:id="85" w:name="_Toc513029215"/>
      <w:r/>
      <w:bookmarkStart w:id="86" w:name="_Toc462564074"/>
      <w:r/>
      <w:bookmarkStart w:id="87" w:name="_Toc20823287"/>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供应商编写的响应文件应包括基本目录、资格审查内容、符合审查内容、价格扣除证明文件等部分。</w:t>
      </w:r>
      <w:r/>
    </w:p>
    <w:p>
      <w:pPr>
        <w:ind w:firstLine="480"/>
        <w:spacing w:line="440" w:lineRule="exact"/>
        <w:rPr>
          <w:rFonts w:ascii="宋体" w:hAnsi="宋体"/>
          <w:sz w:val="24"/>
          <w:szCs w:val="21"/>
        </w:rPr>
      </w:pPr>
      <w:r>
        <w:rPr>
          <w:rFonts w:hint="eastAsia" w:ascii="宋体" w:hAnsi="宋体"/>
          <w:sz w:val="24"/>
          <w:szCs w:val="21"/>
        </w:rPr>
        <w:t xml:space="preserve">9.2 如标书制作工具中格式和内容与“江苏政府采购网”“扬州市政府采购网”发布的谈判文件不一致，请以“江苏政府采购网”“扬州市政府采购网”发布的谈判文件为准。</w:t>
      </w:r>
      <w:r/>
    </w:p>
    <w:p>
      <w:pPr>
        <w:ind w:firstLine="420"/>
        <w:keepLines/>
        <w:keepNext/>
        <w:rPr>
          <w:rFonts w:ascii="Arial" w:hAnsi="Arial" w:eastAsia="黑体" w:cs="Arial"/>
          <w:sz w:val="28"/>
          <w:szCs w:val="28"/>
        </w:rPr>
        <w:outlineLvl w:val="3"/>
      </w:pPr>
      <w:r/>
      <w:bookmarkStart w:id="88" w:name="_Hlt26670360"/>
      <w:r/>
      <w:bookmarkEnd w:id="88"/>
      <w:r/>
      <w:bookmarkStart w:id="89" w:name="_Hlt26668975"/>
      <w:r/>
      <w:bookmarkEnd w:id="89"/>
      <w:r/>
      <w:bookmarkStart w:id="90" w:name="_Hlt26954838"/>
      <w:r/>
      <w:bookmarkEnd w:id="90"/>
      <w:r/>
      <w:bookmarkStart w:id="91" w:name="_Toc14577357"/>
      <w:r/>
      <w:bookmarkStart w:id="92" w:name="_Toc513029219"/>
      <w:r/>
      <w:bookmarkStart w:id="93" w:name="_Toc49090509"/>
      <w:r/>
      <w:bookmarkStart w:id="94" w:name="_Toc513029216"/>
      <w:r/>
      <w:bookmarkStart w:id="95" w:name="_Toc49090507"/>
      <w:r/>
      <w:bookmarkStart w:id="96" w:name="_Toc14577354"/>
      <w:r/>
      <w:bookmarkStart w:id="97" w:name="_Toc14577355"/>
      <w:r/>
      <w:bookmarkStart w:id="98" w:name="_Toc49090508"/>
      <w:r>
        <w:rPr>
          <w:rFonts w:ascii="Arial" w:hAnsi="Arial" w:eastAsia="黑体" w:cs="Arial"/>
          <w:sz w:val="28"/>
          <w:szCs w:val="28"/>
        </w:rPr>
        <w:t xml:space="preserve">10</w:t>
      </w:r>
      <w:r>
        <w:rPr>
          <w:rFonts w:hint="eastAsia" w:ascii="Arial" w:hAnsi="Arial" w:eastAsia="黑体" w:cs="Arial"/>
          <w:sz w:val="28"/>
          <w:szCs w:val="28"/>
        </w:rPr>
        <w:t xml:space="preserve">、证明谈判响应标的符合谈判文件规定的文件</w:t>
      </w:r>
      <w:bookmarkEnd w:id="91"/>
      <w:r/>
      <w:bookmarkEnd w:id="92"/>
      <w:r/>
      <w:bookmarkEnd w:id="93"/>
      <w:r/>
      <w:bookmarkEnd w:id="94"/>
      <w:r/>
      <w:bookmarkEnd w:id="95"/>
      <w:r/>
      <w:bookmarkEnd w:id="96"/>
      <w:r/>
      <w:r/>
    </w:p>
    <w:p>
      <w:pPr>
        <w:spacing w:line="480" w:lineRule="exact"/>
        <w:rPr>
          <w:rFonts w:ascii="宋体" w:hAnsi="宋体"/>
          <w:sz w:val="24"/>
          <w:szCs w:val="24"/>
        </w:rPr>
      </w:pPr>
      <w:r>
        <w:rPr>
          <w:rFonts w:hint="eastAsia" w:ascii="宋体" w:hAnsi="宋体"/>
          <w:sz w:val="24"/>
          <w:szCs w:val="24"/>
        </w:rPr>
        <w:t xml:space="preserve">    10.1供应商应按照谈判文件要求提交证明文件，证明其谈判响应标的符合谈判文件规定。</w:t>
      </w:r>
      <w:r/>
    </w:p>
    <w:p>
      <w:pPr>
        <w:ind w:firstLine="480"/>
        <w:spacing w:line="480" w:lineRule="exact"/>
        <w:rPr>
          <w:rFonts w:ascii="宋体" w:hAnsi="宋体"/>
          <w:sz w:val="24"/>
          <w:szCs w:val="24"/>
        </w:rPr>
      </w:pPr>
      <w:r>
        <w:rPr>
          <w:rFonts w:hint="eastAsia" w:ascii="宋体" w:hAnsi="宋体"/>
          <w:sz w:val="24"/>
          <w:szCs w:val="24"/>
        </w:rPr>
        <w:t xml:space="preserve">10.2谈判文件对证明文件无明确形式要求的，证明文件可以以文字资料、图纸和数据等形式提交。</w:t>
      </w:r>
      <w:bookmarkEnd w:id="97"/>
      <w:r/>
      <w:bookmarkEnd w:id="98"/>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11.1</w:t>
      </w:r>
      <w:r>
        <w:rPr>
          <w:rFonts w:hint="eastAsia" w:ascii="宋体" w:hAnsi="宋体"/>
          <w:sz w:val="24"/>
          <w:szCs w:val="21"/>
        </w:rPr>
        <w:t xml:space="preserve">供应商应按照谈判文件规定格式填报分项报价表。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11.2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p>
    <w:p>
      <w:pPr>
        <w:ind w:firstLine="420"/>
        <w:keepLines/>
        <w:keepNext/>
        <w:rPr>
          <w:rFonts w:ascii="Arial" w:hAnsi="Arial" w:eastAsia="黑体" w:cs="Arial"/>
          <w:sz w:val="28"/>
          <w:szCs w:val="28"/>
        </w:rPr>
        <w:outlineLvl w:val="3"/>
      </w:pPr>
      <w:r/>
      <w:bookmarkStart w:id="99" w:name="_Hlt26954848"/>
      <w:r/>
      <w:bookmarkEnd w:id="99"/>
      <w:r/>
      <w:bookmarkStart w:id="100" w:name="_Hlt26670482"/>
      <w:r/>
      <w:bookmarkEnd w:id="100"/>
      <w:r/>
      <w:bookmarkStart w:id="101" w:name="_Hlt26670486"/>
      <w:r/>
      <w:bookmarkEnd w:id="101"/>
      <w:r/>
      <w:bookmarkStart w:id="102" w:name="_Hlt26954731"/>
      <w:r/>
      <w:bookmarkEnd w:id="102"/>
      <w:r/>
      <w:bookmarkStart w:id="103" w:name="_Hlt26954846"/>
      <w:r/>
      <w:bookmarkEnd w:id="103"/>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hint="eastAsia" w:ascii="宋体" w:hAnsi="Arial" w:cs="宋体"/>
          <w:bCs/>
          <w:sz w:val="24"/>
          <w:szCs w:val="21"/>
          <w:lang w:val="zh-CN"/>
        </w:rPr>
        <w:t xml:space="preserve">12.1</w:t>
      </w:r>
      <w:r>
        <w:rPr>
          <w:rFonts w:hint="eastAsia" w:ascii="宋体" w:hAnsi="Arial" w:cs="宋体"/>
          <w:sz w:val="24"/>
          <w:szCs w:val="21"/>
          <w:lang w:val="zh-CN"/>
        </w:rPr>
        <w:t xml:space="preserve">供应商需对谈判文件中的技术要求与商务要求逐项作出响应或偏离，并说明原因。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12.2供应商需按照谈判文件要求，在响应文件中提供与技术要求和商务要求相关的证明材料。</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13.2供应商需根据谈判文件要求提供培训计划。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13.3供应商需根据谈判文件要求提供</w:t>
      </w:r>
      <w:r>
        <w:rPr>
          <w:rFonts w:hint="eastAsia" w:ascii="宋体" w:hAnsi="Arial" w:cs="宋体"/>
          <w:sz w:val="24"/>
          <w:szCs w:val="21"/>
          <w:lang w:val="zh-CN"/>
        </w:rPr>
        <w:t xml:space="preserve">谈判响应标的的主要组成部分、功能设计、实现思路及关键技术等。</w:t>
      </w:r>
      <w:r/>
    </w:p>
    <w:p>
      <w:pPr>
        <w:ind w:firstLine="420"/>
        <w:keepLines/>
        <w:keepNext/>
        <w:rPr>
          <w:rFonts w:ascii="Arial" w:hAnsi="Arial" w:eastAsia="黑体" w:cs="Arial"/>
          <w:sz w:val="28"/>
          <w:szCs w:val="28"/>
        </w:rPr>
        <w:outlineLvl w:val="3"/>
      </w:pPr>
      <w:r/>
      <w:bookmarkStart w:id="104" w:name="_Toc14577359"/>
      <w:r/>
      <w:bookmarkStart w:id="105" w:name="_Toc49090510"/>
      <w:r>
        <w:rPr>
          <w:rFonts w:ascii="Arial" w:hAnsi="Arial" w:eastAsia="黑体" w:cs="Arial"/>
          <w:sz w:val="28"/>
          <w:szCs w:val="28"/>
        </w:rPr>
        <w:t xml:space="preserve">14</w:t>
      </w:r>
      <w:r>
        <w:rPr>
          <w:rFonts w:hint="eastAsia" w:ascii="Arial" w:hAnsi="Arial" w:eastAsia="黑体" w:cs="Arial"/>
          <w:sz w:val="28"/>
          <w:szCs w:val="28"/>
        </w:rPr>
        <w:t xml:space="preserve">、谈判响应函</w:t>
      </w:r>
      <w:r/>
    </w:p>
    <w:p>
      <w:pPr>
        <w:ind w:firstLine="480"/>
        <w:spacing w:line="500" w:lineRule="exact"/>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供应商应按照谈判文件中提供的格式完整、正确填写谈判响应函。</w:t>
      </w:r>
      <w:bookmarkEnd w:id="104"/>
      <w:r/>
      <w:bookmarkEnd w:id="105"/>
      <w:r/>
      <w:r/>
    </w:p>
    <w:p>
      <w:pPr>
        <w:ind w:firstLine="420"/>
        <w:keepLines/>
        <w:keepNext/>
        <w:rPr>
          <w:rFonts w:ascii="Arial" w:hAnsi="Arial" w:eastAsia="黑体" w:cs="Arial"/>
          <w:sz w:val="28"/>
          <w:szCs w:val="28"/>
        </w:rPr>
        <w:outlineLvl w:val="3"/>
      </w:pPr>
      <w:r/>
      <w:bookmarkStart w:id="106" w:name="_Toc14577360"/>
      <w:r/>
      <w:bookmarkStart w:id="107" w:name="_Toc49090511"/>
      <w:r>
        <w:rPr>
          <w:rFonts w:ascii="Arial" w:hAnsi="Arial" w:eastAsia="黑体" w:cs="Arial"/>
          <w:sz w:val="28"/>
          <w:szCs w:val="28"/>
        </w:rPr>
        <w:t xml:space="preserve">15</w:t>
      </w:r>
      <w:r>
        <w:rPr>
          <w:rFonts w:hint="eastAsia" w:ascii="Arial" w:hAnsi="Arial" w:eastAsia="黑体" w:cs="Arial"/>
          <w:sz w:val="28"/>
          <w:szCs w:val="28"/>
        </w:rPr>
        <w:t xml:space="preserve">、谈判有效期</w:t>
      </w:r>
      <w:bookmarkEnd w:id="106"/>
      <w:r/>
      <w:bookmarkEnd w:id="107"/>
      <w:r/>
      <w:r/>
    </w:p>
    <w:p>
      <w:pPr>
        <w:ind w:firstLine="480"/>
        <w:spacing w:line="500" w:lineRule="exact"/>
        <w:rPr>
          <w:rFonts w:ascii="宋体" w:hAnsi="宋体"/>
          <w:bCs/>
          <w:sz w:val="24"/>
          <w:szCs w:val="21"/>
        </w:rPr>
      </w:pPr>
      <w:r>
        <w:rPr>
          <w:rFonts w:hint="eastAsia" w:ascii="宋体" w:hAnsi="宋体"/>
          <w:bCs/>
          <w:sz w:val="24"/>
          <w:szCs w:val="21"/>
        </w:rPr>
        <w:t xml:space="preserve">15.1谈判有效期为交易中心规定的提交响应文件截止之日后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、谈判有效期的延长</w:t>
      </w:r>
      <w:r/>
    </w:p>
    <w:p>
      <w:pPr>
        <w:ind w:firstLine="480"/>
        <w:spacing w:line="500" w:lineRule="exact"/>
        <w:rPr>
          <w:rFonts w:ascii="宋体" w:hAnsi="宋体"/>
          <w:bCs/>
          <w:sz w:val="24"/>
          <w:szCs w:val="21"/>
        </w:rPr>
      </w:pPr>
      <w:r>
        <w:rPr>
          <w:rFonts w:hint="eastAsia" w:ascii="宋体" w:hAnsi="宋体"/>
          <w:bCs/>
          <w:sz w:val="24"/>
          <w:szCs w:val="21"/>
        </w:rPr>
        <w:t xml:space="preserve">16.1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8" w:name="_Hlt26954739"/>
      <w:r/>
      <w:bookmarkEnd w:id="108"/>
      <w:r/>
      <w:bookmarkStart w:id="109" w:name="_Hlt26954852"/>
      <w:r/>
      <w:bookmarkEnd w:id="109"/>
      <w:r/>
      <w:bookmarkStart w:id="110" w:name="_Toc20823296"/>
      <w:r/>
      <w:bookmarkStart w:id="111" w:name="_Toc16938540"/>
      <w:r/>
      <w:bookmarkStart w:id="112" w:name="_Toc120614217"/>
      <w:r/>
      <w:bookmarkStart w:id="113" w:name="_Toc513029224"/>
      <w:r>
        <w:rPr>
          <w:rFonts w:hint="eastAsia" w:ascii="Times New Roman" w:hAnsi="Times New Roman"/>
          <w:b/>
          <w:bCs/>
          <w:sz w:val="32"/>
          <w:szCs w:val="32"/>
        </w:rPr>
        <w:t xml:space="preserve">四、响应文件的递交</w:t>
      </w:r>
      <w:bookmarkEnd w:id="110"/>
      <w:r/>
      <w:bookmarkEnd w:id="111"/>
      <w:r/>
      <w:bookmarkEnd w:id="112"/>
      <w:r/>
      <w:bookmarkEnd w:id="113"/>
      <w:r/>
      <w:r/>
    </w:p>
    <w:p>
      <w:pPr>
        <w:ind w:firstLine="560"/>
        <w:keepLines/>
        <w:keepNext/>
        <w:rPr>
          <w:rFonts w:ascii="黑体" w:hAnsi="Arial" w:eastAsia="黑体" w:cs="Arial"/>
          <w:sz w:val="28"/>
          <w:szCs w:val="28"/>
        </w:rPr>
        <w:outlineLvl w:val="3"/>
      </w:pPr>
      <w:r/>
      <w:bookmarkStart w:id="114" w:name="_Toc20823297"/>
      <w:r/>
      <w:bookmarkStart w:id="115" w:name="_Toc462564084"/>
      <w:r/>
      <w:bookmarkStart w:id="116" w:name="_Toc513029225"/>
      <w:r/>
      <w:bookmarkStart w:id="117" w:name="_Toc16938541"/>
      <w:r>
        <w:rPr>
          <w:rFonts w:ascii="Arial" w:hAnsi="Arial" w:eastAsia="黑体" w:cs="Arial"/>
          <w:sz w:val="28"/>
          <w:szCs w:val="28"/>
        </w:rPr>
        <w:t xml:space="preserve">17</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4"/>
      <w:r/>
      <w:bookmarkEnd w:id="115"/>
      <w:r/>
      <w:bookmarkEnd w:id="116"/>
      <w:r/>
      <w:bookmarkEnd w:id="117"/>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17.1供应商应当按照《操作手册》规定，在提交响应文件截止时间前制作并上传电子响应文件。</w:t>
      </w:r>
      <w:bookmarkStart w:id="118" w:name="_Toc513029226"/>
      <w:r/>
      <w:bookmarkStart w:id="119" w:name="_Toc16938542"/>
      <w:r/>
      <w:bookmarkStart w:id="120" w:name="_Toc20823298"/>
      <w:r/>
      <w:r/>
    </w:p>
    <w:p>
      <w:pPr>
        <w:ind w:firstLine="560"/>
        <w:keepLines/>
        <w:keepNext/>
        <w:spacing w:before="280" w:after="290" w:line="374"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
    </w:p>
    <w:p>
      <w:pPr>
        <w:ind w:firstLine="480"/>
        <w:spacing w:line="500" w:lineRule="exact"/>
        <w:rPr>
          <w:rFonts w:ascii="宋体" w:hAnsi="宋体"/>
          <w:bCs/>
          <w:sz w:val="24"/>
          <w:szCs w:val="21"/>
        </w:rPr>
      </w:pPr>
      <w:r>
        <w:rPr>
          <w:rFonts w:hint="eastAsia" w:ascii="宋体" w:hAnsi="宋体"/>
          <w:sz w:val="24"/>
          <w:szCs w:val="21"/>
        </w:rPr>
        <w:t xml:space="preserve">18.1</w:t>
      </w:r>
      <w:r>
        <w:rPr>
          <w:rFonts w:hint="eastAsia" w:ascii="宋体" w:hAnsi="宋体"/>
          <w:bCs/>
          <w:sz w:val="24"/>
          <w:szCs w:val="21"/>
        </w:rPr>
        <w:t xml:space="preserve">供应商上传电子响应文件的时间不得迟于谈判公告中规定的提交响应文件截止时间。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供应商应充分考虑到网络环境、网络带宽等风险因素，如因供应商自身原因造成的电子响应文件上传不成功的按照本谈判文件第二章第25.3.2条规定做无效响应处理。</w:t>
      </w:r>
      <w:r/>
    </w:p>
    <w:p>
      <w:pPr>
        <w:ind w:firstLine="480"/>
        <w:spacing w:line="500" w:lineRule="exact"/>
        <w:rPr>
          <w:rFonts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1" w:name="_Toc20823299"/>
      <w:r/>
      <w:bookmarkStart w:id="122" w:name="_Toc513029227"/>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19.1 交易中心拒绝接收在其规定的提交响应文件截止时间后上传的任何电子响应文件。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4" w:name="_Toc20823300"/>
      <w:r/>
      <w:bookmarkStart w:id="125" w:name="_Toc513029228"/>
      <w:r/>
      <w:bookmarkStart w:id="126" w:name="_Toc16938544"/>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4"/>
      <w:r/>
      <w:bookmarkEnd w:id="125"/>
      <w:r/>
      <w:bookmarkEnd w:id="126"/>
      <w:r/>
      <w:r/>
    </w:p>
    <w:p>
      <w:pPr>
        <w:ind w:firstLine="480"/>
        <w:spacing w:line="480" w:lineRule="exact"/>
        <w:rPr>
          <w:rFonts w:ascii="宋体" w:hAnsi="宋体"/>
          <w:sz w:val="24"/>
          <w:szCs w:val="21"/>
        </w:rPr>
      </w:pPr>
      <w:r>
        <w:rPr>
          <w:rFonts w:hint="eastAsia" w:ascii="宋体" w:hAnsi="宋体"/>
          <w:sz w:val="24"/>
          <w:szCs w:val="21"/>
        </w:rPr>
        <w:t xml:space="preserve">20.1响应文件的撤回</w:t>
      </w:r>
      <w:r/>
    </w:p>
    <w:p>
      <w:pPr>
        <w:ind w:firstLine="480"/>
        <w:spacing w:line="480" w:lineRule="exact"/>
        <w:rPr>
          <w:rFonts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20.1.2供应商撤回电子响应文件，则认为其不再参与本项目谈判活动。</w:t>
      </w:r>
      <w:r/>
    </w:p>
    <w:p>
      <w:pPr>
        <w:ind w:firstLine="480"/>
        <w:spacing w:line="480" w:lineRule="exact"/>
        <w:rPr>
          <w:rFonts w:ascii="宋体" w:hAnsi="宋体"/>
          <w:sz w:val="24"/>
          <w:szCs w:val="24"/>
        </w:rPr>
      </w:pPr>
      <w:r>
        <w:rPr>
          <w:rFonts w:hint="eastAsia" w:ascii="宋体" w:hAnsi="宋体"/>
          <w:sz w:val="24"/>
          <w:szCs w:val="24"/>
        </w:rPr>
        <w:t xml:space="preserve">20.2响应文件的修改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在提交响应文件截止时间至谈判文件中规定的谈判有效期满之间的这段时间内，供应商不得撤回其响应文件。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7" w:name="_Toc513029229"/>
      <w:r/>
      <w:bookmarkStart w:id="128" w:name="_Toc16938545"/>
      <w:r/>
      <w:bookmarkStart w:id="129" w:name="_Toc120614218"/>
      <w:r/>
      <w:bookmarkStart w:id="130" w:name="_Toc20823301"/>
      <w:r>
        <w:rPr>
          <w:rFonts w:hint="eastAsia" w:ascii="Times New Roman" w:hAnsi="Times New Roman"/>
          <w:b/>
          <w:bCs/>
          <w:sz w:val="32"/>
          <w:szCs w:val="32"/>
        </w:rPr>
        <w:t xml:space="preserve">五、响应文件的解密与评审</w:t>
      </w:r>
      <w:bookmarkEnd w:id="127"/>
      <w:r/>
      <w:bookmarkEnd w:id="128"/>
      <w:r/>
      <w:bookmarkEnd w:id="129"/>
      <w:r/>
      <w:bookmarkEnd w:id="130"/>
      <w:r/>
      <w:r/>
    </w:p>
    <w:p>
      <w:pPr>
        <w:ind w:firstLine="420"/>
        <w:keepLines/>
        <w:keepNext/>
        <w:rPr>
          <w:rFonts w:ascii="Arial" w:hAnsi="Arial" w:eastAsia="黑体" w:cs="Arial"/>
          <w:sz w:val="28"/>
          <w:szCs w:val="28"/>
        </w:rPr>
        <w:outlineLvl w:val="3"/>
      </w:pPr>
      <w:r/>
      <w:bookmarkStart w:id="131" w:name="_Toc513029230"/>
      <w:r/>
      <w:bookmarkStart w:id="132" w:name="_Toc20823302"/>
      <w:r/>
      <w:bookmarkStart w:id="133" w:name="_Toc16938546"/>
      <w:r>
        <w:rPr>
          <w:rFonts w:ascii="Arial" w:hAnsi="Arial" w:eastAsia="黑体" w:cs="Arial"/>
          <w:sz w:val="28"/>
          <w:szCs w:val="28"/>
        </w:rPr>
        <w:t xml:space="preserve">21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21.1</w:t>
      </w:r>
      <w:r>
        <w:rPr>
          <w:rFonts w:hint="eastAsia" w:ascii="宋体" w:hAnsi="宋体"/>
          <w:sz w:val="24"/>
          <w:szCs w:val="24"/>
        </w:rPr>
        <w:t xml:space="preserve">供应商应当按照《操作手册》规定，在苏采云系统规定的时间内对谈判响应文件进行解密。</w:t>
      </w:r>
      <w:r/>
    </w:p>
    <w:p>
      <w:pPr>
        <w:ind w:firstLine="420"/>
        <w:keepLines/>
        <w:keepNext/>
        <w:rPr>
          <w:rFonts w:ascii="Arial" w:hAnsi="Arial" w:eastAsia="黑体" w:cs="Arial"/>
          <w:sz w:val="28"/>
          <w:szCs w:val="28"/>
        </w:rPr>
        <w:outlineLvl w:val="3"/>
      </w:pPr>
      <w:r/>
      <w:bookmarkStart w:id="134" w:name="_Toc513029231"/>
      <w:r/>
      <w:bookmarkStart w:id="135" w:name="_Toc20823303"/>
      <w:r/>
      <w:bookmarkStart w:id="136" w:name="_Toc16938547"/>
      <w:r>
        <w:rPr>
          <w:rFonts w:ascii="Arial" w:hAnsi="Arial" w:eastAsia="黑体" w:cs="Arial"/>
          <w:sz w:val="28"/>
          <w:szCs w:val="28"/>
        </w:rPr>
        <w:t xml:space="preserve">22</w:t>
      </w:r>
      <w:r>
        <w:rPr>
          <w:rFonts w:hint="eastAsia" w:ascii="Arial" w:hAnsi="Arial" w:eastAsia="黑体" w:cs="Arial"/>
          <w:sz w:val="28"/>
          <w:szCs w:val="28"/>
        </w:rPr>
        <w:t xml:space="preserve">、谈判小组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22.1交易中心将组织谈判小组对响应文件进行评审。谈判小组由采购人代表和有关技术、经济等方面的专家组成，且人员构成符合政府采购有关规定。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22.2谈判小组独立工作，负责评审所有响应文件并确定成交</w:t>
      </w:r>
      <w:r>
        <w:rPr>
          <w:rFonts w:hint="eastAsia" w:ascii="宋体" w:hAnsi="宋体"/>
          <w:sz w:val="24"/>
          <w:szCs w:val="24"/>
          <w:lang w:val="en-US" w:eastAsia="zh-CN"/>
        </w:rPr>
        <w:t xml:space="preserve">候</w:t>
      </w:r>
      <w:r>
        <w:rPr>
          <w:rFonts w:hint="eastAsia" w:ascii="宋体" w:hAnsi="宋体"/>
          <w:sz w:val="24"/>
          <w:szCs w:val="24"/>
        </w:rPr>
        <w:t xml:space="preserve">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34"/>
      <w:r/>
      <w:bookmarkEnd w:id="135"/>
      <w:r/>
      <w:bookmarkEnd w:id="136"/>
      <w:r/>
      <w:r/>
    </w:p>
    <w:p>
      <w:pPr>
        <w:ind w:firstLine="360"/>
        <w:spacing w:line="500" w:lineRule="exact"/>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谈判小组、采购人和交易中心工作人员、相关监督人员等与评审工作有关的人员，对评审情况以及在评审过程中获悉的国家秘密、商业秘密负有保密责任。</w:t>
      </w:r>
      <w:r/>
    </w:p>
    <w:p>
      <w:pPr>
        <w:ind w:firstLine="360"/>
        <w:spacing w:line="48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在评审过程中，供应商不得以任何行为影响谈判评审过程，否则其响应文件将被作为无效响应文件。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在项目评审期间，交易中心将设专门人员与供应商联系。</w:t>
      </w:r>
      <w:r/>
    </w:p>
    <w:p>
      <w:pPr>
        <w:ind w:firstLine="480"/>
        <w:spacing w:line="480" w:lineRule="exact"/>
        <w:rPr>
          <w:rFonts w:ascii="宋体" w:hAnsi="宋体"/>
          <w:sz w:val="24"/>
          <w:szCs w:val="24"/>
        </w:rPr>
      </w:pPr>
      <w:r>
        <w:rPr>
          <w:rFonts w:hint="eastAsia" w:ascii="宋体" w:hAnsi="宋体"/>
          <w:sz w:val="24"/>
          <w:szCs w:val="24"/>
        </w:rPr>
        <w:t xml:space="preserve">23.4 交易中心和谈判小组不向未成交的供应商解释未成交原因，也不公布评审过程中的相关细节。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37" w:name="_Toc16938548"/>
      <w:r/>
      <w:bookmarkStart w:id="138" w:name="_Toc20823304"/>
      <w:r/>
      <w:bookmarkStart w:id="139" w:name="_Toc513029232"/>
      <w:r>
        <w:rPr>
          <w:rFonts w:ascii="Arial" w:hAnsi="Arial" w:eastAsia="黑体" w:cs="Arial"/>
          <w:sz w:val="28"/>
          <w:szCs w:val="28"/>
        </w:rPr>
        <w:t xml:space="preserve">24</w:t>
      </w:r>
      <w:r>
        <w:rPr>
          <w:rFonts w:hint="eastAsia" w:ascii="Arial" w:hAnsi="Arial" w:eastAsia="黑体" w:cs="Arial"/>
          <w:sz w:val="28"/>
          <w:szCs w:val="28"/>
        </w:rPr>
        <w:t xml:space="preserve">、评审过程中的的澄清</w:t>
      </w:r>
      <w:bookmarkEnd w:id="137"/>
      <w:r/>
      <w:bookmarkEnd w:id="138"/>
      <w:r/>
      <w:bookmarkEnd w:id="139"/>
      <w:r/>
      <w:r/>
    </w:p>
    <w:p>
      <w:pPr>
        <w:ind w:firstLine="480"/>
        <w:spacing w:line="460" w:lineRule="exact"/>
        <w:rPr>
          <w:rFonts w:ascii="宋体" w:hAnsi="宋体" w:cs="宋体"/>
          <w:sz w:val="24"/>
          <w:szCs w:val="24"/>
        </w:rPr>
      </w:pPr>
      <w:r>
        <w:rPr>
          <w:rFonts w:hint="eastAsia" w:ascii="宋体" w:hAnsi="宋体" w:cs="宋体"/>
          <w:sz w:val="24"/>
          <w:szCs w:val="24"/>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谈判小组并非对每个供应商都作澄清要求。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24.2需要供应商进行澄清、说明和更正的，谈判小组将通过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接到谈判小组澄清、说明和更正要求的供应商如未按规定做出澄清、说明和更正，其风险由供应商自行承担。</w:t>
      </w:r>
      <w:r/>
    </w:p>
    <w:p>
      <w:pPr>
        <w:ind w:firstLine="420"/>
        <w:keepLines/>
        <w:keepNext/>
        <w:rPr>
          <w:rFonts w:ascii="Arial" w:hAnsi="Arial" w:eastAsia="黑体" w:cs="Arial"/>
          <w:sz w:val="28"/>
          <w:szCs w:val="28"/>
        </w:rPr>
        <w:outlineLvl w:val="3"/>
      </w:pPr>
      <w:r/>
      <w:bookmarkStart w:id="140" w:name="_Toc20823305"/>
      <w:r/>
      <w:bookmarkStart w:id="141" w:name="_Toc513029233"/>
      <w:r/>
      <w:bookmarkStart w:id="142" w:name="_Toc16938549"/>
      <w:r>
        <w:rPr>
          <w:rFonts w:ascii="Arial" w:hAnsi="Arial" w:eastAsia="黑体" w:cs="Arial"/>
          <w:sz w:val="28"/>
          <w:szCs w:val="28"/>
        </w:rPr>
        <w:t xml:space="preserve">25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25.1.1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bCs/>
          <w:sz w:val="24"/>
          <w:szCs w:val="21"/>
        </w:rPr>
      </w:pPr>
      <w:r>
        <w:rPr>
          <w:rFonts w:hint="eastAsia" w:ascii="宋体" w:hAnsi="宋体"/>
          <w:bCs/>
          <w:sz w:val="24"/>
          <w:szCs w:val="21"/>
        </w:rPr>
        <w:t xml:space="preserve">谈判小组在进行资格审查的同时，将在“信用中国”网站（www.creditchina.gov.cn）</w:t>
      </w:r>
      <w:r>
        <w:rPr>
          <w:rFonts w:hint="eastAsia" w:ascii="宋体" w:hAnsi="宋体"/>
          <w:bCs/>
          <w:color w:val="000000"/>
          <w:sz w:val="24"/>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查询供应商的信用记录</w:t>
      </w:r>
      <w:r>
        <w:rPr>
          <w:rFonts w:hint="eastAsia" w:ascii="宋体" w:hAnsi="宋体"/>
          <w:bCs/>
          <w:sz w:val="24"/>
          <w:szCs w:val="21"/>
        </w:rPr>
        <w:t xml:space="preserve">，以确定供应商是否具备谈判资格,查询结果留存并归档。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25.1.2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25.1.3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25.3未实质性响应谈判文件的情形</w:t>
      </w:r>
      <w:r/>
    </w:p>
    <w:p>
      <w:pPr>
        <w:ind w:firstLine="480"/>
        <w:spacing w:line="460" w:lineRule="exact"/>
        <w:rPr>
          <w:rFonts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25.3.2供应商未按照谈判文件要求上传电子响应文件的。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25.3.3供应商同一采购包提交两个（含两个）以上不同的响应文件或者最后报价的。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25.3.4供应商不具备谈判文件中规定资格要求的。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25.3.5供应商的最后报价超过了采购预算或最高限价的。</w:t>
      </w:r>
      <w:r/>
    </w:p>
    <w:p>
      <w:pPr>
        <w:ind w:firstLine="480"/>
        <w:spacing w:line="460" w:lineRule="exact"/>
        <w:rPr>
          <w:rFonts w:ascii="宋体" w:hAnsi="宋体"/>
          <w:bCs/>
          <w:sz w:val="24"/>
          <w:szCs w:val="21"/>
        </w:rPr>
      </w:pPr>
      <w:r>
        <w:rPr>
          <w:rFonts w:hint="eastAsia" w:ascii="宋体" w:hAnsi="宋体"/>
          <w:bCs/>
          <w:sz w:val="24"/>
          <w:szCs w:val="21"/>
        </w:rPr>
        <w:t xml:space="preserve">25.3.6不符合谈判文件中规定的实质性要求的</w:t>
      </w:r>
      <w:r>
        <w:rPr>
          <w:rFonts w:hint="eastAsia" w:ascii="宋体" w:hAnsi="宋体"/>
          <w:b/>
          <w:bCs/>
          <w:color w:val="ff0000"/>
          <w:sz w:val="24"/>
          <w:szCs w:val="21"/>
        </w:rPr>
        <w:t xml:space="preserve">（本谈判文件中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w:t>
      </w:r>
      <w:r>
        <w:rPr>
          <w:rFonts w:hint="eastAsia" w:ascii="宋体" w:hAnsi="宋体"/>
          <w:sz w:val="24"/>
          <w:szCs w:val="24"/>
        </w:rPr>
        <w:t xml:space="preserve">采购严重失信行为记录名单，“中国政府采购网"(www.ccgp.gov.cn)列入政府采购严重失信行为记录名单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25.3.9</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w:t>
      </w:r>
      <w:r>
        <w:rPr>
          <w:rFonts w:hint="eastAsia" w:ascii="宋体" w:hAnsi="宋体"/>
          <w:bCs/>
          <w:color w:val="000000"/>
          <w:sz w:val="24"/>
          <w:szCs w:val="21"/>
        </w:rPr>
        <w:t xml:space="preserve">处于有效期之内的该节能产品认证证书原件扫描件</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25.3.10响应文件未按照谈判文件要求加盖CA电子公章的。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25.4未实质性响应谈判文件的响应文件按无效响应处理。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460" w:lineRule="exact"/>
        <w:rPr>
          <w:rFonts w:ascii="宋体" w:hAnsi="宋体"/>
          <w:bCs/>
          <w:sz w:val="24"/>
          <w:szCs w:val="21"/>
        </w:rPr>
      </w:pPr>
      <w:r>
        <w:rPr>
          <w:rFonts w:hint="eastAsia" w:ascii="宋体" w:hAnsi="宋体"/>
          <w:color w:val="ff0000"/>
          <w:sz w:val="24"/>
          <w:szCs w:val="24"/>
        </w:rPr>
        <w:t xml:space="preserve">2</w:t>
      </w:r>
      <w:r>
        <w:rPr>
          <w:rFonts w:ascii="宋体" w:hAnsi="宋体"/>
          <w:color w:val="ff0000"/>
          <w:sz w:val="24"/>
          <w:szCs w:val="24"/>
        </w:rPr>
        <w:t xml:space="preserve">5.6</w:t>
      </w:r>
      <w:r>
        <w:rPr>
          <w:rFonts w:hint="eastAsia" w:ascii="宋体" w:hAnsi="宋体"/>
          <w:color w:val="ff0000"/>
          <w:sz w:val="24"/>
          <w:szCs w:val="24"/>
          <w:highlight w:val="none"/>
          <w:lang w:val="en-US" w:eastAsia="zh-CN"/>
        </w:rPr>
        <w:t xml:space="preserve">经查实，</w:t>
      </w:r>
      <w:r>
        <w:rPr>
          <w:rFonts w:hint="eastAsia" w:ascii="宋体" w:hAnsi="宋体"/>
          <w:color w:val="ff0000"/>
          <w:sz w:val="24"/>
          <w:szCs w:val="24"/>
        </w:rPr>
        <w:t xml:space="preserve">不同供应商的电子响应文件出自同一台电脑的；不同供应商的响应文件制作工具客户端标识码存在一致的；不同供应商从同一互联网协议地址上传响应文件的，响应文件无效。</w:t>
      </w:r>
      <w:r/>
    </w:p>
    <w:p>
      <w:pPr>
        <w:ind w:firstLine="480"/>
        <w:spacing w:line="400" w:lineRule="exact"/>
        <w:rPr>
          <w:rFonts w:hint="eastAsia" w:ascii="宋体" w:hAnsi="宋体" w:eastAsia="宋体"/>
          <w:bCs/>
          <w:color w:val="ff0000"/>
          <w:sz w:val="24"/>
          <w:szCs w:val="21"/>
          <w:highlight w:val="none"/>
          <w:lang w:val="en-US" w:eastAsia="zh-CN"/>
        </w:rPr>
      </w:pPr>
      <w:r/>
      <w:bookmarkStart w:id="143" w:name="_Toc20823306"/>
      <w:r/>
      <w:bookmarkStart w:id="144" w:name="_Toc513029234"/>
      <w:r/>
      <w:bookmarkStart w:id="145" w:name="_Toc16938550"/>
      <w:r>
        <w:rPr>
          <w:rFonts w:hint="eastAsia" w:ascii="宋体" w:hAnsi="宋体"/>
          <w:sz w:val="24"/>
          <w:szCs w:val="21"/>
          <w:lang w:val="en-US" w:eastAsia="zh-CN"/>
        </w:rPr>
        <w:t xml:space="preserve">25.7</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highlight w:val="yellow"/>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60" w:lineRule="exact"/>
        <w:rPr>
          <w:rFonts w:ascii="宋体" w:hAnsi="宋体"/>
          <w:sz w:val="24"/>
          <w:szCs w:val="21"/>
        </w:rPr>
      </w:pPr>
      <w:r>
        <w:rPr>
          <w:rFonts w:hint="eastAsia" w:ascii="宋体" w:hAnsi="宋体"/>
          <w:sz w:val="24"/>
          <w:szCs w:val="21"/>
        </w:rPr>
        <w:t xml:space="preserve">25.</w:t>
      </w:r>
      <w:r>
        <w:rPr>
          <w:rFonts w:hint="eastAsia" w:ascii="宋体" w:hAnsi="宋体"/>
          <w:sz w:val="24"/>
          <w:szCs w:val="21"/>
          <w:lang w:val="en-US" w:eastAsia="zh-CN"/>
        </w:rPr>
        <w:t xml:space="preserve">8</w:t>
      </w:r>
      <w:r>
        <w:rPr>
          <w:rFonts w:hint="eastAsia" w:ascii="宋体" w:hAnsi="宋体"/>
          <w:sz w:val="24"/>
          <w:szCs w:val="21"/>
        </w:rPr>
        <w:t xml:space="preserve">供应商在项目评审全过程中应保持通讯畅通，并安排专人与交易中心及谈判小组联系。</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谈判程序及成交原则</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26.1谈判程序</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 成交原则</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26.2.1</w:t>
      </w:r>
      <w:r>
        <w:rPr>
          <w:rFonts w:hint="eastAsia" w:ascii="Times New Roman" w:hAnsi="Times New Roman"/>
          <w:color w:val="000000" w:themeColor="text1"/>
          <w:sz w:val="24"/>
          <w:szCs w:val="24"/>
          <w14:textFill>
            <w14:solidFill>
              <w14:schemeClr w14:val="tx1"/>
            </w14:solidFill>
          </w14:textFill>
        </w:rPr>
        <w:t xml:space="preserve">谈判小组将从质量和服务均能满足采购文件实质性响应要求的供应商中，按照最后报价由低到高顺序推荐</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名成交候选供应商，并编写评审报告。采购人从评审报告提出的成交候选供应商中，根据质量和服务均能满足采购文件实质性响应要求且最后报价最低的原则确定成交供应商。</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26.2.2 </w:t>
      </w:r>
      <w:r>
        <w:rPr>
          <w:rFonts w:hint="eastAsia" w:ascii="Times New Roman" w:hAnsi="Times New Roman"/>
          <w:color w:val="000000" w:themeColor="text1"/>
          <w:sz w:val="24"/>
          <w:szCs w:val="24"/>
          <w14:textFill>
            <w14:solidFill>
              <w14:schemeClr w14:val="tx1"/>
            </w14:solidFill>
          </w14:textFill>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ascii="Times New Roman" w:hAnsi="Times New Roman"/>
          <w:color w:val="ff0000"/>
          <w:sz w:val="24"/>
          <w:szCs w:val="24"/>
        </w:rPr>
      </w:pPr>
      <w:r>
        <w:rPr>
          <w:rFonts w:hint="eastAsia" w:ascii="宋体" w:hAnsi="宋体"/>
          <w:color w:val="ff0000"/>
          <w:sz w:val="24"/>
          <w:szCs w:val="24"/>
        </w:rPr>
        <w:t xml:space="preserve">26.2.3</w:t>
      </w:r>
      <w:r>
        <w:rPr>
          <w:rFonts w:ascii="Times New Roman" w:hAnsi="Times New Roman"/>
          <w:color w:val="ff0000"/>
          <w:sz w:val="24"/>
          <w:szCs w:val="24"/>
        </w:rPr>
        <w:t xml:space="preserve"> </w:t>
      </w:r>
      <w:r>
        <w:rPr>
          <w:rFonts w:hint="eastAsia" w:ascii="Times New Roman" w:hAnsi="Times New Roman"/>
          <w:color w:val="ff0000"/>
          <w:sz w:val="24"/>
          <w:szCs w:val="24"/>
        </w:rPr>
        <w:t xml:space="preserve">供应商的最后报价如相同，则优先采购</w:t>
      </w:r>
      <w:r>
        <w:rPr>
          <w:rFonts w:ascii="Times New Roman" w:hAnsi="Times New Roman"/>
          <w:color w:val="ff0000"/>
          <w:sz w:val="24"/>
          <w:szCs w:val="24"/>
        </w:rPr>
        <w:t xml:space="preserve"> </w:t>
      </w:r>
      <w:r>
        <w:rPr>
          <w:rFonts w:hint="eastAsia" w:ascii="Times New Roman" w:hAnsi="Times New Roman"/>
          <w:color w:val="ff0000"/>
          <w:sz w:val="24"/>
          <w:szCs w:val="24"/>
        </w:rPr>
        <w:t xml:space="preserve">“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26.2.4 </w:t>
      </w:r>
      <w:r>
        <w:rPr>
          <w:rFonts w:hint="eastAsia" w:ascii="Times New Roman" w:hAnsi="Times New Roman"/>
          <w:color w:val="000000" w:themeColor="text1"/>
          <w:sz w:val="24"/>
          <w:szCs w:val="24"/>
          <w14:textFill>
            <w14:solidFill>
              <w14:schemeClr w14:val="tx1"/>
            </w14:solidFill>
          </w14:textFill>
        </w:rPr>
        <w:t xml:space="preserve">采购人确定成交供应商后，交易中心将在“江苏政府采购网”“扬州市政府采购网”发布成交结果公告，公告期限为</w:t>
      </w:r>
      <w:r>
        <w:rPr>
          <w:rFonts w:ascii="Times New Roman" w:hAnsi="Times New Roman"/>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个工作日。</w:t>
      </w:r>
      <w:r/>
    </w:p>
    <w:p>
      <w:pPr>
        <w:ind w:firstLine="439"/>
        <w:jc w:val="left"/>
        <w:spacing w:before="120" w:after="120" w:line="0" w:lineRule="atLeast"/>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w:t>
      </w:r>
      <w:r>
        <w:rPr>
          <w:rFonts w:hint="eastAsia" w:ascii="Times New Roman" w:hAnsi="Times New Roman"/>
          <w:color w:val="000000" w:themeColor="text1"/>
          <w:sz w:val="24"/>
          <w:szCs w:val="24"/>
          <w14:textFill>
            <w14:solidFill>
              <w14:schemeClr w14:val="tx1"/>
            </w14:solidFill>
          </w14:textFill>
        </w:rPr>
        <w:t xml:space="preserve">政府采购政策功能落实</w:t>
      </w:r>
      <w:r>
        <w:rPr>
          <w:rFonts w:hint="eastAsia" w:ascii="Times New Roman" w:hAnsi="Times New Roman"/>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本项目专门面向中小企业：是</w:t>
      </w:r>
      <w:r/>
    </w:p>
    <w:tbl>
      <w:tblPr>
        <w:tblStyle w:val="93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5014"/>
      </w:tblGrid>
      <w:tr>
        <w:trPr/>
        <w:tc>
          <w:tcPr>
            <w:tcW w:w="135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采购包号</w:t>
            </w:r>
            <w:r/>
          </w:p>
        </w:tc>
        <w:tc>
          <w:tcPr>
            <w:tcW w:w="501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专门面向中小企业</w:t>
            </w:r>
            <w:r/>
          </w:p>
        </w:tc>
      </w:tr>
      <w:tr>
        <w:trPr/>
        <w:tc>
          <w:tcPr>
            <w:tcW w:w="135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01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是</w:t>
            </w:r>
            <w:r/>
          </w:p>
        </w:tc>
      </w:tr>
    </w:tbl>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）小微型企业价格扣除</w:t>
      </w:r>
      <w:r/>
    </w:p>
    <w:p>
      <w:pPr>
        <w:ind w:firstLine="360"/>
        <w:jc w:val="left"/>
        <w:spacing w:before="120" w:after="120"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宋体" w:hAnsi="宋体"/>
          <w:color w:val="000000" w:themeColor="text1"/>
          <w:sz w:val="24"/>
          <w:szCs w:val="24"/>
          <w14:textFill>
            <w14:solidFill>
              <w14:schemeClr w14:val="tx1"/>
            </w14:solidFill>
          </w14:textFill>
        </w:rPr>
        <w:t xml:space="preserve">本项目对小型和微型企业提供的服务</w:t>
      </w:r>
      <w:r>
        <w:rPr>
          <w:rFonts w:hint="eastAsia" w:ascii="Arial" w:hAnsi="Arial"/>
          <w:color w:val="000000" w:themeColor="text1"/>
          <w:sz w:val="24"/>
          <w:szCs w:val="24"/>
          <w14:textFill>
            <w14:solidFill>
              <w14:schemeClr w14:val="tx1"/>
            </w14:solidFill>
          </w14:textFill>
        </w:rPr>
        <w:t xml:space="preserve">给予</w:t>
      </w:r>
      <w:r>
        <w:rPr>
          <w:rFonts w:hint="eastAsia" w:ascii="Arial" w:hAnsi="Arial"/>
          <w:color w:val="000000" w:themeColor="text1"/>
          <w:sz w:val="24"/>
          <w:szCs w:val="24"/>
          <w:u w:val="single"/>
          <w:lang w:val="en-US" w:eastAsia="zh-CN"/>
          <w14:textFill>
            <w14:solidFill>
              <w14:schemeClr w14:val="tx1"/>
            </w14:solidFill>
          </w14:textFill>
        </w:rPr>
        <w:t xml:space="preserve">/</w:t>
      </w:r>
      <w:r>
        <w:rPr>
          <w:rFonts w:hint="eastAsia" w:ascii="Arial" w:hAnsi="Arial"/>
          <w:color w:val="000000" w:themeColor="text1"/>
          <w:sz w:val="24"/>
          <w:szCs w:val="24"/>
          <w14:textFill>
            <w14:solidFill>
              <w14:schemeClr w14:val="tx1"/>
            </w14:solidFill>
          </w14:textFill>
        </w:rPr>
        <w:t xml:space="preserve">的扣除价格，用扣除后的价格参与评审。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供应商需按照采购文件的要求提供相应的《中小微企业声明函》。</w:t>
      </w:r>
      <w:r/>
    </w:p>
    <w:p>
      <w:pPr>
        <w:pStyle w:val="1009"/>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③</w:t>
      </w:r>
      <w:r>
        <w:rPr>
          <w:rFonts w:hint="eastAsia" w:ascii="宋体" w:hAnsi="宋体"/>
          <w:color w:val="000000" w:themeColor="text1"/>
          <w14:textFill>
            <w14:solidFill>
              <w14:schemeClr w14:val="tx1"/>
            </w14:solidFill>
          </w14:textFill>
        </w:rPr>
        <w:t xml:space="preserve">企业标准请参照《关于印发中小企业划型标准规定的通知》（工信部联企业[2011]300号）文件规定自行填写。</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2</w:t>
      </w:r>
      <w:r>
        <w:rPr>
          <w:rFonts w:hint="eastAsia" w:ascii="Times New Roman" w:hAnsi="Times New Roman"/>
          <w:color w:val="000000" w:themeColor="text1"/>
          <w:sz w:val="24"/>
          <w:szCs w:val="24"/>
          <w14:textFill>
            <w14:solidFill>
              <w14:schemeClr w14:val="tx1"/>
            </w14:solidFill>
          </w14:textFill>
        </w:rPr>
        <w:t xml:space="preserve">）残疾人福利单位价格扣除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Times New Roman" w:hAnsi="Times New Roman"/>
          <w:color w:val="000000" w:themeColor="text1"/>
          <w:sz w:val="24"/>
          <w:szCs w:val="24"/>
          <w14:textFill>
            <w14:solidFill>
              <w14:schemeClr w14:val="tx1"/>
            </w14:solidFill>
          </w14:textFill>
        </w:rPr>
        <w:t xml:space="preserve">本项目对残疾人福利性单位视同小型、微型企业，给予</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残疾人福利单位需按照采购文件的要求提供《残疾人福利性单位声明函》。</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w:t>
      </w:r>
      <w:r>
        <w:rPr>
          <w:rFonts w:hint="eastAsia" w:ascii="Times New Roman" w:hAnsi="Times New Roman"/>
          <w:color w:val="000000" w:themeColor="text1"/>
          <w:sz w:val="24"/>
          <w:szCs w:val="24"/>
          <w14:textFill>
            <w14:solidFill>
              <w14:schemeClr w14:val="tx1"/>
            </w14:solidFill>
          </w14:textFill>
        </w:rPr>
        <w:t xml:space="preserve">残疾人福利单位标准请参照《关于促进残疾人就业政府采购政策的通知》（财库〔</w:t>
      </w:r>
      <w:r>
        <w:rPr>
          <w:rFonts w:ascii="Times New Roman" w:hAnsi="Times New Roman"/>
          <w:color w:val="000000" w:themeColor="text1"/>
          <w:sz w:val="24"/>
          <w:szCs w:val="24"/>
          <w14:textFill>
            <w14:solidFill>
              <w14:schemeClr w14:val="tx1"/>
            </w14:solidFill>
          </w14:textFill>
        </w:rPr>
        <w:t xml:space="preserve">2017</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141</w:t>
      </w:r>
      <w:r>
        <w:rPr>
          <w:rFonts w:hint="eastAsia" w:ascii="Times New Roman" w:hAnsi="Times New Roman"/>
          <w:color w:val="000000" w:themeColor="text1"/>
          <w:sz w:val="24"/>
          <w:szCs w:val="24"/>
          <w14:textFill>
            <w14:solidFill>
              <w14:schemeClr w14:val="tx1"/>
            </w14:solidFill>
          </w14:textFill>
        </w:rPr>
        <w:t xml:space="preserve">号）。</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）监狱和戒毒企业价格扣除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Times New Roman" w:hAnsi="Times New Roman"/>
          <w:color w:val="000000" w:themeColor="text1"/>
          <w:sz w:val="24"/>
          <w:szCs w:val="24"/>
          <w14:textFill>
            <w14:solidFill>
              <w14:schemeClr w14:val="tx1"/>
            </w14:solidFill>
          </w14:textFill>
        </w:rPr>
        <w:t xml:space="preserve">本项目对监狱和戒毒企业（简称监狱企业）视同小型、微型企业，给予</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监狱企业参加政府采购活动时，需提供由省级以上监狱管理局、戒毒管理局</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含新疆生产建设兵团</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出具的属于监狱企业的证明文件。供应商如不提供上述证明文件，价格将不做相应扣除。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w:t>
      </w:r>
      <w:r>
        <w:rPr>
          <w:rFonts w:hint="eastAsia" w:ascii="Times New Roman" w:hAnsi="Times New Roman"/>
          <w:color w:val="000000" w:themeColor="text1"/>
          <w:sz w:val="24"/>
          <w:szCs w:val="24"/>
          <w14:textFill>
            <w14:solidFill>
              <w14:schemeClr w14:val="tx1"/>
            </w14:solidFill>
          </w14:textFill>
        </w:rPr>
        <w:t xml:space="preserve">监狱企业标准请参照《关于政府采购支持监狱企业发展有关问题的通知》（财库</w:t>
      </w:r>
      <w:r>
        <w:rPr>
          <w:rFonts w:ascii="Times New Roman" w:hAnsi="Times New Roman"/>
          <w:color w:val="000000" w:themeColor="text1"/>
          <w:sz w:val="24"/>
          <w:szCs w:val="24"/>
          <w14:textFill>
            <w14:solidFill>
              <w14:schemeClr w14:val="tx1"/>
            </w14:solidFill>
          </w14:textFill>
        </w:rPr>
        <w:t xml:space="preserve">[2014]68</w:t>
      </w:r>
      <w:r>
        <w:rPr>
          <w:rFonts w:hint="eastAsia" w:ascii="Times New Roman" w:hAnsi="Times New Roman"/>
          <w:color w:val="000000" w:themeColor="text1"/>
          <w:sz w:val="24"/>
          <w:szCs w:val="24"/>
          <w14:textFill>
            <w14:solidFill>
              <w14:schemeClr w14:val="tx1"/>
            </w14:solidFill>
          </w14:textFill>
        </w:rPr>
        <w:t xml:space="preserve">号）。</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4</w:t>
      </w:r>
      <w:r>
        <w:rPr>
          <w:rFonts w:hint="eastAsia" w:ascii="Times New Roman" w:hAnsi="Times New Roman"/>
          <w:color w:val="000000" w:themeColor="text1"/>
          <w:sz w:val="24"/>
          <w:szCs w:val="24"/>
          <w14:textFill>
            <w14:solidFill>
              <w14:schemeClr w14:val="tx1"/>
            </w14:solidFill>
          </w14:textFill>
        </w:rPr>
        <w:t xml:space="preserve">）残疾人福利单位、监狱企业属于小型、微型企业的，不重复享受政策。</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5</w:t>
      </w:r>
      <w:r>
        <w:rPr>
          <w:rFonts w:hint="eastAsia" w:ascii="Times New Roman" w:hAnsi="Times New Roman"/>
          <w:color w:val="000000" w:themeColor="text1"/>
          <w:sz w:val="24"/>
          <w:szCs w:val="24"/>
          <w14:textFill>
            <w14:solidFill>
              <w14:schemeClr w14:val="tx1"/>
            </w14:solidFill>
          </w14:textFill>
        </w:rPr>
        <w:t xml:space="preserve">）如本项目同意联合体参加谈判或同意分包履行合同的</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color w:val="000000" w:themeColor="text1"/>
          <w:sz w:val="24"/>
          <w:szCs w:val="24"/>
          <w14:textFill>
            <w14:solidFill>
              <w14:schemeClr w14:val="tx1"/>
            </w14:solidFill>
          </w14:textFill>
        </w:rPr>
        <w:t xml:space="preserve">30%</w:t>
      </w:r>
      <w:r>
        <w:rPr>
          <w:rFonts w:hint="eastAsia" w:ascii="Times New Roman" w:hAnsi="Times New Roman"/>
          <w:color w:val="000000" w:themeColor="text1"/>
          <w:sz w:val="24"/>
          <w:szCs w:val="24"/>
          <w14:textFill>
            <w14:solidFill>
              <w14:schemeClr w14:val="tx1"/>
            </w14:solidFill>
          </w14:textFill>
        </w:rPr>
        <w:t xml:space="preserve">以上的，给予联合体</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rPr>
          <w:rFonts w:ascii="Times New Roman" w:hAnsi="Times New Roman"/>
          <w:color w:val="000000" w:themeColor="text1"/>
          <w:sz w:val="24"/>
          <w:szCs w:val="24"/>
          <w14:textFill>
            <w14:solidFill>
              <w14:schemeClr w14:val="tx1"/>
            </w14:solidFill>
          </w14:textFill>
        </w:rPr>
        <w:t xml:space="preserve"> </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6</w:t>
      </w:r>
      <w:r>
        <w:rPr>
          <w:rFonts w:hint="eastAsia" w:ascii="Times New Roman" w:hAnsi="Times New Roman"/>
          <w:color w:val="000000" w:themeColor="text1"/>
          <w:sz w:val="24"/>
          <w:szCs w:val="24"/>
          <w14:textFill>
            <w14:solidFill>
              <w14:schemeClr w14:val="tx1"/>
            </w14:solidFill>
          </w14:textFill>
        </w:rPr>
        <w:t xml:space="preserve">）联合体各方均为小型、微型企业（残疾人福利单位、监狱企业）的，联合体享受</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价格扣除，用扣除后的价格参与评审。</w:t>
      </w:r>
      <w:r/>
    </w:p>
    <w:p>
      <w:pPr>
        <w:ind w:firstLine="477"/>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26.4采购活动终止的情况</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出现下列情形之一的，本次竞争性谈判采购活动将被终止：</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26.4.1因情况变化，不再符合规定的竞争性谈判采购方式适用情形的。</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26.4.2出现影响采购公正的违法、违规行为的。</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26.4.3在采购过程中符合要求的供应商或者最后报价未超过采购预算的供应商不足3家的。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26.4.4在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规定时间内成功解密电子响应文件的供应商不足3家的。</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、成交供应商被取消成交资格情形</w:t>
      </w:r>
      <w:r/>
    </w:p>
    <w:p>
      <w:pPr>
        <w:ind w:firstLine="480"/>
        <w:spacing w:line="440" w:lineRule="exact"/>
        <w:rPr>
          <w:rFonts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27.1提供虚假材料谋取成交的。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27.2与评审专家、采购人、其他供应商或者交易中心工作人员恶意串通的。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27.3向评审专家、采购人或交易中心工作人员行贿或者提供其他不正当利益的。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27.4恶意竞争，最后报价明显低于其自身合理成本且又无法提供证明的。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27.5不满足本谈判文件规定的实质性要求，但在评审过程中又未被谈判小组发现的。</w:t>
      </w:r>
      <w:r/>
    </w:p>
    <w:p>
      <w:pPr>
        <w:ind w:firstLine="480"/>
        <w:spacing w:line="440" w:lineRule="exact"/>
        <w:rPr>
          <w:rFonts w:ascii="宋体" w:hAnsi="宋体"/>
          <w:bCs/>
          <w:sz w:val="24"/>
          <w:szCs w:val="21"/>
        </w:rPr>
      </w:pPr>
      <w:r>
        <w:rPr>
          <w:rFonts w:hint="eastAsia" w:ascii="宋体" w:hAnsi="宋体"/>
          <w:bCs/>
          <w:sz w:val="24"/>
          <w:szCs w:val="21"/>
        </w:rPr>
        <w:t xml:space="preserve">27.6成交后无正当理由拒不与采购人签订政府采购合同或者未按照谈判文件确定的事项签订政府采购合同的。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27.7将政府采购合同转包的。</w:t>
      </w:r>
      <w:r/>
    </w:p>
    <w:p>
      <w:pPr>
        <w:ind w:firstLine="600"/>
        <w:keepLines/>
        <w:keepNext/>
        <w:rPr>
          <w:rFonts w:ascii="黑体" w:hAnsi="宋体" w:eastAsia="黑体"/>
          <w:bCs/>
          <w:sz w:val="30"/>
          <w:szCs w:val="30"/>
        </w:rPr>
        <w:outlineLvl w:val="3"/>
      </w:pPr>
      <w:r/>
      <w:bookmarkStart w:id="146" w:name="_Toc200451960"/>
      <w:r>
        <w:rPr>
          <w:rFonts w:hint="eastAsia" w:ascii="黑体" w:hAnsi="宋体" w:eastAsia="黑体"/>
          <w:bCs/>
          <w:sz w:val="30"/>
          <w:szCs w:val="30"/>
        </w:rPr>
        <w:t xml:space="preserve">28、质疑处理</w:t>
      </w:r>
      <w:bookmarkEnd w:id="146"/>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rPr>
        <w:t xml:space="preserve">28.2.1</w:t>
      </w:r>
      <w:r>
        <w:rPr>
          <w:rFonts w:hint="eastAsia"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28.2.2</w:t>
      </w:r>
      <w:r>
        <w:rPr>
          <w:rFonts w:hint="eastAsia" w:ascii="Times New Roman" w:hAnsi="宋体" w:cs="宋体"/>
          <w:sz w:val="24"/>
          <w:szCs w:val="24"/>
        </w:rPr>
        <w:t xml:space="preserve">对采购过程提出质疑的，为各采购程序环节结束之日。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28.2.3</w:t>
      </w:r>
      <w:r>
        <w:rPr>
          <w:rFonts w:hint="eastAsia"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 供应商（含潜在供应商）对与本项目有关的所有询问、质疑均请向采购人提出，由采购人负责答复。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80" w:lineRule="exact"/>
        <w:rPr>
          <w:rFonts w:ascii="宋体" w:hAnsi="宋体"/>
          <w:sz w:val="24"/>
          <w:szCs w:val="24"/>
        </w:rPr>
      </w:pPr>
      <w:r>
        <w:rPr>
          <w:rFonts w:hint="eastAsia" w:ascii="宋体" w:hAnsi="宋体"/>
          <w:sz w:val="24"/>
          <w:szCs w:val="24"/>
        </w:rPr>
        <w:t xml:space="preserve">质疑接收人及联系方式见本谈判文件第一章。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未参加谈判活动的供应商或在谈判活动中自身权益未受到损害的供应商所提出的质疑。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28.5.5供应商组成联合体参加谈判，联合体中任何一方或多方未按要求签字、盖章、加盖公章的质疑。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29、成交通知书</w:t>
      </w:r>
      <w:r/>
    </w:p>
    <w:p>
      <w:pPr>
        <w:ind w:firstLine="600"/>
        <w:spacing w:line="480" w:lineRule="exact"/>
        <w:rPr>
          <w:rFonts w:ascii="宋体" w:hAnsi="宋体"/>
          <w:sz w:val="24"/>
          <w:szCs w:val="24"/>
        </w:rPr>
      </w:pPr>
      <w:r>
        <w:rPr>
          <w:rFonts w:hint="eastAsia" w:ascii="宋体" w:hAnsi="宋体"/>
          <w:sz w:val="24"/>
          <w:szCs w:val="24"/>
        </w:rPr>
        <w:t xml:space="preserve">29.1成交结果确定后，交易中心将向成交供应商发出成交通知书。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47" w:name="_Toc120614220"/>
      <w:r/>
      <w:bookmarkStart w:id="148" w:name="_Toc513029236"/>
      <w:r/>
      <w:bookmarkStart w:id="149" w:name="_Toc20823308"/>
      <w:r/>
      <w:bookmarkStart w:id="150" w:name="_Toc16938552"/>
      <w:r>
        <w:rPr>
          <w:rFonts w:hint="eastAsia" w:ascii="Times New Roman" w:hAnsi="Times New Roman"/>
          <w:b/>
          <w:bCs/>
          <w:sz w:val="32"/>
          <w:szCs w:val="32"/>
        </w:rPr>
        <w:t xml:space="preserve">七、授予合同</w:t>
      </w:r>
      <w:bookmarkEnd w:id="147"/>
      <w:r/>
      <w:bookmarkEnd w:id="148"/>
      <w:r/>
      <w:bookmarkEnd w:id="149"/>
      <w:r/>
      <w:bookmarkEnd w:id="150"/>
      <w:r/>
      <w:r/>
    </w:p>
    <w:p>
      <w:pPr>
        <w:ind w:firstLine="600"/>
        <w:keepLines/>
        <w:keepNext/>
        <w:rPr>
          <w:rFonts w:ascii="黑体" w:hAnsi="宋体" w:eastAsia="黑体"/>
          <w:bCs/>
          <w:sz w:val="30"/>
          <w:szCs w:val="30"/>
        </w:rPr>
        <w:outlineLvl w:val="3"/>
      </w:pPr>
      <w:r/>
      <w:bookmarkStart w:id="151" w:name="_Toc513029237"/>
      <w:r/>
      <w:bookmarkStart w:id="152" w:name="_Toc16938553"/>
      <w:r/>
      <w:bookmarkStart w:id="153" w:name="_Toc20823309"/>
      <w:r>
        <w:rPr>
          <w:rFonts w:hint="eastAsia" w:ascii="黑体" w:hAnsi="宋体" w:eastAsia="黑体"/>
          <w:bCs/>
          <w:sz w:val="30"/>
          <w:szCs w:val="30"/>
        </w:rPr>
        <w:t xml:space="preserve">30、签订合同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.l成交供应商应当在成交通知书发出之日起三十日内，按照谈判文件确定的事项与采购人签订政府采购合同。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30.2谈判文件、成交供应商的响应文件及谈判过程中有关澄清、承诺文件均应作为合同附件。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31</w:t>
      </w:r>
      <w:bookmarkEnd w:id="151"/>
      <w:r/>
      <w:bookmarkEnd w:id="152"/>
      <w:r/>
      <w:bookmarkEnd w:id="153"/>
      <w:r/>
      <w:bookmarkStart w:id="154" w:name="_Toc120614221"/>
      <w:r/>
      <w:bookmarkStart w:id="155" w:name="_Toc20823314"/>
      <w:r/>
      <w:bookmarkStart w:id="156" w:name="_Toc513029242"/>
      <w:r/>
      <w:bookmarkStart w:id="157" w:name="_Toc479757207"/>
      <w:r/>
      <w:bookmarkStart w:id="158" w:name="_Toc16938558"/>
      <w:r>
        <w:rPr>
          <w:rFonts w:hint="eastAsia" w:ascii="黑体" w:hAnsi="宋体" w:eastAsia="黑体"/>
          <w:bCs/>
          <w:sz w:val="30"/>
          <w:szCs w:val="30"/>
        </w:rPr>
        <w:t xml:space="preserve">、政府采购履约资金扶持政策</w:t>
      </w:r>
      <w:r/>
    </w:p>
    <w:p>
      <w:pPr>
        <w:ind w:firstLine="556"/>
        <w:spacing w:line="0" w:lineRule="atLeast"/>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jc w:val="center"/>
        <w:keepLines/>
        <w:keepNext/>
        <w:spacing w:before="260" w:after="260" w:line="415" w:lineRule="auto"/>
        <w:rPr>
          <w:rFonts w:ascii="黑体" w:hAnsi="Arial" w:eastAsia="黑体" w:cs="Arial"/>
          <w:b/>
          <w:bCs/>
          <w:sz w:val="44"/>
          <w:szCs w:val="44"/>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ascii="黑体" w:hAnsi="Arial" w:eastAsia="黑体" w:cs="Arial"/>
          <w:b/>
          <w:bCs/>
          <w:sz w:val="44"/>
          <w:szCs w:val="44"/>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4"/>
      <w:r/>
      <w:bookmarkEnd w:id="155"/>
      <w:r/>
      <w:bookmarkEnd w:id="156"/>
      <w:r/>
      <w:bookmarkEnd w:id="157"/>
      <w:r/>
      <w:bookmarkEnd w:id="158"/>
      <w:r>
        <w:rPr>
          <w:rFonts w:hint="eastAsia" w:ascii="黑体" w:hAnsi="Times New Roman" w:eastAsia="黑体"/>
          <w:bCs/>
          <w:sz w:val="44"/>
          <w:szCs w:val="28"/>
        </w:rPr>
        <w:t xml:space="preserve">文本</w:t>
      </w:r>
      <w:r/>
    </w:p>
    <w:p>
      <w:pPr>
        <w:jc w:val="center"/>
        <w:spacing w:before="145" w:after="145"/>
        <w:rPr>
          <w:rFonts w:ascii="宋体" w:hAnsi="宋体"/>
          <w:b/>
          <w:bCs/>
          <w:color w:val="000000"/>
          <w:sz w:val="30"/>
          <w:szCs w:val="20"/>
        </w:rPr>
        <w:outlineLvl w:val="0"/>
      </w:pPr>
      <w:r/>
      <w:bookmarkStart w:id="159" w:name="_Toc513029243"/>
      <w:r/>
      <w:bookmarkStart w:id="160" w:name="_Toc16938559"/>
      <w:r/>
      <w:bookmarkStart w:id="161" w:name="_Toc20823315"/>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2026扬州高邮大运河半程马拉松赛事服务项目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3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3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w:t>
      </w:r>
      <w:r>
        <w:rPr>
          <w:rFonts w:hint="eastAsia" w:hAnsi="宋体"/>
          <w:color w:val="000000"/>
          <w:sz w:val="24"/>
          <w:szCs w:val="24"/>
          <w:lang w:eastAsia="zh-CN"/>
        </w:rPr>
        <w:t xml:space="preserve">成交</w:t>
      </w:r>
      <w:r>
        <w:rPr>
          <w:rFonts w:hAnsi="宋体"/>
          <w:color w:val="000000"/>
          <w:sz w:val="24"/>
          <w:szCs w:val="24"/>
        </w:rPr>
        <w:t xml:space="preserve">供应商）_________</w:t>
      </w:r>
      <w:r/>
    </w:p>
    <w:p>
      <w:pPr>
        <w:pStyle w:val="103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lang w:val="en-US" w:eastAsia="zh-CN"/>
        </w:rPr>
        <w:t xml:space="preserve">谈判</w:t>
      </w:r>
      <w:r>
        <w:rPr>
          <w:rFonts w:hAnsi="宋体"/>
          <w:color w:val="000000"/>
          <w:sz w:val="24"/>
          <w:szCs w:val="24"/>
        </w:rPr>
        <w:t xml:space="preserve">的结果，签署本合同。</w:t>
      </w:r>
      <w:r/>
    </w:p>
    <w:p>
      <w:pPr>
        <w:pStyle w:val="103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3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3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3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3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34"/>
        <w:spacing w:before="120" w:after="120"/>
        <w:rPr>
          <w:rFonts w:hAnsi="宋体"/>
          <w:color w:val="000000"/>
          <w:sz w:val="24"/>
          <w:szCs w:val="24"/>
        </w:rPr>
      </w:pPr>
      <w:r>
        <w:rPr>
          <w:rFonts w:hint="eastAsia" w:hAnsi="宋体"/>
          <w:color w:val="000000"/>
          <w:sz w:val="24"/>
          <w:szCs w:val="24"/>
        </w:rPr>
        <w:t xml:space="preserve">1.5 履行地点：</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34"/>
        <w:spacing w:before="120" w:after="120"/>
        <w:rPr>
          <w:rFonts w:hAnsi="宋体"/>
          <w:b/>
          <w:color w:val="000000"/>
          <w:sz w:val="24"/>
          <w:szCs w:val="24"/>
        </w:rPr>
      </w:pPr>
      <w:r>
        <w:rPr>
          <w:rFonts w:hAnsi="宋体"/>
          <w:b/>
          <w:color w:val="000000"/>
          <w:sz w:val="24"/>
          <w:szCs w:val="24"/>
        </w:rPr>
        <w:t xml:space="preserve">二、合同金额</w:t>
      </w:r>
      <w:r/>
    </w:p>
    <w:p>
      <w:pPr>
        <w:pStyle w:val="103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34"/>
        <w:spacing w:before="120" w:after="120"/>
        <w:rPr>
          <w:rFonts w:hAnsi="宋体"/>
          <w:b/>
          <w:color w:val="000000"/>
          <w:sz w:val="24"/>
          <w:szCs w:val="24"/>
        </w:rPr>
      </w:pPr>
      <w:r>
        <w:rPr>
          <w:rFonts w:hAnsi="宋体"/>
          <w:b/>
          <w:color w:val="000000"/>
          <w:sz w:val="24"/>
          <w:szCs w:val="24"/>
        </w:rPr>
        <w:t xml:space="preserve">三、技术资料</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3.1乙方应按</w:t>
      </w:r>
      <w:r>
        <w:rPr>
          <w:rFonts w:hint="eastAsia" w:hAnsi="宋体"/>
          <w:color w:val="000000"/>
          <w:sz w:val="24"/>
          <w:szCs w:val="24"/>
          <w:lang w:eastAsia="zh-CN"/>
        </w:rPr>
        <w:t xml:space="preserve">谈判</w:t>
      </w:r>
      <w:r>
        <w:rPr>
          <w:rFonts w:hAnsi="宋体"/>
          <w:color w:val="000000"/>
          <w:sz w:val="24"/>
          <w:szCs w:val="24"/>
        </w:rPr>
        <w:t xml:space="preserve">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3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3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4"/>
        <w:spacing w:before="120" w:after="120"/>
        <w:rPr>
          <w:rFonts w:hAnsi="宋体"/>
          <w:color w:val="000000"/>
          <w:sz w:val="24"/>
          <w:szCs w:val="24"/>
          <w:u w:val="single"/>
        </w:rPr>
      </w:pPr>
      <w:r>
        <w:rPr>
          <w:rFonts w:hAnsi="宋体"/>
          <w:b/>
          <w:color w:val="000000"/>
          <w:sz w:val="24"/>
          <w:szCs w:val="24"/>
        </w:rPr>
        <w:t xml:space="preserve">五、产权担保</w:t>
      </w:r>
      <w:r/>
    </w:p>
    <w:p>
      <w:pPr>
        <w:pStyle w:val="103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34"/>
        <w:ind w:left="410" w:hanging="410"/>
        <w:spacing w:before="120" w:after="120"/>
        <w:rPr>
          <w:rFonts w:hAnsi="宋体"/>
          <w:b/>
          <w:color w:val="000000"/>
          <w:sz w:val="24"/>
          <w:szCs w:val="24"/>
        </w:rPr>
      </w:pPr>
      <w:r>
        <w:rPr>
          <w:rFonts w:hAnsi="宋体"/>
          <w:b/>
          <w:color w:val="000000"/>
          <w:sz w:val="24"/>
          <w:szCs w:val="24"/>
        </w:rPr>
        <w:t xml:space="preserve">六、履约保证金</w:t>
      </w:r>
      <w:r/>
    </w:p>
    <w:p>
      <w:pPr>
        <w:spacing w:before="145" w:after="145"/>
        <w:rPr>
          <w:rFonts w:hint="default" w:hAnsi="宋体"/>
          <w:color w:val="0000ff"/>
          <w:sz w:val="24"/>
          <w:szCs w:val="24"/>
          <w:lang w:val="en-US" w:eastAsia="zh-CN"/>
        </w:rPr>
      </w:pPr>
      <w:r>
        <w:rPr>
          <w:rFonts w:hint="eastAsia" w:hAnsi="宋体"/>
          <w:color w:val="000000" w:themeColor="text1"/>
          <w:sz w:val="24"/>
          <w:szCs w:val="24"/>
          <w:lang w:val="en-US" w:eastAsia="zh-CN"/>
          <w14:textFill>
            <w14:solidFill>
              <w14:schemeClr w14:val="tx1"/>
            </w14:solidFill>
          </w14:textFill>
        </w:rPr>
        <w:t xml:space="preserve">6.1 乙方可以自主选择支票、汇票、本票、保函（电子保函）等非现金形式缴纳成交金额的</w:t>
      </w:r>
      <w:r>
        <w:rPr>
          <w:rFonts w:hint="eastAsia" w:hAnsi="宋体"/>
          <w:color w:val="000000" w:themeColor="text1"/>
          <w:sz w:val="24"/>
          <w:szCs w:val="24"/>
          <w:u w:val="single"/>
          <w:lang w:val="en-US" w:eastAsia="zh-CN"/>
          <w14:textFill>
            <w14:solidFill>
              <w14:schemeClr w14:val="tx1"/>
            </w14:solidFill>
          </w14:textFill>
        </w:rPr>
        <w:t xml:space="preserve">10%</w:t>
      </w:r>
      <w:r>
        <w:rPr>
          <w:rFonts w:hint="eastAsia" w:hAnsi="宋体"/>
          <w:color w:val="000000" w:themeColor="text1"/>
          <w:sz w:val="24"/>
          <w:szCs w:val="24"/>
          <w:lang w:val="en-US" w:eastAsia="zh-CN"/>
          <w14:textFill>
            <w14:solidFill>
              <w14:schemeClr w14:val="tx1"/>
            </w14:solidFill>
          </w14:textFill>
        </w:rPr>
        <w:t xml:space="preserve">作为本合同的履约保证金。若供应商选择电子保函，可登录“江苏政府采购网”“保险保函”栏目“一站式电子保函（保险）综合服务平台”办理。</w:t>
      </w:r>
      <w:r/>
    </w:p>
    <w:p>
      <w:pPr>
        <w:pStyle w:val="1034"/>
        <w:ind w:left="408" w:hanging="408"/>
        <w:spacing w:before="120" w:after="120"/>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1034"/>
        <w:ind w:left="408" w:hanging="408"/>
        <w:spacing w:before="120" w:after="120"/>
        <w:rPr>
          <w:rFonts w:hint="eastAsia" w:hAnsi="宋体" w:eastAsia="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rPr>
          <w:rFonts w:hint="eastAsia" w:hAnsi="宋体"/>
          <w:color w:val="000000" w:themeColor="text1"/>
          <w:sz w:val="24"/>
          <w:szCs w:val="24"/>
          <w:lang w:val="en-US" w:eastAsia="zh-CN"/>
          <w14:textFill>
            <w14:solidFill>
              <w14:schemeClr w14:val="tx1"/>
            </w14:solidFill>
          </w14:textFill>
        </w:rPr>
        <w:t xml:space="preserve">按照乙方缴纳的方式进行退还。</w:t>
      </w:r>
      <w:r/>
    </w:p>
    <w:p>
      <w:pPr>
        <w:pStyle w:val="1034"/>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rPr>
          <w:rFonts w:hint="eastAsia" w:hAnsi="宋体"/>
          <w:color w:val="000000" w:themeColor="text1"/>
          <w:sz w:val="24"/>
          <w:szCs w:val="24"/>
          <w:lang w:val="en-US" w:eastAsia="zh-CN"/>
          <w14:textFill>
            <w14:solidFill>
              <w14:schemeClr w14:val="tx1"/>
            </w14:solidFill>
          </w14:textFill>
        </w:rPr>
        <w:t xml:space="preserve">项目期满考核合格后15日内。</w:t>
      </w:r>
      <w:r/>
    </w:p>
    <w:p>
      <w:pPr>
        <w:pStyle w:val="1034"/>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rPr>
          <w:rFonts w:hint="eastAsia" w:hAnsi="宋体"/>
          <w:color w:val="000000" w:themeColor="text1"/>
          <w:sz w:val="24"/>
          <w:szCs w:val="24"/>
          <w:lang w:val="en-US" w:eastAsia="zh-CN"/>
          <w14:textFill>
            <w14:solidFill>
              <w14:schemeClr w14:val="tx1"/>
            </w14:solidFill>
          </w14:textFill>
        </w:rPr>
        <w:t xml:space="preserve">乙方在履约期间未给甲方造成损失或造成的损失经扣除后存有结余的。</w:t>
      </w:r>
      <w:r/>
    </w:p>
    <w:p>
      <w:pPr>
        <w:pStyle w:val="1034"/>
        <w:ind w:left="408" w:hanging="408"/>
        <w:spacing w:before="120" w:after="120"/>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rPr>
          <w:rFonts w:hint="eastAsia" w:hAnsi="宋体"/>
          <w:color w:val="000000" w:themeColor="text1"/>
          <w:sz w:val="24"/>
          <w:szCs w:val="24"/>
          <w:lang w:val="en-US" w:eastAsia="zh-CN"/>
          <w14:textFill>
            <w14:solidFill>
              <w14:schemeClr w14:val="tx1"/>
            </w14:solidFill>
          </w14:textFill>
        </w:rPr>
        <w:t xml:space="preserve">乙方不履行合同或履行该合同不符合合同约定不足以弥补乙方违约造成甲方损失的。</w:t>
      </w:r>
      <w:r/>
    </w:p>
    <w:p>
      <w:pPr>
        <w:pStyle w:val="1034"/>
        <w:ind w:left="408" w:hanging="408"/>
        <w:spacing w:before="120" w:after="120"/>
        <w:rPr>
          <w:rFonts w:hint="eastAsia" w:ascii="宋体" w:hAnsi="宋体" w:eastAsia="宋体" w:cs="宋体"/>
          <w:color w:val="000000" w:themeColor="text1"/>
          <w:sz w:val="24"/>
          <w:szCs w:val="24"/>
          <w:shd w:val="clear" w:color="auto" w:fill="ffff00"/>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3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34"/>
        <w:ind w:firstLine="480"/>
        <w:spacing w:before="120" w:after="120"/>
        <w:rPr>
          <w:rFonts w:hint="eastAsia" w:hAnsi="宋体"/>
          <w:sz w:val="24"/>
          <w:szCs w:val="24"/>
          <w:u w:val="single"/>
        </w:rPr>
      </w:pPr>
      <w:r>
        <w:rPr>
          <w:rFonts w:hint="eastAsia" w:hAnsi="宋体"/>
          <w:sz w:val="24"/>
          <w:szCs w:val="24"/>
          <w:u w:val="single"/>
        </w:rPr>
        <w:t xml:space="preserve">1期: 合同签订后，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自收到发票后10个工作日内支付合同价款的30%；</w:t>
      </w:r>
      <w:r/>
    </w:p>
    <w:p>
      <w:pPr>
        <w:pStyle w:val="1034"/>
        <w:ind w:firstLine="480"/>
        <w:spacing w:before="120" w:after="120"/>
        <w:rPr>
          <w:rFonts w:hint="eastAsia" w:hAnsi="宋体"/>
          <w:sz w:val="24"/>
          <w:szCs w:val="24"/>
          <w:u w:val="single"/>
        </w:rPr>
      </w:pPr>
      <w:r>
        <w:rPr>
          <w:rFonts w:hint="eastAsia" w:hAnsi="宋体"/>
          <w:sz w:val="24"/>
          <w:szCs w:val="24"/>
          <w:u w:val="single"/>
        </w:rPr>
        <w:t xml:space="preserve">2期：赛事服务完成后，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自收到发票后10个工作日内支付合同价款的50%；</w:t>
      </w:r>
      <w:r/>
    </w:p>
    <w:p>
      <w:pPr>
        <w:pStyle w:val="1034"/>
        <w:ind w:firstLine="480"/>
        <w:spacing w:before="120" w:after="120"/>
        <w:rPr>
          <w:rFonts w:hint="eastAsia" w:ascii="宋体" w:hAnsi="宋体"/>
          <w:color w:val="000000"/>
          <w:sz w:val="24"/>
          <w:szCs w:val="24"/>
        </w:rPr>
      </w:pPr>
      <w:r>
        <w:rPr>
          <w:rFonts w:hint="eastAsia" w:hAnsi="宋体"/>
          <w:sz w:val="24"/>
          <w:szCs w:val="24"/>
          <w:u w:val="single"/>
        </w:rPr>
        <w:t xml:space="preserve">3期：赛事完成并提交赛事评估报告后，采购人自收到发票后10个工作日内支付合同价款的20%。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w:t>
      </w:r>
      <w:r>
        <w:rPr>
          <w:rFonts w:hint="eastAsia" w:hAnsi="宋体"/>
          <w:color w:val="000000"/>
          <w:sz w:val="24"/>
          <w:szCs w:val="24"/>
          <w:lang w:eastAsia="zh-CN"/>
        </w:rPr>
        <w:t xml:space="preserve">谈判</w:t>
      </w:r>
      <w:r>
        <w:rPr>
          <w:rFonts w:hAnsi="宋体"/>
          <w:color w:val="000000"/>
          <w:sz w:val="24"/>
          <w:szCs w:val="24"/>
        </w:rPr>
        <w:t xml:space="preserve">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3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3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3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3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3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3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34"/>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34"/>
        <w:jc w:val="center"/>
        <w:spacing w:before="120" w:after="120" w:line="0" w:lineRule="atLeast"/>
        <w:rPr>
          <w:color w:val="000000"/>
        </w:rPr>
      </w:pPr>
      <w:r>
        <w:rPr>
          <w:rFonts w:hint="eastAsia"/>
          <w:color w:val="000000"/>
        </w:rPr>
        <w:t xml:space="preserve">                                         </w:t>
      </w:r>
      <w:r/>
    </w:p>
    <w:p>
      <w:pPr>
        <w:pStyle w:val="1034"/>
        <w:jc w:val="right"/>
        <w:spacing w:before="120" w:after="120" w:line="0" w:lineRule="atLeast"/>
        <w:rPr>
          <w:color w:val="000000"/>
          <w:sz w:val="24"/>
          <w:szCs w:val="24"/>
        </w:rPr>
      </w:pPr>
      <w:r>
        <w:rPr>
          <w:rFonts w:hint="eastAsia"/>
          <w:color w:val="000000"/>
          <w:sz w:val="24"/>
          <w:szCs w:val="24"/>
        </w:rPr>
        <w:t xml:space="preserve"> </w:t>
      </w:r>
      <w:r/>
    </w:p>
    <w:p>
      <w:pPr>
        <w:pStyle w:val="944"/>
        <w:jc w:val="center"/>
        <w:rPr>
          <w:rFonts w:ascii="黑体" w:hAnsi="Courier New" w:eastAsia="黑体" w:cs="Courier New"/>
          <w:bCs/>
          <w:color w:val="000000"/>
          <w:sz w:val="44"/>
          <w:szCs w:val="21"/>
        </w:rPr>
      </w:pPr>
      <w:r>
        <w:rPr>
          <w:rFonts w:hint="eastAsia" w:asciiTheme="minorEastAsia" w:hAnsiTheme="minorEastAsia" w:eastAsiaTheme="minorEastAsia" w:cstheme="minorEastAsia"/>
          <w:color w:val="000000"/>
          <w:sz w:val="24"/>
          <w:szCs w:val="24"/>
        </w:rPr>
        <w:t xml:space="preserve">签订日期：      年    月   日</w:t>
      </w:r>
      <w:r>
        <w:rPr>
          <w:rFonts w:ascii="黑体" w:eastAsia="黑体"/>
          <w:bCs/>
          <w:color w:val="000000"/>
          <w:sz w:val="44"/>
        </w:rPr>
        <w:br w:type="page" w:clear="all"/>
      </w:r>
      <w:bookmarkEnd w:id="159"/>
      <w:r/>
      <w:bookmarkEnd w:id="160"/>
      <w:r/>
      <w:bookmarkEnd w:id="161"/>
      <w:r/>
      <w:r/>
    </w:p>
    <w:p>
      <w:pPr>
        <w:jc w:val="center"/>
        <w:spacing w:before="120" w:after="120" w:line="0" w:lineRule="atLeast"/>
        <w:rPr>
          <w:rFonts w:ascii="黑体" w:hAnsi="Courier New" w:eastAsia="黑体" w:cs="Courier New"/>
          <w:bCs/>
          <w:sz w:val="44"/>
          <w:szCs w:val="21"/>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162" w:name="_Hlt16619369"/>
      <w:r/>
      <w:bookmarkEnd w:id="162"/>
      <w:r/>
      <w:bookmarkStart w:id="163" w:name="_Hlt16619350"/>
      <w:r/>
      <w:bookmarkStart w:id="164" w:name="_Toc120614244"/>
      <w:r/>
      <w:bookmarkStart w:id="165" w:name="_Toc20823346"/>
      <w:r/>
      <w:bookmarkStart w:id="166" w:name="_Toc16938590"/>
      <w:r/>
      <w:bookmarkStart w:id="167" w:name="_Toc479757211"/>
      <w:r/>
      <w:bookmarkStart w:id="168" w:name="_Toc462564139"/>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w:t>
      </w:r>
      <w:bookmarkEnd w:id="163"/>
      <w:r>
        <w:rPr>
          <w:rFonts w:hint="eastAsia" w:ascii="黑体" w:hAnsi="Times New Roman" w:eastAsia="黑体"/>
          <w:bCs/>
          <w:sz w:val="44"/>
          <w:szCs w:val="28"/>
        </w:rPr>
        <w:t xml:space="preserve">四章 采购需求</w:t>
      </w:r>
      <w:bookmarkEnd w:id="164"/>
      <w:r/>
      <w:bookmarkEnd w:id="165"/>
      <w:r/>
      <w:bookmarkEnd w:id="166"/>
      <w:r/>
      <w:bookmarkStart w:id="169" w:name="_Toc49090575"/>
      <w:r/>
      <w:bookmarkStart w:id="170" w:name="_Toc26554093"/>
      <w:r/>
      <w:r/>
    </w:p>
    <w:p>
      <w:pPr>
        <w:spacing w:before="120" w:after="120" w:line="0" w:lineRule="atLeast"/>
        <w:rPr>
          <w:rFonts w:ascii="宋体" w:hAnsi="Courier New" w:cs="Courier New"/>
          <w:sz w:val="24"/>
          <w:szCs w:val="24"/>
        </w:rPr>
      </w:pPr>
      <w:r>
        <w:rPr>
          <w:rFonts w:ascii="宋体" w:hAnsi="Courier New" w:cs="Courier New"/>
          <w:sz w:val="24"/>
          <w:szCs w:val="24"/>
        </w:rPr>
      </w:r>
      <w:r/>
    </w:p>
    <w:p>
      <w:pPr>
        <w:ind w:left="495" w:hanging="495"/>
        <w:keepLines w:val="0"/>
        <w:keepNext w:val="0"/>
        <w:pageBreakBefore w:val="0"/>
        <w:spacing w:line="400" w:lineRule="exact"/>
        <w:rPr>
          <w:rFonts w:ascii="宋体" w:hAnsi="宋体"/>
          <w:color w:val="000000"/>
          <w:sz w:val="24"/>
          <w:szCs w:val="24"/>
        </w:rPr>
      </w:pPr>
      <w:r>
        <w:rPr>
          <w:rFonts w:ascii="宋体" w:hAnsi="宋体"/>
          <w:b/>
          <w:bCs w:val="0"/>
          <w:color w:val="000000"/>
          <w:sz w:val="24"/>
          <w:szCs w:val="24"/>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keepLines w:val="0"/>
        <w:keepNext w:val="0"/>
        <w:pageBreakBefore w:val="0"/>
        <w:spacing w:line="400" w:lineRule="exact"/>
        <w:rPr>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rPr>
        <w:t xml:space="preserve">政府采购</w:t>
      </w:r>
      <w:r>
        <w:rPr>
          <w:rFonts w:hint="eastAsia" w:ascii="Times New Roman" w:hAnsi="Times New Roman"/>
          <w:bCs/>
          <w:iCs/>
          <w:sz w:val="24"/>
          <w:szCs w:val="24"/>
        </w:rPr>
        <w:t xml:space="preserve">品目清单”强制采购范围，谈判文件中必须提供国家确定的认证机构出具的、处于有效期之内的该节能产品认证证书。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highlight w:val="none"/>
          <w:u w:val="single"/>
          <w:lang w:val="en-US" w:eastAsia="zh-CN"/>
        </w:rPr>
        <w:t xml:space="preserve">无</w:t>
      </w:r>
      <w:r>
        <w:rPr>
          <w:rFonts w:hint="eastAsia" w:ascii="Times New Roman" w:hAnsi="Times New Roman"/>
          <w:bCs/>
          <w:iCs/>
          <w:sz w:val="24"/>
          <w:szCs w:val="24"/>
          <w:highlight w:val="none"/>
          <w:u w:val="single"/>
        </w:rPr>
        <w:t xml:space="preserve"> </w:t>
      </w:r>
      <w:r>
        <w:rPr>
          <w:rFonts w:hint="eastAsia" w:ascii="Times New Roman" w:hAnsi="Times New Roman"/>
          <w:bCs/>
          <w:iCs/>
          <w:sz w:val="24"/>
          <w:szCs w:val="24"/>
          <w:highlight w:val="none"/>
        </w:rPr>
        <w:t xml:space="preserve">。</w:t>
      </w:r>
      <w:r/>
    </w:p>
    <w:p>
      <w:pPr>
        <w:ind w:firstLine="480"/>
        <w:jc w:val="left"/>
        <w:keepLines w:val="0"/>
        <w:keepNext w:val="0"/>
        <w:pageBreakBefore w:val="0"/>
        <w:spacing w:line="400" w:lineRule="exact"/>
        <w:widowControl/>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供应商对于产品的包装应按照“财办库〔2020〕123号《关于印发《商品包装政府采购需求标准（试行）》、《快递包装政府采购需求标准（试行）》的通知》”执行。</w:t>
      </w:r>
      <w:r/>
    </w:p>
    <w:p>
      <w:pPr>
        <w:ind w:firstLine="480"/>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2912"/>
        <w:gridCol w:w="3596"/>
      </w:tblGrid>
      <w:tr>
        <w:trPr>
          <w:cantSplit/>
          <w:jc w:val="center"/>
        </w:trPr>
        <w:tc>
          <w:tcPr>
            <w:tcW w:w="1193"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采购包号</w:t>
            </w:r>
            <w:r/>
          </w:p>
        </w:tc>
        <w:tc>
          <w:tcPr>
            <w:tcW w:w="291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596"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93" w:type="dxa"/>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2912" w:type="dxa"/>
            <w:vAlign w:val="center"/>
            <w:textDirection w:val="lrTb"/>
            <w:noWrap w:val="false"/>
          </w:tcPr>
          <w:p>
            <w:pPr>
              <w:jc w:val="center"/>
              <w:spacing w:line="0" w:lineRule="atLeast"/>
              <w:tabs>
                <w:tab w:val="left" w:pos="2020" w:leader="none"/>
              </w:tabs>
              <w:rPr>
                <w:rFonts w:ascii="宋体" w:hAnsi="宋体" w:eastAsia="宋体" w:cs="Times New Roman"/>
                <w:i w:val="0"/>
                <w:iCs w:val="0"/>
                <w:sz w:val="24"/>
                <w:szCs w:val="24"/>
                <w:u w:val="none"/>
                <w:lang w:val="en-US" w:eastAsia="zh-CN" w:bidi="ar-SA"/>
              </w:rPr>
            </w:pPr>
            <w:r>
              <w:rPr>
                <w:rFonts w:hint="eastAsia" w:ascii="宋体" w:hAnsi="宋体"/>
                <w:i w:val="0"/>
                <w:iCs w:val="0"/>
                <w:sz w:val="24"/>
                <w:szCs w:val="24"/>
                <w:u w:val="none"/>
              </w:rPr>
              <w:t xml:space="preserve">2026扬州高邮大运河半程马拉松赛事服务项目</w:t>
            </w:r>
            <w:r/>
          </w:p>
        </w:tc>
        <w:tc>
          <w:tcPr>
            <w:shd w:val="clear" w:color="auto" w:fill="auto"/>
            <w:tcW w:w="3596" w:type="dxa"/>
            <w:vAlign w:val="center"/>
            <w:textDirection w:val="lrTb"/>
            <w:noWrap w:val="false"/>
          </w:tcPr>
          <w:p>
            <w:pPr>
              <w:jc w:val="center"/>
              <w:spacing w:line="0" w:lineRule="atLeast"/>
              <w:rPr>
                <w:rFonts w:ascii="宋体" w:hAnsi="宋体" w:eastAsia="宋体" w:cs="Times New Roman"/>
                <w:i w:val="0"/>
                <w:iCs w:val="0"/>
                <w:sz w:val="24"/>
                <w:szCs w:val="24"/>
                <w:u w:val="none"/>
                <w:lang w:val="en-US" w:eastAsia="zh-CN" w:bidi="ar-SA"/>
              </w:rPr>
            </w:pPr>
            <w:r>
              <w:rPr>
                <w:rFonts w:hint="eastAsia" w:ascii="宋体" w:hAnsi="宋体"/>
                <w:i w:val="0"/>
                <w:iCs w:val="0"/>
                <w:sz w:val="24"/>
                <w:szCs w:val="24"/>
                <w:u w:val="none"/>
              </w:rPr>
              <w:t xml:space="preserve">其他未列明行业</w:t>
            </w:r>
            <w:r/>
          </w:p>
        </w:tc>
      </w:tr>
    </w:tbl>
    <w:p>
      <w:pPr>
        <w:keepLines w:val="0"/>
        <w:keepNext w:val="0"/>
        <w:pageBreakBefore w:val="0"/>
        <w:spacing w:line="400" w:lineRule="exact"/>
        <w:rPr>
          <w:rFonts w:ascii="宋体" w:hAnsi="宋体"/>
          <w:sz w:val="24"/>
          <w:szCs w:val="24"/>
          <w:highlight w:val="yellow"/>
        </w:rPr>
      </w:pPr>
      <w:r>
        <w:rPr>
          <w:rFonts w:ascii="宋体" w:hAnsi="宋体"/>
          <w:sz w:val="24"/>
          <w:szCs w:val="24"/>
          <w:highlight w:val="yellow"/>
        </w:rPr>
      </w:r>
      <w:r/>
    </w:p>
    <w:p>
      <w:pPr>
        <w:pStyle w:val="96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lang w:val="en-US" w:eastAsia="zh-CN" w:bidi="ar-SA"/>
        </w:rPr>
        <w:t xml:space="preserve">二、</w:t>
      </w:r>
      <w:r>
        <w:rPr>
          <w:rFonts w:hint="eastAsia" w:ascii="宋体" w:hAnsi="宋体" w:eastAsia="宋体" w:cs="宋体"/>
          <w:b/>
          <w:bCs/>
          <w:i w:val="0"/>
          <w:iCs w:val="0"/>
          <w:color w:val="000000"/>
          <w:sz w:val="24"/>
          <w:szCs w:val="24"/>
          <w:u w:val="none"/>
        </w:rPr>
        <w:t xml:space="preserve">本次项目主要采购服务包括：</w:t>
      </w:r>
      <w:r>
        <w:rPr>
          <w:rFonts w:hint="eastAsia" w:ascii="宋体" w:hAnsi="宋体" w:eastAsia="宋体" w:cs="宋体"/>
          <w:b w:val="0"/>
          <w:bCs w:val="0"/>
          <w:i w:val="0"/>
          <w:iCs w:val="0"/>
          <w:color w:val="000000"/>
          <w:sz w:val="24"/>
          <w:szCs w:val="24"/>
          <w:u w:val="none"/>
        </w:rPr>
        <w:t xml:space="preserve">赛事整体策划、竞赛组织、赛事宣传推广、赛事安全保障、赛事医疗保障、赛事志愿服务、赛事后勤保障、跑者服务、配套活动组织、赛事市场开发以及协议内的其他工作，并承担全部市场开发费用及约定的赛事运营等相关费用。</w:t>
      </w:r>
      <w:r/>
    </w:p>
    <w:p>
      <w:pPr>
        <w:pStyle w:val="930"/>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三</w:t>
      </w:r>
      <w:r>
        <w:rPr>
          <w:rFonts w:hint="eastAsia" w:ascii="宋体" w:hAnsi="宋体" w:eastAsia="宋体" w:cs="宋体"/>
          <w:b/>
          <w:bCs/>
          <w:i w:val="0"/>
          <w:iCs w:val="0"/>
          <w:sz w:val="24"/>
          <w:szCs w:val="24"/>
          <w:highlight w:val="none"/>
          <w:u w:val="none"/>
        </w:rPr>
        <w:t xml:space="preserve">、赛事整体策划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根据“</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”组委会制定的</w:t>
      </w:r>
      <w:r>
        <w:rPr>
          <w:rFonts w:hint="eastAsia" w:ascii="宋体" w:hAnsi="宋体" w:eastAsia="宋体" w:cs="宋体"/>
          <w:i w:val="0"/>
          <w:iCs w:val="0"/>
          <w:sz w:val="24"/>
          <w:szCs w:val="24"/>
          <w:highlight w:val="none"/>
          <w:u w:val="none"/>
          <w:lang w:eastAsia="zh-CN"/>
        </w:rPr>
        <w:t xml:space="preserve">202</w:t>
      </w: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”总体方案，按照</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000人规模细化制定运营执行方案及各专项方案，报组委会审定后执行，</w:t>
      </w:r>
      <w:r>
        <w:rPr>
          <w:rFonts w:hint="eastAsia" w:ascii="宋体" w:hAnsi="宋体" w:eastAsia="宋体" w:cs="宋体"/>
          <w:i w:val="0"/>
          <w:iCs w:val="0"/>
          <w:sz w:val="24"/>
          <w:szCs w:val="24"/>
          <w:highlight w:val="none"/>
          <w:u w:val="none"/>
          <w:lang w:val="en-US" w:eastAsia="zh-CN"/>
        </w:rPr>
        <w:t xml:space="preserve">按</w:t>
      </w:r>
      <w:r>
        <w:rPr>
          <w:rFonts w:hint="eastAsia" w:ascii="宋体" w:hAnsi="宋体" w:eastAsia="宋体" w:cs="宋体"/>
          <w:i w:val="0"/>
          <w:iCs w:val="0"/>
          <w:sz w:val="24"/>
          <w:szCs w:val="24"/>
          <w:highlight w:val="none"/>
          <w:u w:val="none"/>
        </w:rPr>
        <w:t xml:space="preserve">照“B类”赛事标准办赛，打造广大跑者认可的国内知名半程马拉松赛事。赛事总体运营要求：</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1.本文件提出的是最低限度的基本技术要求，并未对所有技术细节作出规定，</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应提供符合本技术要求和国家标准、行业标准的优质产品及服务；</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必须参照中国田径协会“B类”赛事级别，根据双方分工约定开展赛事运营工作；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3.协议期内</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在2周内，配置一支固定的工作团队，团队配置工作人员数量不得低于5人，其中应包括本项目的主要负责人，以及竞赛、报名工作、宣传推广、活动策划组织、市场开发等相关条口的主要负责人，该工作团队需积极响应和配合采购人开展“扬州高邮大运河马拉松”赛事相关的筹备、调研、宣传、客服、品牌维护及推广活动等相关工作。（协议期内</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必须在项目所在地固定保留一支工作团队。工作团队需按“赛时运行”和“赛事筹备及赛后保障”两个阶段配置：</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（1）“赛时运行”是指“扬州高邮大运河马拉松”赛前1个月至赛后1周的时间段内，赛前1个月该工作团队配置工作人员数量不得低于15人，赛后运营人数不得低于10人；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筹备及赛后保障”是指除去“赛时运行”以外的其它时间段，在该时间段内，该工作团队应配置的工作人员数量5人，其中应包括本项目的主要负责人，以及竞赛、宣传推广、活动策划组织、市场开发等相关条口的主要负责人，该工作团队需积极响应和配合采购人开展“扬州高邮大运河马拉松”赛事相关的筹备、调研、宣传、客服、品牌维护及推广活动等相关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充分考虑本项目合同实施期间可能发生的一切费用及政策风险，并承担由此而带来的风险；</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应确保安全生产，做好相关安全措施，对服务人员的人身安全、物资安全及周边环境的安全负有全责。在项目实施过程中出现</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原因造成的生产事故，由</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承担一切责任。</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所完成的搭建与布置项目在使用过程中出现重大责任事故，给组委会造成重大经济和声誉损失，</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应负相应法律责任，并负责消除不良影响，如组委会承担了任何责任，可向</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全额追偿；</w:t>
      </w:r>
      <w:r/>
    </w:p>
    <w:p>
      <w:pPr>
        <w:ind w:left="0" w:right="0" w:firstLine="48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6.</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不得将赛事核心版块（竞赛组织、安全保障、医疗保障、志愿者组织管理、选手服务）进行转包</w:t>
      </w:r>
      <w:r>
        <w:rPr>
          <w:rFonts w:hint="eastAsia" w:ascii="宋体" w:hAnsi="宋体" w:cs="宋体"/>
          <w:b w:val="0"/>
          <w:bCs w:val="0"/>
          <w:i w:val="0"/>
          <w:iCs w:val="0"/>
          <w:color w:val="000000"/>
          <w:sz w:val="24"/>
          <w:szCs w:val="24"/>
          <w:u w:val="none"/>
          <w:lang w:val="en-US" w:eastAsia="zh-CN" w:bidi="ar"/>
        </w:rPr>
        <w:t xml:space="preserve">。</w:t>
      </w:r>
      <w:r/>
    </w:p>
    <w:p>
      <w:pPr>
        <w:pStyle w:val="930"/>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四</w:t>
      </w:r>
      <w:r>
        <w:rPr>
          <w:rFonts w:hint="eastAsia" w:ascii="宋体" w:hAnsi="宋体" w:eastAsia="宋体" w:cs="宋体"/>
          <w:b/>
          <w:bCs/>
          <w:i w:val="0"/>
          <w:iCs w:val="0"/>
          <w:sz w:val="24"/>
          <w:szCs w:val="24"/>
          <w:highlight w:val="none"/>
          <w:u w:val="none"/>
        </w:rPr>
        <w:t xml:space="preserve">、竞赛组织</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（一）赛事认证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按照《2024中国田径协会路跑管理文件汇编》等规定要求，按照中国田协赛事标准进行备案（如赛前办法有更新，则按照更新后办法执行）。 </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 赛后按照中国田径协会和江苏省体育局等监管单位要求，在规定时间内完成相关数据和材料的整理报送；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2.及时关注并申请参加中国田径协会各类路跑赛事年度评选和征集活动。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（二）风险评估及赛事陈述</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1.风险评估：对赛事进行风险评估，获得有资质的第三方单位出具的风险评估报告；</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2.赛事陈述：申报通过江苏省体育局、扬州市体育局相关部门组织的赛事陈述，并根据相关意见建议整改到位。</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（三）赛事报名费用及奖金</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1.赛事报名费用（单位：人民币）：报名费用由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收取，归属</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（公益报名费除外），用于</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合理安排补充赛事费用。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半程马拉松项目：</w:t>
      </w:r>
      <w:r>
        <w:rPr>
          <w:rFonts w:hint="eastAsia" w:ascii="宋体" w:hAnsi="宋体" w:eastAsia="宋体" w:cs="宋体"/>
          <w:b w:val="0"/>
          <w:bCs w:val="0"/>
          <w:i w:val="0"/>
          <w:iCs w:val="0"/>
          <w:sz w:val="24"/>
          <w:szCs w:val="24"/>
          <w:highlight w:val="none"/>
          <w:u w:val="none"/>
          <w:lang w:val="en-US" w:eastAsia="zh-CN"/>
        </w:rPr>
        <w:t xml:space="preserve">120</w:t>
      </w:r>
      <w:r>
        <w:rPr>
          <w:rFonts w:hint="eastAsia" w:ascii="宋体" w:hAnsi="宋体" w:eastAsia="宋体" w:cs="宋体"/>
          <w:b w:val="0"/>
          <w:bCs w:val="0"/>
          <w:i w:val="0"/>
          <w:iCs w:val="0"/>
          <w:sz w:val="24"/>
          <w:szCs w:val="24"/>
          <w:highlight w:val="none"/>
          <w:u w:val="none"/>
        </w:rPr>
        <w:t xml:space="preserve">元/人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赛事奖金：本次赛事由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承担全额奖金</w:t>
      </w:r>
      <w:r>
        <w:rPr>
          <w:rFonts w:hint="eastAsia" w:ascii="宋体" w:hAnsi="宋体" w:eastAsia="宋体" w:cs="宋体"/>
          <w:b w:val="0"/>
          <w:bCs w:val="0"/>
          <w:i w:val="0"/>
          <w:iCs w:val="0"/>
          <w:sz w:val="24"/>
          <w:szCs w:val="24"/>
          <w:highlight w:val="none"/>
          <w:u w:val="none"/>
          <w:lang w:eastAsia="zh-CN"/>
        </w:rPr>
        <w:t xml:space="preserve">及税金</w:t>
      </w:r>
      <w:r>
        <w:rPr>
          <w:rFonts w:hint="eastAsia" w:ascii="宋体" w:hAnsi="宋体" w:eastAsia="宋体" w:cs="宋体"/>
          <w:b w:val="0"/>
          <w:bCs w:val="0"/>
          <w:i w:val="0"/>
          <w:iCs w:val="0"/>
          <w:sz w:val="24"/>
          <w:szCs w:val="24"/>
          <w:highlight w:val="none"/>
          <w:u w:val="none"/>
        </w:rPr>
        <w:t xml:space="preserve">，</w:t>
      </w:r>
      <w:r>
        <w:rPr>
          <w:rFonts w:hint="eastAsia" w:ascii="宋体" w:hAnsi="宋体" w:eastAsia="宋体" w:cs="宋体"/>
          <w:b w:val="0"/>
          <w:bCs w:val="0"/>
          <w:i w:val="0"/>
          <w:iCs w:val="0"/>
          <w:sz w:val="24"/>
          <w:szCs w:val="24"/>
          <w:highlight w:val="none"/>
          <w:u w:val="none"/>
          <w:lang w:eastAsia="zh-CN"/>
        </w:rPr>
        <w:t xml:space="preserve">需由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lang w:eastAsia="zh-CN"/>
        </w:rPr>
        <w:t xml:space="preserve">提供</w:t>
      </w:r>
      <w:r>
        <w:rPr>
          <w:rFonts w:hint="eastAsia" w:ascii="宋体" w:hAnsi="宋体" w:eastAsia="宋体" w:cs="宋体"/>
          <w:b w:val="0"/>
          <w:bCs w:val="0"/>
          <w:i w:val="0"/>
          <w:iCs w:val="0"/>
          <w:sz w:val="24"/>
          <w:szCs w:val="24"/>
          <w:highlight w:val="none"/>
          <w:u w:val="none"/>
        </w:rPr>
        <w:t xml:space="preserve">完税证明</w:t>
      </w:r>
      <w:r>
        <w:rPr>
          <w:rFonts w:hint="eastAsia" w:ascii="宋体" w:hAnsi="宋体" w:eastAsia="宋体" w:cs="宋体"/>
          <w:b w:val="0"/>
          <w:bCs w:val="0"/>
          <w:i w:val="0"/>
          <w:iCs w:val="0"/>
          <w:sz w:val="24"/>
          <w:szCs w:val="24"/>
          <w:highlight w:val="none"/>
          <w:u w:val="none"/>
          <w:lang w:eastAsia="zh-CN"/>
        </w:rPr>
        <w:t xml:space="preserve">，总额不得少于</w:t>
      </w:r>
      <w:r>
        <w:rPr>
          <w:rFonts w:hint="eastAsia" w:ascii="宋体" w:hAnsi="宋体" w:eastAsia="宋体" w:cs="宋体"/>
          <w:b w:val="0"/>
          <w:bCs w:val="0"/>
          <w:i w:val="0"/>
          <w:iCs w:val="0"/>
          <w:sz w:val="24"/>
          <w:szCs w:val="24"/>
          <w:highlight w:val="none"/>
          <w:u w:val="none"/>
          <w:lang w:val="en-US" w:eastAsia="zh-CN"/>
        </w:rPr>
        <w:t xml:space="preserve">6万元，具体奖励名次和金额由赛事规程设定</w:t>
      </w:r>
      <w:r>
        <w:rPr>
          <w:rFonts w:hint="eastAsia" w:ascii="宋体" w:hAnsi="宋体" w:eastAsia="宋体" w:cs="宋体"/>
          <w:b w:val="0"/>
          <w:bCs w:val="0"/>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（四）路线规划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路线规划必须按照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1.符合中国田协马拉松赛事要求，起终点直线距离不超过总距离50%，起终点间海拔下降与赛道总距离的比例不超过千分之一；</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2.起点出发直段、终点冲刺直段不少于200米（</w:t>
      </w:r>
      <w:r>
        <w:rPr>
          <w:rFonts w:hint="eastAsia" w:ascii="宋体" w:hAnsi="宋体" w:eastAsia="宋体" w:cs="宋体"/>
          <w:i w:val="0"/>
          <w:iCs w:val="0"/>
          <w:sz w:val="24"/>
          <w:szCs w:val="24"/>
          <w:highlight w:val="none"/>
          <w:u w:val="none"/>
          <w:lang w:eastAsia="zh-CN"/>
        </w:rPr>
        <w:t xml:space="preserve">经中国田协“</w:t>
      </w:r>
      <w:r>
        <w:rPr>
          <w:rFonts w:hint="eastAsia" w:ascii="宋体" w:hAnsi="宋体" w:eastAsia="宋体" w:cs="宋体"/>
          <w:i w:val="0"/>
          <w:iCs w:val="0"/>
          <w:sz w:val="24"/>
          <w:szCs w:val="24"/>
          <w:highlight w:val="none"/>
          <w:u w:val="none"/>
          <w:lang w:val="en-US" w:eastAsia="zh-CN"/>
        </w:rPr>
        <w:t xml:space="preserve">B</w:t>
      </w:r>
      <w:r>
        <w:rPr>
          <w:rFonts w:hint="eastAsia" w:ascii="宋体" w:hAnsi="宋体" w:eastAsia="宋体" w:cs="宋体"/>
          <w:i w:val="0"/>
          <w:iCs w:val="0"/>
          <w:sz w:val="24"/>
          <w:szCs w:val="24"/>
          <w:highlight w:val="none"/>
          <w:u w:val="none"/>
          <w:lang w:eastAsia="zh-CN"/>
        </w:rPr>
        <w:t xml:space="preserve">”级及以上资质丈量员丈量赛道并出具丈量报告</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（五）临建设施</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临建设施必须按照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1.临建设施是指因为举办“</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”赛事必须现场临时布置到位并在赛后拆除的各类器材设施和设备，包括帐篷、篷房、安保围栏、路障、龙门架、拱门、隔离栏、临时厕所、安检设施、医疗设施、赛事指挥设施、家具白电、消防设施等；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2.赛事所有临建设施，在比赛日前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将相关设计方案报组委会审定后执行；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3.赛事所有临建设施须符合国家安全生产的各项标准，并在现场安装过程中依法规范操作，并对可能发生的安全生产事故承担全部责任。</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4.赛事所有临建设施须在赛后24小时内及时撤除。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（六）赛道保障及搭建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赛道保障及搭建必须按照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1.赛道所有标识及搭建方案，需在比赛日之前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报组委会审定后执行，包括景观标识的制作种类、材料材质、安装部位和工作进度计划；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2.饮/用水站、饮料站：每5公里确保设置1个饮/用水站或饮料站，严格按照中国田协要求设置桌布颜色，饮/用水站总数不少于</w:t>
      </w: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个，饮用水总数不少于</w:t>
      </w:r>
      <w:r>
        <w:rPr>
          <w:rFonts w:hint="eastAsia" w:ascii="宋体" w:hAnsi="宋体" w:eastAsia="宋体" w:cs="宋体"/>
          <w:i w:val="0"/>
          <w:iCs w:val="0"/>
          <w:color w:val="ff0000"/>
          <w:sz w:val="24"/>
          <w:szCs w:val="24"/>
          <w:highlight w:val="none"/>
          <w:u w:val="none"/>
          <w:lang w:val="en-US" w:eastAsia="zh-CN"/>
        </w:rPr>
        <w:t xml:space="preserve">16</w:t>
      </w:r>
      <w:r>
        <w:rPr>
          <w:rFonts w:hint="eastAsia" w:ascii="宋体" w:hAnsi="宋体" w:eastAsia="宋体" w:cs="宋体"/>
          <w:i w:val="0"/>
          <w:iCs w:val="0"/>
          <w:color w:val="ff0000"/>
          <w:sz w:val="24"/>
          <w:szCs w:val="24"/>
          <w:highlight w:val="none"/>
          <w:u w:val="none"/>
        </w:rPr>
        <w:t xml:space="preserve">000瓶</w:t>
      </w:r>
      <w:r>
        <w:rPr>
          <w:rFonts w:hint="eastAsia" w:ascii="宋体" w:hAnsi="宋体" w:eastAsia="宋体" w:cs="宋体"/>
          <w:i w:val="0"/>
          <w:iCs w:val="0"/>
          <w:sz w:val="24"/>
          <w:szCs w:val="24"/>
          <w:highlight w:val="none"/>
          <w:u w:val="none"/>
        </w:rPr>
        <w:t xml:space="preserve">，饮用水约500-550ml/瓶，饮料站不少于</w:t>
      </w: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个，饮料总数不少于</w:t>
      </w:r>
      <w:r>
        <w:rPr>
          <w:rFonts w:hint="eastAsia" w:ascii="宋体" w:hAnsi="宋体" w:eastAsia="宋体" w:cs="宋体"/>
          <w:i w:val="0"/>
          <w:iCs w:val="0"/>
          <w:color w:val="ff0000"/>
          <w:sz w:val="24"/>
          <w:szCs w:val="24"/>
          <w:highlight w:val="none"/>
          <w:u w:val="none"/>
          <w:lang w:val="en-US" w:eastAsia="zh-CN"/>
        </w:rPr>
        <w:t xml:space="preserve">12000</w:t>
      </w:r>
      <w:r>
        <w:rPr>
          <w:rFonts w:hint="eastAsia" w:ascii="宋体" w:hAnsi="宋体" w:eastAsia="宋体" w:cs="宋体"/>
          <w:i w:val="0"/>
          <w:iCs w:val="0"/>
          <w:color w:val="ff0000"/>
          <w:sz w:val="24"/>
          <w:szCs w:val="24"/>
          <w:highlight w:val="none"/>
          <w:u w:val="none"/>
        </w:rPr>
        <w:t xml:space="preserve">瓶</w:t>
      </w:r>
      <w:r>
        <w:rPr>
          <w:rFonts w:hint="eastAsia" w:ascii="宋体" w:hAnsi="宋体" w:eastAsia="宋体" w:cs="宋体"/>
          <w:i w:val="0"/>
          <w:iCs w:val="0"/>
          <w:sz w:val="24"/>
          <w:szCs w:val="24"/>
          <w:highlight w:val="none"/>
          <w:u w:val="none"/>
        </w:rPr>
        <w:t xml:space="preserve">，饮料约500-550ml/瓶，用水站需配备海绵块，海绵块总数不少于</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000块</w:t>
      </w:r>
      <w:r>
        <w:rPr>
          <w:rFonts w:hint="eastAsia" w:ascii="宋体" w:hAnsi="宋体" w:eastAsia="宋体" w:cs="宋体"/>
          <w:i w:val="0"/>
          <w:iCs w:val="0"/>
          <w:sz w:val="24"/>
          <w:szCs w:val="24"/>
          <w:highlight w:val="none"/>
          <w:u w:val="none"/>
        </w:rPr>
        <w:t xml:space="preserve">（根据路线实际情况及跑者需求，按照组委会要求可适量增加）；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3.能量站：能量站不少于4个，能量胶总数不少于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000支，盐丸总数不少于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000个（根据路线实际情况及跑者需求，按照组委会要求可适量增加）；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4.喷淋点：喷淋点不少于4组，每组喷淋头不少于4只，每组至少配备</w:t>
      </w:r>
      <w:r>
        <w:rPr>
          <w:rFonts w:hint="eastAsia" w:ascii="宋体" w:hAnsi="宋体" w:eastAsia="宋体"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0桶6升/桶纯净水（根据路线实际情况及跑者需求，按照组委会要求可适量增加）；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5.医疗点：相关配置不低于中国田径协会《马拉松赛事现场医疗保障人员配置要求》《马拉松赛事现场医疗保障设施设备配置要求》执行（根据路线实际情况及跑者需求，按照组委会要求可适量增加）；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6.AED分区：每</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公里1个分区，每个分区配备电动自行车或自行车，共</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lang w:eastAsia="zh-CN"/>
        </w:rPr>
        <w:t xml:space="preserve">辆</w:t>
      </w:r>
      <w:r>
        <w:rPr>
          <w:rFonts w:hint="eastAsia" w:ascii="宋体" w:hAnsi="宋体" w:eastAsia="宋体" w:cs="宋体"/>
          <w:i w:val="0"/>
          <w:iCs w:val="0"/>
          <w:sz w:val="24"/>
          <w:szCs w:val="24"/>
          <w:highlight w:val="none"/>
          <w:u w:val="none"/>
        </w:rPr>
        <w:t xml:space="preserve">，AED总数量不少于4</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部</w:t>
      </w:r>
      <w:r>
        <w:rPr>
          <w:rFonts w:hint="eastAsia" w:ascii="宋体" w:hAnsi="宋体" w:eastAsia="宋体" w:cs="宋体"/>
          <w:i w:val="0"/>
          <w:iCs w:val="0"/>
          <w:sz w:val="24"/>
          <w:szCs w:val="24"/>
          <w:highlight w:val="none"/>
          <w:u w:val="none"/>
          <w:lang w:eastAsia="zh-CN"/>
        </w:rPr>
        <w:t xml:space="preserve">，医疗对讲机不少于</w:t>
      </w:r>
      <w:r>
        <w:rPr>
          <w:rFonts w:hint="eastAsia" w:ascii="宋体" w:hAnsi="宋体" w:eastAsia="宋体" w:cs="宋体"/>
          <w:i w:val="0"/>
          <w:iCs w:val="0"/>
          <w:sz w:val="24"/>
          <w:szCs w:val="24"/>
          <w:highlight w:val="none"/>
          <w:u w:val="none"/>
          <w:lang w:val="en-US" w:eastAsia="zh-CN"/>
        </w:rPr>
        <w:t xml:space="preserve">50部</w:t>
      </w:r>
      <w:r>
        <w:rPr>
          <w:rFonts w:hint="eastAsia" w:ascii="宋体" w:hAnsi="宋体" w:eastAsia="宋体" w:cs="宋体"/>
          <w:i w:val="0"/>
          <w:iCs w:val="0"/>
          <w:sz w:val="24"/>
          <w:szCs w:val="24"/>
          <w:highlight w:val="none"/>
          <w:u w:val="none"/>
        </w:rPr>
        <w:t xml:space="preserve">；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移动厕所：移动厕所设置不低于中国田径协会相关要求；（移动厕所：沿途厕所应至少每5公里间隔摆放，起点出发后在2公里、4公里增加厕所摆放，沿途厕所应至少按途经总人数的600:1计算总数，厕所应设在饮料站和饮水/用水站至少10米之后；）</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赛事保洁：配合当地政府做好赛事保洁工作（比赛前三天至比赛当天），包括但不限于参赛装备发放、嘉年华、赛道、完赛装备发放、赛后拉伸、赛后展示等区域。在确保不影响运动员参赛的情况下，及时迅速清理赛道起终点及补给点垃圾，在各站点设置垃圾箱，站点实行不间断循环保洁（比赛当天不少于4次），专人对道路、人行道进行不间断循环保洁（比赛当天不少于4次）；</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9.赛道隔离：根据赛道实际情况及赛事需求，赛道采取硬隔离加软隔离方式，</w:t>
      </w:r>
      <w:r>
        <w:rPr>
          <w:rFonts w:hint="eastAsia" w:ascii="宋体" w:hAnsi="宋体" w:eastAsia="宋体" w:cs="宋体"/>
          <w:i w:val="0"/>
          <w:iCs w:val="0"/>
          <w:sz w:val="24"/>
          <w:szCs w:val="24"/>
          <w:highlight w:val="none"/>
          <w:u w:val="none"/>
          <w:lang w:eastAsia="zh-CN"/>
        </w:rPr>
        <w:t xml:space="preserve">市区必须要硬隔离（铁马或铁质隔离栏），</w:t>
      </w:r>
      <w:r>
        <w:rPr>
          <w:rFonts w:hint="eastAsia" w:ascii="宋体" w:hAnsi="宋体" w:eastAsia="宋体" w:cs="宋体"/>
          <w:i w:val="0"/>
          <w:iCs w:val="0"/>
          <w:sz w:val="24"/>
          <w:szCs w:val="24"/>
          <w:highlight w:val="none"/>
          <w:u w:val="none"/>
        </w:rPr>
        <w:t xml:space="preserve">确保赛道安全有序；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10.指示牌：高度不低于2.5米，核心内容信息位置高度不低于2米，数量不少于</w:t>
      </w:r>
      <w:r>
        <w:rPr>
          <w:rFonts w:hint="eastAsia" w:ascii="宋体" w:hAnsi="宋体" w:eastAsia="宋体" w:cs="宋体"/>
          <w:i w:val="0"/>
          <w:iCs w:val="0"/>
          <w:sz w:val="24"/>
          <w:szCs w:val="24"/>
          <w:highlight w:val="none"/>
          <w:u w:val="none"/>
          <w:lang w:val="en-US" w:eastAsia="zh-CN"/>
        </w:rPr>
        <w:t xml:space="preserve">100</w:t>
      </w:r>
      <w:r>
        <w:rPr>
          <w:rFonts w:hint="eastAsia" w:ascii="宋体" w:hAnsi="宋体" w:eastAsia="宋体" w:cs="宋体"/>
          <w:i w:val="0"/>
          <w:iCs w:val="0"/>
          <w:sz w:val="24"/>
          <w:szCs w:val="24"/>
          <w:highlight w:val="none"/>
          <w:u w:val="none"/>
        </w:rPr>
        <w:t xml:space="preserve">个，根据组委会要求设计、制作、搭建；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11.设备看护：所有临建设备、物资等需配备安保力量进行看护，包括但不限于赛前装备物资、赛道补给物资、完赛物资等存放区域。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（七）起点布置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起点布置必须按照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》中的有关要求执行。制定起点布置专项方案，报组委会审定后执行。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1.起点安检：结合起点场地条件和参赛选手数量，设置足量安检通道；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2.起点门：按照组委会要求，根据起点实际情况搭建起点门（需便于及时拆/撤除），遮挡起点门的交通指示牌开赛前须拆除；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3.起点医疗点：需覆盖整个起跑区域（如起跑区域太长难以覆盖服务，配备足够数量的AED、电动自行车和对讲机，以便医疗人员能迅速到达）；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4.男女更衣室：配备</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个男女更衣室；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5.主席台：搭建主席台（根据起点实际情况确定搭建规格），配地毯；</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6.主背景：根据主席台尺寸及现场实际情况搭建主背景，配备专业音响和话筒设备；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7.起点大屏：在主席台对面搭建约3</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平方米LED大屏（大屏需符合户外参数要求）；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8.领操台：不少于</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个（需配备领操员</w:t>
      </w:r>
      <w:r>
        <w:rPr>
          <w:rFonts w:hint="eastAsia" w:ascii="宋体" w:hAnsi="宋体" w:eastAsia="宋体" w:cs="宋体"/>
          <w:i w:val="0"/>
          <w:iCs w:val="0"/>
          <w:color w:val="ff0000"/>
          <w:sz w:val="24"/>
          <w:szCs w:val="24"/>
          <w:highlight w:val="none"/>
          <w:u w:val="none"/>
          <w:lang w:val="en-US" w:eastAsia="zh-CN"/>
        </w:rPr>
        <w:t xml:space="preserve">8</w:t>
      </w:r>
      <w:r>
        <w:rPr>
          <w:rFonts w:hint="eastAsia" w:ascii="宋体" w:hAnsi="宋体" w:eastAsia="宋体" w:cs="宋体"/>
          <w:i w:val="0"/>
          <w:iCs w:val="0"/>
          <w:color w:val="ff0000"/>
          <w:sz w:val="24"/>
          <w:szCs w:val="24"/>
          <w:highlight w:val="none"/>
          <w:u w:val="none"/>
        </w:rPr>
        <w:t xml:space="preserve">名</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9.摄像台：</w:t>
      </w:r>
      <w:r>
        <w:rPr>
          <w:rFonts w:hint="eastAsia" w:ascii="宋体" w:hAnsi="宋体" w:eastAsia="宋体" w:cs="宋体"/>
          <w:i w:val="0"/>
          <w:iCs w:val="0"/>
          <w:sz w:val="24"/>
          <w:szCs w:val="24"/>
          <w:highlight w:val="none"/>
          <w:u w:val="none"/>
          <w:lang w:val="en-US" w:eastAsia="zh-CN"/>
        </w:rPr>
        <w:t xml:space="preserve">1.5米高度2个</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11.观摩区：设置能够容纳</w:t>
      </w:r>
      <w:r>
        <w:rPr>
          <w:rFonts w:hint="eastAsia" w:ascii="宋体" w:hAnsi="宋体" w:eastAsia="宋体" w:cs="宋体"/>
          <w:i w:val="0"/>
          <w:iCs w:val="0"/>
          <w:sz w:val="24"/>
          <w:szCs w:val="24"/>
          <w:highlight w:val="none"/>
          <w:u w:val="none"/>
          <w:lang w:val="en-US" w:eastAsia="zh-CN"/>
        </w:rPr>
        <w:t xml:space="preserve">30</w:t>
      </w:r>
      <w:r>
        <w:rPr>
          <w:rFonts w:hint="eastAsia" w:ascii="宋体" w:hAnsi="宋体" w:eastAsia="宋体" w:cs="宋体"/>
          <w:i w:val="0"/>
          <w:iCs w:val="0"/>
          <w:sz w:val="24"/>
          <w:szCs w:val="24"/>
          <w:highlight w:val="none"/>
          <w:u w:val="none"/>
        </w:rPr>
        <w:t xml:space="preserve">人的嘉宾</w:t>
      </w:r>
      <w:r>
        <w:rPr>
          <w:rFonts w:hint="eastAsia" w:ascii="宋体" w:hAnsi="宋体" w:eastAsia="宋体" w:cs="宋体"/>
          <w:i w:val="0"/>
          <w:iCs w:val="0"/>
          <w:sz w:val="24"/>
          <w:szCs w:val="24"/>
          <w:highlight w:val="none"/>
          <w:u w:val="none"/>
          <w:lang w:eastAsia="zh-CN"/>
        </w:rPr>
        <w:t xml:space="preserve">室，能容纳</w:t>
      </w:r>
      <w:r>
        <w:rPr>
          <w:rFonts w:hint="eastAsia" w:ascii="宋体" w:hAnsi="宋体" w:eastAsia="宋体" w:cs="宋体"/>
          <w:i w:val="0"/>
          <w:iCs w:val="0"/>
          <w:sz w:val="24"/>
          <w:szCs w:val="24"/>
          <w:highlight w:val="none"/>
          <w:u w:val="none"/>
          <w:lang w:val="en-US" w:eastAsia="zh-CN"/>
        </w:rPr>
        <w:t xml:space="preserve">100人的</w:t>
      </w:r>
      <w:r>
        <w:rPr>
          <w:rFonts w:hint="eastAsia" w:ascii="宋体" w:hAnsi="宋体" w:eastAsia="宋体" w:cs="宋体"/>
          <w:i w:val="0"/>
          <w:iCs w:val="0"/>
          <w:sz w:val="24"/>
          <w:szCs w:val="24"/>
          <w:highlight w:val="none"/>
          <w:u w:val="none"/>
        </w:rPr>
        <w:t xml:space="preserve">观摩区；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12.厕所设置：男性人数占比大于等于60%、女性人数占比小于等于40%，厕所比例不低于60:1；男性人数占比小于等于60%，女性人数占比大于等于40%，厕所比例不低于50:1；</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.存衣区：按照不高于1：300的比例配备统一规格的帐篷，每个帐篷需配备置放300个存包的区域。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.综合指挥部：配直播电视机、</w:t>
      </w:r>
      <w:r>
        <w:rPr>
          <w:rFonts w:hint="eastAsia" w:ascii="宋体" w:hAnsi="宋体" w:eastAsia="宋体" w:cs="宋体"/>
          <w:i w:val="0"/>
          <w:iCs w:val="0"/>
          <w:sz w:val="24"/>
          <w:szCs w:val="24"/>
          <w:highlight w:val="none"/>
          <w:u w:val="none"/>
          <w:lang w:eastAsia="zh-CN"/>
        </w:rPr>
        <w:t xml:space="preserve">医疗点画面、无人机监控道路的实时画面、</w:t>
      </w:r>
      <w:r>
        <w:rPr>
          <w:rFonts w:hint="eastAsia" w:ascii="宋体" w:hAnsi="宋体" w:eastAsia="宋体" w:cs="宋体"/>
          <w:i w:val="0"/>
          <w:iCs w:val="0"/>
          <w:sz w:val="24"/>
          <w:szCs w:val="24"/>
          <w:highlight w:val="none"/>
          <w:u w:val="none"/>
        </w:rPr>
        <w:t xml:space="preserve">饮水。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（八）终点布置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终点布置必须按照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》中的有关要求执行。制定终点布置专项方案，并报组委会审定后执行。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1.终点门：根据终点实际情况搭建半程马拉松项目终点门（需便于及时拆/撤除），遮挡终点门的交通指示牌开赛前须拆除；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2.颁奖台：根据终点现场情况搭建颁奖台和背景板，配备专业音响和话筒设备；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4.赛后控制中心：设控制中心；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5.赛后编排信息中心：设TIC中心；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6.摄像区：2米×2米×1.5米（高）2个可移动式摄像台，2米×2米×1米（高）1 个可移动式摄像台</w:t>
      </w:r>
      <w:r>
        <w:rPr>
          <w:rFonts w:hint="eastAsia" w:ascii="宋体" w:hAnsi="宋体" w:eastAsia="宋体" w:cs="宋体"/>
          <w:i w:val="0"/>
          <w:iCs w:val="0"/>
          <w:sz w:val="24"/>
          <w:szCs w:val="24"/>
          <w:highlight w:val="none"/>
          <w:u w:val="none"/>
          <w:lang w:eastAsia="zh-CN"/>
        </w:rPr>
        <w:t xml:space="preserve">（设置终点摄像隔离区）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.完赛物资（包括但不限于毛巾、水、奖牌和完赛包）领取区：按照不少于</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个通道需求搭建</w:t>
      </w:r>
      <w:r>
        <w:rPr>
          <w:rFonts w:hint="eastAsia" w:ascii="宋体" w:hAnsi="宋体" w:eastAsia="宋体" w:cs="宋体"/>
          <w:i w:val="0"/>
          <w:iCs w:val="0"/>
          <w:sz w:val="24"/>
          <w:szCs w:val="24"/>
          <w:highlight w:val="none"/>
          <w:u w:val="none"/>
        </w:rPr>
        <w:t xml:space="preserve">；原则上平均每条通道的领取人数</w:t>
      </w:r>
      <w:r>
        <w:rPr>
          <w:rFonts w:hint="eastAsia" w:ascii="宋体" w:hAnsi="宋体" w:eastAsia="宋体" w:cs="宋体"/>
          <w:i w:val="0"/>
          <w:iCs w:val="0"/>
          <w:color w:val="ff0000"/>
          <w:sz w:val="24"/>
          <w:szCs w:val="24"/>
          <w:highlight w:val="none"/>
          <w:u w:val="none"/>
        </w:rPr>
        <w:t xml:space="preserve">不超过</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00人</w:t>
      </w:r>
      <w:r>
        <w:rPr>
          <w:rFonts w:hint="eastAsia" w:ascii="宋体" w:hAnsi="宋体" w:eastAsia="宋体" w:cs="宋体"/>
          <w:i w:val="0"/>
          <w:iCs w:val="0"/>
          <w:sz w:val="24"/>
          <w:szCs w:val="24"/>
          <w:highlight w:val="none"/>
          <w:u w:val="none"/>
        </w:rPr>
        <w:t xml:space="preserve">，有条件的情况下可增设备用通道；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.冰敷区：设置</w:t>
      </w:r>
      <w:r>
        <w:rPr>
          <w:rFonts w:hint="eastAsia" w:ascii="宋体" w:hAnsi="宋体" w:eastAsia="宋体" w:cs="宋体"/>
          <w:i w:val="0"/>
          <w:iCs w:val="0"/>
          <w:color w:val="ff0000"/>
          <w:sz w:val="24"/>
          <w:szCs w:val="24"/>
          <w:highlight w:val="none"/>
          <w:u w:val="none"/>
        </w:rPr>
        <w:t xml:space="preserve">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00平方米区域</w:t>
      </w:r>
      <w:r>
        <w:rPr>
          <w:rFonts w:hint="eastAsia" w:ascii="宋体" w:hAnsi="宋体" w:eastAsia="宋体" w:cs="宋体"/>
          <w:i w:val="0"/>
          <w:iCs w:val="0"/>
          <w:sz w:val="24"/>
          <w:szCs w:val="24"/>
          <w:highlight w:val="none"/>
          <w:u w:val="none"/>
        </w:rPr>
        <w:t xml:space="preserve">，配备座椅；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.拉伸区：设置2个区域，</w:t>
      </w:r>
      <w:r>
        <w:rPr>
          <w:rFonts w:hint="eastAsia" w:ascii="宋体" w:hAnsi="宋体" w:eastAsia="宋体" w:cs="宋体"/>
          <w:i w:val="0"/>
          <w:iCs w:val="0"/>
          <w:color w:val="ff0000"/>
          <w:sz w:val="24"/>
          <w:szCs w:val="24"/>
          <w:highlight w:val="none"/>
          <w:u w:val="none"/>
        </w:rPr>
        <w:t xml:space="preserve">各不少于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w:t>
      </w:r>
      <w:r>
        <w:rPr>
          <w:rFonts w:hint="eastAsia" w:ascii="宋体" w:hAnsi="宋体" w:eastAsia="宋体" w:cs="宋体"/>
          <w:i w:val="0"/>
          <w:iCs w:val="0"/>
          <w:sz w:val="24"/>
          <w:szCs w:val="24"/>
          <w:highlight w:val="none"/>
          <w:u w:val="none"/>
        </w:rPr>
        <w:t xml:space="preserve">，配备瑜伽垫</w:t>
      </w:r>
      <w:r>
        <w:rPr>
          <w:rFonts w:hint="eastAsia" w:ascii="宋体" w:hAnsi="宋体" w:eastAsia="宋体" w:cs="宋体"/>
          <w:i w:val="0"/>
          <w:iCs w:val="0"/>
          <w:sz w:val="24"/>
          <w:szCs w:val="24"/>
          <w:highlight w:val="none"/>
          <w:u w:val="none"/>
          <w:lang w:eastAsia="zh-CN"/>
        </w:rPr>
        <w:t xml:space="preserve">，示范员不少于</w:t>
      </w:r>
      <w:r>
        <w:rPr>
          <w:rFonts w:hint="eastAsia" w:ascii="宋体" w:hAnsi="宋体" w:eastAsia="宋体" w:cs="宋体"/>
          <w:i w:val="0"/>
          <w:iCs w:val="0"/>
          <w:sz w:val="24"/>
          <w:szCs w:val="24"/>
          <w:highlight w:val="none"/>
          <w:u w:val="none"/>
          <w:lang w:val="en-US" w:eastAsia="zh-CN"/>
        </w:rPr>
        <w:t xml:space="preserve">4人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0</w:t>
      </w:r>
      <w:r>
        <w:rPr>
          <w:rFonts w:hint="eastAsia" w:ascii="宋体" w:hAnsi="宋体" w:eastAsia="宋体" w:cs="宋体"/>
          <w:i w:val="0"/>
          <w:iCs w:val="0"/>
          <w:sz w:val="24"/>
          <w:szCs w:val="24"/>
          <w:highlight w:val="none"/>
          <w:u w:val="none"/>
        </w:rPr>
        <w:t xml:space="preserve">.疏散接驳区：按疏散线路设置不同的接驳区域；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.医疗室：根据主管部门要求，在终点配备医疗室；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.展示区：根据市场开发情况和组委会要求，负责搭建赞助商、非遗文化等展示区域，展示区相关设施不得影响终点冲刺等竞赛关键环节、赛事组织、赛事安全、医疗保障的正常运转；</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（九）赛前装备领取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策划参赛包领取流线设计，制定场地搭建方案，报组委会审定后执行。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1.参赛手册或画报：负责设计制作参赛指南、秩序册等，报组委会审定后执行；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2.检录区：检录区设置人脸识别，并配有身份证扫描仪根据报名人数，至少安排3个普通通道和1个人工通道；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3.咨询台：设置2个咨询台；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4.号码布（含芯片）领取区：根据报名人数和分区规则，安排号码布领取台，每个领取台原则上分配不超过</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00个号码布</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5.参赛服领取区：根据参赛服装尺码设置领取台；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6.参赛包领取区：根据参赛物资准备参赛包，包括但不限于盐丸、能量棒、保温毯、一次性雨衣、赞助商物资等；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7.芯片检测区：至少设置2个芯片检测台；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8.现场展示：装备发放现场配套组织赞助商、媒体宣传等展示活动；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9.现场保障：做好装备发放现场所需的网络布线、信息设备、通讯保障、信息安全等现场保障工作；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10.现场标牌展示：现场需搭建装备发放领取流程图、线路图、公交接驳图、起点布局图、终点布局图、参赛声明等，要求图形文字清晰，内容详尽，便于选手现场查看，根据现场实际需要合理安排数量。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（十）裁判员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1.做好技术官员、裁判员的对接及接待工作；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2.对讲机：</w:t>
      </w:r>
      <w:r>
        <w:rPr>
          <w:rFonts w:hint="eastAsia" w:ascii="宋体" w:hAnsi="宋体" w:eastAsia="宋体" w:cs="宋体"/>
          <w:i w:val="0"/>
          <w:iCs w:val="0"/>
          <w:sz w:val="24"/>
          <w:szCs w:val="24"/>
          <w:highlight w:val="none"/>
          <w:u w:val="none"/>
          <w:lang w:eastAsia="zh-CN"/>
        </w:rPr>
        <w:t xml:space="preserve">不少于</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0台（包括裁判员、工作人员，须为4G新式标准，满足赛事相关</w:t>
      </w:r>
      <w:r>
        <w:rPr>
          <w:rFonts w:hint="eastAsia" w:ascii="宋体" w:hAnsi="宋体" w:eastAsia="宋体" w:cs="宋体"/>
          <w:i w:val="0"/>
          <w:iCs w:val="0"/>
          <w:sz w:val="24"/>
          <w:szCs w:val="24"/>
          <w:highlight w:val="none"/>
          <w:u w:val="none"/>
          <w:lang w:eastAsia="zh-CN"/>
        </w:rPr>
        <w:t xml:space="preserve">要求</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3</w:t>
      </w:r>
      <w:r>
        <w:rPr>
          <w:rFonts w:hint="eastAsia" w:ascii="宋体" w:hAnsi="宋体" w:eastAsia="宋体" w:cs="宋体"/>
          <w:i w:val="0"/>
          <w:iCs w:val="0"/>
          <w:color w:val="ff0000"/>
          <w:sz w:val="24"/>
          <w:szCs w:val="24"/>
          <w:highlight w:val="none"/>
          <w:u w:val="none"/>
        </w:rPr>
        <w:t xml:space="preserve">.赛事总管：具有中国田协B类赛事认证要求的资格和执行经验；</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4</w:t>
      </w:r>
      <w:r>
        <w:rPr>
          <w:rFonts w:hint="eastAsia" w:ascii="宋体" w:hAnsi="宋体" w:eastAsia="宋体" w:cs="宋体"/>
          <w:i w:val="0"/>
          <w:iCs w:val="0"/>
          <w:color w:val="ff0000"/>
          <w:sz w:val="24"/>
          <w:szCs w:val="24"/>
          <w:highlight w:val="none"/>
          <w:u w:val="none"/>
        </w:rPr>
        <w:t xml:space="preserve">.其他主要岗位：发令、检录、起终点、检查、计时、饮水饮料必须为国家级田径裁判，以上岗位必须由省体育局业务主管部门选派；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4.省派裁判：6人；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市派裁判：</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eastAsia="zh-CN"/>
        </w:rPr>
        <w:t xml:space="preserve">本地</w:t>
      </w:r>
      <w:r>
        <w:rPr>
          <w:rFonts w:hint="eastAsia" w:ascii="宋体" w:hAnsi="宋体" w:eastAsia="宋体" w:cs="宋体"/>
          <w:i w:val="0"/>
          <w:iCs w:val="0"/>
          <w:sz w:val="24"/>
          <w:szCs w:val="24"/>
          <w:highlight w:val="none"/>
          <w:u w:val="none"/>
        </w:rPr>
        <w:t xml:space="preserve">裁判：</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.负责编写制作技术官员手册；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.负责裁判员劳务费和省裁判差旅费；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.裁判员评优：赛后协助开展裁判员评优并制作发放证书；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.组织裁判员培训：赛前协助组织全体裁判员参加的裁判员培训；</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.组织裁判员会议：赛前协助组织裁判员会议并落实相关会议要求；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.组织技术会议：赛前协助组织技术会议并落实相关会议要求。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（十一）赛事保险</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根据风险识别和管理的要求，为赛时全客户群购买人身和财产损失保险（含猝死险），其中全客户群包括但不限于参赛运动员、裁判员、工作人员、受邀嘉宾、志愿者、观众，依据田协规定，保险额度不低于50万元，并尽可能提高保额；</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需在比赛日之前的1个月内将保险方案报组委会审定后执行，并在比赛日之前采购完成，承担相关经费；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3.工作人员及志愿者根据岗位安排保险生效时间最少应当包括比赛日之前的两天和比赛日之后的一天，共计约4天。参赛选手保险生效时间为比赛当日。保险有效地域为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市行政区域范围；（保险生效时间最少应当包括比赛日之前的两天和比赛日之后的一天，共计约4天。保险有效地域为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还应负责为“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”赛事等配套活动购买公众责任险，并承担相关经费；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5.购买赛事取消险，由组委会和</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商议后确定，如赛事受不可抗力影响导致比赛取消的，由此产生的所有相关运营成本及风险由赛事运营单位自行承担。被取消的年度运营权自动顺延一年。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（十二）知识产权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”的所有权和一切知识产权（包括现有和未来产生的）均归组委会所有，</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在组委会的指导下共同做好赛事的品牌保护和知识管理；</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在赛事筹备和组织期间产生的“</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所有知识成果，包括但不限于文件、图片、视频、图案、标识、实物、互联网知识产权等各类材料，都应当按照采购人的知识转移清单在每年比赛结束之后30个工作日内全部移交给采购人，未经书面许可不得用于其他任何单位或个人的商业目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3.由</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举办的各类“</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”系列活动，也作为“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”的组成部分，其所有权和一切知识产权归属于采购人；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应当承诺不会自行注册任何与“</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”相关的商标或申请拥有相关知识产权。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(十三)其他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1.号码布：材质为杜邦纤维纸，规格为大24厘米×16厘米、小12厘米×6厘米；</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2.参赛服：为半程马拉松项目参赛选手设计并制作发放参赛服；</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3.个性化设置：根据赛事情况设计选手装备、纪念品、比赛装备等赛事周边产品；</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4.赛后服务：赛后提供多种形式的打卡、成绩拍照、参赛纪念、奖牌刻字等服务，渲染仪式感、提升跑者赛后体验；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5.完赛包：为各项目完赛选手发放完赛包，提供包括但不限于完赛奖牌、毛巾、饮用水等物资；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rPr>
        <w:t xml:space="preserve">6.赛事物料移交：</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期间所产生的剩余物资必须在比赛结束后30个工作日内全部移交给采购人。</w:t>
      </w:r>
      <w:r>
        <w:rPr>
          <w:rFonts w:hint="eastAsia" w:ascii="宋体" w:hAnsi="宋体" w:eastAsia="宋体" w:cs="宋体"/>
          <w:i w:val="0"/>
          <w:iCs w:val="0"/>
          <w:sz w:val="24"/>
          <w:szCs w:val="24"/>
          <w:highlight w:val="none"/>
          <w:u w:val="none"/>
          <w:lang w:val="en-US" w:eastAsia="zh-CN"/>
        </w:rPr>
        <w:t xml:space="preserve"> </w:t>
      </w:r>
      <w:r/>
    </w:p>
    <w:p>
      <w:pPr>
        <w:pStyle w:val="930"/>
        <w:ind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五、</w:t>
      </w:r>
      <w:r>
        <w:rPr>
          <w:rFonts w:hint="eastAsia" w:ascii="宋体" w:hAnsi="宋体" w:eastAsia="宋体" w:cs="宋体"/>
          <w:b/>
          <w:bCs/>
          <w:i w:val="0"/>
          <w:iCs w:val="0"/>
          <w:sz w:val="24"/>
          <w:szCs w:val="24"/>
          <w:highlight w:val="none"/>
          <w:u w:val="none"/>
        </w:rPr>
        <w:t xml:space="preserve">配套活动组织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1.组织规定仪式活动：起跑和颁奖仪式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2.根据赛事市场开发情况，制定“</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系列活动</w:t>
      </w:r>
      <w:r>
        <w:rPr>
          <w:rFonts w:hint="eastAsia" w:ascii="宋体" w:hAnsi="宋体" w:eastAsia="宋体" w:cs="宋体"/>
          <w:i w:val="0"/>
          <w:iCs w:val="0"/>
          <w:sz w:val="24"/>
          <w:szCs w:val="24"/>
          <w:highlight w:val="none"/>
          <w:u w:val="none"/>
        </w:rPr>
        <w:t xml:space="preserve">策划方案，负责比赛赞助商及</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特色文体展示等搭建工作及展区展会服务；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3.组织创新活动：协助组委会举办城市招商推介等创新活动；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4.组织文体展演：比赛当天赛道沿途文体展演点位的选定及赞助商文体展演的组织，并配合沿途各区完成文体展演，放大城市宣传效应，提升跑者参赛体验；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5.协助组委会召开赛事协调会、新闻发布会、赛前联席会、赛事复盘会等相关活动。</w:t>
      </w:r>
      <w:r/>
    </w:p>
    <w:p>
      <w:pPr>
        <w:pStyle w:val="930"/>
        <w:ind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六、</w:t>
      </w:r>
      <w:r>
        <w:rPr>
          <w:rFonts w:hint="eastAsia" w:ascii="宋体" w:hAnsi="宋体" w:eastAsia="宋体" w:cs="宋体"/>
          <w:b/>
          <w:bCs/>
          <w:i w:val="0"/>
          <w:iCs w:val="0"/>
          <w:sz w:val="24"/>
          <w:szCs w:val="24"/>
          <w:highlight w:val="none"/>
          <w:u w:val="none"/>
        </w:rPr>
        <w:t xml:space="preserve">项目实施方案及要求</w:t>
      </w:r>
      <w:r/>
    </w:p>
    <w:p>
      <w:pPr>
        <w:numPr>
          <w:ilvl w:val="0"/>
          <w:numId w:val="0"/>
        </w:numPr>
        <w:ind w:left="0" w:right="0" w:firstLine="0"/>
        <w:jc w:val="left"/>
        <w:pageBreakBefore w:val="0"/>
        <w:spacing w:line="360" w:lineRule="auto"/>
        <w:widowControl/>
        <w:rPr>
          <w:rStyle w:val="980"/>
          <w:rFonts w:hint="eastAsia" w:ascii="宋体" w:hAnsi="宋体" w:eastAsia="宋体" w:cs="宋体"/>
          <w:b w:val="0"/>
          <w:bCs/>
          <w:i w:val="0"/>
          <w:iCs w:val="0"/>
          <w:u w:val="none"/>
        </w:rPr>
      </w:pPr>
      <w:r>
        <w:rPr>
          <w:rFonts w:hint="eastAsia" w:ascii="宋体" w:hAnsi="宋体" w:eastAsia="宋体" w:cs="宋体"/>
          <w:b w:val="0"/>
          <w:bCs/>
          <w:i w:val="0"/>
          <w:iCs w:val="0"/>
          <w:sz w:val="24"/>
          <w:szCs w:val="24"/>
          <w:u w:val="none"/>
          <w:lang w:val="en-US" w:eastAsia="zh-CN"/>
        </w:rPr>
        <w:t xml:space="preserve">     </w:t>
      </w:r>
      <w:r>
        <w:rPr>
          <w:rStyle w:val="981"/>
          <w:rFonts w:hint="eastAsia" w:ascii="宋体" w:hAnsi="宋体" w:eastAsia="宋体" w:cs="宋体"/>
          <w:b w:val="0"/>
          <w:bCs/>
          <w:i w:val="0"/>
          <w:iCs w:val="0"/>
          <w:u w:val="none"/>
        </w:rPr>
        <w:t xml:space="preserve">（一）赛事组织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1.结合本项目需求做好竞赛总体规程编制工作；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2.赛事报名、抽签：</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制定赛事报名及抽签专项方案，报组委会审定后执行，内容至少包括:</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（1）报名工作：做好“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”赛事选手报名工作；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（2）做好官方平台视觉设计、运营、维护，历年选手信息整理维护，确保数据安全完整；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（3）报名须知：编写报名须知，包括但不限于报名时间、费用、报名方式、参赛要求、抽签办法、免签规则、抽签时间、缴费时间等，报组委会审定后发布；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（4）报名系统: 要求</w:t>
      </w:r>
      <w:r>
        <w:rPr>
          <w:rFonts w:hint="eastAsia" w:ascii="宋体" w:hAnsi="宋体" w:cs="宋体"/>
          <w:b w:val="0"/>
          <w:bCs/>
          <w:i w:val="0"/>
          <w:iCs w:val="0"/>
          <w:sz w:val="24"/>
          <w:szCs w:val="24"/>
          <w:highlight w:val="none"/>
          <w:u w:val="none"/>
          <w:lang w:val="en-US" w:eastAsia="zh-CN"/>
        </w:rPr>
        <w:t xml:space="preserve">成交供应商</w:t>
      </w:r>
      <w:r>
        <w:rPr>
          <w:rFonts w:hint="eastAsia" w:ascii="宋体" w:hAnsi="宋体" w:eastAsia="宋体" w:cs="宋体"/>
          <w:b w:val="0"/>
          <w:bCs/>
          <w:i w:val="0"/>
          <w:iCs w:val="0"/>
          <w:sz w:val="24"/>
          <w:szCs w:val="24"/>
          <w:highlight w:val="none"/>
          <w:u w:val="none"/>
        </w:rPr>
        <w:t xml:space="preserve">有赛事报名平台或授权使用的报名平台且完成等保三级或以上级别认证。要求报名流程设计合理、顺畅，系统界面简洁明了，易于选手操作，且需针对“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”赛事要求进行个性化调整并确保报名工作安全稳定，不得发生网络安全问题和访问崩溃等故障；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（5）网络报名：按照</w:t>
      </w:r>
      <w:r>
        <w:rPr>
          <w:rFonts w:hint="eastAsia" w:ascii="宋体" w:hAnsi="宋体" w:eastAsia="宋体" w:cs="宋体"/>
          <w:b w:val="0"/>
          <w:bCs/>
          <w:i w:val="0"/>
          <w:iCs w:val="0"/>
          <w:sz w:val="24"/>
          <w:szCs w:val="24"/>
          <w:highlight w:val="none"/>
          <w:u w:val="none"/>
          <w:lang w:eastAsia="zh-CN"/>
        </w:rPr>
        <w:t xml:space="preserve">202</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年“</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”报名时间要求，在不同时间段做好微信小程序、微信公众号等端口网络报名工作，并确保各端口访问和报名功能流畅，不得发生网络安全问题和访问崩溃等故障；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（6）客服工作：做好赛前、赛事期间及赛后客服工作，包括电话、邮箱、官方账号（官网、公众号、抖音、微博）等，制定客服工作人员统一答复口径，报组委会审定后执行；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（7）赛前体检与声明：按照中国田协建议，要求选手做好赛前体检，并做好参赛选手的告知等相关工作，并做好所有参赛选手赛前声明签署工作；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8</w:t>
      </w:r>
      <w:r>
        <w:rPr>
          <w:rFonts w:hint="eastAsia" w:ascii="宋体" w:hAnsi="宋体" w:eastAsia="宋体" w:cs="宋体"/>
          <w:b w:val="0"/>
          <w:bCs/>
          <w:i w:val="0"/>
          <w:iCs w:val="0"/>
          <w:sz w:val="24"/>
          <w:szCs w:val="24"/>
          <w:highlight w:val="none"/>
          <w:u w:val="none"/>
        </w:rPr>
        <w:t xml:space="preserve">）抽签：策划制定报名抽签方案、做好程序设计调试，组织现场抽签仪式，完成抽签工作；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9</w:t>
      </w:r>
      <w:r>
        <w:rPr>
          <w:rFonts w:hint="eastAsia" w:ascii="宋体" w:hAnsi="宋体" w:eastAsia="宋体" w:cs="宋体"/>
          <w:b w:val="0"/>
          <w:bCs/>
          <w:i w:val="0"/>
          <w:iCs w:val="0"/>
          <w:sz w:val="24"/>
          <w:szCs w:val="24"/>
          <w:highlight w:val="none"/>
          <w:u w:val="none"/>
        </w:rPr>
        <w:t xml:space="preserve">）手机短信相关提示：负责提供报名、领物、比赛、天气、成绩等赛事全流程信息提示服务；并向选手紧急联系人发送短信，确保紧急联系人知晓选手报名情况；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1</w:t>
      </w:r>
      <w:r>
        <w:rPr>
          <w:rFonts w:hint="eastAsia" w:ascii="宋体" w:hAnsi="宋体" w:eastAsia="宋体" w:cs="宋体"/>
          <w:b w:val="0"/>
          <w:bCs/>
          <w:i w:val="0"/>
          <w:iCs w:val="0"/>
          <w:sz w:val="24"/>
          <w:szCs w:val="24"/>
          <w:highlight w:val="none"/>
          <w:u w:val="none"/>
          <w:lang w:val="en-US" w:eastAsia="zh-CN"/>
        </w:rPr>
        <w:t xml:space="preserve">0</w:t>
      </w:r>
      <w:r>
        <w:rPr>
          <w:rFonts w:hint="eastAsia" w:ascii="宋体" w:hAnsi="宋体" w:eastAsia="宋体" w:cs="宋体"/>
          <w:b w:val="0"/>
          <w:bCs/>
          <w:i w:val="0"/>
          <w:iCs w:val="0"/>
          <w:sz w:val="24"/>
          <w:szCs w:val="24"/>
          <w:highlight w:val="none"/>
          <w:u w:val="none"/>
        </w:rPr>
        <w:t xml:space="preserve">）赛事数据整理：配合组委会及时做好比赛期间数据筛查审核和整理工作（包括但不限于报名、抽签、装备领取、参赛情况、完赛情况等）要求可统计、可溯源、便于赛后分析，赛事相关数据的所有权归赛事组委会所有。未经组委会许可，相关数据不得作为其他用途，</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不得以任何方式披露，</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有义务保证数据安全、保密。</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计时设备：必须采用经中国田协审定的感应计时产品，号码布芯片数量依参赛人数规模而定，计时点每5公里1个（根据赛道实际情况进行微调），赛道最远端折返点感应计时，终点使用经中国田协审定的终点摄像计时系统；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4.赛后成绩公布：选手成绩统计，官网公示、短信提示、制作成绩册，按照世界田联和中国田协的最新要求，在规定的时间内上报赛事的相关报告和数据；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5.比赛录像：分段计时点、折返点、起终点设置比赛录像，记录比赛全过程；</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6.赛后选手服务：提供参赛选手赛后成绩查询、成绩证书下载、个人专属参赛照片及视频材料下载服务；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7.配速员招募：大众选手配速员约</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名；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rPr>
        <w:t xml:space="preserve">8.</w:t>
      </w:r>
      <w:r>
        <w:rPr>
          <w:rFonts w:hint="eastAsia" w:ascii="宋体" w:hAnsi="宋体" w:eastAsia="宋体" w:cs="宋体"/>
          <w:b w:val="0"/>
          <w:bCs/>
          <w:i w:val="0"/>
          <w:iCs w:val="0"/>
          <w:sz w:val="24"/>
          <w:szCs w:val="24"/>
          <w:highlight w:val="none"/>
          <w:u w:val="none"/>
          <w:lang w:eastAsia="zh-CN"/>
        </w:rPr>
        <w:t xml:space="preserve">医护跑</w:t>
      </w:r>
      <w:r>
        <w:rPr>
          <w:rFonts w:hint="eastAsia" w:ascii="宋体" w:hAnsi="宋体" w:eastAsia="宋体" w:cs="宋体"/>
          <w:b w:val="0"/>
          <w:bCs/>
          <w:i w:val="0"/>
          <w:iCs w:val="0"/>
          <w:sz w:val="24"/>
          <w:szCs w:val="24"/>
          <w:highlight w:val="none"/>
          <w:u w:val="none"/>
          <w:lang w:val="en-US" w:eastAsia="zh-CN"/>
        </w:rPr>
        <w:t xml:space="preserve">者</w:t>
      </w:r>
      <w:r>
        <w:rPr>
          <w:rFonts w:hint="eastAsia" w:ascii="宋体" w:hAnsi="宋体" w:eastAsia="宋体" w:cs="宋体"/>
          <w:b w:val="0"/>
          <w:bCs/>
          <w:i w:val="0"/>
          <w:iCs w:val="0"/>
          <w:sz w:val="24"/>
          <w:szCs w:val="24"/>
          <w:highlight w:val="none"/>
          <w:u w:val="none"/>
          <w:lang w:eastAsia="zh-CN"/>
        </w:rPr>
        <w:t xml:space="preserve">招募：不少于</w:t>
      </w:r>
      <w:r>
        <w:rPr>
          <w:rFonts w:hint="eastAsia" w:ascii="宋体" w:hAnsi="宋体" w:eastAsia="宋体" w:cs="宋体"/>
          <w:b w:val="0"/>
          <w:bCs/>
          <w:i w:val="0"/>
          <w:iCs w:val="0"/>
          <w:sz w:val="24"/>
          <w:szCs w:val="24"/>
          <w:highlight w:val="none"/>
          <w:u w:val="none"/>
          <w:lang w:val="en-US" w:eastAsia="zh-CN"/>
        </w:rPr>
        <w:t xml:space="preserve">15名；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9.</w:t>
      </w:r>
      <w:r>
        <w:rPr>
          <w:rFonts w:hint="eastAsia" w:ascii="宋体" w:hAnsi="宋体" w:eastAsia="宋体" w:cs="宋体"/>
          <w:b w:val="0"/>
          <w:bCs/>
          <w:i w:val="0"/>
          <w:iCs w:val="0"/>
          <w:sz w:val="24"/>
          <w:szCs w:val="24"/>
          <w:highlight w:val="none"/>
          <w:u w:val="none"/>
        </w:rPr>
        <w:t xml:space="preserve">资料制作：做好赛事印刷品（包括电子出版物，种类应包括秩序册、参赛指南、志愿者手册、完赛证书、志愿者证书等赛事相关资料的设计及印刷；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.赛事总结评估：</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需在比赛结束后24小时提交初步报告，主要包括赛事相关数据（赛事相关数据、产业带动数据等）；比赛结束后5个工作日内向组委会提交赛事复盘报告；比赛结束之后15个工作日内，对“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”赛事专业度、贡献度和关注度等方面进行全面检测分析，完成并提交赛事评估报告（需第三方专业权威机构出具）。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（二）组织机构配备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1.供应商应根据组委会组织架构配备相应职能机构；</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2.为确保赛事项目顺利实施，供应商拟投入本项目团队成员应不少于</w:t>
      </w:r>
      <w:r>
        <w:rPr>
          <w:rFonts w:hint="eastAsia" w:ascii="宋体" w:hAnsi="宋体" w:eastAsia="宋体" w:cs="宋体"/>
          <w:b w:val="0"/>
          <w:bCs/>
          <w:i w:val="0"/>
          <w:iCs w:val="0"/>
          <w:sz w:val="24"/>
          <w:szCs w:val="24"/>
          <w:highlight w:val="none"/>
          <w:u w:val="none"/>
          <w:lang w:val="en-US" w:eastAsia="zh-CN"/>
        </w:rPr>
        <w:t xml:space="preserve">15</w:t>
      </w:r>
      <w:r>
        <w:rPr>
          <w:rFonts w:hint="eastAsia" w:ascii="宋体" w:hAnsi="宋体" w:eastAsia="宋体" w:cs="宋体"/>
          <w:b w:val="0"/>
          <w:bCs/>
          <w:i w:val="0"/>
          <w:iCs w:val="0"/>
          <w:sz w:val="24"/>
          <w:szCs w:val="24"/>
          <w:highlight w:val="none"/>
          <w:u w:val="none"/>
        </w:rPr>
        <w:t xml:space="preserve">人，其中应配备以下人员：</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（1）参加过中国田协马拉松学院竞赛组织管理培训且获得合格证书的人员2名（须含赛事总监）；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（2）参加过中国田协马拉松学院媒体专题培训且获得合格证书的人员1名；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（3）参加过中国田协马拉松学院医疗专题培训且获得合格证书的人员2名；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（三）安全保障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制定赛事安全保卫专项方案，严格执行国家和地方颁布的《大型群众性活动安全管理条例》等有关规定来组织安保工作。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1.起点安保：交通保障、集结流线管控、现场管控；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2.终点安保：交通保障、现场管控、疏散流线管控；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3.赛道安保：赛道管控、交通保障、赛道巡查、赛道周围城管巡逻；</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4.直播点安保：直播点管控、转播车、直播机位安全；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5.无人机反制：比赛现场配备无人机反制系统；</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6.其他安保：反恐防爆、住地保卫、协调保障、机动应急；</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7.根据主管部门及组委会要求，赛事当天总体安保力量配备相应的人数。</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（四）医疗保障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制定赛事医疗保障专项方案。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1.医疗点：配备医疗人员和医疗设施；</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2.救护车：按照实际要求配备；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3.医院绿色通道：定点医院开通；</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w:t>
      </w:r>
      <w:r>
        <w:rPr>
          <w:rFonts w:hint="eastAsia" w:ascii="宋体" w:hAnsi="宋体" w:eastAsia="宋体" w:cs="宋体"/>
          <w:b w:val="0"/>
          <w:bCs/>
          <w:i w:val="0"/>
          <w:iCs w:val="0"/>
          <w:sz w:val="24"/>
          <w:szCs w:val="24"/>
          <w:highlight w:val="none"/>
          <w:u w:val="none"/>
          <w:lang w:eastAsia="zh-CN"/>
        </w:rPr>
        <w:t xml:space="preserve">骑行医护</w:t>
      </w:r>
      <w:r>
        <w:rPr>
          <w:rFonts w:hint="eastAsia" w:ascii="宋体" w:hAnsi="宋体" w:eastAsia="宋体" w:cs="宋体"/>
          <w:b w:val="0"/>
          <w:bCs/>
          <w:i w:val="0"/>
          <w:iCs w:val="0"/>
          <w:sz w:val="24"/>
          <w:szCs w:val="24"/>
          <w:highlight w:val="none"/>
          <w:u w:val="none"/>
        </w:rPr>
        <w:t xml:space="preserve">：配备电动自行车或自行车、对讲机，每个分区由专人负责，AED数量不少于</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5.赛事当天按照政府相关部门要求进行配备和部署医疗保障人员和相应设施、器材等；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6.赛道沿线设置相应的医疗站点，同时每个站点配备医疗人员和医疗设施等内容。</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（五）后勤保障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制定接待、食宿、交通、物资运输等后勤保障专项方案。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1.酒店接待：负责嘉宾、裁判员、特邀媒体等人员住宿；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2.餐饮接待：负责嘉宾、裁判员、特邀媒体等人员在仪期间用餐；</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3.工作人员及志愿者工作餐：按照人员岗位数量预订提供；</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4.车辆保障：根据组委会要求制定专项方案并执行，包括但不限于观摩车、接送站车、起终点转场车、接驳车、运输车、收容车等，其中接驳车包括加密公交线路和专用接驳车。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5.会务保障：按照组委会要求，为赛事相关会议租赁会议场所并布置会场。</w:t>
      </w:r>
      <w:r/>
    </w:p>
    <w:p>
      <w:pPr>
        <w:numPr>
          <w:ilvl w:val="0"/>
          <w:numId w:val="0"/>
        </w:numPr>
        <w:ind w:left="0" w:right="0" w:firstLine="480"/>
        <w:jc w:val="left"/>
        <w:pageBreakBefore w:val="0"/>
        <w:spacing w:line="360" w:lineRule="auto"/>
        <w:widowControl/>
        <w:rPr>
          <w:rFonts w:hint="eastAsia" w:ascii="宋体" w:hAnsi="宋体" w:eastAsia="宋体" w:cs="宋体"/>
          <w:b/>
          <w:bCs w:val="0"/>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（六）赛事志愿服务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制定赛事志愿服务专项方案。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1.招募要求：招募赛事志愿者</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00人次左右，包括后勤接待志愿者，医疗保障与赛后恢复志愿者，辅助裁判，其他志愿者；</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2.负责组织培训、实战演练；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3.负责落实志愿者保险、服装、名牌、工作餐、交通等必要保障；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4.负责编写制作志愿者手册、拍摄制作培训视频；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5.赛后开展志愿者评优并制作发放证书；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6.赛事资料汇总：搜集整理志愿服务图文资料、影像资料（包括纸质档和电子档）交组委会归档备案。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（七）视觉设计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同时确保美观、独特、与赛事主题匹配。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（八）市场招商</w:t>
      </w:r>
      <w:r/>
    </w:p>
    <w:p>
      <w:pPr>
        <w:ind w:left="0" w:right="0" w:firstLine="560"/>
        <w:jc w:val="both"/>
        <w:keepLines w:val="0"/>
        <w:pageBreakBefore w:val="0"/>
        <w:spacing w:line="360" w:lineRule="auto"/>
        <w:widowControl/>
        <w:rPr>
          <w:rFonts w:hint="eastAsia" w:ascii="宋体" w:hAnsi="宋体" w:eastAsia="宋体" w:cs="宋体"/>
          <w:b/>
          <w:bCs w:val="0"/>
          <w:i w:val="0"/>
          <w:iCs w:val="0"/>
          <w:color w:val="0000ff"/>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”的品牌受法律保护。运营期间内</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”品牌因运营所必须的使用权，同时有责任维护和保护“</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”品牌权利不受侵犯。</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应在与赞助商签订正式协议之前向采购人通报赞助商征集情况，签订的赞助协议应当事先提交采购人审核同意，否则不可签订协议。商务开发现金收益超</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0万部分，按</w:t>
      </w:r>
      <w:r>
        <w:rPr>
          <w:rFonts w:hint="eastAsia" w:ascii="宋体" w:hAnsi="宋体" w:eastAsia="宋体" w:cs="宋体"/>
          <w:b w:val="0"/>
          <w:bCs/>
          <w:i w:val="0"/>
          <w:iCs w:val="0"/>
          <w:sz w:val="24"/>
          <w:szCs w:val="24"/>
          <w:highlight w:val="none"/>
          <w:u w:val="none"/>
          <w:lang w:val="en-US" w:eastAsia="zh-CN"/>
        </w:rPr>
        <w:t xml:space="preserve">25</w:t>
      </w:r>
      <w:r>
        <w:rPr>
          <w:rFonts w:hint="eastAsia" w:ascii="宋体" w:hAnsi="宋体" w:eastAsia="宋体" w:cs="宋体"/>
          <w:b w:val="0"/>
          <w:bCs/>
          <w:i w:val="0"/>
          <w:iCs w:val="0"/>
          <w:sz w:val="24"/>
          <w:szCs w:val="24"/>
          <w:highlight w:val="none"/>
          <w:u w:val="none"/>
        </w:rPr>
        <w:t xml:space="preserve">%支付给采购方；</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eastAsia="zh-CN"/>
        </w:rPr>
        <w:t xml:space="preserve">以上</w:t>
      </w:r>
      <w:r>
        <w:rPr>
          <w:rFonts w:hint="eastAsia" w:ascii="宋体" w:hAnsi="宋体" w:eastAsia="宋体" w:cs="宋体"/>
          <w:b w:val="0"/>
          <w:bCs/>
          <w:i w:val="0"/>
          <w:iCs w:val="0"/>
          <w:sz w:val="24"/>
          <w:szCs w:val="24"/>
          <w:highlight w:val="none"/>
          <w:u w:val="none"/>
        </w:rPr>
        <w:t xml:space="preserve">，超出部分按</w:t>
      </w:r>
      <w:r>
        <w:rPr>
          <w:rFonts w:hint="eastAsia" w:ascii="宋体" w:hAnsi="宋体" w:eastAsia="宋体" w:cs="宋体"/>
          <w:b w:val="0"/>
          <w:bCs/>
          <w:i w:val="0"/>
          <w:iCs w:val="0"/>
          <w:sz w:val="24"/>
          <w:szCs w:val="24"/>
          <w:highlight w:val="none"/>
          <w:u w:val="none"/>
          <w:lang w:val="en-US" w:eastAsia="zh-CN"/>
        </w:rPr>
        <w:t xml:space="preserve">20%</w:t>
      </w:r>
      <w:r>
        <w:rPr>
          <w:rFonts w:hint="eastAsia" w:ascii="宋体" w:hAnsi="宋体" w:eastAsia="宋体" w:cs="宋体"/>
          <w:b w:val="0"/>
          <w:bCs/>
          <w:i w:val="0"/>
          <w:iCs w:val="0"/>
          <w:sz w:val="24"/>
          <w:szCs w:val="24"/>
          <w:highlight w:val="none"/>
          <w:u w:val="none"/>
        </w:rPr>
        <w:t xml:space="preserve">支付给采购方。</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1.赛事相关市场开发方案报组委会审定，市场开发过程中不可更换尚在“</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”赛事合同、协议期内的赞助商，并遵守原赞助合同、协议中所涉及的排他条款约定；</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eastAsia="zh-CN"/>
        </w:rPr>
        <w:outlineLvl w:val="9"/>
      </w:pPr>
      <w:r>
        <w:rPr>
          <w:rFonts w:hint="eastAsia" w:ascii="宋体" w:hAnsi="宋体" w:eastAsia="宋体" w:cs="宋体"/>
          <w:b w:val="0"/>
          <w:bCs/>
          <w:i w:val="0"/>
          <w:iCs w:val="0"/>
          <w:sz w:val="24"/>
          <w:szCs w:val="24"/>
          <w:highlight w:val="none"/>
          <w:u w:val="none"/>
        </w:rPr>
        <w:t xml:space="preserve">2.</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赛事</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确保赛事有冠名商，对于赛事市场招商、赞助商</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w:t>
      </w:r>
      <w:r>
        <w:rPr>
          <w:rFonts w:hint="eastAsia" w:ascii="宋体" w:hAnsi="宋体" w:eastAsia="宋体" w:cs="宋体"/>
          <w:b w:val="0"/>
          <w:bCs/>
          <w:i w:val="0"/>
          <w:iCs w:val="0"/>
          <w:sz w:val="24"/>
          <w:szCs w:val="24"/>
          <w:highlight w:val="none"/>
          <w:u w:val="none"/>
          <w:lang w:eastAsia="zh-CN"/>
        </w:rPr>
        <w:t xml:space="preserve">冠名商招商截止时间</w:t>
      </w:r>
      <w:r>
        <w:rPr>
          <w:rFonts w:hint="eastAsia" w:ascii="宋体" w:hAnsi="宋体" w:eastAsia="宋体" w:cs="宋体"/>
          <w:b w:val="0"/>
          <w:bCs/>
          <w:i w:val="0"/>
          <w:iCs w:val="0"/>
          <w:sz w:val="24"/>
          <w:szCs w:val="24"/>
          <w:highlight w:val="none"/>
          <w:u w:val="none"/>
          <w:lang w:val="en-US" w:eastAsia="zh-CN"/>
        </w:rPr>
        <w:t xml:space="preserve">2026年9月30日，</w:t>
      </w:r>
      <w:r>
        <w:rPr>
          <w:rFonts w:hint="eastAsia" w:ascii="宋体" w:hAnsi="宋体" w:eastAsia="宋体" w:cs="宋体"/>
          <w:b w:val="0"/>
          <w:bCs/>
          <w:i w:val="0"/>
          <w:iCs w:val="0"/>
          <w:sz w:val="24"/>
          <w:szCs w:val="24"/>
          <w:highlight w:val="none"/>
          <w:u w:val="none"/>
        </w:rPr>
        <w:t xml:space="preserve">截止日期后，</w:t>
      </w:r>
      <w:r>
        <w:rPr>
          <w:rFonts w:hint="eastAsia" w:ascii="宋体" w:hAnsi="宋体" w:eastAsia="宋体" w:cs="宋体"/>
          <w:b w:val="0"/>
          <w:bCs/>
          <w:i w:val="0"/>
          <w:iCs w:val="0"/>
          <w:sz w:val="24"/>
          <w:szCs w:val="24"/>
          <w:highlight w:val="none"/>
          <w:u w:val="none"/>
          <w:lang w:eastAsia="zh-CN"/>
        </w:rPr>
        <w:t xml:space="preserve">还未确定冠名单位，</w:t>
      </w:r>
      <w:r>
        <w:rPr>
          <w:rFonts w:hint="eastAsia" w:ascii="宋体" w:hAnsi="宋体" w:eastAsia="宋体" w:cs="宋体"/>
          <w:b w:val="0"/>
          <w:bCs/>
          <w:i w:val="0"/>
          <w:iCs w:val="0"/>
          <w:sz w:val="24"/>
          <w:szCs w:val="24"/>
          <w:highlight w:val="none"/>
          <w:u w:val="none"/>
        </w:rPr>
        <w:t xml:space="preserve">采购方有权寻找</w:t>
      </w:r>
      <w:r>
        <w:rPr>
          <w:rFonts w:hint="eastAsia" w:ascii="宋体" w:hAnsi="宋体" w:eastAsia="宋体" w:cs="宋体"/>
          <w:b w:val="0"/>
          <w:bCs/>
          <w:i w:val="0"/>
          <w:iCs w:val="0"/>
          <w:sz w:val="24"/>
          <w:szCs w:val="24"/>
          <w:highlight w:val="none"/>
          <w:u w:val="none"/>
          <w:lang w:eastAsia="zh-CN"/>
        </w:rPr>
        <w:t xml:space="preserve">冠名</w:t>
      </w:r>
      <w:r>
        <w:rPr>
          <w:rFonts w:hint="eastAsia" w:ascii="宋体" w:hAnsi="宋体" w:eastAsia="宋体" w:cs="宋体"/>
          <w:b w:val="0"/>
          <w:bCs/>
          <w:i w:val="0"/>
          <w:iCs w:val="0"/>
          <w:sz w:val="24"/>
          <w:szCs w:val="24"/>
          <w:highlight w:val="none"/>
          <w:u w:val="none"/>
        </w:rPr>
        <w:t xml:space="preserve">商，现金收益归采购人所有</w:t>
      </w:r>
      <w:r>
        <w:rPr>
          <w:rFonts w:hint="eastAsia" w:ascii="宋体" w:hAnsi="宋体" w:eastAsia="宋体" w:cs="宋体"/>
          <w:b w:val="0"/>
          <w:bCs/>
          <w:i w:val="0"/>
          <w:iCs w:val="0"/>
          <w:sz w:val="24"/>
          <w:szCs w:val="24"/>
          <w:highlight w:val="none"/>
          <w:u w:val="none"/>
          <w:lang w:eastAsia="zh-CN"/>
        </w:rPr>
        <w:t xml:space="preserve">。</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outlineLvl w:val="9"/>
      </w:pPr>
      <w:r>
        <w:rPr>
          <w:rFonts w:hint="eastAsia" w:ascii="宋体" w:hAnsi="宋体" w:eastAsia="宋体" w:cs="宋体"/>
          <w:b w:val="0"/>
          <w:bCs/>
          <w:i w:val="0"/>
          <w:iCs w:val="0"/>
          <w:sz w:val="24"/>
          <w:szCs w:val="24"/>
          <w:highlight w:val="none"/>
          <w:u w:val="none"/>
          <w:lang w:val="en-US" w:eastAsia="zh-CN"/>
        </w:rPr>
        <w:t xml:space="preserve">3、乙方通过赛事商务开发、推广等方式所获全部资金必须首先用于保障赛事的各项开支。</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（九）宣传推广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制定宣传推广专项方案。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1.宣传周期：根据赛事进度分阶段执行，包括但不限于赛事报名启动、赛前一个月、赛前一星期、赛前三天、赛前一天、比赛当天、赛后一天、赛后一周、赛后一个月等重点时段；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2.平台维护：负责及时做好“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”相关公众号、小程序、抖音、微博等官方平台信息更新与维护；</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3.宣传媒介：与国、省、市级不少于10家的主流媒体及网络自媒体开展赛事宣传推广、赛事直播、舆情处置等宣传服务工作：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4.赛事直播及转播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（1）信号制作：引进专业直播团队进行航拍，制作高清直播信号，供多平台同步直播、转播；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（2）平台直播：国家级直播平台不少于1个，省级直播平台不少于</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个，市级直播平台不少于</w:t>
      </w:r>
      <w:r>
        <w:rPr>
          <w:rFonts w:hint="eastAsia" w:ascii="宋体" w:hAnsi="宋体" w:eastAsia="宋体" w:cs="宋体"/>
          <w:b w:val="0"/>
          <w:bCs/>
          <w:i w:val="0"/>
          <w:iCs w:val="0"/>
          <w:sz w:val="24"/>
          <w:szCs w:val="24"/>
          <w:highlight w:val="none"/>
          <w:u w:val="none"/>
          <w:lang w:val="en-US" w:eastAsia="zh-CN"/>
        </w:rPr>
        <w:t xml:space="preserve">3</w:t>
      </w:r>
      <w:r>
        <w:rPr>
          <w:rFonts w:hint="eastAsia" w:ascii="宋体" w:hAnsi="宋体" w:eastAsia="宋体" w:cs="宋体"/>
          <w:b w:val="0"/>
          <w:bCs/>
          <w:i w:val="0"/>
          <w:iCs w:val="0"/>
          <w:sz w:val="24"/>
          <w:szCs w:val="24"/>
          <w:highlight w:val="none"/>
          <w:u w:val="none"/>
        </w:rPr>
        <w:t xml:space="preserve">个，在微信、微博、抖音、快手等平台网络直播，需达到</w:t>
      </w: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个网络端口；</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5.产品输出</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（1）宣传图文及视频：各宣传媒介参与赛事及城市宣传推广，发布内容需经组委会审定，图文宣传不少于30条、短视频宣传不少于10条；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（2）主题宣传片制作：摄制“</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”主题宣传片1部。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6.视觉设计：设计符合扬州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8.氛围营造</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设置“</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”起终点及市区重点公交站台（不少于5个）广告位的画面制作</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市区主要户外大屏的内容画面制作</w:t>
      </w:r>
      <w:r>
        <w:rPr>
          <w:rFonts w:hint="eastAsia" w:ascii="宋体" w:hAnsi="宋体" w:eastAsia="宋体" w:cs="宋体"/>
          <w:b w:val="0"/>
          <w:bCs/>
          <w:i w:val="0"/>
          <w:iCs w:val="0"/>
          <w:sz w:val="24"/>
          <w:szCs w:val="24"/>
          <w:highlight w:val="none"/>
          <w:u w:val="none"/>
          <w:lang w:eastAsia="zh-CN"/>
        </w:rPr>
        <w:t xml:space="preserve">和路灯道旗的制作</w:t>
      </w:r>
      <w:r>
        <w:rPr>
          <w:rFonts w:hint="eastAsia" w:ascii="宋体" w:hAnsi="宋体" w:eastAsia="宋体" w:cs="宋体"/>
          <w:b w:val="0"/>
          <w:bCs/>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9.嘉宾主持</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安排具有马拉松赛事解说经历的体育行业嘉宾1名，现场赛事解说1名；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cs="宋体"/>
          <w:b w:val="0"/>
          <w:bCs/>
          <w:i w:val="0"/>
          <w:iCs w:val="0"/>
          <w:sz w:val="24"/>
          <w:szCs w:val="24"/>
          <w:highlight w:val="none"/>
          <w:u w:val="none"/>
          <w:lang w:val="en-US" w:eastAsia="zh-CN"/>
        </w:rPr>
        <w:t xml:space="preserve">供应商</w:t>
      </w:r>
      <w:r>
        <w:rPr>
          <w:rFonts w:hint="eastAsia" w:ascii="宋体" w:hAnsi="宋体" w:eastAsia="宋体" w:cs="宋体"/>
          <w:b w:val="0"/>
          <w:bCs/>
          <w:i w:val="0"/>
          <w:iCs w:val="0"/>
          <w:sz w:val="24"/>
          <w:szCs w:val="24"/>
          <w:highlight w:val="none"/>
          <w:u w:val="none"/>
        </w:rPr>
        <w:t xml:space="preserve">需提供包含以上内容的项目实施方案，</w:t>
      </w:r>
      <w:r>
        <w:rPr>
          <w:rFonts w:hint="eastAsia" w:ascii="宋体" w:hAnsi="宋体" w:cs="宋体"/>
          <w:b w:val="0"/>
          <w:bCs/>
          <w:i w:val="0"/>
          <w:iCs w:val="0"/>
          <w:sz w:val="24"/>
          <w:szCs w:val="24"/>
          <w:highlight w:val="none"/>
          <w:u w:val="none"/>
          <w:lang w:eastAsia="zh-CN"/>
        </w:rPr>
        <w:t xml:space="preserve">成交</w:t>
      </w:r>
      <w:r>
        <w:rPr>
          <w:rFonts w:hint="eastAsia" w:ascii="宋体" w:hAnsi="宋体" w:eastAsia="宋体" w:cs="宋体"/>
          <w:b w:val="0"/>
          <w:bCs/>
          <w:i w:val="0"/>
          <w:iCs w:val="0"/>
          <w:sz w:val="24"/>
          <w:szCs w:val="24"/>
          <w:highlight w:val="none"/>
          <w:u w:val="none"/>
        </w:rPr>
        <w:t xml:space="preserve">后经有关主管部门审查通过后，报组委会审定后执行。</w:t>
      </w:r>
      <w:r/>
    </w:p>
    <w:p>
      <w:pPr>
        <w:pStyle w:val="930"/>
        <w:ind w:left="0" w:right="0"/>
        <w:pageBreakBefore w:val="0"/>
        <w:spacing w:before="0" w:after="0" w:line="360" w:lineRule="auto"/>
        <w:widowControl/>
        <w:rPr>
          <w:rFonts w:hint="eastAsia" w:ascii="宋体" w:hAnsi="宋体" w:eastAsia="宋体" w:cs="宋体"/>
          <w:b w:val="0"/>
          <w:bCs w:val="0"/>
          <w:i w:val="0"/>
          <w:iCs w:val="0"/>
          <w:sz w:val="24"/>
          <w:szCs w:val="24"/>
          <w:highlight w:val="yellow"/>
          <w:u w:val="none"/>
          <w:lang w:eastAsia="zh-CN"/>
        </w:rPr>
      </w:pPr>
      <w:r>
        <w:rPr>
          <w:rFonts w:hint="eastAsia" w:ascii="宋体" w:hAnsi="宋体" w:eastAsia="宋体" w:cs="宋体"/>
          <w:b w:val="0"/>
          <w:bCs w:val="0"/>
          <w:i w:val="0"/>
          <w:iCs w:val="0"/>
          <w:sz w:val="24"/>
          <w:szCs w:val="24"/>
          <w:highlight w:val="none"/>
          <w:u w:val="none"/>
          <w:lang w:val="en-US" w:eastAsia="zh-CN"/>
        </w:rPr>
        <w:t xml:space="preserve">七</w:t>
      </w:r>
      <w:r>
        <w:rPr>
          <w:rFonts w:hint="eastAsia" w:ascii="宋体" w:hAnsi="宋体" w:eastAsia="宋体" w:cs="宋体"/>
          <w:b w:val="0"/>
          <w:bCs w:val="0"/>
          <w:i w:val="0"/>
          <w:iCs w:val="0"/>
          <w:sz w:val="24"/>
          <w:szCs w:val="24"/>
          <w:highlight w:val="none"/>
          <w:u w:val="none"/>
        </w:rPr>
        <w:t xml:space="preserve">、未尽事宜，按照</w:t>
      </w:r>
      <w:r>
        <w:rPr>
          <w:rFonts w:hint="eastAsia" w:ascii="宋体" w:hAnsi="宋体" w:eastAsia="宋体" w:cs="宋体"/>
          <w:b w:val="0"/>
          <w:bCs w:val="0"/>
          <w:i w:val="0"/>
          <w:iCs w:val="0"/>
          <w:sz w:val="24"/>
          <w:szCs w:val="24"/>
          <w:highlight w:val="none"/>
          <w:u w:val="none"/>
          <w:lang w:val="en-US" w:eastAsia="zh-CN"/>
        </w:rPr>
        <w:t xml:space="preserve">扬州高邮大运河</w:t>
      </w:r>
      <w:r>
        <w:rPr>
          <w:rFonts w:hint="eastAsia" w:ascii="宋体" w:hAnsi="宋体" w:eastAsia="宋体" w:cs="宋体"/>
          <w:b w:val="0"/>
          <w:bCs w:val="0"/>
          <w:i w:val="0"/>
          <w:iCs w:val="0"/>
          <w:sz w:val="24"/>
          <w:szCs w:val="24"/>
          <w:highlight w:val="none"/>
          <w:u w:val="none"/>
        </w:rPr>
        <w:t xml:space="preserve">半程马拉松赛组委会要求执行。</w:t>
      </w:r>
      <w:r/>
    </w:p>
    <w:p>
      <w:pPr>
        <w:pStyle w:val="930"/>
        <w:ind w:left="0" w:right="0"/>
        <w:pageBreakBefore w:val="0"/>
        <w:spacing w:before="0" w:after="0"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八、付款方式：</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1期:合同签订后，采购人自收到发票后10个工作日内支付合同价款的30%；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2期：赛事服务完成后，采购人自收到发票后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支付合同价款的50%；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rPr>
        <w:t xml:space="preserve">3期：赛事完成并提交赛事评估报告后，采购人自收到发票后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支付合同价款的20%。     </w:t>
      </w:r>
      <w:r>
        <w:rPr>
          <w:rFonts w:hint="eastAsia" w:ascii="宋体" w:hAnsi="宋体" w:eastAsia="宋体" w:cs="宋体"/>
          <w:b w:val="0"/>
          <w:bCs w:val="0"/>
          <w:i w:val="0"/>
          <w:iCs w:val="0"/>
          <w:sz w:val="24"/>
          <w:szCs w:val="24"/>
          <w:highlight w:val="none"/>
          <w:u w:val="none"/>
          <w:lang w:val="en-US" w:eastAsia="zh-CN"/>
        </w:rPr>
        <w:t xml:space="preserve">                       </w:t>
      </w:r>
      <w:r/>
    </w:p>
    <w:p>
      <w:pPr>
        <w:pStyle w:val="1035"/>
        <w:ind w:left="0" w:right="0" w:firstLine="0"/>
        <w:keepLines w:val="0"/>
        <w:keepNext w:val="0"/>
        <w:pageBreakBefore w:val="0"/>
        <w:spacing w:after="0" w:line="360" w:lineRule="auto"/>
        <w:widowControl/>
        <w:rPr>
          <w:rFonts w:hint="eastAsia" w:ascii="宋体" w:hAnsi="宋体" w:eastAsia="宋体" w:cs="宋体"/>
          <w:b w:val="0"/>
          <w:bCs w:val="0"/>
          <w:i w:val="0"/>
          <w:iCs w:val="0"/>
          <w:sz w:val="24"/>
          <w:szCs w:val="24"/>
          <w:highlight w:val="none"/>
          <w:u w:val="none"/>
        </w:rPr>
      </w:pPr>
      <w:r>
        <w:rPr>
          <w:rFonts w:hint="eastAsia" w:cs="宋体"/>
          <w:b w:val="0"/>
          <w:bCs w:val="0"/>
          <w:i w:val="0"/>
          <w:iCs w:val="0"/>
          <w:sz w:val="24"/>
          <w:szCs w:val="24"/>
          <w:highlight w:val="none"/>
          <w:u w:val="none"/>
          <w:lang w:val="en-US" w:eastAsia="zh-CN"/>
        </w:rPr>
        <w:t xml:space="preserve">九</w:t>
      </w:r>
      <w:r>
        <w:rPr>
          <w:rFonts w:hint="eastAsia" w:ascii="宋体" w:hAnsi="宋体" w:eastAsia="宋体" w:cs="宋体"/>
          <w:b w:val="0"/>
          <w:bCs w:val="0"/>
          <w:i w:val="0"/>
          <w:iCs w:val="0"/>
          <w:sz w:val="24"/>
          <w:szCs w:val="24"/>
          <w:highlight w:val="none"/>
          <w:u w:val="none"/>
        </w:rPr>
        <w:t xml:space="preserve">、其他要求</w:t>
      </w:r>
      <w:r/>
    </w:p>
    <w:p>
      <w:pPr>
        <w:ind w:firstLine="480"/>
        <w:keepLines w:val="0"/>
        <w:keepNext w:val="0"/>
        <w:pageBreakBefore w:val="0"/>
        <w:spacing w:line="360" w:lineRule="auto"/>
        <w:rPr>
          <w:rFonts w:ascii="宋体" w:hAnsi="宋体"/>
          <w:b/>
          <w:sz w:val="28"/>
          <w:szCs w:val="28"/>
        </w:rPr>
      </w:pPr>
      <w:r>
        <w:rPr>
          <w:rFonts w:hint="eastAsia" w:ascii="宋体" w:hAnsi="宋体" w:eastAsia="宋体" w:cs="宋体"/>
          <w:b w:val="0"/>
          <w:bCs w:val="0"/>
          <w:i w:val="0"/>
          <w:iCs w:val="0"/>
          <w:sz w:val="24"/>
          <w:szCs w:val="24"/>
          <w:u w:val="none"/>
        </w:rPr>
        <w:t xml:space="preserve">本项目为电子</w:t>
      </w:r>
      <w:r>
        <w:rPr>
          <w:rFonts w:hint="eastAsia" w:ascii="宋体" w:hAnsi="宋体" w:cs="宋体"/>
          <w:b w:val="0"/>
          <w:bCs w:val="0"/>
          <w:i w:val="0"/>
          <w:iCs w:val="0"/>
          <w:sz w:val="24"/>
          <w:szCs w:val="24"/>
          <w:u w:val="none"/>
          <w:lang w:val="en-US" w:eastAsia="zh-CN"/>
        </w:rPr>
        <w:t xml:space="preserve">化采购</w:t>
      </w:r>
      <w:r>
        <w:rPr>
          <w:rFonts w:hint="eastAsia" w:ascii="宋体" w:hAnsi="宋体" w:eastAsia="宋体" w:cs="宋体"/>
          <w:b w:val="0"/>
          <w:bCs w:val="0"/>
          <w:i w:val="0"/>
          <w:iCs w:val="0"/>
          <w:sz w:val="24"/>
          <w:szCs w:val="24"/>
          <w:u w:val="none"/>
        </w:rPr>
        <w:t xml:space="preserve">，</w:t>
      </w:r>
      <w:r>
        <w:rPr>
          <w:rFonts w:hint="eastAsia" w:ascii="宋体" w:hAnsi="宋体" w:cs="宋体"/>
          <w:b w:val="0"/>
          <w:bCs w:val="0"/>
          <w:i w:val="0"/>
          <w:iCs w:val="0"/>
          <w:sz w:val="24"/>
          <w:szCs w:val="24"/>
          <w:u w:val="none"/>
          <w:lang w:val="en-US" w:eastAsia="zh-CN"/>
        </w:rPr>
        <w:t xml:space="preserve">成交</w:t>
      </w:r>
      <w:r>
        <w:rPr>
          <w:rFonts w:hint="eastAsia" w:ascii="宋体" w:hAnsi="宋体" w:eastAsia="宋体" w:cs="宋体"/>
          <w:b w:val="0"/>
          <w:bCs w:val="0"/>
          <w:i w:val="0"/>
          <w:iCs w:val="0"/>
          <w:sz w:val="24"/>
          <w:szCs w:val="24"/>
          <w:u w:val="none"/>
        </w:rPr>
        <w:t xml:space="preserve">单位在领取</w:t>
      </w:r>
      <w:r>
        <w:rPr>
          <w:rFonts w:hint="eastAsia" w:ascii="宋体" w:hAnsi="宋体" w:cs="宋体"/>
          <w:b w:val="0"/>
          <w:bCs w:val="0"/>
          <w:i w:val="0"/>
          <w:iCs w:val="0"/>
          <w:sz w:val="24"/>
          <w:szCs w:val="24"/>
          <w:u w:val="none"/>
          <w:lang w:val="en-US" w:eastAsia="zh-CN"/>
        </w:rPr>
        <w:t xml:space="preserve">成交</w:t>
      </w:r>
      <w:r>
        <w:rPr>
          <w:rFonts w:hint="eastAsia" w:ascii="宋体" w:hAnsi="宋体" w:eastAsia="宋体" w:cs="宋体"/>
          <w:b w:val="0"/>
          <w:bCs w:val="0"/>
          <w:i w:val="0"/>
          <w:iCs w:val="0"/>
          <w:sz w:val="24"/>
          <w:szCs w:val="24"/>
          <w:u w:val="none"/>
        </w:rPr>
        <w:t xml:space="preserve">通知书时递交</w:t>
      </w:r>
      <w:r>
        <w:rPr>
          <w:rFonts w:hint="eastAsia" w:ascii="宋体" w:hAnsi="宋体" w:eastAsia="宋体" w:cs="宋体"/>
          <w:b w:val="0"/>
          <w:bCs w:val="0"/>
          <w:i w:val="0"/>
          <w:iCs w:val="0"/>
          <w:sz w:val="24"/>
          <w:szCs w:val="24"/>
          <w:u w:val="none"/>
          <w:lang w:val="en-US" w:eastAsia="zh-CN"/>
        </w:rPr>
        <w:t xml:space="preserve">一正二副3</w:t>
      </w:r>
      <w:r>
        <w:rPr>
          <w:rFonts w:hint="eastAsia" w:ascii="宋体" w:hAnsi="宋体" w:eastAsia="宋体" w:cs="宋体"/>
          <w:b w:val="0"/>
          <w:bCs w:val="0"/>
          <w:i w:val="0"/>
          <w:iCs w:val="0"/>
          <w:sz w:val="24"/>
          <w:szCs w:val="24"/>
          <w:u w:val="none"/>
        </w:rPr>
        <w:t xml:space="preserve">份完整的</w:t>
      </w:r>
      <w:r>
        <w:rPr>
          <w:rFonts w:hint="eastAsia" w:ascii="宋体" w:hAnsi="宋体" w:cs="宋体"/>
          <w:b w:val="0"/>
          <w:bCs w:val="0"/>
          <w:i w:val="0"/>
          <w:iCs w:val="0"/>
          <w:sz w:val="24"/>
          <w:szCs w:val="24"/>
          <w:u w:val="none"/>
          <w:lang w:val="en-US" w:eastAsia="zh-CN"/>
        </w:rPr>
        <w:t xml:space="preserve">响应文件</w:t>
      </w:r>
      <w:r>
        <w:rPr>
          <w:rFonts w:hint="eastAsia" w:ascii="宋体" w:hAnsi="宋体" w:eastAsia="宋体" w:cs="宋体"/>
          <w:b w:val="0"/>
          <w:bCs w:val="0"/>
          <w:i w:val="0"/>
          <w:iCs w:val="0"/>
          <w:sz w:val="24"/>
          <w:szCs w:val="24"/>
          <w:u w:val="none"/>
        </w:rPr>
        <w:t xml:space="preserve">，其中需另外增加最终报价的响应报价表。</w:t>
      </w:r>
      <w:r/>
    </w:p>
    <w:p>
      <w:pPr>
        <w:rPr>
          <w:rFonts w:hint="eastAsia" w:ascii="黑体" w:hAnsi="Times New Roman" w:eastAsia="黑体"/>
          <w:bCs/>
          <w:sz w:val="44"/>
          <w:szCs w:val="28"/>
        </w:rPr>
      </w:pPr>
      <w:r/>
      <w:bookmarkStart w:id="171" w:name="_Toc120614281"/>
      <w:r>
        <w:rPr>
          <w:rFonts w:hint="eastAsia" w:ascii="黑体" w:hAnsi="Times New Roman" w:eastAsia="黑体"/>
          <w:bCs/>
          <w:sz w:val="44"/>
          <w:szCs w:val="28"/>
        </w:rPr>
        <w:br w:type="page" w:clear="all"/>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9"/>
      <w:r/>
      <w:bookmarkEnd w:id="170"/>
      <w:r/>
      <w:bookmarkEnd w:id="171"/>
      <w:r>
        <w:rPr>
          <w:rFonts w:hint="eastAsia" w:ascii="黑体" w:hAnsi="Times New Roman" w:eastAsia="黑体"/>
          <w:bCs/>
          <w:sz w:val="44"/>
          <w:szCs w:val="28"/>
        </w:rPr>
        <w:t xml:space="preserve">响应文件格式 </w:t>
      </w:r>
      <w:r/>
    </w:p>
    <w:p>
      <w:pPr>
        <w:jc w:val="center"/>
        <w:rPr>
          <w:rFonts w:ascii="宋体" w:hAnsi="宋体"/>
          <w:b/>
          <w:sz w:val="72"/>
          <w:szCs w:val="21"/>
        </w:rPr>
      </w:pPr>
      <w:r/>
      <w:bookmarkStart w:id="172" w:name="_Hlt26955039"/>
      <w:r/>
      <w:bookmarkEnd w:id="172"/>
      <w:r/>
      <w:bookmarkStart w:id="173" w:name="_Hlt26671244"/>
      <w:r/>
      <w:bookmarkEnd w:id="173"/>
      <w:r/>
      <w:bookmarkStart w:id="174" w:name="_Toc120614282"/>
      <w:r/>
      <w:bookmarkStart w:id="175" w:name="_Toc49090576"/>
      <w:r/>
      <w:bookmarkStart w:id="176" w:name="_Toc26554094"/>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spacing w:line="440" w:lineRule="exact"/>
        <w:rPr>
          <w:rFonts w:ascii="宋体" w:hAnsi="宋体"/>
          <w:b/>
          <w:b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b/>
          <w:bCs/>
          <w:sz w:val="32"/>
          <w:szCs w:val="32"/>
        </w:rPr>
      </w:r>
      <w:bookmarkEnd w:id="167"/>
      <w:r/>
      <w:bookmarkEnd w:id="168"/>
      <w:r/>
      <w:bookmarkEnd w:id="174"/>
      <w:r/>
      <w:bookmarkEnd w:id="175"/>
      <w:r/>
      <w:bookmarkEnd w:id="176"/>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hint="eastAsia" w:ascii="宋体" w:hAnsi="宋体"/>
          <w:sz w:val="24"/>
          <w:szCs w:val="21"/>
        </w:rPr>
        <w:t xml:space="preserve">1.</w:t>
      </w:r>
      <w:r>
        <w:rPr>
          <w:rFonts w:hint="eastAsia" w:ascii="宋体" w:hAnsi="宋体"/>
          <w:sz w:val="24"/>
          <w:szCs w:val="21"/>
          <w:lang w:val="en-US" w:eastAsia="zh-CN"/>
        </w:rPr>
        <w:t xml:space="preserve">谈判</w:t>
      </w:r>
      <w:r>
        <w:rPr>
          <w:rFonts w:hint="eastAsia" w:ascii="宋体" w:hAnsi="宋体"/>
          <w:sz w:val="24"/>
          <w:szCs w:val="21"/>
        </w:rPr>
        <w:t xml:space="preserve">报价表（格式见标书制作模版）</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.分项报价表（格式见附件1）</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.技术要求响应及偏离表（格式见附件2）</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.商务要求响应及偏离表（格式见附件3）</w:t>
      </w:r>
      <w:r/>
    </w:p>
    <w:p>
      <w:pPr>
        <w:ind w:left="480"/>
        <w:spacing w:line="400" w:lineRule="exac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w:t>
      </w:r>
      <w:r>
        <w:rPr>
          <w:rFonts w:hint="eastAsia" w:ascii="宋体" w:hAnsi="宋体"/>
          <w:sz w:val="24"/>
          <w:szCs w:val="21"/>
        </w:rPr>
        <w:t xml:space="preserve">.谈判响应函（格式见附件</w:t>
      </w:r>
      <w:r>
        <w:rPr>
          <w:rFonts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8</w:t>
      </w:r>
      <w:r>
        <w:rPr>
          <w:rFonts w:hint="eastAsia" w:ascii="宋体" w:hAnsi="宋体"/>
          <w:sz w:val="24"/>
          <w:szCs w:val="21"/>
        </w:rPr>
        <w:t xml:space="preserve">.其他</w:t>
      </w:r>
      <w:r/>
    </w:p>
    <w:p>
      <w:pPr>
        <w:pStyle w:val="968"/>
        <w:ind w:firstLine="480"/>
        <w:rPr>
          <w:rFonts w:ascii="宋体" w:hAnsi="宋体"/>
          <w:sz w:val="24"/>
          <w:szCs w:val="21"/>
          <w:highlight w:val="yellow"/>
        </w:rPr>
      </w:pPr>
      <w:r>
        <w:rPr>
          <w:rFonts w:hint="eastAsia" w:ascii="宋体" w:hAnsi="宋体" w:eastAsia="宋体" w:cs="宋体"/>
          <w:sz w:val="24"/>
          <w:szCs w:val="21"/>
        </w:rPr>
        <w:t xml:space="preserve">****（格式见附件**）</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附件7</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附件8</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rPr>
      </w:pPr>
      <w:r>
        <w:rPr>
          <w:rFonts w:hint="eastAsia" w:ascii="宋体" w:hAnsi="宋体"/>
          <w:sz w:val="24"/>
          <w:szCs w:val="21"/>
        </w:rPr>
        <w:t xml:space="preserve">监狱企业的证明文件。</w:t>
      </w:r>
      <w:r/>
    </w:p>
    <w:p>
      <w:pPr>
        <w:ind w:firstLine="480"/>
        <w:spacing w:line="400" w:lineRule="exact"/>
        <w:rPr>
          <w:rFonts w:ascii="宋体" w:hAnsi="宋体"/>
          <w:sz w:val="24"/>
          <w:szCs w:val="21"/>
          <w:highlight w:val="yellow"/>
        </w:rPr>
      </w:pPr>
      <w:r>
        <w:rPr>
          <w:rFonts w:hint="eastAsia" w:ascii="宋体" w:hAnsi="宋体"/>
          <w:sz w:val="24"/>
          <w:szCs w:val="21"/>
        </w:rPr>
        <w:t xml:space="preserve">8.联合体协议（格式见附件</w:t>
      </w:r>
      <w:r>
        <w:rPr>
          <w:rFonts w:ascii="宋体" w:hAnsi="宋体"/>
          <w:sz w:val="24"/>
          <w:szCs w:val="21"/>
        </w:rPr>
        <w:t xml:space="preserve">12</w:t>
      </w:r>
      <w:r>
        <w:rPr>
          <w:rFonts w:hint="eastAsia" w:ascii="宋体" w:hAnsi="宋体"/>
          <w:sz w:val="24"/>
          <w:szCs w:val="21"/>
        </w:rPr>
        <w:t xml:space="preserve">）。</w:t>
      </w:r>
      <w:r>
        <w:rPr>
          <w:rFonts w:hint="eastAsia" w:ascii="宋体" w:hAnsi="宋体"/>
          <w:color w:val="ff0000"/>
          <w:sz w:val="24"/>
          <w:szCs w:val="21"/>
        </w:rPr>
        <w:t xml:space="preserve">如果本项目接受联合体参与谈判，供应商是联合体的，则必须提供。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w:t>
      </w:r>
      <w:r>
        <w:rPr>
          <w:rFonts w:hint="eastAsia" w:ascii="宋体" w:hAnsi="宋体"/>
          <w:sz w:val="24"/>
          <w:szCs w:val="21"/>
          <w:highlight w:val="none"/>
        </w:rPr>
        <w:t xml:space="preserve">谈判</w:t>
      </w:r>
      <w:r>
        <w:rPr>
          <w:rFonts w:hint="eastAsia" w:ascii="宋体" w:hAnsi="宋体"/>
          <w:sz w:val="24"/>
          <w:szCs w:val="21"/>
        </w:rPr>
        <w:t xml:space="preserve">文件要求提供证明材料，否则做无效响应处理。（格式见附件1</w:t>
      </w:r>
      <w:r>
        <w:rPr>
          <w:rFonts w:ascii="宋体" w:hAnsi="宋体"/>
          <w:sz w:val="24"/>
          <w:szCs w:val="21"/>
        </w:rPr>
        <w:t xml:space="preserve">3</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1.中小微企业声明函（格式见附件</w:t>
      </w:r>
      <w:r>
        <w:rPr>
          <w:rFonts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w:t>
      </w:r>
      <w:r>
        <w:rPr>
          <w:rFonts w:ascii="宋体" w:hAnsi="宋体"/>
          <w:sz w:val="24"/>
          <w:szCs w:val="21"/>
        </w:rPr>
        <w:t xml:space="preserve">11</w:t>
      </w:r>
      <w:r>
        <w:rPr>
          <w:rFonts w:hint="eastAsia" w:ascii="宋体" w:hAnsi="宋体"/>
          <w:sz w:val="24"/>
          <w:szCs w:val="21"/>
        </w:rPr>
        <w:t xml:space="preserve">）</w:t>
      </w:r>
      <w:r/>
    </w:p>
    <w:p>
      <w:pPr>
        <w:rPr>
          <w:rFonts w:ascii="宋体" w:hAnsi="宋体"/>
          <w:b/>
          <w:sz w:val="24"/>
          <w:szCs w:val="21"/>
        </w:rPr>
      </w:pPr>
      <w:r>
        <w:rPr>
          <w:rFonts w:ascii="宋体" w:hAnsi="宋体"/>
          <w:b/>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附件1 分项报价表（服务类项目）</w:t>
      </w:r>
      <w:r/>
    </w:p>
    <w:p>
      <w:pPr>
        <w:ind w:left="0" w:right="0" w:firstLine="560"/>
        <w:jc w:val="both"/>
        <w:spacing w:before="220" w:after="0" w:line="249" w:lineRule="atLeast"/>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rPr>
        <w:t xml:space="preserve">供应商全称（公章）：</w:t>
      </w:r>
      <w:r>
        <w:rPr>
          <w:rFonts w:hint="eastAsia" w:ascii="楷体" w:hAnsi="楷体" w:eastAsia="楷体" w:cs="楷体"/>
          <w:color w:val="000000"/>
          <w:sz w:val="22"/>
          <w:lang w:val="en-US" w:eastAsia="zh-CN"/>
        </w:rPr>
        <w:t xml:space="preserve">                              </w:t>
      </w:r>
      <w:r>
        <w:rPr>
          <w:rFonts w:hint="eastAsia" w:ascii="楷体" w:hAnsi="楷体" w:eastAsia="楷体" w:cs="楷体"/>
          <w:color w:val="000000"/>
          <w:sz w:val="22"/>
        </w:rPr>
        <w:t xml:space="preserve">项目编号：</w:t>
      </w:r>
      <w:r/>
    </w:p>
    <w:tbl>
      <w:tblPr>
        <w:tblStyle w:val="970"/>
        <w:tblW w:w="94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604"/>
        <w:gridCol w:w="1409"/>
        <w:gridCol w:w="555"/>
        <w:gridCol w:w="435"/>
        <w:gridCol w:w="3840"/>
        <w:gridCol w:w="300"/>
        <w:gridCol w:w="450"/>
        <w:gridCol w:w="450"/>
        <w:gridCol w:w="691"/>
      </w:tblGrid>
      <w:tr>
        <w:trPr>
          <w:trHeight w:val="457"/>
        </w:trPr>
        <w:tc>
          <w:tcPr>
            <w:tcBorders>
              <w:top w:val="single" w:color="000000" w:sz="8"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sz w:val="18"/>
                <w:szCs w:val="18"/>
                <w:lang w:eastAsia="zh-CN"/>
              </w:rPr>
              <w:t xml:space="preserve">项目类别</w:t>
            </w:r>
            <w:r/>
          </w:p>
        </w:tc>
        <w:tc>
          <w:tcPr>
            <w:tcBorders>
              <w:top w:val="single" w:color="000000" w:sz="8" w:space="0"/>
              <w:left w:val="none" w:color="000000" w:sz="4"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序号</w:t>
            </w:r>
            <w:r/>
          </w:p>
        </w:tc>
        <w:tc>
          <w:tcPr>
            <w:tcBorders>
              <w:top w:val="single" w:color="000000" w:sz="8" w:space="0"/>
              <w:left w:val="none" w:color="000000" w:sz="4" w:space="0"/>
              <w:right w:val="single" w:color="000000" w:sz="8" w:space="0"/>
            </w:tcBorders>
            <w:tcMar>
              <w:left w:w="108" w:type="dxa"/>
              <w:top w:w="0" w:type="dxa"/>
              <w:right w:w="108" w:type="dxa"/>
              <w:bottom w:w="0" w:type="dxa"/>
            </w:tcMar>
            <w:tcW w:w="1409"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项目名称</w:t>
            </w:r>
            <w:r/>
          </w:p>
        </w:tc>
        <w:tc>
          <w:tcPr>
            <w:tcBorders>
              <w:top w:val="single" w:color="000000" w:sz="8" w:space="0"/>
              <w:left w:val="none" w:color="000000" w:sz="4"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数量</w:t>
            </w:r>
            <w:r/>
          </w:p>
        </w:tc>
        <w:tc>
          <w:tcPr>
            <w:tcBorders>
              <w:top w:val="single" w:color="000000" w:sz="8" w:space="0"/>
              <w:left w:val="none" w:color="000000" w:sz="4" w:space="0"/>
              <w:right w:val="single" w:color="000000" w:sz="8" w:space="0"/>
            </w:tcBorders>
            <w:tcMar>
              <w:left w:w="108" w:type="dxa"/>
              <w:top w:w="0" w:type="dxa"/>
              <w:right w:w="108" w:type="dxa"/>
              <w:bottom w:w="0" w:type="dxa"/>
            </w:tcMar>
            <w:tcW w:w="43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单位</w:t>
            </w:r>
            <w:r/>
          </w:p>
        </w:tc>
        <w:tc>
          <w:tcPr>
            <w:tcBorders>
              <w:top w:val="single" w:color="000000" w:sz="8" w:space="0"/>
              <w:left w:val="none" w:color="000000" w:sz="4" w:space="0"/>
              <w:right w:val="single" w:color="000000" w:sz="8" w:space="0"/>
            </w:tcBorders>
            <w:tcMar>
              <w:left w:w="108" w:type="dxa"/>
              <w:top w:w="0" w:type="dxa"/>
              <w:right w:w="108" w:type="dxa"/>
              <w:bottom w:w="0" w:type="dxa"/>
            </w:tcMar>
            <w:tcW w:w="3840"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要求</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jc w:val="center"/>
              <w:spacing w:after="0" w:line="240" w:lineRule="auto"/>
              <w:widowControl/>
              <w:rPr>
                <w:rFonts w:hint="eastAsia" w:ascii="楷体" w:hAnsi="楷体" w:eastAsia="楷体" w:cs="楷体"/>
                <w:b w:val="0"/>
                <w:bCs w:val="0"/>
                <w:i w:val="0"/>
                <w:iCs w:val="0"/>
                <w:sz w:val="18"/>
                <w:szCs w:val="18"/>
                <w:lang w:eastAsia="zh-CN"/>
              </w:rPr>
            </w:pPr>
            <w:r>
              <w:rPr>
                <w:rFonts w:hint="eastAsia" w:ascii="楷体" w:hAnsi="楷体" w:eastAsia="楷体" w:cs="楷体"/>
                <w:b w:val="0"/>
                <w:bCs w:val="0"/>
                <w:i w:val="0"/>
                <w:iCs w:val="0"/>
                <w:color w:val="000000"/>
                <w:sz w:val="18"/>
                <w:szCs w:val="18"/>
                <w:lang w:eastAsia="zh-CN"/>
              </w:rPr>
              <w:t xml:space="preserve">赛事需求</w:t>
            </w:r>
            <w:r/>
          </w:p>
        </w:tc>
      </w:tr>
      <w:tr>
        <w:trPr>
          <w:trHeight w:val="454"/>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604"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1409"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43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3840"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总价</w:t>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1.安保医疗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医师跑者招募</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共计</w:t>
            </w:r>
            <w:r>
              <w:rPr>
                <w:rFonts w:hint="eastAsia" w:ascii="楷体" w:hAnsi="楷体" w:eastAsia="楷体" w:cs="楷体"/>
                <w:b w:val="0"/>
                <w:bCs w:val="0"/>
                <w:i w:val="0"/>
                <w:iCs w:val="0"/>
                <w:color w:val="000000"/>
                <w:sz w:val="18"/>
                <w:szCs w:val="18"/>
                <w:lang w:val="en-US" w:eastAsia="zh-CN"/>
              </w:rPr>
              <w:t xml:space="preserve">15</w:t>
            </w:r>
            <w:r>
              <w:rPr>
                <w:rFonts w:hint="eastAsia" w:ascii="楷体" w:hAnsi="楷体" w:eastAsia="楷体" w:cs="楷体"/>
                <w:b w:val="0"/>
                <w:bCs w:val="0"/>
                <w:i w:val="0"/>
                <w:iCs w:val="0"/>
                <w:color w:val="000000"/>
                <w:sz w:val="18"/>
                <w:szCs w:val="18"/>
              </w:rPr>
              <w:t xml:space="preserve">名人员的食宿、交通、装备及培训费用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赛道隔离铁马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尺寸：宽2m，高1.2米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赛道隔离板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在赛道沿线道路、大门出入口等处设置赛道隔离板</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交通管制</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数量、内容根据比赛路线及组委会要求设置。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赛道隔离搬运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数量以及制作要求按照组委会安排，包含安装、制作、人工费用等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AED租赁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急救包药品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配备基本的处理突发性事件的药物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医护人员费用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起终点和赛道沿途设置固定医疗站和救护车，聘请专业医疗官、医疗专家、配备相应的医生和护士，另在赛道沿途设置移动医疗点，由专业救援人员配备便携式AED提供紧急救援，具体实施以医疗保障部门为主。外聘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救护车</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负责租赁专业医疗救护车</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保安服务费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主舞台、起终点、赛道沿途大小路口、赛事功能区等各区域安排警力，含安全保障所需物资，具体实施以安全保障部门为主。需外聘安保公司人员参与值岗，费用由乙方负责。安保人员每人不低于100元。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both"/>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急救机构服务费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第三方急救机构人员设备、差旅、劳务、培训租车等费用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无人机反制设备</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2.赛事宣传</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新闻媒体及网络达人邀请</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联系国、省、市级主流媒体及网络自媒体开展赛事宣传推广、赛事直播、舆情处置等宣传服务工作。国家、省、市、县媒体约10家，10万级以上大V不少于</w:t>
            </w:r>
            <w:r>
              <w:rPr>
                <w:rFonts w:hint="eastAsia" w:ascii="楷体" w:hAnsi="楷体" w:eastAsia="楷体" w:cs="楷体"/>
                <w:b w:val="0"/>
                <w:bCs w:val="0"/>
                <w:i w:val="0"/>
                <w:iCs w:val="0"/>
                <w:color w:val="000000"/>
                <w:sz w:val="18"/>
                <w:szCs w:val="18"/>
                <w:lang w:val="en-US" w:eastAsia="zh-CN"/>
              </w:rPr>
              <w:t xml:space="preserve">5</w:t>
            </w:r>
            <w:r>
              <w:rPr>
                <w:rFonts w:hint="eastAsia" w:ascii="楷体" w:hAnsi="楷体" w:eastAsia="楷体" w:cs="楷体"/>
                <w:b w:val="0"/>
                <w:bCs w:val="0"/>
                <w:i w:val="0"/>
                <w:iCs w:val="0"/>
                <w:color w:val="000000"/>
                <w:sz w:val="18"/>
                <w:szCs w:val="18"/>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专题片制作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负责制作赛前宣传片、赛后专题片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赛事直播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含今日高邮、视听高邮、网络大V等平台网络直播。</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10.0万</w:t>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新闻发布会</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            </w:t>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3.竞赛服务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方案策划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按照田协要求，设计策划赛事组织方案、医疗救护方案、安全风险防控方案、应急预案、舆情控制方案等，报上级主管部门审批、中国田协备案。</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赛道丈量员劳务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按照田协要求，对赛道进行丈量。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申请中国田径协会对赛事进行B类赛事注册、技术认证、向扬州市体育局、江苏省体育局进行赛事陈述费用。申请中国田径协会对赛事进行B类赛事注册、技术认证、向扬州市体育局、江苏省体育局进行赛事陈述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分段计时点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按照中国田径协会标准，在赛道沿途设置多个固定计时点位，搭设专业的计时设备。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赛道喷淋点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在赛道沿途设置不少于4个降温喷淋点位，搭设专业的喷淋设备。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领物人脸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参赛装备发放现场设置人脸识别系统，防止参赛装备被冒名领取。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计时服务（含选手手环）</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符合中国田径协会规定芯片服务标准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短信服务费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选手报名、赛前提醒、赛后成绩短信推送等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一次性雨衣</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赛前与参赛装备一同发放给参赛运动员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rPr>
              <w:t xml:space="preserve">大、小号码</w:t>
            </w:r>
            <w:r>
              <w:rPr>
                <w:rFonts w:hint="eastAsia" w:ascii="楷体" w:hAnsi="楷体" w:eastAsia="楷体" w:cs="楷体"/>
                <w:b w:val="0"/>
                <w:bCs w:val="0"/>
                <w:i w:val="0"/>
                <w:iCs w:val="0"/>
                <w:color w:val="000000"/>
                <w:sz w:val="18"/>
                <w:szCs w:val="18"/>
                <w:lang w:eastAsia="zh-CN"/>
              </w:rPr>
              <w:t xml:space="preserve">布</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杜邦纸材质，尺寸采用国际田联规定的：高20cm，宽24cm，号码上的标记最大高度不超过5cm，号码数字不低于6cm、不高于10cm、号码下方的标记最大高度为3cm。</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官方手册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秩序册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对讲机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远程卫星对讲机，发放给组委会工作人员使用，如医疗保障部、竞赛部等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赛事证件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工作证、车辆通行证、志愿者证书等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省、市派裁判员服装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裁判费、食宿费、差旅费、服装费等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本地裁判服装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采用速干面料，左胸前印制赛事名称和logo，颜色与参赛服、工作服区分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赛事用水、补给品、海绵、盐丸、能量胶、水果等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协相关赛事要求，赛时运动员补给及工作人员、安保医疗人员及志愿者用水、功能性饮料及补给站补给品（香蕉、面包），完赛包提供面包、香蕉、水、饮料。饮用水、运动饮料不低于500ml/瓶，水和功能性饮料需为国内知名品牌（如怡宝、康师傅、统一等）；面包、香蕉、能量条等必须保证产品安全、新鲜、放心食用。田协规定饮用水比例1:4；饮料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赛事其他物资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赛前装备发放和赛事当天所需物资，签字笔、记录本、马克笔、胶带、裁判旗、喊话器等。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完赛浴巾</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赛后发放给完赛运动员用于擦汗保暖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配速员招募</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官方配速员帽子、手环、氦气球、证书等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官方配速员服装、鞋子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专业马拉松套装专业马拉松套装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完赛奖牌</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快</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纯金属材质，重量70g，尺寸样式以最终设计稿为主。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裁判员会议场地费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赛事报名、成绩发布系统、田协成绩查询</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做好赛事报名系统，运动员成绩发布、证书下载，中国田协成绩查询</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4.赛事服务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接待、差旅、住宿、工作餐等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赛事筹备期间工作人员用餐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盒饭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志愿者和工作人员（赛前领物）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早餐包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志愿者和工作人员（比赛当天早餐）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赛事摄影服务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摄影师人员劳务、差旅；照片直播；摩托车拍摄费用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赛事保险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为参赛运动员、工作人员、志愿者、裁判员及观众购买比赛当天的意外险（含猝死险）、提供组织公众责任险及其他险种。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选手奖金</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半程马拉松组别设置男女前六十名的名次奖，不低于6万元。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赛前热身赛后拉伸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赛前热身教练邀请、肌贴、拉伸，赛后放松及冰敷。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sz w:val="18"/>
                <w:szCs w:val="18"/>
              </w:rPr>
              <w:t xml:space="preserve">知名专业大型赛事主持人（含税金）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聘请专业的马拉松赛事主持人，作为</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本届比赛的起跑仪式主持人和现场解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说</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聘请马拉松资深解说员并提供解说视频，</w:t>
            </w:r>
            <w:r>
              <w:rPr>
                <w:rFonts w:hint="eastAsia" w:ascii="楷体" w:hAnsi="楷体" w:eastAsia="楷体" w:cs="楷体"/>
                <w:b w:val="0"/>
                <w:bCs w:val="0"/>
                <w:i w:val="0"/>
                <w:iCs w:val="0"/>
                <w:color w:val="000000"/>
                <w:sz w:val="18"/>
                <w:szCs w:val="18"/>
                <w:lang w:eastAsia="zh-CN"/>
              </w:rPr>
              <w:t xml:space="preserve">并</w:t>
            </w:r>
            <w:r>
              <w:rPr>
                <w:rFonts w:hint="eastAsia" w:ascii="楷体" w:hAnsi="楷体" w:eastAsia="楷体" w:cs="楷体"/>
                <w:b w:val="0"/>
                <w:bCs w:val="0"/>
                <w:i w:val="0"/>
                <w:iCs w:val="0"/>
                <w:color w:val="000000"/>
                <w:sz w:val="18"/>
                <w:szCs w:val="18"/>
              </w:rPr>
              <w:t xml:space="preserve">须经采购人认可</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4.0万</w:t>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赛事VI视觉设计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结合城市特色，赛事整体主色调设计、服装、指示牌、背景墙、证书、参赛包、宣传口号、完赛包设计、完赛奖牌、道旗广告图片、市内大屏主题图片设计等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和logo，颜色与参赛服、工作服、裁</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判服区分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志愿者背包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志愿者帽子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吸汗空顶帽，颜色与配速员帽子区分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国派技术官员及省派、反兴奋剂、</w:t>
            </w:r>
            <w:r>
              <w:rPr>
                <w:rFonts w:hint="eastAsia" w:ascii="楷体" w:hAnsi="楷体" w:eastAsia="楷体" w:cs="楷体"/>
                <w:b w:val="0"/>
                <w:bCs w:val="0"/>
                <w:i w:val="0"/>
                <w:iCs w:val="0"/>
                <w:color w:val="000000"/>
                <w:sz w:val="18"/>
                <w:szCs w:val="18"/>
                <w:lang w:eastAsia="zh-CN"/>
              </w:rPr>
              <w:t xml:space="preserve">市派、</w:t>
            </w:r>
            <w:r>
              <w:rPr>
                <w:rFonts w:hint="eastAsia" w:ascii="楷体" w:hAnsi="楷体" w:eastAsia="楷体" w:cs="楷体"/>
                <w:b w:val="0"/>
                <w:bCs w:val="0"/>
                <w:i w:val="0"/>
                <w:iCs w:val="0"/>
                <w:color w:val="000000"/>
                <w:sz w:val="18"/>
                <w:szCs w:val="18"/>
              </w:rPr>
              <w:t xml:space="preserve">本地裁判员劳务费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嘉宾运动服装、运动靯、接待费用等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交通保障费用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志愿者接送车、裁判员接送车、运动员收容车、摄影车、裁判车、计时车、雇用司机加油等费用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赛事物流费用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赛事物资运输费用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开幕式表演</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聘请专业的表演团队，进行起跑仪式</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的暖场节目表演，节目形式以最终确</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定为主，节目不少于2个。由组委会</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协调。聘请专业的表演团队，进行起跑仪式的暖场节目表演，节目形式以最终确定为主，节目不少于2个。由组委会协调。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移动厕所</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按B类赛事标准需约120台移动厕所，满足所有跑友需求，并配备保洁人员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场地保洁服务场地保洁服务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通信保障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电信、移动、联通信息增强服务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供电保障供电保障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应急供电保障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赛事伴手礼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约150份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风险评估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第三方公司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5.物料制作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赛前领物区搭建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领物区的物料搭建（赛事宣传展板、领物帐篷、桌椅、道旗、铁马、指示牌、姓名墙等）；领物区保洁及安保；领物区志愿者工作人员餐饮交通</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起终点搭建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舞台、领操台、摄像台、主背景、拱门、A板、音响、地贴、集结立柱、指示牌、道旗、铁马等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w:t>
            </w:r>
            <w:r>
              <w:rPr>
                <w:rFonts w:hint="eastAsia" w:ascii="楷体" w:hAnsi="楷体" w:eastAsia="楷体" w:cs="楷体"/>
                <w:b w:val="0"/>
                <w:bCs w:val="0"/>
                <w:i w:val="0"/>
                <w:iCs w:val="0"/>
                <w:color w:val="000000"/>
                <w:sz w:val="18"/>
                <w:szCs w:val="18"/>
                <w:lang w:eastAsia="zh-CN"/>
              </w:rPr>
              <w:t xml:space="preserve">综合</w:t>
            </w:r>
            <w:r>
              <w:rPr>
                <w:rFonts w:hint="eastAsia" w:ascii="楷体" w:hAnsi="楷体" w:eastAsia="楷体" w:cs="楷体"/>
                <w:b w:val="0"/>
                <w:bCs w:val="0"/>
                <w:i w:val="0"/>
                <w:iCs w:val="0"/>
                <w:color w:val="000000"/>
                <w:sz w:val="18"/>
                <w:szCs w:val="18"/>
              </w:rPr>
              <w:t xml:space="preserve">指挥</w:t>
            </w:r>
            <w:r>
              <w:rPr>
                <w:rFonts w:hint="eastAsia" w:ascii="楷体" w:hAnsi="楷体" w:eastAsia="楷体" w:cs="楷体"/>
                <w:b w:val="0"/>
                <w:bCs w:val="0"/>
                <w:i w:val="0"/>
                <w:iCs w:val="0"/>
                <w:color w:val="000000"/>
                <w:sz w:val="18"/>
                <w:szCs w:val="18"/>
                <w:lang w:eastAsia="zh-CN"/>
              </w:rPr>
              <w:t xml:space="preserve">部</w:t>
            </w:r>
            <w:r>
              <w:rPr>
                <w:rFonts w:hint="eastAsia" w:ascii="楷体" w:hAnsi="楷体" w:eastAsia="楷体" w:cs="楷体"/>
                <w:b w:val="0"/>
                <w:bCs w:val="0"/>
                <w:i w:val="0"/>
                <w:iCs w:val="0"/>
                <w:color w:val="000000"/>
                <w:sz w:val="18"/>
                <w:szCs w:val="18"/>
              </w:rPr>
              <w:t xml:space="preserve">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布置大屏电视，监控画面，桌椅布置，接入道路监控、沿途医疗补给点信号。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赛道补给点、医疗点搭建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在赛道沿途设置不少于8个医疗点，起终点搭建2组医疗点，含桌、椅、桌布、帐篷、垃圾池、人工运输等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471"/>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赛事包发放现场搭建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参赛装备发放现场各功能区篷房搭建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赛道指示牌制作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赛道公里牌、补给站指示牌、转向牌、小公里牌，人工、运输等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75</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车号牌手举牌等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志愿者集合手举牌、赛道加油标语、车辆编号等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76</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运动员存包区、休息区、拉伸区搭建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77</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奖杯制作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78</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支票板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79</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荣誉牌（赞助商）</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赛道沿线氛围布置（道旗）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赛道沿线互动展演</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u w:val="none"/>
              </w:rPr>
            </w:pPr>
            <w:r>
              <w:rPr>
                <w:rFonts w:hint="eastAsia" w:ascii="楷体" w:hAnsi="楷体" w:eastAsia="楷体" w:cs="楷体"/>
                <w:b w:val="0"/>
                <w:bCs w:val="0"/>
                <w:i w:val="0"/>
                <w:iCs w:val="0"/>
                <w:color w:val="000000"/>
                <w:sz w:val="18"/>
                <w:szCs w:val="18"/>
                <w:lang w:val="en-US" w:eastAsia="zh-CN"/>
              </w:rPr>
              <w:t xml:space="preserve">赛道沿线5个以上点位的民俗文化、歌舞表演。表演内容和形式需经组委会确认。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6.周边产品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周边产品开发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7.运营成本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83</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赛事服务费用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赛事执行服务费（含领操员、拉伸教练、礼仪人员、员工工资、差旅费、接待费、各项培训费用等）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84</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综合效益评估报告</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有资质的第三方评估机构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auto" w:sz="4"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85</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开票税点</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包括项目开票产生的所有税点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default" w:ascii="楷体" w:hAnsi="楷体" w:eastAsia="楷体" w:cs="楷体"/>
                <w:b w:val="0"/>
                <w:bCs w:val="0"/>
                <w:i w:val="0"/>
                <w:iCs w:val="0"/>
                <w:color w:val="000000"/>
                <w:sz w:val="18"/>
                <w:szCs w:val="18"/>
                <w:lang w:val="en-US" w:eastAsia="zh-CN"/>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bl>
    <w:p>
      <w:pPr>
        <w:ind w:right="0"/>
        <w:jc w:val="both"/>
        <w:keepLines w:val="0"/>
        <w:keepNext w:val="0"/>
        <w:pageBreakBefore w:val="0"/>
        <w:spacing w:before="220" w:after="312" w:line="240" w:lineRule="auto"/>
        <w:widowControl/>
        <w:rPr>
          <w:rFonts w:hint="eastAsia" w:ascii="楷体" w:hAnsi="楷体" w:eastAsia="楷体" w:cs="楷体"/>
          <w:b/>
          <w:bCs/>
          <w:color w:val="000000"/>
          <w:sz w:val="22"/>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说明：（</w:t>
      </w:r>
      <w:r>
        <w:rPr>
          <w:rFonts w:hint="eastAsia" w:ascii="楷体" w:hAnsi="楷体" w:eastAsia="楷体" w:cs="楷体"/>
          <w:b/>
          <w:bCs/>
          <w:color w:val="000000"/>
          <w:sz w:val="22"/>
          <w:lang w:val="en-US" w:eastAsia="zh-CN"/>
        </w:rPr>
        <w:t xml:space="preserve">1</w:t>
      </w:r>
      <w:r>
        <w:rPr>
          <w:rFonts w:hint="eastAsia" w:ascii="楷体" w:hAnsi="楷体" w:eastAsia="楷体" w:cs="楷体"/>
          <w:b/>
          <w:bCs/>
          <w:color w:val="000000"/>
          <w:sz w:val="22"/>
          <w:lang w:eastAsia="zh-CN"/>
        </w:rPr>
        <w:t xml:space="preserve">）分项报价表所列项目包括但不限于以上内容，行数不够投标单位可自行添加；</w:t>
      </w:r>
      <w:r/>
    </w:p>
    <w:p>
      <w:pPr>
        <w:ind w:right="0" w:firstLine="663"/>
        <w:jc w:val="both"/>
        <w:keepLines w:val="0"/>
        <w:keepNext w:val="0"/>
        <w:pageBreakBefore w:val="0"/>
        <w:spacing w:before="220" w:after="312" w:line="240" w:lineRule="auto"/>
        <w:widowControl/>
        <w:rPr>
          <w:rFonts w:ascii="宋体" w:hAnsi="宋体"/>
          <w:color w:val="ff0000"/>
          <w:sz w:val="24"/>
          <w:szCs w:val="24"/>
          <w:highlight w:val="yellow"/>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w:t>
      </w:r>
      <w:r>
        <w:rPr>
          <w:rFonts w:hint="eastAsia" w:ascii="楷体" w:hAnsi="楷体" w:eastAsia="楷体" w:cs="楷体"/>
          <w:b/>
          <w:bCs/>
          <w:color w:val="000000"/>
          <w:sz w:val="22"/>
          <w:lang w:val="en-US" w:eastAsia="zh-CN"/>
        </w:rPr>
        <w:t xml:space="preserve">2</w:t>
      </w:r>
      <w:r>
        <w:rPr>
          <w:rFonts w:hint="eastAsia" w:ascii="楷体" w:hAnsi="楷体" w:eastAsia="楷体" w:cs="楷体"/>
          <w:b/>
          <w:bCs/>
          <w:color w:val="000000"/>
          <w:sz w:val="22"/>
          <w:lang w:eastAsia="zh-CN"/>
        </w:rPr>
        <w:t xml:space="preserve">） </w:t>
      </w:r>
      <w:r>
        <w:rPr>
          <w:rFonts w:hint="eastAsia" w:ascii="楷体" w:hAnsi="楷体" w:eastAsia="楷体" w:cs="楷体"/>
          <w:b/>
          <w:bCs/>
          <w:color w:val="000000"/>
          <w:sz w:val="22"/>
          <w:lang w:val="en-US" w:eastAsia="zh-CN"/>
        </w:rPr>
        <w:t xml:space="preserve">组委会在项目实施过程中，有权调整分项目具体实施要求，按实际发生的工作量予以结算。</w:t>
      </w:r>
      <w:r>
        <w:rPr>
          <w:rFonts w:hint="eastAsia" w:ascii="楷体" w:hAnsi="楷体" w:eastAsia="楷体" w:cs="楷体"/>
          <w:b/>
          <w:bCs/>
          <w:color w:val="000000"/>
          <w:sz w:val="22"/>
          <w:lang w:eastAsia="zh-CN"/>
        </w:rPr>
        <w:t xml:space="preserve"> </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附件2 技术要求响应及偏离表（采购包号：**）</w:t>
      </w:r>
      <w:r/>
    </w:p>
    <w:tbl>
      <w:tblPr>
        <w:tblStyle w:val="93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1"/>
        <w:gridCol w:w="297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rPr>
        <w:t xml:space="preserve">谈判</w:t>
      </w:r>
      <w:r>
        <w:rPr>
          <w:rFonts w:hint="eastAsia" w:ascii="宋体" w:hAnsi="宋体"/>
          <w:sz w:val="24"/>
          <w:szCs w:val="24"/>
        </w:rPr>
        <w:t xml:space="preserve">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附件3 商务要求响应及偏离表（采购包号：**）</w:t>
      </w:r>
      <w:r/>
    </w:p>
    <w:tbl>
      <w:tblPr>
        <w:tblStyle w:val="93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624"/>
        <w:gridCol w:w="2695"/>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62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69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rPr>
        <w:t xml:space="preserve">谈判</w:t>
      </w:r>
      <w:r>
        <w:rPr>
          <w:rFonts w:hint="eastAsia" w:ascii="宋体" w:hAnsi="宋体"/>
          <w:sz w:val="24"/>
          <w:szCs w:val="24"/>
        </w:rPr>
        <w:t xml:space="preserve">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w:t>
      </w:r>
      <w:r>
        <w:rPr>
          <w:rFonts w:hint="eastAsia" w:ascii="宋体" w:hAnsi="宋体"/>
          <w:b/>
          <w:color w:val="000000"/>
          <w:sz w:val="24"/>
          <w:szCs w:val="21"/>
          <w:highlight w:val="none"/>
        </w:rPr>
        <w:t xml:space="preserve">  </w:t>
      </w:r>
      <w:r>
        <w:rPr>
          <w:rFonts w:hint="eastAsia" w:ascii="宋体" w:hAnsi="宋体"/>
          <w:b/>
          <w:bCs/>
          <w:sz w:val="24"/>
          <w:szCs w:val="21"/>
          <w:highlight w:val="none"/>
        </w:rPr>
        <w:t xml:space="preserve">谈判</w:t>
      </w:r>
      <w:r>
        <w:rPr>
          <w:rFonts w:hint="eastAsia" w:ascii="宋体" w:hAnsi="宋体"/>
          <w:b/>
          <w:color w:val="000000"/>
          <w:sz w:val="24"/>
          <w:szCs w:val="21"/>
          <w:highlight w:val="none"/>
        </w:rPr>
        <w:t xml:space="preserve">响应函</w:t>
      </w:r>
      <w:r/>
    </w:p>
    <w:p>
      <w:pPr>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扬州市公共资源交易中心高邮分中心</w:t>
      </w:r>
      <w:r>
        <w:rPr>
          <w:rFonts w:hint="eastAsia" w:ascii="宋体" w:hAnsi="宋体"/>
          <w:color w:val="000000"/>
          <w:sz w:val="24"/>
          <w:szCs w:val="21"/>
          <w:highlight w:val="none"/>
        </w:rPr>
        <w:t xml:space="preserve">：</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文件，正式授权下述签字人_____(姓名)代表我方_______（供应商的名称），全权处理本次项目</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的有关事宜。</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1.按</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文件规定的各项要求，向买方提供所需货物（包含与货物相关的服务）。</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.我们已详细审核全部</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文件及其有效补充文件，我们知道必须放弃提出含糊不清或误解问题的权利。</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.我们同意从规定的开标日期起遵循本</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文件，并在规定的</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有效期期满之前均具有约束力。</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.同意向贵方提供贵方可能另外要求的与</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有关的任何证据或资料，并保证我方已提供和将要提供的文件是真实的、准确的。</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.一旦我方成交,我方将根据</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文件的规定，严格履行合同的责任和义务,并保证在</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文件规定的时间完成项目，交付买方验收、使用。</w:t>
      </w:r>
      <w:r/>
    </w:p>
    <w:p>
      <w:pPr>
        <w:ind w:left="425"/>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6</w:t>
      </w:r>
      <w:r>
        <w:rPr>
          <w:rFonts w:hint="eastAsia" w:ascii="宋体" w:hAnsi="宋体"/>
          <w:color w:val="000000"/>
          <w:sz w:val="24"/>
          <w:szCs w:val="21"/>
          <w:highlight w:val="none"/>
        </w:rPr>
        <w:t xml:space="preserve">.与本</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有关的正式通讯地址为：</w:t>
      </w:r>
      <w:r/>
    </w:p>
    <w:p>
      <w:pPr>
        <w:ind w:left="420"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日        期：______年____月____日</w:t>
      </w:r>
      <w:r/>
    </w:p>
    <w:p>
      <w:pPr>
        <w:rPr>
          <w:rFonts w:ascii="宋体" w:hAnsi="宋体"/>
          <w:b/>
          <w:color w:val="000000"/>
          <w:sz w:val="24"/>
        </w:rPr>
      </w:pPr>
      <w:r>
        <w:rPr>
          <w:rFonts w:ascii="宋体" w:hAnsi="宋体"/>
          <w:b/>
          <w:color w:val="000000"/>
          <w:sz w:val="24"/>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93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77"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10</w:t>
      </w:r>
      <w:r>
        <w:rPr>
          <w:rFonts w:hint="eastAsia" w:ascii="宋体" w:hAnsi="宋体"/>
          <w:b/>
          <w:color w:val="000000"/>
          <w:sz w:val="24"/>
          <w:szCs w:val="21"/>
        </w:rPr>
        <w:t xml:space="preserve"> 中小企业声明函（服务类项目）（采购包号：**）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扬州市公共资源交易中心高邮分中心</w:t>
      </w:r>
      <w:r>
        <w:rPr>
          <w:rFonts w:hint="eastAsia" w:ascii="宋体" w:hAnsi="宋体"/>
          <w:sz w:val="24"/>
          <w:szCs w:val="24"/>
        </w:rPr>
        <w:t xml:space="preserve">组织的</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的采购活动，服务全部由符合政策的中小企业承接。相关企业（含联合体中的中小企业、签订采购包意向协议的中小企业）的具体情况如下：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（供应商填写谈判文件中明确的所属行业）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p>
    <w:p>
      <w:pPr>
        <w:spacing w:line="400" w:lineRule="exact"/>
        <w:rPr>
          <w:rFonts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jc w:val="left"/>
        <w:spacing w:before="300" w:after="452" w:line="360" w:lineRule="auto"/>
        <w:widowControl/>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3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keepLines/>
        <w:keepNext/>
        <w:spacing w:before="260" w:after="260" w:line="416" w:lineRule="auto"/>
        <w:rPr>
          <w:rFonts w:ascii="宋体" w:hAnsi="宋体"/>
          <w:b/>
          <w:color w:val="000000"/>
          <w:sz w:val="24"/>
          <w:szCs w:val="21"/>
        </w:rPr>
        <w:outlineLvl w:val="1"/>
      </w:pPr>
      <w:r>
        <w:rPr>
          <w:rFonts w:hint="eastAsia" w:ascii="黑体" w:hAnsi="黑体" w:eastAsia="黑体"/>
          <w:b/>
          <w:sz w:val="32"/>
          <w:szCs w:val="32"/>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残疾人福利性单位声明函（服务类项目）（采购包号：**）</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color w:val="000000"/>
          <w:sz w:val="24"/>
          <w:szCs w:val="21"/>
        </w:rPr>
        <w:t xml:space="preserve">_____</w:t>
      </w:r>
      <w:r>
        <w:rPr>
          <w:rFonts w:hint="eastAsia" w:ascii="宋体" w:hAnsi="宋体"/>
          <w:sz w:val="24"/>
          <w:szCs w:val="21"/>
        </w:rPr>
        <w:t xml:space="preserve">项目（采购包号：**）采购活动由本单位提供服务。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12</w:t>
      </w:r>
      <w:r>
        <w:rPr>
          <w:rFonts w:hint="eastAsia" w:ascii="宋体" w:hAnsi="宋体"/>
          <w:b/>
          <w:color w:val="000000"/>
          <w:sz w:val="24"/>
          <w:szCs w:val="21"/>
        </w:rPr>
        <w:t xml:space="preserve"> 联合体协议（参考格式）（采购包号：**）</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hint="eastAsia" w:ascii="宋体" w:hAnsi="宋体"/>
          <w:sz w:val="24"/>
          <w:szCs w:val="21"/>
        </w:rPr>
        <w:t xml:space="preserve">1、我们</w:t>
      </w:r>
      <w:r>
        <w:rPr>
          <w:rFonts w:hint="eastAsia" w:ascii="宋体" w:hAnsi="宋体"/>
          <w:sz w:val="24"/>
          <w:szCs w:val="21"/>
          <w:u w:val="single"/>
        </w:rPr>
        <w:t xml:space="preserve"> （供应商1），（供应商2） ，……</w:t>
      </w:r>
      <w:r>
        <w:rPr>
          <w:rFonts w:hint="eastAsia" w:ascii="宋体" w:hAnsi="宋体"/>
          <w:sz w:val="24"/>
          <w:szCs w:val="21"/>
        </w:rPr>
        <w:t xml:space="preserve">自愿组成联合体，参加</w:t>
      </w:r>
      <w:r>
        <w:rPr>
          <w:rFonts w:hint="eastAsia" w:ascii="宋体" w:hAnsi="宋体"/>
          <w:sz w:val="24"/>
          <w:szCs w:val="21"/>
          <w:lang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hint="eastAsia" w:ascii="宋体" w:hAnsi="宋体"/>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rPr>
      </w:pPr>
      <w:r>
        <w:rPr>
          <w:rFonts w:hint="eastAsia" w:ascii="宋体" w:hAnsi="宋体"/>
          <w:sz w:val="24"/>
          <w:szCs w:val="21"/>
        </w:rPr>
        <w:t xml:space="preserve">3、其中</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hint="eastAsia" w:ascii="宋体" w:hAnsi="宋体"/>
          <w:sz w:val="24"/>
          <w:szCs w:val="21"/>
          <w:u w:val="single"/>
        </w:rPr>
        <w:t xml:space="preserve">  </w:t>
      </w:r>
      <w:r>
        <w:rPr>
          <w:rFonts w:hint="eastAsia" w:ascii="宋体" w:hAnsi="宋体"/>
          <w:sz w:val="24"/>
          <w:szCs w:val="21"/>
        </w:rPr>
        <w:t xml:space="preserve"> %。</w:t>
      </w:r>
      <w:r/>
    </w:p>
    <w:p>
      <w:pPr>
        <w:ind w:firstLine="645"/>
        <w:spacing w:line="0" w:lineRule="atLeast"/>
        <w:rPr>
          <w:rFonts w:ascii="宋体" w:hAnsi="宋体"/>
          <w:sz w:val="24"/>
          <w:szCs w:val="21"/>
        </w:rPr>
      </w:pPr>
      <w:r>
        <w:rPr>
          <w:rFonts w:ascii="宋体" w:hAnsi="宋体"/>
          <w:sz w:val="24"/>
          <w:szCs w:val="21"/>
        </w:rPr>
      </w:r>
      <w:r/>
    </w:p>
    <w:p>
      <w:pPr>
        <w:ind w:firstLine="645"/>
        <w:spacing w:line="0" w:lineRule="atLeast"/>
        <w:rPr>
          <w:rFonts w:ascii="宋体" w:hAnsi="宋体"/>
          <w:sz w:val="24"/>
          <w:szCs w:val="21"/>
        </w:rPr>
      </w:pPr>
      <w:r>
        <w:rPr>
          <w:rFonts w:hint="eastAsia" w:ascii="宋体" w:hAnsi="宋体"/>
          <w:sz w:val="24"/>
          <w:szCs w:val="21"/>
        </w:rPr>
        <w:t xml:space="preserve">                                          </w:t>
      </w:r>
      <w:r/>
    </w:p>
    <w:p>
      <w:pPr>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     </w:t>
      </w:r>
      <w:r/>
    </w:p>
    <w:p>
      <w:pPr>
        <w:ind w:firstLine="645"/>
        <w:spacing w:line="0" w:lineRule="atLeast"/>
        <w:rPr>
          <w:rFonts w:ascii="宋体" w:hAnsi="宋体"/>
          <w:sz w:val="24"/>
          <w:szCs w:val="21"/>
        </w:rPr>
      </w:pPr>
      <w:r>
        <w:rPr>
          <w:rFonts w:hint="eastAsia" w:ascii="宋体" w:hAnsi="宋体"/>
          <w:sz w:val="24"/>
          <w:szCs w:val="21"/>
        </w:rPr>
        <w:t xml:space="preserve">                                   日   期：</w:t>
      </w:r>
      <w:r/>
    </w:p>
    <w:p>
      <w:pPr>
        <w:ind w:firstLine="645"/>
        <w:spacing w:line="0" w:lineRule="atLeast"/>
        <w:rPr>
          <w:rFonts w:ascii="宋体" w:hAnsi="宋体"/>
          <w:sz w:val="24"/>
          <w:szCs w:val="21"/>
        </w:rPr>
      </w:pPr>
      <w:r>
        <w:rPr>
          <w:rFonts w:hint="eastAsia" w:ascii="宋体" w:hAnsi="宋体"/>
          <w:sz w:val="24"/>
          <w:szCs w:val="21"/>
        </w:rPr>
        <w:t xml:space="preserve">备注：本</w:t>
      </w:r>
      <w:r>
        <w:rPr>
          <w:rFonts w:hint="eastAsia" w:ascii="宋体" w:hAnsi="宋体"/>
          <w:sz w:val="24"/>
          <w:szCs w:val="21"/>
          <w:highlight w:val="none"/>
        </w:rPr>
        <w:t xml:space="preserve">谈判文</w:t>
      </w:r>
      <w:r>
        <w:rPr>
          <w:rFonts w:hint="eastAsia" w:ascii="宋体" w:hAnsi="宋体"/>
          <w:sz w:val="24"/>
          <w:szCs w:val="21"/>
        </w:rPr>
        <w:t xml:space="preserve">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13</w:t>
      </w:r>
      <w:r>
        <w:rPr>
          <w:rFonts w:hint="eastAsia" w:ascii="宋体" w:hAnsi="宋体"/>
          <w:b/>
          <w:color w:val="000000"/>
          <w:sz w:val="24"/>
          <w:szCs w:val="21"/>
        </w:rPr>
        <w:t xml:space="preserve">实质性要求响应及偏离表（采购包号：**）</w:t>
      </w:r>
      <w:r/>
    </w:p>
    <w:tbl>
      <w:tblPr>
        <w:tblStyle w:val="93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2362"/>
        <w:gridCol w:w="2481"/>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236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highlight w:val="none"/>
        </w:rPr>
      </w:pPr>
      <w:r>
        <w:rPr>
          <w:rFonts w:hint="eastAsia" w:ascii="宋体" w:hAnsi="宋体"/>
          <w:sz w:val="24"/>
          <w:szCs w:val="24"/>
        </w:rPr>
        <w:t xml:space="preserve">2.如</w:t>
      </w:r>
      <w:r>
        <w:rPr>
          <w:rFonts w:hint="eastAsia" w:ascii="宋体" w:hAnsi="宋体"/>
          <w:sz w:val="24"/>
          <w:szCs w:val="24"/>
          <w:highlight w:val="none"/>
        </w:rPr>
        <w:t xml:space="preserve">果</w:t>
      </w:r>
      <w:r>
        <w:rPr>
          <w:rFonts w:hint="eastAsia" w:ascii="宋体" w:hAnsi="宋体"/>
          <w:sz w:val="24"/>
          <w:szCs w:val="21"/>
          <w:highlight w:val="none"/>
        </w:rPr>
        <w:t xml:space="preserve">谈判</w:t>
      </w:r>
      <w:r>
        <w:rPr>
          <w:rFonts w:hint="eastAsia" w:ascii="宋体" w:hAnsi="宋体"/>
          <w:sz w:val="24"/>
          <w:szCs w:val="24"/>
          <w:highlight w:val="none"/>
        </w:rPr>
        <w:t xml:space="preserve">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highlight w:val="none"/>
        </w:rPr>
        <w:t xml:space="preserve">3.供应商未对实质性要求逐条作出明确响应的，或未按</w:t>
      </w:r>
      <w:r>
        <w:rPr>
          <w:rFonts w:hint="eastAsia" w:ascii="宋体" w:hAnsi="宋体"/>
          <w:sz w:val="24"/>
          <w:szCs w:val="21"/>
          <w:highlight w:val="none"/>
        </w:rPr>
        <w:t xml:space="preserve">谈判</w:t>
      </w:r>
      <w:r>
        <w:rPr>
          <w:rFonts w:hint="eastAsia" w:ascii="宋体" w:hAnsi="宋体"/>
          <w:sz w:val="24"/>
          <w:szCs w:val="24"/>
          <w:highlight w:val="none"/>
        </w:rPr>
        <w:t xml:space="preserve">文件</w:t>
      </w:r>
      <w:r>
        <w:rPr>
          <w:rFonts w:hint="eastAsia" w:ascii="宋体" w:hAnsi="宋体"/>
          <w:sz w:val="24"/>
          <w:szCs w:val="24"/>
        </w:rPr>
        <w:t xml:space="preserve">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bookmarkEnd w:id="177"/>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rPr>
                              <w:rFonts w:hint="eastAsia" w:eastAsia="宋体"/>
                              <w:lang w:val="en-US" w:eastAsia="zh-CN"/>
                            </w:rPr>
                          </w:pPr>
                          <w:r>
                            <w:rPr>
                              <w:rFonts w:hint="eastAsia"/>
                              <w:lang w:val="en-US" w:eastAsia="zh-CN"/>
                            </w:rPr>
                            <w:t xml:space="preserve">1</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rPr>
                        <w:rFonts w:hint="eastAsia" w:eastAsia="宋体"/>
                        <w:lang w:val="en-US" w:eastAsia="zh-CN"/>
                      </w:rPr>
                    </w:pPr>
                    <w:r>
                      <w:rPr>
                        <w:rFonts w:hint="eastAsia"/>
                        <w:lang w:val="en-US" w:eastAsia="zh-CN"/>
                      </w:rPr>
                      <w:t xml:space="preserve">1</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0058" cy="205643"/>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290058" cy="20564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2.8pt;height:16.2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2475" cy="139526"/>
              <wp:effectExtent l="3175" t="3175" r="3175" b="3175"/>
              <wp:wrapNone/>
              <wp:docPr id="4" name="文本框 2"/>
              <wp:cNvGraphicFramePr/>
              <a:graphic xmlns:a="http://schemas.openxmlformats.org/drawingml/2006/main">
                <a:graphicData uri="http://schemas.microsoft.com/office/word/2010/wordprocessingShape">
                  <wps:wsp>
                    <wps:cNvPr id="0" name=""/>
                    <wps:cNvSpPr txBox="1"/>
                    <wps:spPr bwMode="auto">
                      <a:xfrm flipH="0" flipV="0">
                        <a:off x="0" y="0"/>
                        <a:ext cx="25247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jc w:val="center"/>
                          </w:pPr>
                          <w:r>
                            <w:fldChar w:fldCharType="begin"/>
                          </w:r>
                          <w:r>
                            <w:instrText xml:space="preserve">PAGE   \* MERGEFORMAT</w:instrText>
                          </w:r>
                          <w:r>
                            <w:fldChar w:fldCharType="separate"/>
                          </w:r>
                          <w:r>
                            <w:rPr>
                              <w:lang w:val="zh-CN"/>
                            </w:rP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9.9pt;height:11.0pt;mso-wrap-distance-left:9.0pt;mso-wrap-distance-top:0.0pt;mso-wrap-distance-right:9.0pt;mso-wrap-distance-bottom:0.0pt;v-text-anchor:top;visibility:visible;" filled="f" stroked="f" strokeweight="0.50pt">
              <v:textbox inset="0,0,0,0">
                <w:txbxContent>
                  <w:p>
                    <w:pPr>
                      <w:pStyle w:val="954"/>
                      <w:jc w:val="center"/>
                    </w:pPr>
                    <w:r>
                      <w:fldChar w:fldCharType="begin"/>
                    </w:r>
                    <w:r>
                      <w:instrText xml:space="preserve">PAGE   \* MERGEFORMAT</w:instrText>
                    </w:r>
                    <w:r>
                      <w:fldChar w:fldCharType="separate"/>
                    </w:r>
                    <w:r>
                      <w:rPr>
                        <w:lang w:val="zh-CN"/>
                      </w:rPr>
                      <w:t xml:space="preserve">37</w:t>
                    </w:r>
                    <w:r>
                      <w:fldChar w:fldCharType="end"/>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6"/>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932"/>
      <w:isLgl w:val="false"/>
      <w:suff w:val="nothing"/>
      <w:lvlText w:val=""/>
      <w:lvlJc w:val="left"/>
      <w:pPr>
        <w:ind w:left="0" w:firstLine="0"/>
      </w:pPr>
    </w:lvl>
    <w:lvl w:ilvl="6">
      <w:start w:val="1"/>
      <w:numFmt w:val="none"/>
      <w:pStyle w:val="933"/>
      <w:isLgl w:val="false"/>
      <w:suff w:val="nothing"/>
      <w:lvlText w:val=""/>
      <w:lvlJc w:val="left"/>
      <w:pPr>
        <w:ind w:left="0" w:firstLine="0"/>
      </w:pPr>
    </w:lvl>
    <w:lvl w:ilvl="7">
      <w:start w:val="1"/>
      <w:numFmt w:val="none"/>
      <w:pStyle w:val="934"/>
      <w:isLgl w:val="false"/>
      <w:suff w:val="nothing"/>
      <w:lvlText w:val=""/>
      <w:lvlJc w:val="left"/>
      <w:pPr>
        <w:ind w:left="0" w:firstLine="0"/>
      </w:pPr>
    </w:lvl>
    <w:lvl w:ilvl="8">
      <w:start w:val="1"/>
      <w:numFmt w:val="none"/>
      <w:pStyle w:val="935"/>
      <w:isLgl w:val="false"/>
      <w:suff w:val="nothing"/>
      <w:lvlText w:val=""/>
      <w:lvlJc w:val="left"/>
      <w:pPr>
        <w:ind w:left="0" w:firstLine="0"/>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6"/>
    <w:link w:val="927"/>
    <w:uiPriority w:val="9"/>
    <w:rPr>
      <w:rFonts w:ascii="Arial" w:hAnsi="Arial" w:eastAsia="Arial" w:cs="Arial"/>
      <w:sz w:val="40"/>
      <w:szCs w:val="40"/>
    </w:rPr>
  </w:style>
  <w:style w:type="character" w:styleId="774">
    <w:name w:val="Heading 2 Char"/>
    <w:basedOn w:val="936"/>
    <w:link w:val="928"/>
    <w:uiPriority w:val="9"/>
    <w:rPr>
      <w:rFonts w:ascii="Arial" w:hAnsi="Arial" w:eastAsia="Arial" w:cs="Arial"/>
      <w:sz w:val="34"/>
    </w:rPr>
  </w:style>
  <w:style w:type="character" w:styleId="775">
    <w:name w:val="Heading 3 Char"/>
    <w:basedOn w:val="936"/>
    <w:link w:val="929"/>
    <w:uiPriority w:val="9"/>
    <w:rPr>
      <w:rFonts w:ascii="Arial" w:hAnsi="Arial" w:eastAsia="Arial" w:cs="Arial"/>
      <w:sz w:val="30"/>
      <w:szCs w:val="30"/>
    </w:rPr>
  </w:style>
  <w:style w:type="character" w:styleId="776">
    <w:name w:val="Heading 4 Char"/>
    <w:basedOn w:val="936"/>
    <w:link w:val="930"/>
    <w:uiPriority w:val="9"/>
    <w:rPr>
      <w:rFonts w:ascii="Arial" w:hAnsi="Arial" w:eastAsia="Arial" w:cs="Arial"/>
      <w:b/>
      <w:bCs/>
      <w:sz w:val="26"/>
      <w:szCs w:val="26"/>
    </w:rPr>
  </w:style>
  <w:style w:type="character" w:styleId="777">
    <w:name w:val="Heading 5 Char"/>
    <w:basedOn w:val="936"/>
    <w:link w:val="931"/>
    <w:uiPriority w:val="9"/>
    <w:rPr>
      <w:rFonts w:ascii="Arial" w:hAnsi="Arial" w:eastAsia="Arial" w:cs="Arial"/>
      <w:b/>
      <w:bCs/>
      <w:sz w:val="24"/>
      <w:szCs w:val="24"/>
    </w:rPr>
  </w:style>
  <w:style w:type="character" w:styleId="778">
    <w:name w:val="Heading 6 Char"/>
    <w:basedOn w:val="936"/>
    <w:link w:val="932"/>
    <w:uiPriority w:val="9"/>
    <w:rPr>
      <w:rFonts w:ascii="Arial" w:hAnsi="Arial" w:eastAsia="Arial" w:cs="Arial"/>
      <w:b/>
      <w:bCs/>
      <w:sz w:val="22"/>
      <w:szCs w:val="22"/>
    </w:rPr>
  </w:style>
  <w:style w:type="character" w:styleId="779">
    <w:name w:val="Heading 7 Char"/>
    <w:basedOn w:val="936"/>
    <w:link w:val="933"/>
    <w:uiPriority w:val="9"/>
    <w:rPr>
      <w:rFonts w:ascii="Arial" w:hAnsi="Arial" w:eastAsia="Arial" w:cs="Arial"/>
      <w:b/>
      <w:bCs/>
      <w:i/>
      <w:iCs/>
      <w:sz w:val="22"/>
      <w:szCs w:val="22"/>
    </w:rPr>
  </w:style>
  <w:style w:type="character" w:styleId="780">
    <w:name w:val="Heading 8 Char"/>
    <w:basedOn w:val="936"/>
    <w:link w:val="934"/>
    <w:uiPriority w:val="9"/>
    <w:rPr>
      <w:rFonts w:ascii="Arial" w:hAnsi="Arial" w:eastAsia="Arial" w:cs="Arial"/>
      <w:i/>
      <w:iCs/>
      <w:sz w:val="22"/>
      <w:szCs w:val="22"/>
    </w:rPr>
  </w:style>
  <w:style w:type="character" w:styleId="781">
    <w:name w:val="Heading 9 Char"/>
    <w:basedOn w:val="936"/>
    <w:link w:val="935"/>
    <w:uiPriority w:val="9"/>
    <w:rPr>
      <w:rFonts w:ascii="Arial" w:hAnsi="Arial" w:eastAsia="Arial" w:cs="Arial"/>
      <w:i/>
      <w:iCs/>
      <w:sz w:val="21"/>
      <w:szCs w:val="21"/>
    </w:rPr>
  </w:style>
  <w:style w:type="paragraph" w:styleId="782">
    <w:name w:val="Title"/>
    <w:basedOn w:val="926"/>
    <w:next w:val="926"/>
    <w:link w:val="783"/>
    <w:uiPriority w:val="10"/>
    <w:qFormat/>
    <w:pPr>
      <w:contextualSpacing/>
      <w:spacing w:before="300" w:after="200"/>
    </w:pPr>
    <w:rPr>
      <w:sz w:val="48"/>
      <w:szCs w:val="48"/>
    </w:rPr>
  </w:style>
  <w:style w:type="character" w:styleId="783">
    <w:name w:val="Title Char"/>
    <w:basedOn w:val="936"/>
    <w:link w:val="782"/>
    <w:uiPriority w:val="10"/>
    <w:rPr>
      <w:sz w:val="48"/>
      <w:szCs w:val="48"/>
    </w:rPr>
  </w:style>
  <w:style w:type="paragraph" w:styleId="784">
    <w:name w:val="Subtitle"/>
    <w:basedOn w:val="926"/>
    <w:next w:val="926"/>
    <w:link w:val="785"/>
    <w:uiPriority w:val="11"/>
    <w:qFormat/>
    <w:pPr>
      <w:spacing w:before="200" w:after="200"/>
    </w:pPr>
    <w:rPr>
      <w:sz w:val="24"/>
      <w:szCs w:val="24"/>
    </w:rPr>
  </w:style>
  <w:style w:type="character" w:styleId="785">
    <w:name w:val="Subtitle Char"/>
    <w:basedOn w:val="936"/>
    <w:link w:val="784"/>
    <w:uiPriority w:val="11"/>
    <w:rPr>
      <w:sz w:val="24"/>
      <w:szCs w:val="24"/>
    </w:rPr>
  </w:style>
  <w:style w:type="paragraph" w:styleId="786">
    <w:name w:val="Quote"/>
    <w:basedOn w:val="926"/>
    <w:next w:val="926"/>
    <w:link w:val="787"/>
    <w:uiPriority w:val="29"/>
    <w:qFormat/>
    <w:pPr>
      <w:ind w:left="720" w:right="720"/>
    </w:pPr>
    <w:rPr>
      <w:i/>
    </w:rPr>
  </w:style>
  <w:style w:type="character" w:styleId="787">
    <w:name w:val="Quote Char"/>
    <w:link w:val="786"/>
    <w:uiPriority w:val="29"/>
    <w:rPr>
      <w:i/>
    </w:rPr>
  </w:style>
  <w:style w:type="paragraph" w:styleId="788">
    <w:name w:val="Intense Quote"/>
    <w:basedOn w:val="926"/>
    <w:next w:val="92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936"/>
    <w:link w:val="955"/>
    <w:uiPriority w:val="99"/>
  </w:style>
  <w:style w:type="character" w:styleId="791">
    <w:name w:val="Footer Char"/>
    <w:basedOn w:val="936"/>
    <w:link w:val="954"/>
    <w:uiPriority w:val="99"/>
  </w:style>
  <w:style w:type="paragraph" w:styleId="792">
    <w:name w:val="Caption"/>
    <w:basedOn w:val="926"/>
    <w:next w:val="926"/>
    <w:uiPriority w:val="35"/>
    <w:semiHidden/>
    <w:unhideWhenUsed/>
    <w:qFormat/>
    <w:pPr>
      <w:spacing w:line="276" w:lineRule="auto"/>
    </w:pPr>
    <w:rPr>
      <w:b/>
      <w:bCs/>
      <w:color w:val="4f81bd" w:themeColor="accent1"/>
      <w:sz w:val="18"/>
      <w:szCs w:val="18"/>
    </w:rPr>
  </w:style>
  <w:style w:type="character" w:styleId="793">
    <w:name w:val="Caption Char"/>
    <w:basedOn w:val="792"/>
    <w:link w:val="954"/>
    <w:uiPriority w:val="99"/>
  </w:style>
  <w:style w:type="table" w:styleId="794">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0">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1">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2">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3">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4">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5">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2">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5">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6">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7">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8">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9">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0">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2">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3">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4">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5">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6">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7">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6">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7">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8">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9">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0">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1">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3">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4">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5">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6">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7">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8">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0">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4">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7">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8">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9">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0">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1">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2">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9">
    <w:name w:val="footnote text"/>
    <w:basedOn w:val="92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6"/>
    <w:uiPriority w:val="99"/>
    <w:unhideWhenUsed/>
    <w:rPr>
      <w:vertAlign w:val="superscript"/>
    </w:rPr>
  </w:style>
  <w:style w:type="paragraph" w:styleId="922">
    <w:name w:val="endnote text"/>
    <w:basedOn w:val="92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6"/>
    <w:uiPriority w:val="99"/>
    <w:semiHidden/>
    <w:unhideWhenUsed/>
    <w:rPr>
      <w:vertAlign w:val="superscript"/>
    </w:rPr>
  </w:style>
  <w:style w:type="paragraph" w:styleId="925">
    <w:name w:val="TOC Heading"/>
    <w:uiPriority w:val="39"/>
    <w:unhideWhenUsed/>
  </w:style>
  <w:style w:type="paragraph" w:styleId="92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27">
    <w:name w:val="Heading 1"/>
    <w:basedOn w:val="926"/>
    <w:next w:val="926"/>
    <w:link w:val="976"/>
    <w:uiPriority w:val="0"/>
    <w:qFormat/>
    <w:pPr>
      <w:jc w:val="center"/>
      <w:keepNext/>
      <w:outlineLvl w:val="0"/>
    </w:pPr>
    <w:rPr>
      <w:rFonts w:ascii="楷体_GB2312" w:hAnsi="Times New Roman" w:eastAsia="楷体_GB2312"/>
      <w:sz w:val="28"/>
      <w:szCs w:val="28"/>
    </w:rPr>
  </w:style>
  <w:style w:type="paragraph" w:styleId="928">
    <w:name w:val="Heading 2"/>
    <w:basedOn w:val="926"/>
    <w:next w:val="938"/>
    <w:link w:val="977"/>
    <w:uiPriority w:val="0"/>
    <w:semiHidden/>
    <w:unhideWhenUsed/>
    <w:qFormat/>
    <w:pPr>
      <w:jc w:val="center"/>
      <w:keepLines/>
      <w:keepNext/>
      <w:spacing w:before="260" w:after="260" w:line="415" w:lineRule="auto"/>
      <w:outlineLvl w:val="1"/>
    </w:pPr>
    <w:rPr>
      <w:rFonts w:ascii="Arial" w:hAnsi="Arial" w:eastAsia="幼圆" w:cs="Arial"/>
      <w:b/>
      <w:bCs/>
      <w:sz w:val="44"/>
      <w:szCs w:val="44"/>
    </w:rPr>
  </w:style>
  <w:style w:type="paragraph" w:styleId="929">
    <w:name w:val="Heading 3"/>
    <w:basedOn w:val="926"/>
    <w:next w:val="938"/>
    <w:link w:val="978"/>
    <w:uiPriority w:val="0"/>
    <w:semiHidden/>
    <w:unhideWhenUsed/>
    <w:qFormat/>
    <w:pPr>
      <w:keepLines/>
      <w:keepNext/>
      <w:spacing w:before="260" w:after="260" w:line="415" w:lineRule="auto"/>
      <w:outlineLvl w:val="2"/>
    </w:pPr>
    <w:rPr>
      <w:rFonts w:ascii="Times New Roman" w:hAnsi="Times New Roman"/>
      <w:b/>
      <w:bCs/>
      <w:sz w:val="32"/>
      <w:szCs w:val="32"/>
    </w:rPr>
  </w:style>
  <w:style w:type="paragraph" w:styleId="930">
    <w:name w:val="Heading 4"/>
    <w:basedOn w:val="926"/>
    <w:next w:val="938"/>
    <w:link w:val="979"/>
    <w:uiPriority w:val="0"/>
    <w:semiHidden/>
    <w:unhideWhenUsed/>
    <w:qFormat/>
    <w:pPr>
      <w:keepLines/>
      <w:keepNext/>
      <w:spacing w:before="280" w:after="290" w:line="374" w:lineRule="auto"/>
      <w:outlineLvl w:val="3"/>
    </w:pPr>
    <w:rPr>
      <w:rFonts w:ascii="Arial" w:hAnsi="Arial" w:eastAsia="黑体" w:cs="Arial"/>
      <w:b/>
      <w:bCs/>
      <w:sz w:val="28"/>
      <w:szCs w:val="28"/>
    </w:rPr>
  </w:style>
  <w:style w:type="paragraph" w:styleId="931">
    <w:name w:val="Heading 5"/>
    <w:basedOn w:val="926"/>
    <w:next w:val="926"/>
    <w:link w:val="980"/>
    <w:uiPriority w:val="0"/>
    <w:semiHidden/>
    <w:unhideWhenUsed/>
    <w:qFormat/>
    <w:pPr>
      <w:keepNext/>
      <w:outlineLvl w:val="4"/>
    </w:pPr>
    <w:rPr>
      <w:rFonts w:ascii="宋体" w:hAnsi="Times New Roman"/>
      <w:color w:val="000000"/>
      <w:sz w:val="28"/>
      <w:szCs w:val="28"/>
    </w:rPr>
  </w:style>
  <w:style w:type="paragraph" w:styleId="932">
    <w:name w:val="Heading 6"/>
    <w:basedOn w:val="926"/>
    <w:next w:val="926"/>
    <w:link w:val="981"/>
    <w:uiPriority w:val="0"/>
    <w:semiHidden/>
    <w:unhideWhenUsed/>
    <w:qFormat/>
    <w:pPr>
      <w:numPr>
        <w:ilvl w:val="5"/>
        <w:numId w:val="1"/>
      </w:numPr>
      <w:keepLines/>
      <w:keepNext/>
      <w:spacing w:before="240" w:after="64" w:line="319" w:lineRule="auto"/>
      <w:outlineLvl w:val="5"/>
    </w:pPr>
    <w:rPr>
      <w:rFonts w:ascii="Arial" w:hAnsi="Arial" w:eastAsia="黑体"/>
      <w:b/>
      <w:bCs/>
      <w:sz w:val="24"/>
      <w:szCs w:val="24"/>
    </w:rPr>
  </w:style>
  <w:style w:type="paragraph" w:styleId="933">
    <w:name w:val="Heading 7"/>
    <w:basedOn w:val="926"/>
    <w:next w:val="926"/>
    <w:link w:val="982"/>
    <w:uiPriority w:val="99"/>
    <w:semiHidden/>
    <w:unhideWhenUsed/>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34">
    <w:name w:val="Heading 8"/>
    <w:basedOn w:val="926"/>
    <w:next w:val="926"/>
    <w:link w:val="983"/>
    <w:uiPriority w:val="99"/>
    <w:semiHidden/>
    <w:unhideWhenUsed/>
    <w:qFormat/>
    <w:pPr>
      <w:numPr>
        <w:ilvl w:val="7"/>
        <w:numId w:val="1"/>
      </w:numPr>
      <w:keepLines/>
      <w:keepNext/>
      <w:spacing w:before="240" w:after="64" w:line="319" w:lineRule="auto"/>
      <w:outlineLvl w:val="7"/>
    </w:pPr>
    <w:rPr>
      <w:rFonts w:ascii="Arial" w:hAnsi="Arial" w:eastAsia="黑体"/>
      <w:sz w:val="24"/>
      <w:szCs w:val="24"/>
    </w:rPr>
  </w:style>
  <w:style w:type="paragraph" w:styleId="935">
    <w:name w:val="Heading 9"/>
    <w:basedOn w:val="926"/>
    <w:next w:val="926"/>
    <w:link w:val="984"/>
    <w:uiPriority w:val="99"/>
    <w:semiHidden/>
    <w:unhideWhenUsed/>
    <w:qFormat/>
    <w:pPr>
      <w:numPr>
        <w:ilvl w:val="8"/>
        <w:numId w:val="1"/>
      </w:numPr>
      <w:keepLines/>
      <w:keepNext/>
      <w:spacing w:before="240" w:after="64" w:line="319" w:lineRule="auto"/>
      <w:outlineLvl w:val="8"/>
    </w:pPr>
    <w:rPr>
      <w:rFonts w:ascii="Arial" w:hAnsi="Arial" w:eastAsia="黑体"/>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Normal Indent"/>
    <w:basedOn w:val="926"/>
    <w:link w:val="985"/>
    <w:uiPriority w:val="99"/>
    <w:semiHidden/>
    <w:unhideWhenUsed/>
    <w:qFormat/>
    <w:pPr>
      <w:ind w:firstLine="420"/>
    </w:pPr>
    <w:rPr>
      <w:sz w:val="20"/>
      <w:szCs w:val="21"/>
    </w:rPr>
  </w:style>
  <w:style w:type="paragraph" w:styleId="939">
    <w:name w:val="List 3"/>
    <w:basedOn w:val="926"/>
    <w:uiPriority w:val="99"/>
    <w:semiHidden/>
    <w:unhideWhenUsed/>
    <w:qFormat/>
    <w:pPr>
      <w:ind w:left="100" w:hanging="200"/>
    </w:pPr>
    <w:rPr>
      <w:rFonts w:ascii="Times New Roman" w:hAnsi="Times New Roman"/>
      <w:szCs w:val="21"/>
    </w:rPr>
  </w:style>
  <w:style w:type="paragraph" w:styleId="940">
    <w:name w:val="toc 7"/>
    <w:basedOn w:val="926"/>
    <w:next w:val="926"/>
    <w:uiPriority w:val="99"/>
    <w:semiHidden/>
    <w:unhideWhenUsed/>
    <w:qFormat/>
    <w:pPr>
      <w:ind w:left="1260"/>
      <w:jc w:val="left"/>
    </w:pPr>
    <w:rPr>
      <w:rFonts w:ascii="Times New Roman" w:hAnsi="Times New Roman"/>
      <w:szCs w:val="21"/>
    </w:rPr>
  </w:style>
  <w:style w:type="paragraph" w:styleId="941">
    <w:name w:val="Document Map"/>
    <w:basedOn w:val="926"/>
    <w:link w:val="996"/>
    <w:uiPriority w:val="99"/>
    <w:semiHidden/>
    <w:unhideWhenUsed/>
    <w:qFormat/>
    <w:pPr>
      <w:shd w:val="clear" w:color="auto" w:fill="000080"/>
    </w:pPr>
    <w:rPr>
      <w:rFonts w:ascii="Times New Roman" w:hAnsi="Times New Roman"/>
      <w:szCs w:val="21"/>
    </w:rPr>
  </w:style>
  <w:style w:type="paragraph" w:styleId="942">
    <w:name w:val="annotation text"/>
    <w:basedOn w:val="926"/>
    <w:link w:val="986"/>
    <w:uiPriority w:val="99"/>
    <w:semiHidden/>
    <w:unhideWhenUsed/>
    <w:qFormat/>
    <w:pPr>
      <w:jc w:val="left"/>
    </w:pPr>
  </w:style>
  <w:style w:type="paragraph" w:styleId="943">
    <w:name w:val="Body Text 3"/>
    <w:basedOn w:val="926"/>
    <w:link w:val="993"/>
    <w:uiPriority w:val="99"/>
    <w:semiHidden/>
    <w:unhideWhenUsed/>
    <w:qFormat/>
    <w:rPr>
      <w:rFonts w:ascii="仿宋_GB2312" w:hAnsi="Arial" w:eastAsia="仿宋_GB2312"/>
      <w:sz w:val="32"/>
      <w:szCs w:val="32"/>
    </w:rPr>
  </w:style>
  <w:style w:type="paragraph" w:styleId="944">
    <w:name w:val="Body Text"/>
    <w:basedOn w:val="926"/>
    <w:link w:val="987"/>
    <w:uiPriority w:val="0"/>
    <w:unhideWhenUsed/>
    <w:qFormat/>
    <w:rPr>
      <w:rFonts w:ascii="楷体_GB2312" w:hAnsi="Arial" w:eastAsia="楷体_GB2312"/>
      <w:sz w:val="28"/>
      <w:szCs w:val="28"/>
    </w:rPr>
  </w:style>
  <w:style w:type="paragraph" w:styleId="945">
    <w:name w:val="Body Text Indent"/>
    <w:basedOn w:val="926"/>
    <w:link w:val="988"/>
    <w:uiPriority w:val="99"/>
    <w:semiHidden/>
    <w:unhideWhenUsed/>
    <w:qFormat/>
    <w:pPr>
      <w:ind w:left="420"/>
      <w:spacing w:after="120"/>
    </w:pPr>
  </w:style>
  <w:style w:type="paragraph" w:styleId="946">
    <w:name w:val="List 2"/>
    <w:basedOn w:val="926"/>
    <w:uiPriority w:val="99"/>
    <w:semiHidden/>
    <w:unhideWhenUsed/>
    <w:qFormat/>
    <w:pPr>
      <w:ind w:left="100" w:hanging="200"/>
    </w:pPr>
    <w:rPr>
      <w:rFonts w:ascii="Times New Roman" w:hAnsi="Times New Roman"/>
      <w:szCs w:val="21"/>
    </w:rPr>
  </w:style>
  <w:style w:type="paragraph" w:styleId="947">
    <w:name w:val="toc 5"/>
    <w:basedOn w:val="926"/>
    <w:next w:val="926"/>
    <w:uiPriority w:val="99"/>
    <w:semiHidden/>
    <w:unhideWhenUsed/>
    <w:qFormat/>
    <w:pPr>
      <w:ind w:left="840"/>
      <w:jc w:val="left"/>
    </w:pPr>
    <w:rPr>
      <w:rFonts w:ascii="Times New Roman" w:hAnsi="Times New Roman"/>
      <w:szCs w:val="21"/>
    </w:rPr>
  </w:style>
  <w:style w:type="paragraph" w:styleId="948">
    <w:name w:val="toc 3"/>
    <w:basedOn w:val="926"/>
    <w:next w:val="926"/>
    <w:uiPriority w:val="99"/>
    <w:semiHidden/>
    <w:unhideWhenUsed/>
    <w:qFormat/>
    <w:pPr>
      <w:ind w:left="420"/>
      <w:jc w:val="left"/>
    </w:pPr>
    <w:rPr>
      <w:rFonts w:ascii="Times New Roman" w:hAnsi="Times New Roman"/>
      <w:i/>
      <w:iCs/>
      <w:szCs w:val="24"/>
    </w:rPr>
  </w:style>
  <w:style w:type="paragraph" w:styleId="949">
    <w:name w:val="Plain Text"/>
    <w:basedOn w:val="926"/>
    <w:link w:val="997"/>
    <w:uiPriority w:val="0"/>
    <w:unhideWhenUsed/>
    <w:qFormat/>
    <w:rPr>
      <w:rFonts w:ascii="宋体" w:hAnsi="Courier New" w:cs="Courier New"/>
      <w:szCs w:val="21"/>
    </w:rPr>
  </w:style>
  <w:style w:type="paragraph" w:styleId="950">
    <w:name w:val="toc 8"/>
    <w:basedOn w:val="926"/>
    <w:next w:val="926"/>
    <w:uiPriority w:val="99"/>
    <w:semiHidden/>
    <w:unhideWhenUsed/>
    <w:qFormat/>
    <w:pPr>
      <w:ind w:left="1470"/>
      <w:jc w:val="left"/>
    </w:pPr>
    <w:rPr>
      <w:rFonts w:ascii="Times New Roman" w:hAnsi="Times New Roman"/>
      <w:szCs w:val="21"/>
    </w:rPr>
  </w:style>
  <w:style w:type="paragraph" w:styleId="951">
    <w:name w:val="Date"/>
    <w:basedOn w:val="926"/>
    <w:next w:val="926"/>
    <w:link w:val="989"/>
    <w:uiPriority w:val="99"/>
    <w:semiHidden/>
    <w:unhideWhenUsed/>
    <w:qFormat/>
    <w:rPr>
      <w:rFonts w:ascii="Times New Roman" w:hAnsi="Times New Roman"/>
      <w:sz w:val="24"/>
      <w:szCs w:val="24"/>
    </w:rPr>
  </w:style>
  <w:style w:type="paragraph" w:styleId="952">
    <w:name w:val="Body Text Indent 2"/>
    <w:basedOn w:val="926"/>
    <w:link w:val="994"/>
    <w:uiPriority w:val="99"/>
    <w:semiHidden/>
    <w:unhideWhenUsed/>
    <w:qFormat/>
    <w:pPr>
      <w:ind w:left="630" w:firstLine="645"/>
    </w:pPr>
    <w:rPr>
      <w:rFonts w:ascii="Arial" w:hAnsi="Arial" w:eastAsia="仿宋_GB2312" w:cs="Arial"/>
      <w:sz w:val="32"/>
      <w:szCs w:val="32"/>
    </w:rPr>
  </w:style>
  <w:style w:type="paragraph" w:styleId="953">
    <w:name w:val="Balloon Text"/>
    <w:basedOn w:val="926"/>
    <w:link w:val="999"/>
    <w:uiPriority w:val="99"/>
    <w:semiHidden/>
    <w:unhideWhenUsed/>
    <w:qFormat/>
    <w:rPr>
      <w:rFonts w:ascii="Times New Roman" w:hAnsi="Times New Roman"/>
      <w:sz w:val="18"/>
      <w:szCs w:val="18"/>
    </w:rPr>
  </w:style>
  <w:style w:type="paragraph" w:styleId="954">
    <w:name w:val="Footer"/>
    <w:basedOn w:val="926"/>
    <w:link w:val="975"/>
    <w:uiPriority w:val="99"/>
    <w:unhideWhenUsed/>
    <w:qFormat/>
    <w:pPr>
      <w:jc w:val="left"/>
      <w:tabs>
        <w:tab w:val="center" w:pos="4153" w:leader="none"/>
        <w:tab w:val="right" w:pos="8306" w:leader="none"/>
      </w:tabs>
    </w:pPr>
    <w:rPr>
      <w:sz w:val="18"/>
      <w:szCs w:val="18"/>
    </w:rPr>
  </w:style>
  <w:style w:type="paragraph" w:styleId="955">
    <w:name w:val="Header"/>
    <w:basedOn w:val="926"/>
    <w:link w:val="9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26"/>
    <w:next w:val="926"/>
    <w:uiPriority w:val="99"/>
    <w:semiHidden/>
    <w:unhideWhenUsed/>
    <w:qFormat/>
    <w:pPr>
      <w:jc w:val="left"/>
      <w:spacing w:before="120" w:after="120" w:line="400" w:lineRule="exact"/>
      <w:tabs>
        <w:tab w:val="right" w:pos="8720" w:leader="dot"/>
      </w:tabs>
    </w:pPr>
    <w:rPr>
      <w:rFonts w:ascii="宋体" w:hAnsi="宋体"/>
      <w:caps/>
      <w:sz w:val="24"/>
      <w:szCs w:val="24"/>
    </w:rPr>
  </w:style>
  <w:style w:type="paragraph" w:styleId="957">
    <w:name w:val="toc 4"/>
    <w:basedOn w:val="926"/>
    <w:next w:val="926"/>
    <w:uiPriority w:val="99"/>
    <w:semiHidden/>
    <w:unhideWhenUsed/>
    <w:qFormat/>
    <w:pPr>
      <w:ind w:left="630"/>
      <w:jc w:val="left"/>
    </w:pPr>
    <w:rPr>
      <w:rFonts w:ascii="Times New Roman" w:hAnsi="Times New Roman"/>
      <w:szCs w:val="21"/>
    </w:rPr>
  </w:style>
  <w:style w:type="paragraph" w:styleId="958">
    <w:name w:val="List"/>
    <w:basedOn w:val="926"/>
    <w:uiPriority w:val="99"/>
    <w:semiHidden/>
    <w:unhideWhenUsed/>
    <w:qFormat/>
    <w:pPr>
      <w:ind w:left="200" w:hanging="200"/>
    </w:pPr>
    <w:rPr>
      <w:rFonts w:ascii="Times New Roman" w:hAnsi="Times New Roman"/>
      <w:szCs w:val="21"/>
    </w:rPr>
  </w:style>
  <w:style w:type="paragraph" w:styleId="959">
    <w:name w:val="toc 6"/>
    <w:basedOn w:val="926"/>
    <w:next w:val="926"/>
    <w:uiPriority w:val="99"/>
    <w:semiHidden/>
    <w:unhideWhenUsed/>
    <w:qFormat/>
    <w:pPr>
      <w:ind w:left="1050"/>
      <w:jc w:val="left"/>
    </w:pPr>
    <w:rPr>
      <w:rFonts w:ascii="Times New Roman" w:hAnsi="Times New Roman"/>
      <w:szCs w:val="21"/>
    </w:rPr>
  </w:style>
  <w:style w:type="paragraph" w:styleId="960">
    <w:name w:val="Body Text Indent 3"/>
    <w:basedOn w:val="926"/>
    <w:link w:val="995"/>
    <w:uiPriority w:val="99"/>
    <w:semiHidden/>
    <w:unhideWhenUsed/>
    <w:qFormat/>
    <w:pPr>
      <w:ind w:left="645" w:firstLine="645"/>
    </w:pPr>
    <w:rPr>
      <w:rFonts w:ascii="Arial" w:hAnsi="Arial" w:eastAsia="仿宋_GB2312" w:cs="Arial"/>
      <w:color w:val="ffff00"/>
      <w:sz w:val="32"/>
      <w:szCs w:val="32"/>
    </w:rPr>
  </w:style>
  <w:style w:type="paragraph" w:styleId="961">
    <w:name w:val="table of figures"/>
    <w:basedOn w:val="926"/>
    <w:next w:val="926"/>
    <w:uiPriority w:val="99"/>
    <w:semiHidden/>
    <w:unhideWhenUsed/>
    <w:qFormat/>
    <w:pPr>
      <w:ind w:left="840" w:hanging="420"/>
    </w:pPr>
    <w:rPr>
      <w:rFonts w:ascii="Times New Roman" w:hAnsi="Times New Roman"/>
      <w:szCs w:val="21"/>
    </w:rPr>
  </w:style>
  <w:style w:type="paragraph" w:styleId="962">
    <w:name w:val="toc 2"/>
    <w:basedOn w:val="926"/>
    <w:next w:val="926"/>
    <w:uiPriority w:val="99"/>
    <w:semiHidden/>
    <w:unhideWhenUsed/>
    <w:qFormat/>
    <w:pPr>
      <w:ind w:left="210"/>
      <w:jc w:val="left"/>
    </w:pPr>
    <w:rPr>
      <w:rFonts w:ascii="Times New Roman" w:hAnsi="Times New Roman"/>
      <w:smallCaps/>
      <w:szCs w:val="24"/>
    </w:rPr>
  </w:style>
  <w:style w:type="paragraph" w:styleId="963">
    <w:name w:val="toc 9"/>
    <w:basedOn w:val="926"/>
    <w:next w:val="926"/>
    <w:uiPriority w:val="99"/>
    <w:semiHidden/>
    <w:unhideWhenUsed/>
    <w:qFormat/>
    <w:pPr>
      <w:ind w:left="1680"/>
      <w:jc w:val="left"/>
    </w:pPr>
    <w:rPr>
      <w:rFonts w:ascii="Times New Roman" w:hAnsi="Times New Roman"/>
      <w:szCs w:val="21"/>
    </w:rPr>
  </w:style>
  <w:style w:type="paragraph" w:styleId="964">
    <w:name w:val="Body Text 2"/>
    <w:basedOn w:val="926"/>
    <w:link w:val="992"/>
    <w:uiPriority w:val="99"/>
    <w:semiHidden/>
    <w:unhideWhenUsed/>
    <w:qFormat/>
    <w:pPr>
      <w:jc w:val="center"/>
      <w:widowControl/>
    </w:pPr>
    <w:rPr>
      <w:rFonts w:ascii="楷体_GB2312" w:hAnsi="Times New Roman" w:eastAsia="楷体_GB2312"/>
      <w:sz w:val="28"/>
      <w:szCs w:val="28"/>
    </w:rPr>
  </w:style>
  <w:style w:type="paragraph" w:styleId="965">
    <w:name w:val="Normal (Web)"/>
    <w:basedOn w:val="926"/>
    <w:uiPriority w:val="99"/>
    <w:semiHidden/>
    <w:unhideWhenUsed/>
    <w:qFormat/>
    <w:pPr>
      <w:jc w:val="left"/>
      <w:spacing w:before="100" w:beforeAutospacing="1" w:after="100" w:afterAutospacing="1"/>
      <w:widowControl/>
    </w:pPr>
    <w:rPr>
      <w:rFonts w:ascii="宋体" w:hAnsi="宋体" w:cs="宋体"/>
      <w:sz w:val="24"/>
      <w:szCs w:val="24"/>
    </w:rPr>
  </w:style>
  <w:style w:type="paragraph" w:styleId="966">
    <w:name w:val="index 1"/>
    <w:basedOn w:val="926"/>
    <w:next w:val="926"/>
    <w:uiPriority w:val="99"/>
    <w:semiHidden/>
    <w:unhideWhenUsed/>
    <w:qFormat/>
    <w:pPr>
      <w:spacing w:line="240" w:lineRule="atLeast"/>
    </w:pPr>
    <w:rPr>
      <w:rFonts w:ascii="Times New Roman" w:hAnsi="Times New Roman"/>
      <w:b/>
      <w:bCs/>
      <w:szCs w:val="21"/>
    </w:rPr>
  </w:style>
  <w:style w:type="paragraph" w:styleId="967">
    <w:name w:val="annotation subject"/>
    <w:basedOn w:val="942"/>
    <w:next w:val="942"/>
    <w:link w:val="998"/>
    <w:uiPriority w:val="99"/>
    <w:semiHidden/>
    <w:unhideWhenUsed/>
    <w:qFormat/>
    <w:rPr>
      <w:rFonts w:ascii="Times New Roman" w:hAnsi="Times New Roman"/>
      <w:b/>
      <w:bCs/>
      <w:szCs w:val="21"/>
    </w:rPr>
  </w:style>
  <w:style w:type="paragraph" w:styleId="968">
    <w:name w:val="Body Text First Indent"/>
    <w:basedOn w:val="926"/>
    <w:link w:val="990"/>
    <w:uiPriority w:val="99"/>
    <w:semiHidden/>
    <w:unhideWhenUsed/>
    <w:qFormat/>
    <w:pPr>
      <w:ind w:firstLine="200"/>
      <w:spacing w:line="360" w:lineRule="auto"/>
    </w:pPr>
    <w:rPr>
      <w:rFonts w:ascii="仿宋_GB2312" w:hAnsi="Times New Roman" w:eastAsia="仿宋_GB2312"/>
      <w:sz w:val="30"/>
      <w:szCs w:val="30"/>
    </w:rPr>
  </w:style>
  <w:style w:type="paragraph" w:styleId="969">
    <w:name w:val="Body Text First Indent 2"/>
    <w:basedOn w:val="945"/>
    <w:link w:val="991"/>
    <w:uiPriority w:val="99"/>
    <w:semiHidden/>
    <w:unhideWhenUsed/>
    <w:qFormat/>
    <w:pPr>
      <w:ind w:left="0" w:firstLine="420"/>
      <w:spacing w:after="0" w:line="360" w:lineRule="auto"/>
    </w:pPr>
    <w:rPr>
      <w:rFonts w:ascii="宋体" w:hAnsi="宋体"/>
      <w:szCs w:val="20"/>
    </w:rPr>
  </w:style>
  <w:style w:type="table" w:styleId="970">
    <w:name w:val="Table Grid"/>
    <w:basedOn w:val="93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FollowedHyperlink"/>
    <w:uiPriority w:val="0"/>
    <w:semiHidden/>
    <w:unhideWhenUsed/>
    <w:qFormat/>
    <w:rPr>
      <w:color w:val="800080"/>
      <w:u w:val="single"/>
    </w:rPr>
  </w:style>
  <w:style w:type="character" w:styleId="972">
    <w:name w:val="Hyperlink"/>
    <w:uiPriority w:val="0"/>
    <w:semiHidden/>
    <w:unhideWhenUsed/>
    <w:qFormat/>
    <w:rPr>
      <w:color w:val="0000ff"/>
      <w:u w:val="single"/>
    </w:rPr>
  </w:style>
  <w:style w:type="character" w:styleId="973">
    <w:name w:val="annotation reference"/>
    <w:uiPriority w:val="0"/>
    <w:semiHidden/>
    <w:unhideWhenUsed/>
    <w:qFormat/>
    <w:rPr>
      <w:sz w:val="21"/>
      <w:szCs w:val="21"/>
    </w:rPr>
  </w:style>
  <w:style w:type="character" w:styleId="974" w:customStyle="1">
    <w:name w:val="页眉 Char"/>
    <w:basedOn w:val="936"/>
    <w:link w:val="955"/>
    <w:uiPriority w:val="99"/>
    <w:qFormat/>
    <w:rPr>
      <w:sz w:val="18"/>
      <w:szCs w:val="18"/>
    </w:rPr>
  </w:style>
  <w:style w:type="character" w:styleId="975" w:customStyle="1">
    <w:name w:val="页脚 Char"/>
    <w:basedOn w:val="936"/>
    <w:link w:val="954"/>
    <w:uiPriority w:val="99"/>
    <w:qFormat/>
    <w:rPr>
      <w:sz w:val="18"/>
      <w:szCs w:val="18"/>
    </w:rPr>
  </w:style>
  <w:style w:type="character" w:styleId="976" w:customStyle="1">
    <w:name w:val="标题 1 Char"/>
    <w:basedOn w:val="936"/>
    <w:link w:val="927"/>
    <w:uiPriority w:val="0"/>
    <w:qFormat/>
    <w:rPr>
      <w:rFonts w:ascii="楷体_GB2312" w:hAnsi="Times New Roman" w:eastAsia="楷体_GB2312" w:cs="Times New Roman"/>
      <w:sz w:val="28"/>
      <w:szCs w:val="28"/>
    </w:rPr>
  </w:style>
  <w:style w:type="character" w:styleId="977" w:customStyle="1">
    <w:name w:val="标题 2 Char"/>
    <w:basedOn w:val="936"/>
    <w:link w:val="928"/>
    <w:uiPriority w:val="0"/>
    <w:semiHidden/>
    <w:qFormat/>
    <w:rPr>
      <w:rFonts w:ascii="Arial" w:hAnsi="Arial" w:eastAsia="幼圆" w:cs="Arial"/>
      <w:b/>
      <w:bCs/>
      <w:sz w:val="44"/>
      <w:szCs w:val="44"/>
    </w:rPr>
  </w:style>
  <w:style w:type="character" w:styleId="978" w:customStyle="1">
    <w:name w:val="标题 3 Char"/>
    <w:basedOn w:val="936"/>
    <w:link w:val="929"/>
    <w:uiPriority w:val="0"/>
    <w:semiHidden/>
    <w:qFormat/>
    <w:rPr>
      <w:rFonts w:ascii="Times New Roman" w:hAnsi="Times New Roman" w:eastAsia="宋体" w:cs="Times New Roman"/>
      <w:b/>
      <w:bCs/>
      <w:sz w:val="32"/>
      <w:szCs w:val="32"/>
    </w:rPr>
  </w:style>
  <w:style w:type="character" w:styleId="979" w:customStyle="1">
    <w:name w:val="标题 4 Char"/>
    <w:basedOn w:val="936"/>
    <w:link w:val="930"/>
    <w:uiPriority w:val="0"/>
    <w:semiHidden/>
    <w:qFormat/>
    <w:rPr>
      <w:rFonts w:ascii="Arial" w:hAnsi="Arial" w:eastAsia="黑体" w:cs="Arial"/>
      <w:b/>
      <w:bCs/>
      <w:sz w:val="28"/>
      <w:szCs w:val="28"/>
    </w:rPr>
  </w:style>
  <w:style w:type="character" w:styleId="980" w:customStyle="1">
    <w:name w:val="标题 5 Char"/>
    <w:basedOn w:val="936"/>
    <w:link w:val="931"/>
    <w:uiPriority w:val="0"/>
    <w:semiHidden/>
    <w:qFormat/>
    <w:rPr>
      <w:rFonts w:ascii="宋体" w:hAnsi="Times New Roman" w:eastAsia="宋体" w:cs="Times New Roman"/>
      <w:color w:val="000000"/>
      <w:sz w:val="28"/>
      <w:szCs w:val="28"/>
    </w:rPr>
  </w:style>
  <w:style w:type="character" w:styleId="981" w:customStyle="1">
    <w:name w:val="标题 6 Char"/>
    <w:basedOn w:val="936"/>
    <w:link w:val="932"/>
    <w:uiPriority w:val="0"/>
    <w:semiHidden/>
    <w:qFormat/>
    <w:rPr>
      <w:rFonts w:ascii="Arial" w:hAnsi="Arial" w:eastAsia="黑体" w:cs="Times New Roman"/>
      <w:b/>
      <w:bCs/>
      <w:sz w:val="24"/>
      <w:szCs w:val="24"/>
    </w:rPr>
  </w:style>
  <w:style w:type="character" w:styleId="982" w:customStyle="1">
    <w:name w:val="标题 7 Char"/>
    <w:basedOn w:val="936"/>
    <w:link w:val="933"/>
    <w:uiPriority w:val="99"/>
    <w:semiHidden/>
    <w:qFormat/>
    <w:rPr>
      <w:rFonts w:ascii="Times New Roman" w:hAnsi="Times New Roman" w:eastAsia="宋体" w:cs="Times New Roman"/>
      <w:b/>
      <w:bCs/>
      <w:sz w:val="24"/>
      <w:szCs w:val="24"/>
    </w:rPr>
  </w:style>
  <w:style w:type="character" w:styleId="983" w:customStyle="1">
    <w:name w:val="标题 8 Char"/>
    <w:basedOn w:val="936"/>
    <w:link w:val="934"/>
    <w:uiPriority w:val="99"/>
    <w:semiHidden/>
    <w:qFormat/>
    <w:rPr>
      <w:rFonts w:ascii="Arial" w:hAnsi="Arial" w:eastAsia="黑体" w:cs="Times New Roman"/>
      <w:sz w:val="24"/>
      <w:szCs w:val="24"/>
    </w:rPr>
  </w:style>
  <w:style w:type="character" w:styleId="984" w:customStyle="1">
    <w:name w:val="标题 9 Char"/>
    <w:basedOn w:val="936"/>
    <w:link w:val="935"/>
    <w:uiPriority w:val="99"/>
    <w:semiHidden/>
    <w:qFormat/>
    <w:rPr>
      <w:rFonts w:ascii="Arial" w:hAnsi="Arial" w:eastAsia="黑体" w:cs="Times New Roman"/>
      <w:szCs w:val="21"/>
    </w:rPr>
  </w:style>
  <w:style w:type="character" w:styleId="985" w:customStyle="1">
    <w:name w:val="正文缩进 Char"/>
    <w:link w:val="938"/>
    <w:uiPriority w:val="99"/>
    <w:semiHidden/>
    <w:qFormat/>
    <w:rPr>
      <w:rFonts w:ascii="Calibri" w:hAnsi="Calibri" w:eastAsia="宋体" w:cs="Times New Roman"/>
      <w:sz w:val="20"/>
      <w:szCs w:val="21"/>
    </w:rPr>
  </w:style>
  <w:style w:type="character" w:styleId="986" w:customStyle="1">
    <w:name w:val="批注文字 Char"/>
    <w:basedOn w:val="936"/>
    <w:link w:val="942"/>
    <w:uiPriority w:val="99"/>
    <w:semiHidden/>
    <w:qFormat/>
    <w:rPr>
      <w:rFonts w:ascii="Calibri" w:hAnsi="Calibri" w:eastAsia="宋体" w:cs="Times New Roman"/>
    </w:rPr>
  </w:style>
  <w:style w:type="character" w:styleId="987" w:customStyle="1">
    <w:name w:val="正文文本 Char"/>
    <w:basedOn w:val="936"/>
    <w:link w:val="944"/>
    <w:uiPriority w:val="0"/>
    <w:qFormat/>
    <w:rPr>
      <w:rFonts w:ascii="楷体_GB2312" w:hAnsi="Arial" w:eastAsia="楷体_GB2312" w:cs="Times New Roman"/>
      <w:sz w:val="28"/>
      <w:szCs w:val="28"/>
    </w:rPr>
  </w:style>
  <w:style w:type="character" w:styleId="988" w:customStyle="1">
    <w:name w:val="正文文本缩进 Char"/>
    <w:basedOn w:val="936"/>
    <w:link w:val="945"/>
    <w:uiPriority w:val="99"/>
    <w:semiHidden/>
    <w:qFormat/>
    <w:rPr>
      <w:rFonts w:ascii="Calibri" w:hAnsi="Calibri" w:eastAsia="宋体" w:cs="Times New Roman"/>
    </w:rPr>
  </w:style>
  <w:style w:type="character" w:styleId="989" w:customStyle="1">
    <w:name w:val="日期 Char"/>
    <w:basedOn w:val="936"/>
    <w:link w:val="951"/>
    <w:uiPriority w:val="99"/>
    <w:semiHidden/>
    <w:qFormat/>
    <w:rPr>
      <w:rFonts w:ascii="Times New Roman" w:hAnsi="Times New Roman" w:eastAsia="宋体" w:cs="Times New Roman"/>
      <w:sz w:val="24"/>
      <w:szCs w:val="24"/>
    </w:rPr>
  </w:style>
  <w:style w:type="character" w:styleId="990" w:customStyle="1">
    <w:name w:val="正文首行缩进 Char"/>
    <w:basedOn w:val="987"/>
    <w:link w:val="968"/>
    <w:uiPriority w:val="99"/>
    <w:semiHidden/>
    <w:qFormat/>
    <w:rPr>
      <w:rFonts w:ascii="仿宋_GB2312" w:hAnsi="Times New Roman" w:eastAsia="仿宋_GB2312" w:cs="Times New Roman"/>
      <w:sz w:val="30"/>
      <w:szCs w:val="30"/>
    </w:rPr>
  </w:style>
  <w:style w:type="character" w:styleId="991" w:customStyle="1">
    <w:name w:val="正文首行缩进 2 Char"/>
    <w:basedOn w:val="988"/>
    <w:link w:val="969"/>
    <w:uiPriority w:val="99"/>
    <w:semiHidden/>
    <w:qFormat/>
    <w:rPr>
      <w:rFonts w:ascii="宋体" w:hAnsi="宋体" w:eastAsia="宋体" w:cs="Times New Roman"/>
      <w:szCs w:val="20"/>
    </w:rPr>
  </w:style>
  <w:style w:type="character" w:styleId="992" w:customStyle="1">
    <w:name w:val="正文文本 2 Char"/>
    <w:basedOn w:val="936"/>
    <w:link w:val="964"/>
    <w:uiPriority w:val="99"/>
    <w:semiHidden/>
    <w:qFormat/>
    <w:rPr>
      <w:rFonts w:ascii="楷体_GB2312" w:hAnsi="Times New Roman" w:eastAsia="楷体_GB2312" w:cs="Times New Roman"/>
      <w:sz w:val="28"/>
      <w:szCs w:val="28"/>
    </w:rPr>
  </w:style>
  <w:style w:type="character" w:styleId="993" w:customStyle="1">
    <w:name w:val="正文文本 3 Char"/>
    <w:basedOn w:val="936"/>
    <w:link w:val="943"/>
    <w:uiPriority w:val="99"/>
    <w:semiHidden/>
    <w:qFormat/>
    <w:rPr>
      <w:rFonts w:ascii="仿宋_GB2312" w:hAnsi="Arial" w:eastAsia="仿宋_GB2312" w:cs="Times New Roman"/>
      <w:sz w:val="32"/>
      <w:szCs w:val="32"/>
    </w:rPr>
  </w:style>
  <w:style w:type="character" w:styleId="994" w:customStyle="1">
    <w:name w:val="正文文本缩进 2 Char"/>
    <w:basedOn w:val="936"/>
    <w:link w:val="952"/>
    <w:uiPriority w:val="99"/>
    <w:semiHidden/>
    <w:qFormat/>
    <w:rPr>
      <w:rFonts w:ascii="Arial" w:hAnsi="Arial" w:eastAsia="仿宋_GB2312" w:cs="Arial"/>
      <w:sz w:val="32"/>
      <w:szCs w:val="32"/>
    </w:rPr>
  </w:style>
  <w:style w:type="character" w:styleId="995" w:customStyle="1">
    <w:name w:val="正文文本缩进 3 Char"/>
    <w:basedOn w:val="936"/>
    <w:link w:val="960"/>
    <w:uiPriority w:val="99"/>
    <w:semiHidden/>
    <w:qFormat/>
    <w:rPr>
      <w:rFonts w:ascii="Arial" w:hAnsi="Arial" w:eastAsia="仿宋_GB2312" w:cs="Arial"/>
      <w:color w:val="ffff00"/>
      <w:sz w:val="32"/>
      <w:szCs w:val="32"/>
    </w:rPr>
  </w:style>
  <w:style w:type="character" w:styleId="996" w:customStyle="1">
    <w:name w:val="文档结构图 Char"/>
    <w:basedOn w:val="936"/>
    <w:link w:val="941"/>
    <w:uiPriority w:val="99"/>
    <w:semiHidden/>
    <w:qFormat/>
    <w:rPr>
      <w:rFonts w:ascii="Times New Roman" w:hAnsi="Times New Roman" w:eastAsia="宋体" w:cs="Times New Roman"/>
      <w:szCs w:val="21"/>
      <w:shd w:val="clear" w:color="auto" w:fill="000080"/>
    </w:rPr>
  </w:style>
  <w:style w:type="character" w:styleId="997" w:customStyle="1">
    <w:name w:val="纯文本 Char"/>
    <w:basedOn w:val="936"/>
    <w:link w:val="949"/>
    <w:uiPriority w:val="0"/>
    <w:qFormat/>
    <w:rPr>
      <w:rFonts w:ascii="宋体" w:hAnsi="Courier New" w:eastAsia="宋体" w:cs="Courier New"/>
      <w:szCs w:val="21"/>
    </w:rPr>
  </w:style>
  <w:style w:type="character" w:styleId="998" w:customStyle="1">
    <w:name w:val="批注主题 Char"/>
    <w:basedOn w:val="986"/>
    <w:link w:val="967"/>
    <w:uiPriority w:val="99"/>
    <w:semiHidden/>
    <w:qFormat/>
    <w:rPr>
      <w:rFonts w:ascii="Times New Roman" w:hAnsi="Times New Roman" w:eastAsia="宋体" w:cs="Times New Roman"/>
      <w:b/>
      <w:bCs/>
      <w:szCs w:val="21"/>
    </w:rPr>
  </w:style>
  <w:style w:type="character" w:styleId="999" w:customStyle="1">
    <w:name w:val="批注框文本 Char"/>
    <w:basedOn w:val="936"/>
    <w:link w:val="953"/>
    <w:uiPriority w:val="99"/>
    <w:semiHidden/>
    <w:qFormat/>
    <w:rPr>
      <w:rFonts w:ascii="Times New Roman" w:hAnsi="Times New Roman" w:eastAsia="宋体" w:cs="Times New Roman"/>
      <w:sz w:val="18"/>
      <w:szCs w:val="18"/>
    </w:rPr>
  </w:style>
  <w:style w:type="paragraph" w:styleId="10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1" w:customStyle="1">
    <w:name w:val="Revision"/>
    <w:uiPriority w:val="99"/>
    <w:semiHidden/>
    <w:qFormat/>
    <w:rPr>
      <w:rFonts w:ascii="Times New Roman" w:hAnsi="Times New Roman" w:eastAsia="宋体" w:cs="Times New Roman"/>
      <w:sz w:val="21"/>
      <w:szCs w:val="21"/>
      <w:lang w:val="en-US" w:eastAsia="zh-CN" w:bidi="ar-SA"/>
    </w:rPr>
  </w:style>
  <w:style w:type="paragraph" w:styleId="1002">
    <w:name w:val="List Paragraph"/>
    <w:basedOn w:val="926"/>
    <w:uiPriority w:val="99"/>
    <w:qFormat/>
    <w:pPr>
      <w:contextualSpacing/>
      <w:ind w:left="720"/>
      <w:jc w:val="left"/>
      <w:widowControl/>
    </w:pPr>
    <w:rPr>
      <w:sz w:val="24"/>
      <w:szCs w:val="24"/>
      <w:lang w:eastAsia="en-US" w:bidi="en-US"/>
    </w:rPr>
  </w:style>
  <w:style w:type="paragraph" w:styleId="1003" w:customStyle="1">
    <w:name w:val="Body Text(ch)"/>
    <w:basedOn w:val="926"/>
    <w:next w:val="944"/>
    <w:uiPriority w:val="99"/>
    <w:qFormat/>
    <w:pPr>
      <w:spacing w:after="120"/>
    </w:pPr>
    <w:rPr>
      <w:rFonts w:ascii="宋体" w:hAnsi="Arial"/>
      <w:bCs/>
      <w:iCs/>
      <w:szCs w:val="24"/>
    </w:rPr>
  </w:style>
  <w:style w:type="paragraph" w:styleId="1004" w:customStyle="1">
    <w:name w:val="xl27"/>
    <w:basedOn w:val="92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005" w:customStyle="1">
    <w:name w:val="二级目录 Char"/>
    <w:link w:val="1006"/>
    <w:uiPriority w:val="0"/>
    <w:qFormat/>
    <w:rPr>
      <w:b/>
      <w:sz w:val="30"/>
      <w:szCs w:val="28"/>
    </w:rPr>
  </w:style>
  <w:style w:type="paragraph" w:styleId="1006" w:customStyle="1">
    <w:name w:val="二级目录"/>
    <w:next w:val="926"/>
    <w:link w:val="1005"/>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paragraph" w:styleId="1007" w:customStyle="1">
    <w:name w:val="xl26"/>
    <w:basedOn w:val="9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8" w:customStyle="1">
    <w:name w:val="Char"/>
    <w:basedOn w:val="941"/>
    <w:uiPriority w:val="99"/>
    <w:qFormat/>
    <w:rPr>
      <w:rFonts w:ascii="Tahoma" w:hAnsi="Tahoma"/>
      <w:sz w:val="24"/>
      <w:szCs w:val="24"/>
    </w:rPr>
  </w:style>
  <w:style w:type="paragraph" w:styleId="1009" w:customStyle="1">
    <w:name w:val="普通正文"/>
    <w:basedOn w:val="926"/>
    <w:uiPriority w:val="99"/>
    <w:qFormat/>
    <w:pPr>
      <w:ind w:firstLine="480"/>
      <w:jc w:val="left"/>
      <w:spacing w:before="120" w:after="120" w:line="360" w:lineRule="auto"/>
    </w:pPr>
    <w:rPr>
      <w:rFonts w:ascii="Arial" w:hAnsi="Arial"/>
      <w:sz w:val="24"/>
      <w:szCs w:val="24"/>
    </w:rPr>
  </w:style>
  <w:style w:type="paragraph" w:styleId="1010" w:customStyle="1">
    <w:name w:val="table_lines"/>
    <w:basedOn w:val="926"/>
    <w:uiPriority w:val="99"/>
    <w:qFormat/>
    <w:pPr>
      <w:jc w:val="left"/>
      <w:widowControl/>
    </w:pPr>
    <w:rPr>
      <w:rFonts w:ascii="Times New Roman" w:hAnsi="Times New Roman"/>
      <w:sz w:val="20"/>
      <w:szCs w:val="20"/>
      <w:lang w:val="de-DE" w:eastAsia="de-DE"/>
    </w:rPr>
  </w:style>
  <w:style w:type="paragraph" w:styleId="1011"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1012" w:customStyle="1">
    <w:name w:val="font7"/>
    <w:basedOn w:val="926"/>
    <w:uiPriority w:val="99"/>
    <w:qFormat/>
    <w:pPr>
      <w:jc w:val="left"/>
      <w:spacing w:before="100" w:beforeAutospacing="1" w:after="100" w:afterAutospacing="1"/>
      <w:widowControl/>
    </w:pPr>
    <w:rPr>
      <w:rFonts w:ascii="宋体" w:hAnsi="宋体"/>
      <w:sz w:val="18"/>
      <w:szCs w:val="18"/>
    </w:rPr>
  </w:style>
  <w:style w:type="paragraph" w:styleId="1013" w:customStyle="1">
    <w:name w:val="Char Char Char Char"/>
    <w:basedOn w:val="941"/>
    <w:uiPriority w:val="99"/>
    <w:qFormat/>
    <w:pPr>
      <w:spacing w:line="360" w:lineRule="auto"/>
    </w:pPr>
    <w:rPr>
      <w:rFonts w:ascii="Tahoma" w:hAnsi="Tahoma"/>
      <w:sz w:val="24"/>
      <w:szCs w:val="24"/>
    </w:rPr>
  </w:style>
  <w:style w:type="paragraph" w:styleId="1014" w:customStyle="1">
    <w:name w:val="4"/>
    <w:basedOn w:val="926"/>
    <w:next w:val="960"/>
    <w:uiPriority w:val="99"/>
    <w:qFormat/>
    <w:pPr>
      <w:ind w:firstLine="420"/>
      <w:spacing w:line="360" w:lineRule="auto"/>
    </w:pPr>
    <w:rPr>
      <w:rFonts w:ascii="Times New Roman" w:hAnsi="Times New Roman"/>
      <w:color w:val="ff0000"/>
      <w:sz w:val="24"/>
      <w:szCs w:val="24"/>
    </w:rPr>
  </w:style>
  <w:style w:type="paragraph" w:styleId="1015" w:customStyle="1">
    <w:name w:val="普通 (Web)"/>
    <w:basedOn w:val="926"/>
    <w:uiPriority w:val="99"/>
    <w:qFormat/>
    <w:pPr>
      <w:jc w:val="left"/>
      <w:spacing w:before="100" w:beforeAutospacing="1" w:after="100" w:afterAutospacing="1"/>
      <w:widowControl/>
    </w:pPr>
    <w:rPr>
      <w:rFonts w:ascii="宋体" w:hAnsi="宋体"/>
      <w:sz w:val="24"/>
      <w:szCs w:val="24"/>
    </w:rPr>
  </w:style>
  <w:style w:type="paragraph" w:styleId="1016" w:customStyle="1">
    <w:name w:val="Char Char Char Char Char Char Char Char Char Char"/>
    <w:basedOn w:val="926"/>
    <w:uiPriority w:val="99"/>
    <w:qFormat/>
    <w:pPr>
      <w:spacing w:line="360" w:lineRule="auto"/>
    </w:pPr>
    <w:rPr>
      <w:rFonts w:ascii="Times New Roman" w:hAnsi="Times New Roman"/>
      <w:sz w:val="24"/>
      <w:szCs w:val="20"/>
    </w:rPr>
  </w:style>
  <w:style w:type="paragraph" w:styleId="1017" w:customStyle="1">
    <w:name w:val="样式1"/>
    <w:basedOn w:val="926"/>
    <w:uiPriority w:val="99"/>
    <w:qFormat/>
    <w:pPr>
      <w:numPr>
        <w:ilvl w:val="0"/>
        <w:numId w:val="3"/>
      </w:numPr>
    </w:pPr>
    <w:rPr>
      <w:rFonts w:ascii="宋体" w:hAnsi="宋体"/>
      <w:szCs w:val="21"/>
    </w:rPr>
  </w:style>
  <w:style w:type="paragraph" w:styleId="1018" w:customStyle="1">
    <w:name w:val="font6"/>
    <w:basedOn w:val="926"/>
    <w:uiPriority w:val="99"/>
    <w:qFormat/>
    <w:pPr>
      <w:jc w:val="left"/>
      <w:spacing w:before="100" w:beforeAutospacing="1" w:after="100" w:afterAutospacing="1"/>
      <w:widowControl/>
    </w:pPr>
    <w:rPr>
      <w:rFonts w:ascii="宋体" w:hAnsi="宋体"/>
      <w:sz w:val="28"/>
      <w:szCs w:val="28"/>
      <w:u w:val="single"/>
    </w:rPr>
  </w:style>
  <w:style w:type="paragraph" w:styleId="1019" w:customStyle="1">
    <w:name w:val="xl25"/>
    <w:basedOn w:val="92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图标"/>
    <w:basedOn w:val="926"/>
    <w:next w:val="92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1" w:customStyle="1">
    <w:name w:val="标题3"/>
    <w:basedOn w:val="926"/>
    <w:next w:val="926"/>
    <w:uiPriority w:val="99"/>
    <w:qFormat/>
    <w:pPr>
      <w:ind w:firstLine="624"/>
      <w:spacing w:line="590" w:lineRule="atLeast"/>
    </w:pPr>
    <w:rPr>
      <w:rFonts w:ascii="方正黑体_GBK" w:hAnsi="Times New Roman"/>
      <w:sz w:val="32"/>
      <w:szCs w:val="32"/>
    </w:rPr>
  </w:style>
  <w:style w:type="paragraph" w:styleId="1022" w:customStyle="1">
    <w:name w:val="xl24"/>
    <w:basedOn w:val="92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3" w:customStyle="1">
    <w:name w:val="xl29"/>
    <w:basedOn w:val="92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4" w:customStyle="1">
    <w:name w:val="Char Char Char Char Char Char Char Char"/>
    <w:basedOn w:val="926"/>
    <w:uiPriority w:val="99"/>
    <w:qFormat/>
    <w:pPr>
      <w:jc w:val="left"/>
      <w:spacing w:after="160" w:line="240" w:lineRule="exact"/>
      <w:widowControl/>
    </w:pPr>
    <w:rPr>
      <w:rFonts w:ascii="Verdana" w:hAnsi="Verdana"/>
      <w:sz w:val="20"/>
      <w:szCs w:val="20"/>
      <w:lang w:eastAsia="en-US"/>
    </w:rPr>
  </w:style>
  <w:style w:type="character" w:styleId="1025" w:customStyle="1">
    <w:name w:val="列出段落 Char"/>
    <w:link w:val="1026"/>
    <w:uiPriority w:val="0"/>
    <w:qFormat/>
    <w:rPr>
      <w:sz w:val="24"/>
      <w:szCs w:val="24"/>
      <w:lang w:eastAsia="en-US" w:bidi="en-US"/>
    </w:rPr>
  </w:style>
  <w:style w:type="paragraph" w:styleId="1026" w:customStyle="1">
    <w:name w:val="列出段落1"/>
    <w:basedOn w:val="926"/>
    <w:link w:val="1025"/>
    <w:uiPriority w:val="0"/>
    <w:qFormat/>
    <w:pPr>
      <w:contextualSpacing/>
      <w:ind w:left="720"/>
      <w:jc w:val="left"/>
      <w:widowControl/>
    </w:pPr>
    <w:rPr>
      <w:rFonts w:asciiTheme="minorHAnsi" w:hAnsiTheme="minorHAnsi" w:eastAsiaTheme="minorEastAsia" w:cstheme="minorBidi"/>
      <w:sz w:val="24"/>
      <w:szCs w:val="24"/>
      <w:lang w:eastAsia="en-US" w:bidi="en-US"/>
    </w:rPr>
  </w:style>
  <w:style w:type="paragraph" w:styleId="1027" w:customStyle="1">
    <w:name w:val="xl28"/>
    <w:basedOn w:val="92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8" w:customStyle="1">
    <w:name w:val="xl30"/>
    <w:basedOn w:val="926"/>
    <w:uiPriority w:val="99"/>
    <w:qFormat/>
    <w:pPr>
      <w:jc w:val="center"/>
      <w:spacing w:before="100" w:beforeAutospacing="1" w:after="100" w:afterAutospacing="1"/>
      <w:widowControl/>
    </w:pPr>
    <w:rPr>
      <w:rFonts w:ascii="宋体" w:hAnsi="宋体"/>
      <w:b/>
      <w:bCs/>
      <w:sz w:val="36"/>
      <w:szCs w:val="36"/>
    </w:rPr>
  </w:style>
  <w:style w:type="paragraph" w:styleId="1029" w:customStyle="1">
    <w:name w:val="table_1stline"/>
    <w:basedOn w:val="926"/>
    <w:uiPriority w:val="99"/>
    <w:qFormat/>
    <w:pPr>
      <w:jc w:val="left"/>
      <w:spacing w:before="120"/>
      <w:widowControl/>
    </w:pPr>
    <w:rPr>
      <w:rFonts w:ascii="Times New Roman" w:hAnsi="Times New Roman"/>
      <w:bCs/>
      <w:sz w:val="20"/>
      <w:szCs w:val="20"/>
      <w:lang w:val="de-DE" w:eastAsia="de-DE"/>
    </w:rPr>
  </w:style>
  <w:style w:type="paragraph" w:styleId="1030" w:customStyle="1">
    <w:name w:val="font5"/>
    <w:basedOn w:val="926"/>
    <w:uiPriority w:val="99"/>
    <w:qFormat/>
    <w:pPr>
      <w:jc w:val="left"/>
      <w:spacing w:before="100" w:beforeAutospacing="1" w:after="100" w:afterAutospacing="1"/>
      <w:widowControl/>
    </w:pPr>
    <w:rPr>
      <w:rFonts w:ascii="宋体" w:hAnsi="宋体"/>
      <w:sz w:val="28"/>
      <w:szCs w:val="28"/>
    </w:rPr>
  </w:style>
  <w:style w:type="paragraph" w:styleId="1031" w:customStyle="1">
    <w:name w:val="标题1"/>
    <w:basedOn w:val="926"/>
    <w:next w:val="926"/>
    <w:uiPriority w:val="99"/>
    <w:qFormat/>
    <w:pPr>
      <w:jc w:val="center"/>
      <w:spacing w:line="700" w:lineRule="atLeast"/>
      <w:tabs>
        <w:tab w:val="left" w:pos="9193" w:leader="none"/>
        <w:tab w:val="left" w:pos="9827" w:leader="none"/>
      </w:tabs>
    </w:pPr>
    <w:rPr>
      <w:rFonts w:ascii="方正小标宋_GBK" w:hAnsi="Times New Roman"/>
      <w:sz w:val="44"/>
      <w:szCs w:val="20"/>
    </w:rPr>
  </w:style>
  <w:style w:type="paragraph" w:styleId="103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3" w:customStyle="1">
    <w:name w:val="font5 Char"/>
    <w:uiPriority w:val="0"/>
    <w:qFormat/>
    <w:rPr>
      <w:rFonts w:hint="eastAsia" w:ascii="宋体" w:hAnsi="宋体" w:eastAsia="宋体"/>
      <w:sz w:val="28"/>
      <w:szCs w:val="28"/>
      <w:lang w:val="en-US" w:eastAsia="zh-CN" w:bidi="ar-SA"/>
    </w:rPr>
  </w:style>
  <w:style w:type="paragraph" w:styleId="1034" w:customStyle="1">
    <w:name w:val="纯文本1"/>
    <w:basedOn w:val="926"/>
    <w:uiPriority w:val="0"/>
    <w:qFormat/>
    <w:rPr>
      <w:rFonts w:ascii="宋体" w:hAnsi="Courier New" w:cs="Courier New"/>
    </w:rPr>
  </w:style>
  <w:style w:type="paragraph" w:styleId="1035" w:customStyle="1">
    <w:name w:val="目录 11"/>
    <w:basedOn w:val="1036"/>
    <w:next w:val="1037"/>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正文11"/>
    <w:next w:val="1035"/>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1"/>
    <w:next w:val="1038"/>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1038" w:customStyle="1">
    <w:name w:val="正文文本1"/>
    <w:basedOn w:val="926"/>
    <w:uiPriority w:val="0"/>
    <w:qFormat/>
    <w:rPr>
      <w:rFonts w:ascii="楷体_GB2312" w:hAnsi="Arial" w:eastAsia="楷体_GB2312"/>
      <w:sz w:val="28"/>
      <w:szCs w:val="28"/>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张睿</cp:lastModifiedBy>
  <cp:revision>86</cp:revision>
  <dcterms:created xsi:type="dcterms:W3CDTF">2025-03-24T02:14:00Z</dcterms:created>
  <dcterms:modified xsi:type="dcterms:W3CDTF">2026-07-17T08:35:57Z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2052-12.1.0.26895</vt:lpwstr>
  </property>
  <property fmtid="{D5CDD505-2E9C-101B-9397-08002B2CF9AE}" pid="4" name="ICV">
    <vt:lpwstr>1E054C03C0F24B50A4572E49C8596B8B_13</vt:lpwstr>
  </property>
</Properties>
</file>